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3102610</wp:posOffset>
            </wp:positionH>
            <wp:positionV relativeFrom="page">
              <wp:posOffset>636270</wp:posOffset>
            </wp:positionV>
            <wp:extent cx="323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16510"/>
                    </a:xfrm>
                    <a:prstGeom prst="rect">
                      <a:avLst/>
                    </a:prstGeom>
                    <a:noFill/>
                  </pic:spPr>
                </pic:pic>
              </a:graphicData>
            </a:graphic>
          </wp:anchor>
        </w:drawing>
        <w:drawing>
          <wp:anchor simplePos="0" relativeHeight="251657728" behindDoc="1" locked="0" layoutInCell="0" allowOverlap="1">
            <wp:simplePos x="0" y="0"/>
            <wp:positionH relativeFrom="page">
              <wp:posOffset>3102610</wp:posOffset>
            </wp:positionH>
            <wp:positionV relativeFrom="page">
              <wp:posOffset>660400</wp:posOffset>
            </wp:positionV>
            <wp:extent cx="323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16510"/>
                    </a:xfrm>
                    <a:prstGeom prst="rect">
                      <a:avLst/>
                    </a:prstGeom>
                    <a:noFill/>
                  </pic:spPr>
                </pic:pic>
              </a:graphicData>
            </a:graphic>
          </wp:anchor>
        </w:drawing>
      </w:r>
    </w:p>
    <w:p>
      <w:pPr>
        <w:jc w:val="center"/>
        <w:ind w:right="999"/>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187325</wp:posOffset>
            </wp:positionV>
            <wp:extent cx="1470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100"/>
        <w:spacing w:after="0"/>
        <w:rPr>
          <w:sz w:val="20"/>
          <w:szCs w:val="20"/>
          <w:color w:val="auto"/>
        </w:rPr>
      </w:pPr>
      <w:r>
        <w:rPr>
          <w:rFonts w:ascii="Arial" w:cs="Arial" w:eastAsia="Arial" w:hAnsi="Arial"/>
          <w:sz w:val="17"/>
          <w:szCs w:val="1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198120</wp:posOffset>
            </wp:positionV>
            <wp:extent cx="14700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025"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255270</wp:posOffset>
            </wp:positionV>
            <wp:extent cx="4410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1071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left="60"/>
        <w:spacing w:after="0"/>
        <w:rPr>
          <w:sz w:val="20"/>
          <w:szCs w:val="20"/>
          <w:color w:val="auto"/>
        </w:rPr>
      </w:pPr>
      <w:r>
        <w:rPr>
          <w:rFonts w:ascii="Arial" w:cs="Arial" w:eastAsia="Arial" w:hAnsi="Arial"/>
          <w:sz w:val="17"/>
          <w:szCs w:val="17"/>
          <w:color w:val="auto"/>
        </w:rPr>
        <w:t>(Mark One)</w:t>
      </w:r>
    </w:p>
    <w:p>
      <w:pPr>
        <w:spacing w:after="0" w:line="21" w:lineRule="exact"/>
        <w:rPr>
          <w:sz w:val="24"/>
          <w:szCs w:val="24"/>
          <w:color w:val="auto"/>
        </w:rPr>
      </w:pPr>
    </w:p>
    <w:p>
      <w:pPr>
        <w:ind w:left="1080" w:hanging="657"/>
        <w:spacing w:after="0"/>
        <w:tabs>
          <w:tab w:leader="none" w:pos="108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REGISTRATION STATEMENT PURSUANT TO SECTION 12(b) OR (g)</w:t>
      </w:r>
    </w:p>
    <w:p>
      <w:pPr>
        <w:spacing w:after="0" w:line="10" w:lineRule="exact"/>
        <w:rPr>
          <w:rFonts w:ascii="Arial" w:cs="Arial" w:eastAsia="Arial" w:hAnsi="Arial"/>
          <w:sz w:val="17"/>
          <w:szCs w:val="17"/>
          <w:b w:val="1"/>
          <w:bCs w:val="1"/>
          <w:color w:val="auto"/>
        </w:rPr>
      </w:pPr>
    </w:p>
    <w:p>
      <w:pPr>
        <w:ind w:left="1080"/>
        <w:spacing w:after="0"/>
        <w:rPr>
          <w:rFonts w:ascii="Arial" w:cs="Arial" w:eastAsia="Arial" w:hAnsi="Arial"/>
          <w:sz w:val="17"/>
          <w:szCs w:val="17"/>
          <w:b w:val="1"/>
          <w:bCs w:val="1"/>
          <w:color w:val="auto"/>
        </w:rPr>
      </w:pPr>
      <w:r>
        <w:rPr>
          <w:rFonts w:ascii="Arial" w:cs="Arial" w:eastAsia="Arial" w:hAnsi="Arial"/>
          <w:sz w:val="17"/>
          <w:szCs w:val="17"/>
          <w:color w:val="auto"/>
        </w:rPr>
        <w:t>OF THE SECURITIES EXCHANGE ACT OF 1934</w:t>
      </w:r>
    </w:p>
    <w:p>
      <w:pPr>
        <w:spacing w:after="0" w:line="102"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410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10710" cy="8255"/>
                    </a:xfrm>
                    <a:prstGeom prst="rect">
                      <a:avLst/>
                    </a:prstGeom>
                    <a:noFill/>
                  </pic:spPr>
                </pic:pic>
              </a:graphicData>
            </a:graphic>
          </wp:anchor>
        </w:drawing>
      </w:r>
    </w:p>
    <w:p>
      <w:pPr>
        <w:spacing w:after="0" w:line="1" w:lineRule="exact"/>
        <w:rPr>
          <w:sz w:val="24"/>
          <w:szCs w:val="24"/>
          <w:color w:val="auto"/>
        </w:rPr>
      </w:pPr>
    </w:p>
    <w:p>
      <w:pPr>
        <w:ind w:left="1080" w:hanging="657"/>
        <w:spacing w:after="0"/>
        <w:tabs>
          <w:tab w:leader="none" w:pos="108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ANNUAL REPORT PURSUANT TO SECTION 13 OR 15(d)</w:t>
      </w:r>
    </w:p>
    <w:p>
      <w:pPr>
        <w:spacing w:after="0" w:line="10" w:lineRule="exact"/>
        <w:rPr>
          <w:rFonts w:ascii="Arial" w:cs="Arial" w:eastAsia="Arial" w:hAnsi="Arial"/>
          <w:sz w:val="17"/>
          <w:szCs w:val="17"/>
          <w:b w:val="1"/>
          <w:bCs w:val="1"/>
          <w:color w:val="auto"/>
        </w:rPr>
      </w:pPr>
    </w:p>
    <w:p>
      <w:pPr>
        <w:ind w:left="1080"/>
        <w:spacing w:after="0"/>
        <w:rPr>
          <w:rFonts w:ascii="Arial" w:cs="Arial" w:eastAsia="Arial" w:hAnsi="Arial"/>
          <w:sz w:val="17"/>
          <w:szCs w:val="17"/>
          <w:b w:val="1"/>
          <w:bCs w:val="1"/>
          <w:color w:val="auto"/>
        </w:rPr>
      </w:pPr>
      <w:r>
        <w:rPr>
          <w:rFonts w:ascii="Arial" w:cs="Arial" w:eastAsia="Arial" w:hAnsi="Arial"/>
          <w:sz w:val="17"/>
          <w:szCs w:val="17"/>
          <w:color w:val="auto"/>
        </w:rPr>
        <w:t>OF THE SECURITIES EXCHANGE ACT OF 1934</w:t>
      </w:r>
    </w:p>
    <w:p>
      <w:pPr>
        <w:spacing w:after="0" w:line="102" w:lineRule="exact"/>
        <w:rPr>
          <w:sz w:val="24"/>
          <w:szCs w:val="24"/>
          <w:color w:val="auto"/>
        </w:rPr>
      </w:pPr>
    </w:p>
    <w:p>
      <w:pPr>
        <w:ind w:left="3080"/>
        <w:spacing w:after="0"/>
        <w:rPr>
          <w:sz w:val="20"/>
          <w:szCs w:val="20"/>
          <w:color w:val="auto"/>
        </w:rPr>
      </w:pPr>
      <w:r>
        <w:rPr>
          <w:rFonts w:ascii="Arial" w:cs="Arial" w:eastAsia="Arial" w:hAnsi="Arial"/>
          <w:sz w:val="17"/>
          <w:szCs w:val="17"/>
          <w:color w:val="auto"/>
        </w:rPr>
        <w:t>For the fiscal year ended _______________</w:t>
      </w:r>
    </w:p>
    <w:p>
      <w:pPr>
        <w:spacing w:after="0" w:line="113"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410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10710" cy="8255"/>
                    </a:xfrm>
                    <a:prstGeom prst="rect">
                      <a:avLst/>
                    </a:prstGeom>
                    <a:noFill/>
                  </pic:spPr>
                </pic:pic>
              </a:graphicData>
            </a:graphic>
          </wp:anchor>
        </w:drawing>
      </w:r>
    </w:p>
    <w:p>
      <w:pPr>
        <w:spacing w:after="0" w:line="1" w:lineRule="exact"/>
        <w:rPr>
          <w:sz w:val="24"/>
          <w:szCs w:val="24"/>
          <w:color w:val="auto"/>
        </w:rPr>
      </w:pPr>
    </w:p>
    <w:p>
      <w:pPr>
        <w:ind w:left="1080" w:hanging="657"/>
        <w:spacing w:after="0"/>
        <w:tabs>
          <w:tab w:leader="none" w:pos="10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TRANSITION REPORT PURSUANT TO SECTION 13 OR 15(d)</w:t>
      </w:r>
    </w:p>
    <w:p>
      <w:pPr>
        <w:spacing w:after="0" w:line="10" w:lineRule="exact"/>
        <w:rPr>
          <w:rFonts w:ascii="Arial" w:cs="Arial" w:eastAsia="Arial" w:hAnsi="Arial"/>
          <w:sz w:val="17"/>
          <w:szCs w:val="17"/>
          <w:b w:val="1"/>
          <w:bCs w:val="1"/>
          <w:color w:val="auto"/>
        </w:rPr>
      </w:pPr>
    </w:p>
    <w:p>
      <w:pPr>
        <w:ind w:left="1080"/>
        <w:spacing w:after="0"/>
        <w:rPr>
          <w:rFonts w:ascii="Arial" w:cs="Arial" w:eastAsia="Arial" w:hAnsi="Arial"/>
          <w:sz w:val="17"/>
          <w:szCs w:val="17"/>
          <w:b w:val="1"/>
          <w:bCs w:val="1"/>
          <w:color w:val="auto"/>
        </w:rPr>
      </w:pPr>
      <w:r>
        <w:rPr>
          <w:rFonts w:ascii="Arial" w:cs="Arial" w:eastAsia="Arial" w:hAnsi="Arial"/>
          <w:sz w:val="17"/>
          <w:szCs w:val="17"/>
          <w:color w:val="auto"/>
        </w:rPr>
        <w:t>OF THE SECURITIES EXCHANGE ACT OF 1934</w:t>
      </w:r>
    </w:p>
    <w:p>
      <w:pPr>
        <w:spacing w:after="0" w:line="102"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410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10710" cy="8255"/>
                    </a:xfrm>
                    <a:prstGeom prst="rect">
                      <a:avLst/>
                    </a:prstGeom>
                    <a:noFill/>
                  </pic:spPr>
                </pic:pic>
              </a:graphicData>
            </a:graphic>
          </wp:anchor>
        </w:drawing>
      </w:r>
    </w:p>
    <w:p>
      <w:pPr>
        <w:spacing w:after="0" w:line="1" w:lineRule="exact"/>
        <w:rPr>
          <w:sz w:val="24"/>
          <w:szCs w:val="24"/>
          <w:color w:val="auto"/>
        </w:rPr>
      </w:pPr>
    </w:p>
    <w:p>
      <w:pPr>
        <w:ind w:left="1080" w:hanging="657"/>
        <w:spacing w:after="0"/>
        <w:tabs>
          <w:tab w:leader="none" w:pos="10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SHELL COMPANY REPORT PURSUANT TO SECTION 13 OR 15(d)</w:t>
      </w:r>
    </w:p>
    <w:p>
      <w:pPr>
        <w:spacing w:after="0" w:line="10" w:lineRule="exact"/>
        <w:rPr>
          <w:rFonts w:ascii="Arial" w:cs="Arial" w:eastAsia="Arial" w:hAnsi="Arial"/>
          <w:sz w:val="17"/>
          <w:szCs w:val="17"/>
          <w:b w:val="1"/>
          <w:bCs w:val="1"/>
          <w:color w:val="auto"/>
        </w:rPr>
      </w:pPr>
    </w:p>
    <w:p>
      <w:pPr>
        <w:ind w:left="1080"/>
        <w:spacing w:after="0"/>
        <w:rPr>
          <w:rFonts w:ascii="Arial" w:cs="Arial" w:eastAsia="Arial" w:hAnsi="Arial"/>
          <w:sz w:val="17"/>
          <w:szCs w:val="17"/>
          <w:b w:val="1"/>
          <w:bCs w:val="1"/>
          <w:color w:val="auto"/>
        </w:rPr>
      </w:pPr>
      <w:r>
        <w:rPr>
          <w:rFonts w:ascii="Arial" w:cs="Arial" w:eastAsia="Arial" w:hAnsi="Arial"/>
          <w:sz w:val="17"/>
          <w:szCs w:val="17"/>
          <w:color w:val="auto"/>
        </w:rPr>
        <w:t>OF THE SECURITIES EXCHANGE ACT OF 1934</w:t>
      </w:r>
    </w:p>
    <w:p>
      <w:pPr>
        <w:spacing w:after="0" w:line="102" w:lineRule="exact"/>
        <w:rPr>
          <w:sz w:val="24"/>
          <w:szCs w:val="24"/>
          <w:color w:val="auto"/>
        </w:rPr>
      </w:pPr>
    </w:p>
    <w:p>
      <w:pPr>
        <w:ind w:left="2900"/>
        <w:spacing w:after="0"/>
        <w:rPr>
          <w:sz w:val="20"/>
          <w:szCs w:val="20"/>
          <w:color w:val="auto"/>
        </w:rPr>
      </w:pPr>
      <w:r>
        <w:rPr>
          <w:rFonts w:ascii="Arial" w:cs="Arial" w:eastAsia="Arial" w:hAnsi="Arial"/>
          <w:sz w:val="17"/>
          <w:szCs w:val="17"/>
          <w:color w:val="auto"/>
        </w:rPr>
        <w:t>Date of event requiring this shell company report</w:t>
      </w:r>
    </w:p>
    <w:p>
      <w:pPr>
        <w:spacing w:after="0" w:line="210"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For the transition period from __________ to __________</w:t>
      </w:r>
    </w:p>
    <w:p>
      <w:pPr>
        <w:spacing w:after="0" w:line="119" w:lineRule="exact"/>
        <w:rPr>
          <w:sz w:val="24"/>
          <w:szCs w:val="24"/>
          <w:color w:val="auto"/>
        </w:rPr>
      </w:pPr>
    </w:p>
    <w:p>
      <w:pPr>
        <w:ind w:left="3060"/>
        <w:spacing w:after="0"/>
        <w:rPr>
          <w:sz w:val="20"/>
          <w:szCs w:val="20"/>
          <w:color w:val="auto"/>
        </w:rPr>
      </w:pPr>
      <w:r>
        <w:rPr>
          <w:rFonts w:ascii="Arial" w:cs="Arial" w:eastAsia="Arial" w:hAnsi="Arial"/>
          <w:sz w:val="17"/>
          <w:szCs w:val="17"/>
          <w:color w:val="auto"/>
        </w:rPr>
        <w:t>Commission file number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194310</wp:posOffset>
            </wp:positionV>
            <wp:extent cx="1470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520"/>
        <w:spacing w:after="0"/>
        <w:rPr>
          <w:sz w:val="20"/>
          <w:szCs w:val="20"/>
          <w:color w:val="auto"/>
        </w:rPr>
      </w:pPr>
      <w:r>
        <w:rPr>
          <w:rFonts w:ascii="Arial" w:cs="Arial" w:eastAsia="Arial" w:hAnsi="Arial"/>
          <w:sz w:val="31"/>
          <w:szCs w:val="31"/>
          <w:b w:val="1"/>
          <w:bCs w:val="1"/>
          <w:color w:val="auto"/>
        </w:rPr>
        <w:t>BioLineRx Ltd.</w:t>
      </w:r>
    </w:p>
    <w:p>
      <w:pPr>
        <w:spacing w:after="0" w:line="116" w:lineRule="exact"/>
        <w:rPr>
          <w:sz w:val="24"/>
          <w:szCs w:val="24"/>
          <w:color w:val="auto"/>
        </w:rPr>
      </w:pPr>
    </w:p>
    <w:p>
      <w:pPr>
        <w:jc w:val="center"/>
        <w:ind w:right="939"/>
        <w:spacing w:after="0"/>
        <w:rPr>
          <w:sz w:val="20"/>
          <w:szCs w:val="20"/>
          <w:color w:val="auto"/>
        </w:rPr>
      </w:pPr>
      <w:r>
        <w:rPr>
          <w:rFonts w:ascii="Arial" w:cs="Arial" w:eastAsia="Arial" w:hAnsi="Arial"/>
          <w:sz w:val="14"/>
          <w:szCs w:val="14"/>
          <w:color w:val="auto"/>
        </w:rPr>
        <w:t>(Exact name of Registrant as specified in its charter)</w:t>
      </w:r>
    </w:p>
    <w:p>
      <w:pPr>
        <w:spacing w:after="0" w:line="109" w:lineRule="exact"/>
        <w:rPr>
          <w:sz w:val="24"/>
          <w:szCs w:val="24"/>
          <w:color w:val="auto"/>
        </w:rPr>
      </w:pPr>
    </w:p>
    <w:p>
      <w:pPr>
        <w:jc w:val="center"/>
        <w:ind w:right="939"/>
        <w:spacing w:after="0"/>
        <w:rPr>
          <w:sz w:val="20"/>
          <w:szCs w:val="20"/>
          <w:color w:val="auto"/>
        </w:rPr>
      </w:pPr>
      <w:r>
        <w:rPr>
          <w:rFonts w:ascii="Arial" w:cs="Arial" w:eastAsia="Arial" w:hAnsi="Arial"/>
          <w:sz w:val="14"/>
          <w:szCs w:val="14"/>
          <w:color w:val="auto"/>
        </w:rPr>
        <w:t>(Translation of Registrant’s name into English)</w:t>
      </w:r>
    </w:p>
    <w:p>
      <w:pPr>
        <w:spacing w:after="0" w:line="199"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Israel</w:t>
      </w:r>
    </w:p>
    <w:p>
      <w:pPr>
        <w:spacing w:after="0" w:line="126"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(Jurisdiction of incorporation or organization)</w:t>
      </w:r>
    </w:p>
    <w:p>
      <w:pPr>
        <w:spacing w:after="0" w:line="199"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P.O. Box 45158</w:t>
      </w:r>
    </w:p>
    <w:p>
      <w:pPr>
        <w:spacing w:after="0" w:line="27"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19 Hartum Street</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Jerusalem 91450, Israel</w:t>
      </w:r>
    </w:p>
    <w:p>
      <w:pPr>
        <w:spacing w:after="0" w:line="109" w:lineRule="exact"/>
        <w:rPr>
          <w:sz w:val="24"/>
          <w:szCs w:val="24"/>
          <w:color w:val="auto"/>
        </w:rPr>
      </w:pPr>
    </w:p>
    <w:p>
      <w:pPr>
        <w:ind w:left="3500"/>
        <w:spacing w:after="0"/>
        <w:rPr>
          <w:sz w:val="20"/>
          <w:szCs w:val="20"/>
          <w:color w:val="auto"/>
        </w:rPr>
      </w:pPr>
      <w:r>
        <w:rPr>
          <w:rFonts w:ascii="Arial" w:cs="Arial" w:eastAsia="Arial" w:hAnsi="Arial"/>
          <w:sz w:val="14"/>
          <w:szCs w:val="14"/>
          <w:color w:val="auto"/>
        </w:rPr>
        <w:t>(Address of principal executive offices)</w:t>
      </w:r>
    </w:p>
    <w:p>
      <w:pPr>
        <w:spacing w:after="0" w:line="199"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Philip Serlin</w:t>
      </w:r>
    </w:p>
    <w:p>
      <w:pPr>
        <w:spacing w:after="0" w:line="27"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+972 (2) 548-9100</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+972 (2) 548-9101 (facsimile)</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phils@biolinerx.com</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P.O. Box 45158</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19 Hartum Street</w:t>
      </w:r>
    </w:p>
    <w:p>
      <w:pPr>
        <w:spacing w:after="0" w:line="10" w:lineRule="exact"/>
        <w:rPr>
          <w:sz w:val="24"/>
          <w:szCs w:val="24"/>
          <w:color w:val="auto"/>
        </w:rPr>
      </w:pPr>
    </w:p>
    <w:p>
      <w:pPr>
        <w:jc w:val="center"/>
        <w:ind w:right="999"/>
        <w:spacing w:after="0"/>
        <w:rPr>
          <w:sz w:val="20"/>
          <w:szCs w:val="20"/>
          <w:color w:val="auto"/>
        </w:rPr>
      </w:pPr>
      <w:r>
        <w:rPr>
          <w:rFonts w:ascii="Arial" w:cs="Arial" w:eastAsia="Arial" w:hAnsi="Arial"/>
          <w:sz w:val="17"/>
          <w:szCs w:val="17"/>
          <w:b w:val="1"/>
          <w:bCs w:val="1"/>
          <w:color w:val="auto"/>
        </w:rPr>
        <w:t>Jerusalem 91450, Israel</w:t>
      </w:r>
    </w:p>
    <w:p>
      <w:pPr>
        <w:spacing w:after="0" w:line="109" w:lineRule="exact"/>
        <w:rPr>
          <w:sz w:val="24"/>
          <w:szCs w:val="24"/>
          <w:color w:val="auto"/>
        </w:rPr>
      </w:pPr>
    </w:p>
    <w:p>
      <w:pPr>
        <w:ind w:left="1980"/>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194310</wp:posOffset>
            </wp:positionV>
            <wp:extent cx="1470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4443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43095" cy="8255"/>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60" w:type="dxa"/>
            <w:vAlign w:val="bottom"/>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80"/>
        </w:trPr>
        <w:tc>
          <w:tcPr>
            <w:tcW w:w="4060" w:type="dxa"/>
            <w:vAlign w:val="bottom"/>
          </w:tcPr>
          <w:p>
            <w:pPr>
              <w:jc w:val="center"/>
              <w:spacing w:after="0" w:line="180" w:lineRule="exact"/>
              <w:rPr>
                <w:sz w:val="20"/>
                <w:szCs w:val="20"/>
                <w:color w:val="auto"/>
              </w:rPr>
            </w:pPr>
            <w:r>
              <w:rPr>
                <w:rFonts w:ascii="Arial" w:cs="Arial" w:eastAsia="Arial" w:hAnsi="Arial"/>
                <w:sz w:val="17"/>
                <w:szCs w:val="17"/>
                <w:b w:val="1"/>
                <w:bCs w:val="1"/>
                <w:color w:val="auto"/>
                <w:w w:val="90"/>
              </w:rPr>
              <w:t>American Depositary Shares, each representing 10</w:t>
            </w:r>
          </w:p>
        </w:tc>
        <w:tc>
          <w:tcPr>
            <w:tcW w:w="160" w:type="dxa"/>
            <w:vAlign w:val="bottom"/>
          </w:tcPr>
          <w:p>
            <w:pPr>
              <w:spacing w:after="0"/>
              <w:rPr>
                <w:sz w:val="15"/>
                <w:szCs w:val="15"/>
                <w:color w:val="auto"/>
              </w:rPr>
            </w:pPr>
          </w:p>
        </w:tc>
        <w:tc>
          <w:tcPr>
            <w:tcW w:w="2780" w:type="dxa"/>
            <w:vAlign w:val="bottom"/>
          </w:tcPr>
          <w:p>
            <w:pPr>
              <w:jc w:val="center"/>
              <w:spacing w:after="0" w:line="180" w:lineRule="exact"/>
              <w:rPr>
                <w:sz w:val="20"/>
                <w:szCs w:val="20"/>
                <w:color w:val="auto"/>
              </w:rPr>
            </w:pPr>
            <w:r>
              <w:rPr>
                <w:rFonts w:ascii="Arial" w:cs="Arial" w:eastAsia="Arial" w:hAnsi="Arial"/>
                <w:sz w:val="17"/>
                <w:szCs w:val="17"/>
                <w:b w:val="1"/>
                <w:bCs w:val="1"/>
                <w:color w:val="auto"/>
                <w:w w:val="95"/>
              </w:rPr>
              <w:t>Nasdaq Capital Market</w:t>
            </w:r>
          </w:p>
        </w:tc>
      </w:tr>
      <w:tr>
        <w:trPr>
          <w:trHeight w:val="206"/>
        </w:trPr>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91"/>
              </w:rPr>
              <w:t>ordinary shares, par value NIS 0.01 per share</w:t>
            </w:r>
          </w:p>
        </w:tc>
        <w:tc>
          <w:tcPr>
            <w:tcW w:w="1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23"/>
        </w:trPr>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92"/>
              </w:rPr>
              <w:t>Ordinary shares, par value NIS 0.01 per share</w:t>
            </w:r>
          </w:p>
        </w:tc>
        <w:tc>
          <w:tcPr>
            <w:tcW w:w="16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7"/>
                <w:szCs w:val="17"/>
                <w:b w:val="1"/>
                <w:bCs w:val="1"/>
                <w:color w:val="auto"/>
                <w:w w:val="96"/>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164465</wp:posOffset>
            </wp:positionV>
            <wp:extent cx="58801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10" cy="1651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280" w:hanging="264"/>
        <w:spacing w:after="0"/>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for trading; only in connection with the registration of American Depositary Shares.</w:t>
      </w:r>
    </w:p>
    <w:p>
      <w:pPr>
        <w:spacing w:after="0" w:line="113" w:lineRule="exact"/>
        <w:rPr>
          <w:sz w:val="24"/>
          <w:szCs w:val="24"/>
          <w:color w:val="auto"/>
        </w:rPr>
      </w:pPr>
    </w:p>
    <w:p>
      <w:pPr>
        <w:jc w:val="center"/>
        <w:ind w:right="939"/>
        <w:spacing w:after="0"/>
        <w:rPr>
          <w:sz w:val="20"/>
          <w:szCs w:val="20"/>
          <w:color w:val="auto"/>
        </w:rPr>
      </w:pPr>
      <w:r>
        <w:rPr>
          <w:rFonts w:ascii="Arial" w:cs="Arial" w:eastAsia="Arial" w:hAnsi="Arial"/>
          <w:sz w:val="17"/>
          <w:szCs w:val="17"/>
          <w:color w:val="auto"/>
        </w:rPr>
        <w:t>Securities registered or to be registered pursuant to Section 12(g) of the Act.</w:t>
      </w:r>
    </w:p>
    <w:p>
      <w:pPr>
        <w:spacing w:after="0" w:line="113" w:lineRule="exact"/>
        <w:rPr>
          <w:sz w:val="24"/>
          <w:szCs w:val="24"/>
          <w:color w:val="auto"/>
        </w:rPr>
      </w:pPr>
    </w:p>
    <w:p>
      <w:pPr>
        <w:jc w:val="center"/>
        <w:ind w:right="939"/>
        <w:spacing w:after="0"/>
        <w:rPr>
          <w:sz w:val="20"/>
          <w:szCs w:val="20"/>
          <w:color w:val="auto"/>
        </w:rPr>
      </w:pPr>
      <w:r>
        <w:rPr>
          <w:rFonts w:ascii="Arial" w:cs="Arial" w:eastAsia="Arial" w:hAnsi="Arial"/>
          <w:sz w:val="17"/>
          <w:szCs w:val="17"/>
          <w:u w:val="single" w:color="auto"/>
          <w:color w:val="auto"/>
        </w:rPr>
        <w:t>None</w:t>
      </w:r>
    </w:p>
    <w:p>
      <w:pPr>
        <w:spacing w:after="0" w:line="120" w:lineRule="exact"/>
        <w:rPr>
          <w:sz w:val="24"/>
          <w:szCs w:val="24"/>
          <w:color w:val="auto"/>
        </w:rPr>
      </w:pPr>
    </w:p>
    <w:p>
      <w:pPr>
        <w:jc w:val="center"/>
        <w:ind w:right="939"/>
        <w:spacing w:after="0"/>
        <w:rPr>
          <w:sz w:val="20"/>
          <w:szCs w:val="20"/>
          <w:color w:val="auto"/>
        </w:rPr>
      </w:pPr>
      <w:r>
        <w:rPr>
          <w:rFonts w:ascii="Arial" w:cs="Arial" w:eastAsia="Arial" w:hAnsi="Arial"/>
          <w:sz w:val="14"/>
          <w:szCs w:val="14"/>
          <w:color w:val="auto"/>
        </w:rPr>
        <w:t>(Title of Class)</w:t>
      </w:r>
    </w:p>
    <w:p>
      <w:pPr>
        <w:spacing w:after="0" w:line="102" w:lineRule="exact"/>
        <w:rPr>
          <w:sz w:val="24"/>
          <w:szCs w:val="24"/>
          <w:color w:val="auto"/>
        </w:rPr>
      </w:pPr>
    </w:p>
    <w:p>
      <w:pPr>
        <w:jc w:val="center"/>
        <w:ind w:right="939"/>
        <w:spacing w:after="0"/>
        <w:rPr>
          <w:sz w:val="20"/>
          <w:szCs w:val="20"/>
          <w:color w:val="auto"/>
        </w:rPr>
      </w:pPr>
      <w:r>
        <w:rPr>
          <w:rFonts w:ascii="Arial" w:cs="Arial" w:eastAsia="Arial" w:hAnsi="Arial"/>
          <w:sz w:val="15"/>
          <w:szCs w:val="15"/>
          <w:color w:val="auto"/>
        </w:rPr>
        <w:t>Securities for which there is a reporting obligation pursuant to Section 15(d) of the Act.</w:t>
      </w:r>
    </w:p>
    <w:p>
      <w:pPr>
        <w:spacing w:after="0" w:line="136" w:lineRule="exact"/>
        <w:rPr>
          <w:sz w:val="24"/>
          <w:szCs w:val="24"/>
          <w:color w:val="auto"/>
        </w:rPr>
      </w:pPr>
    </w:p>
    <w:p>
      <w:pPr>
        <w:jc w:val="center"/>
        <w:ind w:right="939"/>
        <w:spacing w:after="0"/>
        <w:rPr>
          <w:sz w:val="20"/>
          <w:szCs w:val="20"/>
          <w:color w:val="auto"/>
        </w:rPr>
      </w:pPr>
      <w:r>
        <w:rPr>
          <w:rFonts w:ascii="Arial" w:cs="Arial" w:eastAsia="Arial" w:hAnsi="Arial"/>
          <w:sz w:val="17"/>
          <w:szCs w:val="17"/>
          <w:u w:val="single" w:color="auto"/>
          <w:color w:val="auto"/>
        </w:rPr>
        <w:t>None</w:t>
      </w:r>
    </w:p>
    <w:p>
      <w:pPr>
        <w:sectPr>
          <w:pgSz w:w="11900" w:h="16846" w:orient="portrait"/>
          <w:cols w:equalWidth="0" w:num="1">
            <w:col w:w="10099"/>
          </w:cols>
          <w:pgMar w:left="360" w:top="1433" w:right="1440" w:bottom="0" w:gutter="0" w:footer="0" w:header="0"/>
        </w:sectPr>
      </w:pPr>
    </w:p>
    <w:bookmarkStart w:id="1" w:name="page2"/>
    <w:bookmarkEnd w:id="1"/>
    <w:p>
      <w:pPr>
        <w:ind w:left="3080"/>
        <w:spacing w:after="0"/>
        <w:rPr>
          <w:sz w:val="20"/>
          <w:szCs w:val="20"/>
          <w:color w:val="auto"/>
        </w:rPr>
      </w:pPr>
      <w:r>
        <w:rPr>
          <w:rFonts w:ascii="Arial" w:cs="Arial" w:eastAsia="Arial" w:hAnsi="Arial"/>
          <w:sz w:val="13"/>
          <w:szCs w:val="13"/>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1014730</wp:posOffset>
            </wp:positionV>
            <wp:extent cx="5824855" cy="57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4855" cy="5778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194310</wp:posOffset>
            </wp:positionV>
            <wp:extent cx="1470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308610</wp:posOffset>
            </wp:positionV>
            <wp:extent cx="3238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16510"/>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333375</wp:posOffset>
            </wp:positionV>
            <wp:extent cx="3238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16510"/>
                    </a:xfrm>
                    <a:prstGeom prst="rect">
                      <a:avLst/>
                    </a:prstGeom>
                    <a:noFill/>
                  </pic:spPr>
                </pic:pic>
              </a:graphicData>
            </a:graphic>
          </wp:anchor>
        </w:drawing>
      </w:r>
    </w:p>
    <w:p>
      <w:pPr>
        <w:sectPr>
          <w:pgSz w:w="11900" w:h="16838" w:orient="portrait"/>
          <w:cols w:equalWidth="0" w:num="1">
            <w:col w:w="9019"/>
          </w:cols>
          <w:pgMar w:left="1440" w:top="198"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78" w:lineRule="auto"/>
        <w:rPr>
          <w:sz w:val="20"/>
          <w:szCs w:val="20"/>
          <w:color w:val="auto"/>
        </w:rPr>
      </w:pPr>
      <w:r>
        <w:rPr>
          <w:rFonts w:ascii="Arial" w:cs="Arial" w:eastAsia="Arial" w:hAnsi="Arial"/>
          <w:sz w:val="17"/>
          <w:szCs w:val="17"/>
          <w:color w:val="auto"/>
        </w:rPr>
        <w:t>Indicate the number of outstanding shares of each of the issuer’s classes of capital or common stock as of the close of the period covered by the annual report. N/A</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 No</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x</w:t>
      </w:r>
    </w:p>
    <w:p>
      <w:pPr>
        <w:spacing w:after="0" w:line="102" w:lineRule="exact"/>
        <w:rPr>
          <w:sz w:val="20"/>
          <w:szCs w:val="20"/>
          <w:color w:val="auto"/>
        </w:rPr>
      </w:pPr>
    </w:p>
    <w:p>
      <w:pPr>
        <w:ind w:left="60" w:right="1159" w:firstLine="257"/>
        <w:spacing w:after="0" w:line="278"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15(d) of the Securities Exchange Act of 1934. N/A Yes o No o</w:t>
      </w:r>
    </w:p>
    <w:p>
      <w:pPr>
        <w:spacing w:after="0" w:line="62" w:lineRule="exact"/>
        <w:rPr>
          <w:sz w:val="20"/>
          <w:szCs w:val="20"/>
          <w:color w:val="auto"/>
        </w:rPr>
      </w:pPr>
    </w:p>
    <w:p>
      <w:pPr>
        <w:ind w:left="60" w:right="1279" w:firstLine="257"/>
        <w:spacing w:after="0" w:line="278" w:lineRule="auto"/>
        <w:rPr>
          <w:sz w:val="20"/>
          <w:szCs w:val="20"/>
          <w:color w:val="auto"/>
        </w:rPr>
      </w:pPr>
      <w:r>
        <w:rPr>
          <w:rFonts w:ascii="Arial" w:cs="Arial" w:eastAsia="Arial" w:hAnsi="Arial"/>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62" w:lineRule="exact"/>
        <w:rPr>
          <w:sz w:val="20"/>
          <w:szCs w:val="20"/>
          <w:color w:val="auto"/>
        </w:rPr>
      </w:pPr>
    </w:p>
    <w:p>
      <w:pPr>
        <w:ind w:left="60" w:right="1099" w:firstLine="257"/>
        <w:spacing w:after="0" w:line="26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73" w:lineRule="exact"/>
        <w:rPr>
          <w:sz w:val="20"/>
          <w:szCs w:val="20"/>
          <w:color w:val="auto"/>
        </w:rPr>
      </w:pPr>
    </w:p>
    <w:p>
      <w:pPr>
        <w:ind w:left="60" w:right="1079" w:firstLine="257"/>
        <w:spacing w:after="0" w:line="317"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7" w:lineRule="exact"/>
        <w:rPr>
          <w:sz w:val="20"/>
          <w:szCs w:val="20"/>
          <w:color w:val="auto"/>
        </w:rPr>
      </w:pPr>
    </w:p>
    <w:p>
      <w:pPr>
        <w:ind w:left="60" w:right="1339" w:firstLine="257"/>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4492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pacing w:after="0"/>
        <w:tabs>
          <w:tab w:leader="none" w:pos="2440" w:val="left"/>
          <w:tab w:leader="none" w:pos="480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5"/>
          <w:szCs w:val="15"/>
          <w:color w:val="auto"/>
        </w:rPr>
        <w:t>Non-accelerated filer x</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45250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25010" cy="825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U.S. GAAP 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International Financial Reporting Standards as issued by the International Accounting Standards Board x</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Other o</w:t>
      </w:r>
    </w:p>
    <w:p>
      <w:pPr>
        <w:spacing w:after="0" w:line="322" w:lineRule="exact"/>
        <w:rPr>
          <w:sz w:val="20"/>
          <w:szCs w:val="20"/>
          <w:color w:val="auto"/>
        </w:rPr>
      </w:pPr>
    </w:p>
    <w:p>
      <w:pPr>
        <w:sectPr>
          <w:pgSz w:w="11900" w:h="16838" w:orient="portrait"/>
          <w:cols w:equalWidth="0" w:num="3">
            <w:col w:w="940" w:space="620"/>
            <w:col w:w="3880" w:space="280"/>
            <w:col w:w="4379"/>
          </w:cols>
          <w:pgMar w:left="360" w:top="760" w:right="1440" w:bottom="1440" w:gutter="0" w:footer="0" w:header="0"/>
          <w:type w:val="continuous"/>
        </w:sectPr>
      </w:pPr>
    </w:p>
    <w:p>
      <w:pPr>
        <w:ind w:left="60" w:right="1259" w:firstLine="257"/>
        <w:spacing w:after="0" w:line="278" w:lineRule="auto"/>
        <w:rPr>
          <w:sz w:val="20"/>
          <w:szCs w:val="20"/>
          <w:color w:val="auto"/>
        </w:rPr>
      </w:pPr>
      <w:r>
        <w:rPr>
          <w:rFonts w:ascii="Arial" w:cs="Arial" w:eastAsia="Arial" w:hAnsi="Arial"/>
          <w:sz w:val="17"/>
          <w:szCs w:val="17"/>
          <w:color w:val="auto"/>
        </w:rPr>
        <w:t>If “Other” has been checked in response to the previous question, indicate by check mark which financial statement item the registrant has elected to follow. N/A o Item 17 o Item 18</w:t>
      </w:r>
    </w:p>
    <w:p>
      <w:pPr>
        <w:spacing w:after="0" w:line="62" w:lineRule="exact"/>
        <w:rPr>
          <w:sz w:val="20"/>
          <w:szCs w:val="20"/>
          <w:color w:val="auto"/>
        </w:rPr>
      </w:pPr>
    </w:p>
    <w:p>
      <w:pPr>
        <w:ind w:left="60" w:right="1319" w:firstLine="257"/>
        <w:spacing w:after="0" w:line="278" w:lineRule="auto"/>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 N/A Yes o No o</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(APPLICABLE ONLY TO ISSUERS INVOLVED IN BANKRUPTCY PROCEEDINGS DURING THE PAST FIVE YEARS)</w:t>
      </w:r>
    </w:p>
    <w:p>
      <w:pPr>
        <w:spacing w:after="0" w:line="125" w:lineRule="exact"/>
        <w:rPr>
          <w:sz w:val="20"/>
          <w:szCs w:val="20"/>
          <w:color w:val="auto"/>
        </w:rPr>
      </w:pPr>
    </w:p>
    <w:p>
      <w:pPr>
        <w:ind w:left="60" w:right="1239" w:firstLine="257"/>
        <w:spacing w:after="0" w:line="265" w:lineRule="auto"/>
        <w:rPr>
          <w:sz w:val="20"/>
          <w:szCs w:val="20"/>
          <w:color w:val="auto"/>
        </w:rPr>
      </w:pPr>
      <w:r>
        <w:rPr>
          <w:rFonts w:ascii="Arial" w:cs="Arial" w:eastAsia="Arial" w:hAnsi="Arial"/>
          <w:sz w:val="17"/>
          <w:szCs w:val="17"/>
          <w:color w:val="auto"/>
        </w:rPr>
        <w:t>Indicate by check mark whether the registrant has filed all documents and reports required to be filed by Sections 12, 13 or 15(d) of the Securities Exchange Act of 1934 subsequent to the distribution of securities under a plan confirmed by a court. N/A Yes o No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408940</wp:posOffset>
            </wp:positionV>
            <wp:extent cx="5824855" cy="5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33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331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Page</w:t>
            </w:r>
          </w:p>
        </w:tc>
        <w:tc>
          <w:tcPr>
            <w:tcW w:w="120" w:type="dxa"/>
            <w:vAlign w:val="bottom"/>
          </w:tcPr>
          <w:p>
            <w:pPr>
              <w:spacing w:after="0"/>
              <w:rPr>
                <w:sz w:val="15"/>
                <w:szCs w:val="15"/>
                <w:color w:val="auto"/>
              </w:rPr>
            </w:pPr>
          </w:p>
        </w:tc>
      </w:tr>
      <w:tr>
        <w:trPr>
          <w:trHeight w:val="179"/>
        </w:trPr>
        <w:tc>
          <w:tcPr>
            <w:tcW w:w="7260" w:type="dxa"/>
            <w:vAlign w:val="bottom"/>
            <w:gridSpan w:val="25"/>
            <w:shd w:val="clear" w:color="auto" w:fill="CCFFCC"/>
          </w:tcPr>
          <w:p>
            <w:pPr>
              <w:spacing w:after="0" w:line="160" w:lineRule="exact"/>
              <w:rPr>
                <w:sz w:val="20"/>
                <w:szCs w:val="20"/>
                <w:color w:val="auto"/>
              </w:rPr>
            </w:pPr>
            <w:r>
              <w:rPr>
                <w:rFonts w:ascii="Arial" w:cs="Arial" w:eastAsia="Arial" w:hAnsi="Arial"/>
                <w:sz w:val="17"/>
                <w:szCs w:val="17"/>
                <w:color w:val="0000EE"/>
              </w:rPr>
              <w:t>FORWARD-LOOKING STATEMENTS</w:t>
            </w:r>
          </w:p>
        </w:tc>
        <w:tc>
          <w:tcPr>
            <w:tcW w:w="1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jc w:val="right"/>
              <w:spacing w:after="0" w:line="160" w:lineRule="exact"/>
              <w:rPr>
                <w:sz w:val="20"/>
                <w:szCs w:val="20"/>
                <w:color w:val="auto"/>
              </w:rPr>
            </w:pPr>
            <w:r>
              <w:rPr>
                <w:rFonts w:ascii="Arial" w:cs="Arial" w:eastAsia="Arial" w:hAnsi="Arial"/>
                <w:sz w:val="17"/>
                <w:szCs w:val="17"/>
                <w:color w:val="0000EE"/>
              </w:rPr>
              <w:t>ii</w:t>
            </w:r>
          </w:p>
        </w:tc>
        <w:tc>
          <w:tcPr>
            <w:tcW w:w="120" w:type="dxa"/>
            <w:vAlign w:val="bottom"/>
            <w:tcBorders>
              <w:left w:val="single" w:sz="8" w:color="CCFFCC"/>
            </w:tcBorders>
          </w:tcPr>
          <w:p>
            <w:pPr>
              <w:spacing w:after="0"/>
              <w:rPr>
                <w:sz w:val="15"/>
                <w:szCs w:val="15"/>
                <w:color w:val="auto"/>
              </w:rPr>
            </w:pPr>
          </w:p>
        </w:tc>
      </w:tr>
      <w:tr>
        <w:trPr>
          <w:trHeight w:val="206"/>
        </w:trPr>
        <w:tc>
          <w:tcPr>
            <w:tcW w:w="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460" w:type="dxa"/>
            <w:vAlign w:val="bottom"/>
            <w:tcBorders>
              <w:top w:val="single" w:sz="8" w:color="CCFFCC"/>
            </w:tcBorders>
          </w:tcPr>
          <w:p>
            <w:pPr>
              <w:spacing w:after="0"/>
              <w:rPr>
                <w:sz w:val="17"/>
                <w:szCs w:val="17"/>
                <w:color w:val="auto"/>
              </w:rPr>
            </w:pPr>
          </w:p>
        </w:tc>
        <w:tc>
          <w:tcPr>
            <w:tcW w:w="3780" w:type="dxa"/>
            <w:vAlign w:val="bottom"/>
            <w:tcBorders>
              <w:top w:val="single" w:sz="8" w:color="CCFFCC"/>
            </w:tcBorders>
            <w:gridSpan w:val="9"/>
          </w:tcPr>
          <w:p>
            <w:pPr>
              <w:jc w:val="center"/>
              <w:ind w:right="2960"/>
              <w:spacing w:after="0"/>
              <w:rPr>
                <w:sz w:val="20"/>
                <w:szCs w:val="20"/>
                <w:color w:val="auto"/>
              </w:rPr>
            </w:pPr>
            <w:r>
              <w:rPr>
                <w:rFonts w:ascii="Arial" w:cs="Arial" w:eastAsia="Arial" w:hAnsi="Arial"/>
                <w:sz w:val="17"/>
                <w:szCs w:val="17"/>
                <w:color w:val="auto"/>
                <w:w w:val="91"/>
              </w:rPr>
              <w:t>PART I</w:t>
            </w:r>
          </w:p>
        </w:tc>
        <w:tc>
          <w:tcPr>
            <w:tcW w:w="18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167"/>
        </w:trPr>
        <w:tc>
          <w:tcPr>
            <w:tcW w:w="180" w:type="dxa"/>
            <w:vAlign w:val="bottom"/>
            <w:shd w:val="clear" w:color="auto" w:fill="CCFFCC"/>
          </w:tcPr>
          <w:p>
            <w:pPr>
              <w:spacing w:after="0"/>
              <w:rPr>
                <w:sz w:val="14"/>
                <w:szCs w:val="14"/>
                <w:color w:val="auto"/>
              </w:rPr>
            </w:pPr>
          </w:p>
        </w:tc>
        <w:tc>
          <w:tcPr>
            <w:tcW w:w="880" w:type="dxa"/>
            <w:vAlign w:val="bottom"/>
            <w:tcBorders>
              <w:right w:val="single" w:sz="8" w:color="CCFFCC"/>
            </w:tcBorders>
            <w:gridSpan w:val="4"/>
            <w:shd w:val="clear" w:color="auto" w:fill="CCFFCC"/>
          </w:tcPr>
          <w:p>
            <w:pPr>
              <w:spacing w:after="0" w:line="167" w:lineRule="exact"/>
              <w:rPr>
                <w:sz w:val="20"/>
                <w:szCs w:val="20"/>
                <w:color w:val="auto"/>
              </w:rPr>
            </w:pPr>
            <w:r>
              <w:rPr>
                <w:rFonts w:ascii="Arial" w:cs="Arial" w:eastAsia="Arial" w:hAnsi="Arial"/>
                <w:sz w:val="17"/>
                <w:szCs w:val="17"/>
                <w:color w:val="0000EE"/>
              </w:rPr>
              <w:t>ITEM 1.</w:t>
            </w:r>
          </w:p>
        </w:tc>
        <w:tc>
          <w:tcPr>
            <w:tcW w:w="6200" w:type="dxa"/>
            <w:vAlign w:val="bottom"/>
            <w:gridSpan w:val="20"/>
            <w:shd w:val="clear" w:color="auto" w:fill="CCFFCC"/>
          </w:tcPr>
          <w:p>
            <w:pPr>
              <w:spacing w:after="0" w:line="167" w:lineRule="exact"/>
              <w:rPr>
                <w:sz w:val="20"/>
                <w:szCs w:val="20"/>
                <w:color w:val="auto"/>
              </w:rPr>
            </w:pPr>
            <w:r>
              <w:rPr>
                <w:rFonts w:ascii="Arial" w:cs="Arial" w:eastAsia="Arial" w:hAnsi="Arial"/>
                <w:sz w:val="17"/>
                <w:szCs w:val="17"/>
                <w:color w:val="0000EE"/>
              </w:rPr>
              <w:t>Identity of Directors, Senior Management and Advisers</w:t>
            </w:r>
          </w:p>
        </w:tc>
        <w:tc>
          <w:tcPr>
            <w:tcW w:w="440" w:type="dxa"/>
            <w:vAlign w:val="bottom"/>
            <w:gridSpan w:val="4"/>
            <w:shd w:val="clear" w:color="auto" w:fill="CCFFCC"/>
          </w:tcPr>
          <w:p>
            <w:pPr>
              <w:jc w:val="right"/>
              <w:spacing w:after="0" w:line="167" w:lineRule="exact"/>
              <w:rPr>
                <w:sz w:val="20"/>
                <w:szCs w:val="20"/>
                <w:color w:val="auto"/>
              </w:rPr>
            </w:pPr>
            <w:r>
              <w:rPr>
                <w:rFonts w:ascii="Arial" w:cs="Arial" w:eastAsia="Arial" w:hAnsi="Arial"/>
                <w:sz w:val="17"/>
                <w:szCs w:val="17"/>
                <w:color w:val="0000EE"/>
              </w:rPr>
              <w:t>1</w:t>
            </w:r>
          </w:p>
        </w:tc>
        <w:tc>
          <w:tcPr>
            <w:tcW w:w="120" w:type="dxa"/>
            <w:vAlign w:val="bottom"/>
            <w:tcBorders>
              <w:left w:val="single" w:sz="8" w:color="CCFFCC"/>
            </w:tcBorders>
          </w:tcPr>
          <w:p>
            <w:pPr>
              <w:spacing w:after="0"/>
              <w:rPr>
                <w:sz w:val="14"/>
                <w:szCs w:val="14"/>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880" w:type="dxa"/>
            <w:vAlign w:val="bottom"/>
            <w:gridSpan w:val="4"/>
          </w:tcPr>
          <w:p>
            <w:pPr>
              <w:spacing w:after="0" w:line="167" w:lineRule="exact"/>
              <w:rPr>
                <w:sz w:val="20"/>
                <w:szCs w:val="20"/>
                <w:color w:val="auto"/>
              </w:rPr>
            </w:pPr>
            <w:r>
              <w:rPr>
                <w:rFonts w:ascii="Arial" w:cs="Arial" w:eastAsia="Arial" w:hAnsi="Arial"/>
                <w:sz w:val="17"/>
                <w:szCs w:val="17"/>
                <w:color w:val="0000EE"/>
              </w:rPr>
              <w:t>ITEM 2.</w:t>
            </w: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Offer Statistics And Expected Timetable</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tcBorders>
              <w:left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880" w:type="dxa"/>
            <w:vAlign w:val="bottom"/>
            <w:tcBorders>
              <w:right w:val="single" w:sz="8" w:color="CCFFCC"/>
            </w:tcBorders>
            <w:gridSpan w:val="4"/>
            <w:shd w:val="clear" w:color="auto" w:fill="CCFFCC"/>
          </w:tcPr>
          <w:p>
            <w:pPr>
              <w:spacing w:after="0" w:line="176" w:lineRule="exact"/>
              <w:rPr>
                <w:sz w:val="20"/>
                <w:szCs w:val="20"/>
                <w:color w:val="auto"/>
              </w:rPr>
            </w:pPr>
            <w:r>
              <w:rPr>
                <w:rFonts w:ascii="Arial" w:cs="Arial" w:eastAsia="Arial" w:hAnsi="Arial"/>
                <w:sz w:val="17"/>
                <w:szCs w:val="17"/>
                <w:color w:val="0000EE"/>
              </w:rPr>
              <w:t>ITEM 3.</w:t>
            </w: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Key Information</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2</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40" w:type="dxa"/>
            <w:vAlign w:val="bottom"/>
            <w:tcBorders>
              <w:left w:val="single" w:sz="8" w:color="CCFFCC"/>
            </w:tcBorders>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880" w:type="dxa"/>
            <w:vAlign w:val="bottom"/>
            <w:gridSpan w:val="4"/>
          </w:tcPr>
          <w:p>
            <w:pPr>
              <w:spacing w:after="0" w:line="167" w:lineRule="exact"/>
              <w:rPr>
                <w:sz w:val="20"/>
                <w:szCs w:val="20"/>
                <w:color w:val="auto"/>
              </w:rPr>
            </w:pPr>
            <w:r>
              <w:rPr>
                <w:rFonts w:ascii="Arial" w:cs="Arial" w:eastAsia="Arial" w:hAnsi="Arial"/>
                <w:sz w:val="17"/>
                <w:szCs w:val="17"/>
                <w:color w:val="0000EE"/>
              </w:rPr>
              <w:t>ITEM 4.</w:t>
            </w: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Information on the Company</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28</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880" w:type="dxa"/>
            <w:vAlign w:val="bottom"/>
            <w:tcBorders>
              <w:right w:val="single" w:sz="8" w:color="CCFFCC"/>
            </w:tcBorders>
            <w:gridSpan w:val="4"/>
            <w:shd w:val="clear" w:color="auto" w:fill="CCFFCC"/>
          </w:tcPr>
          <w:p>
            <w:pPr>
              <w:spacing w:after="0" w:line="176" w:lineRule="exact"/>
              <w:rPr>
                <w:sz w:val="20"/>
                <w:szCs w:val="20"/>
                <w:color w:val="auto"/>
              </w:rPr>
            </w:pPr>
            <w:r>
              <w:rPr>
                <w:rFonts w:ascii="Arial" w:cs="Arial" w:eastAsia="Arial" w:hAnsi="Arial"/>
                <w:sz w:val="17"/>
                <w:szCs w:val="17"/>
                <w:color w:val="0000EE"/>
              </w:rPr>
              <w:t>ITEM 5.</w:t>
            </w: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Operating and Financial Review and Prospects</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68</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880" w:type="dxa"/>
            <w:vAlign w:val="bottom"/>
            <w:gridSpan w:val="4"/>
          </w:tcPr>
          <w:p>
            <w:pPr>
              <w:spacing w:after="0" w:line="167" w:lineRule="exact"/>
              <w:rPr>
                <w:sz w:val="20"/>
                <w:szCs w:val="20"/>
                <w:color w:val="auto"/>
              </w:rPr>
            </w:pPr>
            <w:r>
              <w:rPr>
                <w:rFonts w:ascii="Arial" w:cs="Arial" w:eastAsia="Arial" w:hAnsi="Arial"/>
                <w:sz w:val="17"/>
                <w:szCs w:val="17"/>
                <w:color w:val="0000EE"/>
              </w:rPr>
              <w:t>ITEM 6.</w:t>
            </w: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Directors, Senior Management and Employees</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82</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880" w:type="dxa"/>
            <w:vAlign w:val="bottom"/>
            <w:tcBorders>
              <w:right w:val="single" w:sz="8" w:color="CCFFCC"/>
            </w:tcBorders>
            <w:gridSpan w:val="4"/>
            <w:shd w:val="clear" w:color="auto" w:fill="CCFFCC"/>
          </w:tcPr>
          <w:p>
            <w:pPr>
              <w:spacing w:after="0" w:line="176" w:lineRule="exact"/>
              <w:rPr>
                <w:sz w:val="20"/>
                <w:szCs w:val="20"/>
                <w:color w:val="auto"/>
              </w:rPr>
            </w:pPr>
            <w:r>
              <w:rPr>
                <w:rFonts w:ascii="Arial" w:cs="Arial" w:eastAsia="Arial" w:hAnsi="Arial"/>
                <w:sz w:val="17"/>
                <w:szCs w:val="17"/>
                <w:color w:val="0000EE"/>
              </w:rPr>
              <w:t>ITEM 7.</w:t>
            </w: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Major Shareholders and Related Party Transactions</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105</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880" w:type="dxa"/>
            <w:vAlign w:val="bottom"/>
            <w:gridSpan w:val="4"/>
          </w:tcPr>
          <w:p>
            <w:pPr>
              <w:spacing w:after="0" w:line="167" w:lineRule="exact"/>
              <w:rPr>
                <w:sz w:val="20"/>
                <w:szCs w:val="20"/>
                <w:color w:val="auto"/>
              </w:rPr>
            </w:pPr>
            <w:r>
              <w:rPr>
                <w:rFonts w:ascii="Arial" w:cs="Arial" w:eastAsia="Arial" w:hAnsi="Arial"/>
                <w:sz w:val="17"/>
                <w:szCs w:val="17"/>
                <w:color w:val="0000EE"/>
              </w:rPr>
              <w:t>ITEM 8.</w:t>
            </w: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Financial Information</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108</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880" w:type="dxa"/>
            <w:vAlign w:val="bottom"/>
            <w:tcBorders>
              <w:right w:val="single" w:sz="8" w:color="CCFFCC"/>
            </w:tcBorders>
            <w:gridSpan w:val="4"/>
            <w:shd w:val="clear" w:color="auto" w:fill="CCFFCC"/>
          </w:tcPr>
          <w:p>
            <w:pPr>
              <w:spacing w:after="0" w:line="176" w:lineRule="exact"/>
              <w:rPr>
                <w:sz w:val="20"/>
                <w:szCs w:val="20"/>
                <w:color w:val="auto"/>
              </w:rPr>
            </w:pPr>
            <w:r>
              <w:rPr>
                <w:rFonts w:ascii="Arial" w:cs="Arial" w:eastAsia="Arial" w:hAnsi="Arial"/>
                <w:sz w:val="17"/>
                <w:szCs w:val="17"/>
                <w:color w:val="0000EE"/>
              </w:rPr>
              <w:t>ITEM 9.</w:t>
            </w: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The Offer and Listing</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109</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40" w:type="dxa"/>
            <w:vAlign w:val="bottom"/>
            <w:tcBorders>
              <w:left w:val="single" w:sz="8" w:color="CCFFCC"/>
            </w:tcBorders>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680" w:type="dxa"/>
            <w:vAlign w:val="bottom"/>
            <w:gridSpan w:val="2"/>
          </w:tcPr>
          <w:p>
            <w:pPr>
              <w:spacing w:after="0" w:line="167" w:lineRule="exact"/>
              <w:rPr>
                <w:sz w:val="20"/>
                <w:szCs w:val="20"/>
                <w:color w:val="auto"/>
              </w:rPr>
            </w:pPr>
            <w:r>
              <w:rPr>
                <w:rFonts w:ascii="Arial" w:cs="Arial" w:eastAsia="Arial" w:hAnsi="Arial"/>
                <w:sz w:val="17"/>
                <w:szCs w:val="17"/>
                <w:color w:val="0000EE"/>
                <w:w w:val="92"/>
              </w:rPr>
              <w:t>ITEM 10.</w:t>
            </w:r>
          </w:p>
        </w:tc>
        <w:tc>
          <w:tcPr>
            <w:tcW w:w="200" w:type="dxa"/>
            <w:vAlign w:val="bottom"/>
            <w:gridSpan w:val="2"/>
          </w:tcPr>
          <w:p>
            <w:pPr>
              <w:spacing w:after="0"/>
              <w:rPr>
                <w:sz w:val="14"/>
                <w:szCs w:val="14"/>
                <w:color w:val="auto"/>
              </w:rPr>
            </w:pP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Additional Information</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110</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gridSpan w:val="2"/>
            <w:shd w:val="clear" w:color="auto" w:fill="CCFFCC"/>
          </w:tcPr>
          <w:p>
            <w:pPr>
              <w:spacing w:after="0" w:line="176" w:lineRule="exact"/>
              <w:rPr>
                <w:sz w:val="20"/>
                <w:szCs w:val="20"/>
                <w:color w:val="auto"/>
              </w:rPr>
            </w:pPr>
            <w:r>
              <w:rPr>
                <w:rFonts w:ascii="Arial" w:cs="Arial" w:eastAsia="Arial" w:hAnsi="Arial"/>
                <w:sz w:val="17"/>
                <w:szCs w:val="17"/>
                <w:color w:val="0000EE"/>
                <w:w w:val="92"/>
              </w:rPr>
              <w:t>ITEM 11.</w:t>
            </w:r>
          </w:p>
        </w:tc>
        <w:tc>
          <w:tcPr>
            <w:tcW w:w="200" w:type="dxa"/>
            <w:vAlign w:val="bottom"/>
            <w:tcBorders>
              <w:right w:val="single" w:sz="8" w:color="CCFFCC"/>
            </w:tcBorders>
            <w:gridSpan w:val="2"/>
            <w:shd w:val="clear" w:color="auto" w:fill="CCFFCC"/>
          </w:tcPr>
          <w:p>
            <w:pPr>
              <w:spacing w:after="0"/>
              <w:rPr>
                <w:sz w:val="15"/>
                <w:szCs w:val="15"/>
                <w:color w:val="auto"/>
              </w:rPr>
            </w:pP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Quantitative And Qualitative Disclosure on Market Risk</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126</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CCFFCC"/>
            </w:tcBorders>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77"/>
        </w:trPr>
        <w:tc>
          <w:tcPr>
            <w:tcW w:w="180" w:type="dxa"/>
            <w:vAlign w:val="bottom"/>
          </w:tcPr>
          <w:p>
            <w:pPr>
              <w:spacing w:after="0"/>
              <w:rPr>
                <w:sz w:val="15"/>
                <w:szCs w:val="15"/>
                <w:color w:val="auto"/>
              </w:rPr>
            </w:pPr>
          </w:p>
        </w:tc>
        <w:tc>
          <w:tcPr>
            <w:tcW w:w="680" w:type="dxa"/>
            <w:vAlign w:val="bottom"/>
            <w:gridSpan w:val="2"/>
          </w:tcPr>
          <w:p>
            <w:pPr>
              <w:spacing w:after="0" w:line="167" w:lineRule="exact"/>
              <w:rPr>
                <w:sz w:val="20"/>
                <w:szCs w:val="20"/>
                <w:color w:val="auto"/>
              </w:rPr>
            </w:pPr>
            <w:r>
              <w:rPr>
                <w:rFonts w:ascii="Arial" w:cs="Arial" w:eastAsia="Arial" w:hAnsi="Arial"/>
                <w:sz w:val="17"/>
                <w:szCs w:val="17"/>
                <w:color w:val="0000EE"/>
                <w:w w:val="92"/>
              </w:rPr>
              <w:t>ITEM 12.</w:t>
            </w:r>
          </w:p>
        </w:tc>
        <w:tc>
          <w:tcPr>
            <w:tcW w:w="200" w:type="dxa"/>
            <w:vAlign w:val="bottom"/>
            <w:gridSpan w:val="2"/>
          </w:tcPr>
          <w:p>
            <w:pPr>
              <w:spacing w:after="0"/>
              <w:rPr>
                <w:sz w:val="15"/>
                <w:szCs w:val="15"/>
                <w:color w:val="auto"/>
              </w:rPr>
            </w:pP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Description of Securities Other Than Equity Securities</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127</w:t>
            </w:r>
          </w:p>
        </w:tc>
        <w:tc>
          <w:tcPr>
            <w:tcW w:w="120" w:type="dxa"/>
            <w:vAlign w:val="bottom"/>
          </w:tcPr>
          <w:p>
            <w:pPr>
              <w:spacing w:after="0"/>
              <w:rPr>
                <w:sz w:val="15"/>
                <w:szCs w:val="15"/>
                <w:color w:val="auto"/>
              </w:rPr>
            </w:pPr>
          </w:p>
        </w:tc>
      </w:tr>
      <w:tr>
        <w:trPr>
          <w:trHeight w:val="215"/>
        </w:trPr>
        <w:tc>
          <w:tcPr>
            <w:tcW w:w="180" w:type="dxa"/>
            <w:vAlign w:val="bottom"/>
            <w:shd w:val="clear" w:color="auto" w:fill="CCFFCC"/>
          </w:tcPr>
          <w:p>
            <w:pPr>
              <w:spacing w:after="0"/>
              <w:rPr>
                <w:sz w:val="18"/>
                <w:szCs w:val="18"/>
                <w:color w:val="auto"/>
              </w:rPr>
            </w:pPr>
          </w:p>
        </w:tc>
        <w:tc>
          <w:tcPr>
            <w:tcW w:w="580" w:type="dxa"/>
            <w:vAlign w:val="bottom"/>
            <w:tcBorders>
              <w:top w:val="single" w:sz="8" w:color="0000EE"/>
            </w:tcBorders>
            <w:shd w:val="clear" w:color="auto" w:fill="CCFFCC"/>
          </w:tcPr>
          <w:p>
            <w:pPr>
              <w:spacing w:after="0"/>
              <w:rPr>
                <w:sz w:val="18"/>
                <w:szCs w:val="18"/>
                <w:color w:val="auto"/>
              </w:rPr>
            </w:pPr>
          </w:p>
        </w:tc>
        <w:tc>
          <w:tcPr>
            <w:tcW w:w="100" w:type="dxa"/>
            <w:vAlign w:val="bottom"/>
            <w:tcBorders>
              <w:top w:val="single" w:sz="8" w:color="0000EE"/>
              <w:right w:val="single" w:sz="8" w:color="CCFFCC"/>
            </w:tcBorders>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100" w:type="dxa"/>
            <w:vAlign w:val="bottom"/>
            <w:tcBorders>
              <w:left w:val="single" w:sz="8" w:color="CCFFCC"/>
              <w:right w:val="single" w:sz="8" w:color="CCFFCC"/>
            </w:tcBorders>
            <w:shd w:val="clear" w:color="auto" w:fill="CCFFCC"/>
          </w:tcPr>
          <w:p>
            <w:pPr>
              <w:spacing w:after="0"/>
              <w:rPr>
                <w:sz w:val="18"/>
                <w:szCs w:val="18"/>
                <w:color w:val="auto"/>
              </w:rPr>
            </w:pPr>
          </w:p>
        </w:tc>
        <w:tc>
          <w:tcPr>
            <w:tcW w:w="540" w:type="dxa"/>
            <w:vAlign w:val="bottom"/>
            <w:tcBorders>
              <w:top w:val="single" w:sz="8" w:color="0000EE"/>
            </w:tcBorders>
            <w:shd w:val="clear" w:color="auto" w:fill="CCFFCC"/>
          </w:tcPr>
          <w:p>
            <w:pPr>
              <w:spacing w:after="0"/>
              <w:rPr>
                <w:sz w:val="18"/>
                <w:szCs w:val="18"/>
                <w:color w:val="auto"/>
              </w:rPr>
            </w:pPr>
          </w:p>
        </w:tc>
        <w:tc>
          <w:tcPr>
            <w:tcW w:w="180" w:type="dxa"/>
            <w:vAlign w:val="bottom"/>
            <w:tcBorders>
              <w:top w:val="single" w:sz="8" w:color="0000EE"/>
            </w:tcBorders>
            <w:shd w:val="clear" w:color="auto" w:fill="CCFFCC"/>
          </w:tcPr>
          <w:p>
            <w:pPr>
              <w:spacing w:after="0"/>
              <w:rPr>
                <w:sz w:val="18"/>
                <w:szCs w:val="18"/>
                <w:color w:val="auto"/>
              </w:rPr>
            </w:pPr>
          </w:p>
        </w:tc>
        <w:tc>
          <w:tcPr>
            <w:tcW w:w="280" w:type="dxa"/>
            <w:vAlign w:val="bottom"/>
            <w:tcBorders>
              <w:top w:val="single" w:sz="8" w:color="0000EE"/>
            </w:tcBorders>
            <w:shd w:val="clear" w:color="auto" w:fill="CCFFCC"/>
          </w:tcPr>
          <w:p>
            <w:pPr>
              <w:spacing w:after="0"/>
              <w:rPr>
                <w:sz w:val="18"/>
                <w:szCs w:val="18"/>
                <w:color w:val="auto"/>
              </w:rPr>
            </w:pPr>
          </w:p>
        </w:tc>
        <w:tc>
          <w:tcPr>
            <w:tcW w:w="120" w:type="dxa"/>
            <w:vAlign w:val="bottom"/>
            <w:tcBorders>
              <w:top w:val="single" w:sz="8" w:color="0000EE"/>
            </w:tcBorders>
            <w:shd w:val="clear" w:color="auto" w:fill="CCFFCC"/>
          </w:tcPr>
          <w:p>
            <w:pPr>
              <w:spacing w:after="0"/>
              <w:rPr>
                <w:sz w:val="18"/>
                <w:szCs w:val="18"/>
                <w:color w:val="auto"/>
              </w:rPr>
            </w:pPr>
          </w:p>
        </w:tc>
        <w:tc>
          <w:tcPr>
            <w:tcW w:w="280" w:type="dxa"/>
            <w:vAlign w:val="bottom"/>
            <w:tcBorders>
              <w:top w:val="single" w:sz="8" w:color="0000EE"/>
            </w:tcBorders>
            <w:shd w:val="clear" w:color="auto" w:fill="CCFFCC"/>
          </w:tcPr>
          <w:p>
            <w:pPr>
              <w:spacing w:after="0"/>
              <w:rPr>
                <w:sz w:val="18"/>
                <w:szCs w:val="18"/>
                <w:color w:val="auto"/>
              </w:rPr>
            </w:pPr>
          </w:p>
        </w:tc>
        <w:tc>
          <w:tcPr>
            <w:tcW w:w="80" w:type="dxa"/>
            <w:vAlign w:val="bottom"/>
            <w:tcBorders>
              <w:top w:val="single" w:sz="8" w:color="0000EE"/>
              <w:left w:val="single" w:sz="8" w:color="CCFFCC"/>
            </w:tcBorders>
            <w:shd w:val="clear" w:color="auto" w:fill="CCFFCC"/>
          </w:tcPr>
          <w:p>
            <w:pPr>
              <w:spacing w:after="0"/>
              <w:rPr>
                <w:sz w:val="18"/>
                <w:szCs w:val="18"/>
                <w:color w:val="auto"/>
              </w:rPr>
            </w:pPr>
          </w:p>
        </w:tc>
        <w:tc>
          <w:tcPr>
            <w:tcW w:w="80" w:type="dxa"/>
            <w:vAlign w:val="bottom"/>
            <w:tcBorders>
              <w:top w:val="single" w:sz="8" w:color="0000EE"/>
              <w:right w:val="single" w:sz="8" w:color="CCFFCC"/>
            </w:tcBorders>
            <w:shd w:val="clear" w:color="auto" w:fill="CCFFCC"/>
          </w:tcPr>
          <w:p>
            <w:pPr>
              <w:spacing w:after="0"/>
              <w:rPr>
                <w:sz w:val="18"/>
                <w:szCs w:val="18"/>
                <w:color w:val="auto"/>
              </w:rPr>
            </w:pPr>
          </w:p>
        </w:tc>
        <w:tc>
          <w:tcPr>
            <w:tcW w:w="100" w:type="dxa"/>
            <w:vAlign w:val="bottom"/>
            <w:tcBorders>
              <w:top w:val="single" w:sz="8" w:color="0000EE"/>
            </w:tcBorders>
            <w:shd w:val="clear" w:color="auto" w:fill="CCFFCC"/>
          </w:tcPr>
          <w:p>
            <w:pPr>
              <w:spacing w:after="0"/>
              <w:rPr>
                <w:sz w:val="18"/>
                <w:szCs w:val="18"/>
                <w:color w:val="auto"/>
              </w:rPr>
            </w:pPr>
          </w:p>
        </w:tc>
        <w:tc>
          <w:tcPr>
            <w:tcW w:w="80" w:type="dxa"/>
            <w:vAlign w:val="bottom"/>
            <w:tcBorders>
              <w:top w:val="single" w:sz="8" w:color="0000EE"/>
            </w:tcBorders>
            <w:shd w:val="clear" w:color="auto" w:fill="CCFFCC"/>
          </w:tcPr>
          <w:p>
            <w:pPr>
              <w:spacing w:after="0"/>
              <w:rPr>
                <w:sz w:val="18"/>
                <w:szCs w:val="18"/>
                <w:color w:val="auto"/>
              </w:rPr>
            </w:pPr>
          </w:p>
        </w:tc>
        <w:tc>
          <w:tcPr>
            <w:tcW w:w="220" w:type="dxa"/>
            <w:vAlign w:val="bottom"/>
            <w:tcBorders>
              <w:top w:val="single" w:sz="8" w:color="0000EE"/>
            </w:tcBorders>
            <w:shd w:val="clear" w:color="auto" w:fill="CCFFCC"/>
          </w:tcPr>
          <w:p>
            <w:pPr>
              <w:spacing w:after="0"/>
              <w:rPr>
                <w:sz w:val="18"/>
                <w:szCs w:val="18"/>
                <w:color w:val="auto"/>
              </w:rPr>
            </w:pPr>
          </w:p>
        </w:tc>
        <w:tc>
          <w:tcPr>
            <w:tcW w:w="460" w:type="dxa"/>
            <w:vAlign w:val="bottom"/>
            <w:tcBorders>
              <w:top w:val="single" w:sz="8" w:color="0000EE"/>
            </w:tcBorders>
            <w:shd w:val="clear" w:color="auto" w:fill="CCFFCC"/>
          </w:tcPr>
          <w:p>
            <w:pPr>
              <w:spacing w:after="0"/>
              <w:rPr>
                <w:sz w:val="18"/>
                <w:szCs w:val="18"/>
                <w:color w:val="auto"/>
              </w:rPr>
            </w:pPr>
          </w:p>
        </w:tc>
        <w:tc>
          <w:tcPr>
            <w:tcW w:w="1420" w:type="dxa"/>
            <w:vAlign w:val="bottom"/>
            <w:tcBorders>
              <w:top w:val="single" w:sz="8" w:color="0000EE"/>
              <w:right w:val="single" w:sz="8" w:color="CCFFCC"/>
            </w:tcBorders>
            <w:gridSpan w:val="5"/>
            <w:shd w:val="clear" w:color="auto" w:fill="CCFFCC"/>
          </w:tcPr>
          <w:p>
            <w:pPr>
              <w:jc w:val="center"/>
              <w:ind w:right="600"/>
              <w:spacing w:after="0"/>
              <w:rPr>
                <w:sz w:val="20"/>
                <w:szCs w:val="20"/>
                <w:color w:val="auto"/>
              </w:rPr>
            </w:pPr>
            <w:r>
              <w:rPr>
                <w:rFonts w:ascii="Arial" w:cs="Arial" w:eastAsia="Arial" w:hAnsi="Arial"/>
                <w:sz w:val="17"/>
                <w:szCs w:val="17"/>
                <w:color w:val="auto"/>
                <w:w w:val="97"/>
              </w:rPr>
              <w:t>PART II</w:t>
            </w:r>
          </w:p>
        </w:tc>
        <w:tc>
          <w:tcPr>
            <w:tcW w:w="2360" w:type="dxa"/>
            <w:vAlign w:val="bottom"/>
            <w:gridSpan w:val="4"/>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0000EE"/>
            </w:tcBorders>
            <w:shd w:val="clear" w:color="auto" w:fill="CCFFCC"/>
          </w:tcPr>
          <w:p>
            <w:pPr>
              <w:spacing w:after="0"/>
              <w:rPr>
                <w:sz w:val="18"/>
                <w:szCs w:val="18"/>
                <w:color w:val="auto"/>
              </w:rPr>
            </w:pPr>
          </w:p>
        </w:tc>
        <w:tc>
          <w:tcPr>
            <w:tcW w:w="80" w:type="dxa"/>
            <w:vAlign w:val="bottom"/>
            <w:tcBorders>
              <w:top w:val="single" w:sz="8" w:color="0000EE"/>
            </w:tcBorders>
            <w:shd w:val="clear" w:color="auto" w:fill="CCFFCC"/>
          </w:tcPr>
          <w:p>
            <w:pPr>
              <w:spacing w:after="0"/>
              <w:rPr>
                <w:sz w:val="18"/>
                <w:szCs w:val="18"/>
                <w:color w:val="auto"/>
              </w:rPr>
            </w:pPr>
          </w:p>
        </w:tc>
        <w:tc>
          <w:tcPr>
            <w:tcW w:w="100" w:type="dxa"/>
            <w:vAlign w:val="bottom"/>
            <w:tcBorders>
              <w:top w:val="single" w:sz="8" w:color="0000EE"/>
            </w:tcBorders>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r>
      <w:tr>
        <w:trPr>
          <w:trHeight w:val="167"/>
        </w:trPr>
        <w:tc>
          <w:tcPr>
            <w:tcW w:w="180" w:type="dxa"/>
            <w:vAlign w:val="bottom"/>
          </w:tcPr>
          <w:p>
            <w:pPr>
              <w:spacing w:after="0"/>
              <w:rPr>
                <w:sz w:val="14"/>
                <w:szCs w:val="14"/>
                <w:color w:val="auto"/>
              </w:rPr>
            </w:pPr>
          </w:p>
        </w:tc>
        <w:tc>
          <w:tcPr>
            <w:tcW w:w="680" w:type="dxa"/>
            <w:vAlign w:val="bottom"/>
            <w:gridSpan w:val="2"/>
          </w:tcPr>
          <w:p>
            <w:pPr>
              <w:spacing w:after="0" w:line="167" w:lineRule="exact"/>
              <w:rPr>
                <w:sz w:val="20"/>
                <w:szCs w:val="20"/>
                <w:color w:val="auto"/>
              </w:rPr>
            </w:pPr>
            <w:r>
              <w:rPr>
                <w:rFonts w:ascii="Arial" w:cs="Arial" w:eastAsia="Arial" w:hAnsi="Arial"/>
                <w:sz w:val="17"/>
                <w:szCs w:val="17"/>
                <w:color w:val="0000EE"/>
                <w:w w:val="92"/>
              </w:rPr>
              <w:t>ITEM 13.</w:t>
            </w:r>
          </w:p>
        </w:tc>
        <w:tc>
          <w:tcPr>
            <w:tcW w:w="200" w:type="dxa"/>
            <w:vAlign w:val="bottom"/>
            <w:gridSpan w:val="2"/>
          </w:tcPr>
          <w:p>
            <w:pPr>
              <w:spacing w:after="0"/>
              <w:rPr>
                <w:sz w:val="14"/>
                <w:szCs w:val="14"/>
                <w:color w:val="auto"/>
              </w:rPr>
            </w:pPr>
          </w:p>
        </w:tc>
        <w:tc>
          <w:tcPr>
            <w:tcW w:w="2660" w:type="dxa"/>
            <w:vAlign w:val="bottom"/>
            <w:gridSpan w:val="12"/>
          </w:tcPr>
          <w:p>
            <w:pPr>
              <w:spacing w:after="0" w:line="167" w:lineRule="exact"/>
              <w:rPr>
                <w:sz w:val="20"/>
                <w:szCs w:val="20"/>
                <w:color w:val="auto"/>
              </w:rPr>
            </w:pPr>
            <w:r>
              <w:rPr>
                <w:rFonts w:ascii="Arial" w:cs="Arial" w:eastAsia="Arial" w:hAnsi="Arial"/>
                <w:sz w:val="17"/>
                <w:szCs w:val="17"/>
                <w:color w:val="0000EE"/>
                <w:w w:val="90"/>
              </w:rPr>
              <w:t>Defaults, Dividends and Delinquencies</w:t>
            </w:r>
          </w:p>
        </w:tc>
        <w:tc>
          <w:tcPr>
            <w:tcW w:w="3540" w:type="dxa"/>
            <w:vAlign w:val="bottom"/>
            <w:gridSpan w:val="8"/>
          </w:tcPr>
          <w:p>
            <w:pPr>
              <w:spacing w:after="0"/>
              <w:rPr>
                <w:sz w:val="14"/>
                <w:szCs w:val="14"/>
                <w:color w:val="auto"/>
              </w:rPr>
            </w:pP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129</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gridSpan w:val="2"/>
            <w:shd w:val="clear" w:color="auto" w:fill="CCFFCC"/>
          </w:tcPr>
          <w:p>
            <w:pPr>
              <w:spacing w:after="0" w:line="176" w:lineRule="exact"/>
              <w:rPr>
                <w:sz w:val="20"/>
                <w:szCs w:val="20"/>
                <w:color w:val="auto"/>
              </w:rPr>
            </w:pPr>
            <w:r>
              <w:rPr>
                <w:rFonts w:ascii="Arial" w:cs="Arial" w:eastAsia="Arial" w:hAnsi="Arial"/>
                <w:sz w:val="17"/>
                <w:szCs w:val="17"/>
                <w:color w:val="0000EE"/>
                <w:w w:val="92"/>
              </w:rPr>
              <w:t>ITEM 14.</w:t>
            </w:r>
          </w:p>
        </w:tc>
        <w:tc>
          <w:tcPr>
            <w:tcW w:w="200" w:type="dxa"/>
            <w:vAlign w:val="bottom"/>
            <w:tcBorders>
              <w:right w:val="single" w:sz="8" w:color="CCFFCC"/>
            </w:tcBorders>
            <w:gridSpan w:val="2"/>
            <w:shd w:val="clear" w:color="auto" w:fill="CCFFCC"/>
          </w:tcPr>
          <w:p>
            <w:pPr>
              <w:spacing w:after="0"/>
              <w:rPr>
                <w:sz w:val="15"/>
                <w:szCs w:val="15"/>
                <w:color w:val="auto"/>
              </w:rPr>
            </w:pP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Material Modifications to the Rights of Security Holders and Use of Proceeds</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130</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680" w:type="dxa"/>
            <w:vAlign w:val="bottom"/>
            <w:gridSpan w:val="2"/>
          </w:tcPr>
          <w:p>
            <w:pPr>
              <w:spacing w:after="0" w:line="167" w:lineRule="exact"/>
              <w:rPr>
                <w:sz w:val="20"/>
                <w:szCs w:val="20"/>
                <w:color w:val="auto"/>
              </w:rPr>
            </w:pPr>
            <w:r>
              <w:rPr>
                <w:rFonts w:ascii="Arial" w:cs="Arial" w:eastAsia="Arial" w:hAnsi="Arial"/>
                <w:sz w:val="17"/>
                <w:szCs w:val="17"/>
                <w:color w:val="0000EE"/>
                <w:w w:val="92"/>
              </w:rPr>
              <w:t>ITEM 15.</w:t>
            </w:r>
          </w:p>
        </w:tc>
        <w:tc>
          <w:tcPr>
            <w:tcW w:w="200" w:type="dxa"/>
            <w:vAlign w:val="bottom"/>
            <w:gridSpan w:val="2"/>
          </w:tcPr>
          <w:p>
            <w:pPr>
              <w:spacing w:after="0"/>
              <w:rPr>
                <w:sz w:val="14"/>
                <w:szCs w:val="14"/>
                <w:color w:val="auto"/>
              </w:rPr>
            </w:pPr>
          </w:p>
        </w:tc>
        <w:tc>
          <w:tcPr>
            <w:tcW w:w="1660" w:type="dxa"/>
            <w:vAlign w:val="bottom"/>
            <w:gridSpan w:val="8"/>
          </w:tcPr>
          <w:p>
            <w:pPr>
              <w:spacing w:after="0" w:line="167" w:lineRule="exact"/>
              <w:rPr>
                <w:sz w:val="20"/>
                <w:szCs w:val="20"/>
                <w:color w:val="auto"/>
              </w:rPr>
            </w:pPr>
            <w:r>
              <w:rPr>
                <w:rFonts w:ascii="Arial" w:cs="Arial" w:eastAsia="Arial" w:hAnsi="Arial"/>
                <w:sz w:val="17"/>
                <w:szCs w:val="17"/>
                <w:color w:val="0000EE"/>
                <w:w w:val="87"/>
              </w:rPr>
              <w:t>Controls and Procedures</w:t>
            </w:r>
          </w:p>
        </w:tc>
        <w:tc>
          <w:tcPr>
            <w:tcW w:w="3640" w:type="dxa"/>
            <w:vAlign w:val="bottom"/>
            <w:gridSpan w:val="11"/>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130</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gridSpan w:val="2"/>
            <w:shd w:val="clear" w:color="auto" w:fill="CCFFCC"/>
          </w:tcPr>
          <w:p>
            <w:pPr>
              <w:spacing w:after="0" w:line="176" w:lineRule="exact"/>
              <w:rPr>
                <w:sz w:val="20"/>
                <w:szCs w:val="20"/>
                <w:color w:val="auto"/>
              </w:rPr>
            </w:pPr>
            <w:r>
              <w:rPr>
                <w:rFonts w:ascii="Arial" w:cs="Arial" w:eastAsia="Arial" w:hAnsi="Arial"/>
                <w:sz w:val="17"/>
                <w:szCs w:val="17"/>
                <w:color w:val="0000EE"/>
                <w:w w:val="92"/>
              </w:rPr>
              <w:t>ITEM 16.</w:t>
            </w:r>
          </w:p>
        </w:tc>
        <w:tc>
          <w:tcPr>
            <w:tcW w:w="200" w:type="dxa"/>
            <w:vAlign w:val="bottom"/>
            <w:tcBorders>
              <w:right w:val="single" w:sz="8" w:color="CCFFCC"/>
            </w:tcBorders>
            <w:gridSpan w:val="2"/>
            <w:shd w:val="clear" w:color="auto" w:fill="CCFFCC"/>
          </w:tcPr>
          <w:p>
            <w:pPr>
              <w:spacing w:after="0"/>
              <w:rPr>
                <w:sz w:val="15"/>
                <w:szCs w:val="15"/>
                <w:color w:val="auto"/>
              </w:rPr>
            </w:pPr>
          </w:p>
        </w:tc>
        <w:tc>
          <w:tcPr>
            <w:tcW w:w="1660" w:type="dxa"/>
            <w:vAlign w:val="bottom"/>
            <w:gridSpan w:val="8"/>
            <w:shd w:val="clear" w:color="auto" w:fill="CCFFCC"/>
          </w:tcPr>
          <w:p>
            <w:pPr>
              <w:spacing w:after="0" w:line="176" w:lineRule="exact"/>
              <w:rPr>
                <w:sz w:val="20"/>
                <w:szCs w:val="20"/>
                <w:color w:val="auto"/>
              </w:rPr>
            </w:pPr>
            <w:r>
              <w:rPr>
                <w:rFonts w:ascii="Arial" w:cs="Arial" w:eastAsia="Arial" w:hAnsi="Arial"/>
                <w:sz w:val="17"/>
                <w:szCs w:val="17"/>
                <w:color w:val="0000EE"/>
              </w:rPr>
              <w:t>[Reserved]</w:t>
            </w:r>
          </w:p>
        </w:tc>
        <w:tc>
          <w:tcPr>
            <w:tcW w:w="4540" w:type="dxa"/>
            <w:vAlign w:val="bottom"/>
            <w:gridSpan w:val="12"/>
            <w:shd w:val="clear" w:color="auto" w:fill="CCFFCC"/>
          </w:tcPr>
          <w:p>
            <w:pPr>
              <w:spacing w:after="0"/>
              <w:rPr>
                <w:sz w:val="15"/>
                <w:szCs w:val="15"/>
                <w:color w:val="auto"/>
              </w:rPr>
            </w:pP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130</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40" w:type="dxa"/>
            <w:vAlign w:val="bottom"/>
            <w:tcBorders>
              <w:left w:val="single" w:sz="8" w:color="CCFFCC"/>
            </w:tcBorders>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780" w:type="dxa"/>
            <w:vAlign w:val="bottom"/>
            <w:gridSpan w:val="3"/>
          </w:tcPr>
          <w:p>
            <w:pPr>
              <w:spacing w:after="0" w:line="167" w:lineRule="exact"/>
              <w:rPr>
                <w:sz w:val="20"/>
                <w:szCs w:val="20"/>
                <w:color w:val="auto"/>
              </w:rPr>
            </w:pPr>
            <w:r>
              <w:rPr>
                <w:rFonts w:ascii="Arial" w:cs="Arial" w:eastAsia="Arial" w:hAnsi="Arial"/>
                <w:sz w:val="17"/>
                <w:szCs w:val="17"/>
                <w:color w:val="0000EE"/>
                <w:w w:val="92"/>
              </w:rPr>
              <w:t>ITEM 16A.</w:t>
            </w:r>
          </w:p>
        </w:tc>
        <w:tc>
          <w:tcPr>
            <w:tcW w:w="100" w:type="dxa"/>
            <w:vAlign w:val="bottom"/>
          </w:tcPr>
          <w:p>
            <w:pPr>
              <w:spacing w:after="0"/>
              <w:rPr>
                <w:sz w:val="14"/>
                <w:szCs w:val="14"/>
                <w:color w:val="auto"/>
              </w:rPr>
            </w:pPr>
          </w:p>
        </w:tc>
        <w:tc>
          <w:tcPr>
            <w:tcW w:w="2420" w:type="dxa"/>
            <w:vAlign w:val="bottom"/>
            <w:gridSpan w:val="11"/>
          </w:tcPr>
          <w:p>
            <w:pPr>
              <w:spacing w:after="0" w:line="167" w:lineRule="exact"/>
              <w:rPr>
                <w:sz w:val="20"/>
                <w:szCs w:val="20"/>
                <w:color w:val="auto"/>
              </w:rPr>
            </w:pPr>
            <w:r>
              <w:rPr>
                <w:rFonts w:ascii="Arial" w:cs="Arial" w:eastAsia="Arial" w:hAnsi="Arial"/>
                <w:sz w:val="17"/>
                <w:szCs w:val="17"/>
                <w:color w:val="0000EE"/>
                <w:w w:val="92"/>
              </w:rPr>
              <w:t>Audit Committee Financial Experts</w:t>
            </w:r>
          </w:p>
        </w:tc>
        <w:tc>
          <w:tcPr>
            <w:tcW w:w="3780" w:type="dxa"/>
            <w:vAlign w:val="bottom"/>
            <w:gridSpan w:val="9"/>
          </w:tcPr>
          <w:p>
            <w:pPr>
              <w:spacing w:after="0"/>
              <w:rPr>
                <w:sz w:val="14"/>
                <w:szCs w:val="14"/>
                <w:color w:val="auto"/>
              </w:rPr>
            </w:pP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130</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780" w:type="dxa"/>
            <w:vAlign w:val="bottom"/>
            <w:tcBorders>
              <w:right w:val="single" w:sz="8" w:color="CCFFCC"/>
            </w:tcBorders>
            <w:gridSpan w:val="3"/>
            <w:shd w:val="clear" w:color="auto" w:fill="CCFFCC"/>
          </w:tcPr>
          <w:p>
            <w:pPr>
              <w:spacing w:after="0" w:line="176" w:lineRule="exact"/>
              <w:rPr>
                <w:sz w:val="20"/>
                <w:szCs w:val="20"/>
                <w:color w:val="auto"/>
              </w:rPr>
            </w:pPr>
            <w:r>
              <w:rPr>
                <w:rFonts w:ascii="Arial" w:cs="Arial" w:eastAsia="Arial" w:hAnsi="Arial"/>
                <w:sz w:val="17"/>
                <w:szCs w:val="17"/>
                <w:color w:val="0000EE"/>
                <w:w w:val="92"/>
              </w:rPr>
              <w:t>ITEM 16B.</w:t>
            </w:r>
          </w:p>
        </w:tc>
        <w:tc>
          <w:tcPr>
            <w:tcW w:w="100" w:type="dxa"/>
            <w:vAlign w:val="bottom"/>
            <w:tcBorders>
              <w:left w:val="single" w:sz="8" w:color="CCFFCC"/>
              <w:right w:val="single" w:sz="8" w:color="CCFFCC"/>
            </w:tcBorders>
            <w:shd w:val="clear" w:color="auto" w:fill="CCFFCC"/>
          </w:tcPr>
          <w:p>
            <w:pPr>
              <w:spacing w:after="0"/>
              <w:rPr>
                <w:sz w:val="15"/>
                <w:szCs w:val="15"/>
                <w:color w:val="auto"/>
              </w:rPr>
            </w:pPr>
          </w:p>
        </w:tc>
        <w:tc>
          <w:tcPr>
            <w:tcW w:w="2420" w:type="dxa"/>
            <w:vAlign w:val="bottom"/>
            <w:gridSpan w:val="11"/>
            <w:shd w:val="clear" w:color="auto" w:fill="CCFFCC"/>
          </w:tcPr>
          <w:p>
            <w:pPr>
              <w:spacing w:after="0" w:line="176" w:lineRule="exact"/>
              <w:rPr>
                <w:sz w:val="20"/>
                <w:szCs w:val="20"/>
                <w:color w:val="auto"/>
              </w:rPr>
            </w:pPr>
            <w:r>
              <w:rPr>
                <w:rFonts w:ascii="Arial" w:cs="Arial" w:eastAsia="Arial" w:hAnsi="Arial"/>
                <w:sz w:val="17"/>
                <w:szCs w:val="17"/>
                <w:color w:val="0000EE"/>
              </w:rPr>
              <w:t>Code of Ethics</w:t>
            </w:r>
          </w:p>
        </w:tc>
        <w:tc>
          <w:tcPr>
            <w:tcW w:w="3780" w:type="dxa"/>
            <w:vAlign w:val="bottom"/>
            <w:gridSpan w:val="9"/>
            <w:shd w:val="clear" w:color="auto" w:fill="CCFFCC"/>
          </w:tcPr>
          <w:p>
            <w:pPr>
              <w:spacing w:after="0"/>
              <w:rPr>
                <w:sz w:val="15"/>
                <w:szCs w:val="15"/>
                <w:color w:val="auto"/>
              </w:rPr>
            </w:pP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130</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40" w:type="dxa"/>
            <w:vAlign w:val="bottom"/>
            <w:tcBorders>
              <w:left w:val="single" w:sz="8" w:color="CCFFCC"/>
            </w:tcBorders>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880" w:type="dxa"/>
            <w:vAlign w:val="bottom"/>
            <w:gridSpan w:val="4"/>
          </w:tcPr>
          <w:p>
            <w:pPr>
              <w:spacing w:after="0" w:line="167" w:lineRule="exact"/>
              <w:rPr>
                <w:sz w:val="20"/>
                <w:szCs w:val="20"/>
                <w:color w:val="auto"/>
              </w:rPr>
            </w:pPr>
            <w:r>
              <w:rPr>
                <w:rFonts w:ascii="Arial" w:cs="Arial" w:eastAsia="Arial" w:hAnsi="Arial"/>
                <w:sz w:val="17"/>
                <w:szCs w:val="17"/>
                <w:color w:val="0000EE"/>
              </w:rPr>
              <w:t>ITEM 16C.</w:t>
            </w: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Principal Accountant Fees And Services</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130</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780" w:type="dxa"/>
            <w:vAlign w:val="bottom"/>
            <w:tcBorders>
              <w:right w:val="single" w:sz="8" w:color="CCFFCC"/>
            </w:tcBorders>
            <w:gridSpan w:val="3"/>
            <w:shd w:val="clear" w:color="auto" w:fill="CCFFCC"/>
          </w:tcPr>
          <w:p>
            <w:pPr>
              <w:spacing w:after="0" w:line="176" w:lineRule="exact"/>
              <w:rPr>
                <w:sz w:val="20"/>
                <w:szCs w:val="20"/>
                <w:color w:val="auto"/>
              </w:rPr>
            </w:pPr>
            <w:r>
              <w:rPr>
                <w:rFonts w:ascii="Arial" w:cs="Arial" w:eastAsia="Arial" w:hAnsi="Arial"/>
                <w:sz w:val="17"/>
                <w:szCs w:val="17"/>
                <w:color w:val="0000EE"/>
                <w:w w:val="91"/>
              </w:rPr>
              <w:t>ITEM 16D.</w:t>
            </w:r>
          </w:p>
        </w:tc>
        <w:tc>
          <w:tcPr>
            <w:tcW w:w="100" w:type="dxa"/>
            <w:vAlign w:val="bottom"/>
            <w:tcBorders>
              <w:left w:val="single" w:sz="8" w:color="CCFFCC"/>
              <w:right w:val="single" w:sz="8" w:color="CCFFCC"/>
            </w:tcBorders>
            <w:shd w:val="clear" w:color="auto" w:fill="CCFFCC"/>
          </w:tcPr>
          <w:p>
            <w:pPr>
              <w:spacing w:after="0"/>
              <w:rPr>
                <w:sz w:val="15"/>
                <w:szCs w:val="15"/>
                <w:color w:val="auto"/>
              </w:rPr>
            </w:pP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Exemptions From The Listing Standards For Audit Committees</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130</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340" w:type="dxa"/>
            <w:vAlign w:val="bottom"/>
            <w:tcBorders>
              <w:right w:val="single" w:sz="8" w:color="0000EE"/>
            </w:tcBorders>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780" w:type="dxa"/>
            <w:vAlign w:val="bottom"/>
            <w:gridSpan w:val="3"/>
          </w:tcPr>
          <w:p>
            <w:pPr>
              <w:spacing w:after="0" w:line="167" w:lineRule="exact"/>
              <w:rPr>
                <w:sz w:val="20"/>
                <w:szCs w:val="20"/>
                <w:color w:val="auto"/>
              </w:rPr>
            </w:pPr>
            <w:r>
              <w:rPr>
                <w:rFonts w:ascii="Arial" w:cs="Arial" w:eastAsia="Arial" w:hAnsi="Arial"/>
                <w:sz w:val="17"/>
                <w:szCs w:val="17"/>
                <w:color w:val="0000EE"/>
                <w:w w:val="92"/>
              </w:rPr>
              <w:t>ITEM 16E.</w:t>
            </w:r>
          </w:p>
        </w:tc>
        <w:tc>
          <w:tcPr>
            <w:tcW w:w="100" w:type="dxa"/>
            <w:vAlign w:val="bottom"/>
          </w:tcPr>
          <w:p>
            <w:pPr>
              <w:spacing w:after="0"/>
              <w:rPr>
                <w:sz w:val="14"/>
                <w:szCs w:val="14"/>
                <w:color w:val="auto"/>
              </w:rPr>
            </w:pPr>
          </w:p>
        </w:tc>
        <w:tc>
          <w:tcPr>
            <w:tcW w:w="4940" w:type="dxa"/>
            <w:vAlign w:val="bottom"/>
            <w:gridSpan w:val="18"/>
          </w:tcPr>
          <w:p>
            <w:pPr>
              <w:spacing w:after="0" w:line="167" w:lineRule="exact"/>
              <w:rPr>
                <w:sz w:val="20"/>
                <w:szCs w:val="20"/>
                <w:color w:val="auto"/>
              </w:rPr>
            </w:pPr>
            <w:r>
              <w:rPr>
                <w:rFonts w:ascii="Arial" w:cs="Arial" w:eastAsia="Arial" w:hAnsi="Arial"/>
                <w:sz w:val="17"/>
                <w:szCs w:val="17"/>
                <w:color w:val="0000EE"/>
                <w:w w:val="91"/>
              </w:rPr>
              <w:t>Purchases Of Equity Securities By The Issuer And Affiliated Purchasers</w:t>
            </w:r>
          </w:p>
        </w:tc>
        <w:tc>
          <w:tcPr>
            <w:tcW w:w="1260" w:type="dxa"/>
            <w:vAlign w:val="bottom"/>
            <w:gridSpan w:val="2"/>
          </w:tcPr>
          <w:p>
            <w:pPr>
              <w:spacing w:after="0"/>
              <w:rPr>
                <w:sz w:val="14"/>
                <w:szCs w:val="14"/>
                <w:color w:val="auto"/>
              </w:rPr>
            </w:pP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130</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780" w:type="dxa"/>
            <w:vAlign w:val="bottom"/>
            <w:tcBorders>
              <w:right w:val="single" w:sz="8" w:color="CCFFCC"/>
            </w:tcBorders>
            <w:gridSpan w:val="3"/>
            <w:shd w:val="clear" w:color="auto" w:fill="CCFFCC"/>
          </w:tcPr>
          <w:p>
            <w:pPr>
              <w:spacing w:after="0" w:line="176" w:lineRule="exact"/>
              <w:rPr>
                <w:sz w:val="20"/>
                <w:szCs w:val="20"/>
                <w:color w:val="auto"/>
              </w:rPr>
            </w:pPr>
            <w:r>
              <w:rPr>
                <w:rFonts w:ascii="Arial" w:cs="Arial" w:eastAsia="Arial" w:hAnsi="Arial"/>
                <w:sz w:val="17"/>
                <w:szCs w:val="17"/>
                <w:color w:val="0000EE"/>
                <w:w w:val="93"/>
              </w:rPr>
              <w:t>ITEM 16F.</w:t>
            </w:r>
          </w:p>
        </w:tc>
        <w:tc>
          <w:tcPr>
            <w:tcW w:w="100" w:type="dxa"/>
            <w:vAlign w:val="bottom"/>
            <w:tcBorders>
              <w:left w:val="single" w:sz="8" w:color="CCFFCC"/>
              <w:right w:val="single" w:sz="8" w:color="CCFFCC"/>
            </w:tcBorders>
            <w:shd w:val="clear" w:color="auto" w:fill="CCFFCC"/>
          </w:tcPr>
          <w:p>
            <w:pPr>
              <w:spacing w:after="0"/>
              <w:rPr>
                <w:sz w:val="15"/>
                <w:szCs w:val="15"/>
                <w:color w:val="auto"/>
              </w:rPr>
            </w:pPr>
          </w:p>
        </w:tc>
        <w:tc>
          <w:tcPr>
            <w:tcW w:w="3180" w:type="dxa"/>
            <w:vAlign w:val="bottom"/>
            <w:gridSpan w:val="14"/>
            <w:shd w:val="clear" w:color="auto" w:fill="CCFFCC"/>
          </w:tcPr>
          <w:p>
            <w:pPr>
              <w:spacing w:after="0" w:line="176" w:lineRule="exact"/>
              <w:rPr>
                <w:sz w:val="20"/>
                <w:szCs w:val="20"/>
                <w:color w:val="auto"/>
              </w:rPr>
            </w:pPr>
            <w:r>
              <w:rPr>
                <w:rFonts w:ascii="Arial" w:cs="Arial" w:eastAsia="Arial" w:hAnsi="Arial"/>
                <w:sz w:val="17"/>
                <w:szCs w:val="17"/>
                <w:color w:val="0000EE"/>
                <w:w w:val="90"/>
              </w:rPr>
              <w:t>Change in Registrations Certifying Accountant</w:t>
            </w:r>
          </w:p>
        </w:tc>
        <w:tc>
          <w:tcPr>
            <w:tcW w:w="1760" w:type="dxa"/>
            <w:vAlign w:val="bottom"/>
            <w:tcBorders>
              <w:left w:val="single" w:sz="8" w:color="CCFFCC"/>
            </w:tcBorders>
            <w:gridSpan w:val="4"/>
            <w:shd w:val="clear" w:color="auto" w:fill="CCFFCC"/>
          </w:tcPr>
          <w:p>
            <w:pPr>
              <w:spacing w:after="0"/>
              <w:rPr>
                <w:sz w:val="15"/>
                <w:szCs w:val="15"/>
                <w:color w:val="auto"/>
              </w:rPr>
            </w:pPr>
          </w:p>
        </w:tc>
        <w:tc>
          <w:tcPr>
            <w:tcW w:w="1260" w:type="dxa"/>
            <w:vAlign w:val="bottom"/>
            <w:gridSpan w:val="2"/>
            <w:shd w:val="clear" w:color="auto" w:fill="CCFFCC"/>
          </w:tcPr>
          <w:p>
            <w:pPr>
              <w:spacing w:after="0"/>
              <w:rPr>
                <w:sz w:val="15"/>
                <w:szCs w:val="15"/>
                <w:color w:val="auto"/>
              </w:rPr>
            </w:pP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130</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CCFFCC"/>
            </w:tcBorders>
            <w:shd w:val="clear" w:color="auto" w:fill="0000EE"/>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tcBorders>
              <w:left w:val="single" w:sz="8" w:color="0000EE"/>
            </w:tcBorders>
            <w:shd w:val="clear" w:color="auto" w:fill="0000EE"/>
          </w:tcPr>
          <w:p>
            <w:pPr>
              <w:spacing w:after="0"/>
              <w:rPr>
                <w:sz w:val="3"/>
                <w:szCs w:val="3"/>
                <w:color w:val="auto"/>
              </w:rPr>
            </w:pPr>
          </w:p>
        </w:tc>
        <w:tc>
          <w:tcPr>
            <w:tcW w:w="320" w:type="dxa"/>
            <w:vAlign w:val="bottom"/>
            <w:tcBorders>
              <w:left w:val="single" w:sz="8" w:color="0000EE"/>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77"/>
        </w:trPr>
        <w:tc>
          <w:tcPr>
            <w:tcW w:w="180" w:type="dxa"/>
            <w:vAlign w:val="bottom"/>
          </w:tcPr>
          <w:p>
            <w:pPr>
              <w:spacing w:after="0"/>
              <w:rPr>
                <w:sz w:val="15"/>
                <w:szCs w:val="15"/>
                <w:color w:val="auto"/>
              </w:rPr>
            </w:pPr>
          </w:p>
        </w:tc>
        <w:tc>
          <w:tcPr>
            <w:tcW w:w="880" w:type="dxa"/>
            <w:vAlign w:val="bottom"/>
            <w:gridSpan w:val="4"/>
          </w:tcPr>
          <w:p>
            <w:pPr>
              <w:spacing w:after="0" w:line="167" w:lineRule="exact"/>
              <w:rPr>
                <w:sz w:val="20"/>
                <w:szCs w:val="20"/>
                <w:color w:val="auto"/>
              </w:rPr>
            </w:pPr>
            <w:r>
              <w:rPr>
                <w:rFonts w:ascii="Arial" w:cs="Arial" w:eastAsia="Arial" w:hAnsi="Arial"/>
                <w:sz w:val="17"/>
                <w:szCs w:val="17"/>
                <w:color w:val="0000EE"/>
              </w:rPr>
              <w:t>ITEM 16G.</w:t>
            </w: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Corporate Governance</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130</w:t>
            </w:r>
          </w:p>
        </w:tc>
        <w:tc>
          <w:tcPr>
            <w:tcW w:w="120" w:type="dxa"/>
            <w:vAlign w:val="bottom"/>
          </w:tcPr>
          <w:p>
            <w:pPr>
              <w:spacing w:after="0"/>
              <w:rPr>
                <w:sz w:val="15"/>
                <w:szCs w:val="15"/>
                <w:color w:val="auto"/>
              </w:rPr>
            </w:pPr>
          </w:p>
        </w:tc>
      </w:tr>
      <w:tr>
        <w:trPr>
          <w:trHeight w:val="215"/>
        </w:trPr>
        <w:tc>
          <w:tcPr>
            <w:tcW w:w="180" w:type="dxa"/>
            <w:vAlign w:val="bottom"/>
            <w:shd w:val="clear" w:color="auto" w:fill="CCFFCC"/>
          </w:tcPr>
          <w:p>
            <w:pPr>
              <w:spacing w:after="0"/>
              <w:rPr>
                <w:sz w:val="18"/>
                <w:szCs w:val="18"/>
                <w:color w:val="auto"/>
              </w:rPr>
            </w:pPr>
          </w:p>
        </w:tc>
        <w:tc>
          <w:tcPr>
            <w:tcW w:w="580" w:type="dxa"/>
            <w:vAlign w:val="bottom"/>
            <w:tcBorders>
              <w:top w:val="single" w:sz="8" w:color="0000EE"/>
            </w:tcBorders>
            <w:shd w:val="clear" w:color="auto" w:fill="CCFFCC"/>
          </w:tcPr>
          <w:p>
            <w:pPr>
              <w:spacing w:after="0"/>
              <w:rPr>
                <w:sz w:val="18"/>
                <w:szCs w:val="18"/>
                <w:color w:val="auto"/>
              </w:rPr>
            </w:pPr>
          </w:p>
        </w:tc>
        <w:tc>
          <w:tcPr>
            <w:tcW w:w="100" w:type="dxa"/>
            <w:vAlign w:val="bottom"/>
            <w:tcBorders>
              <w:top w:val="single" w:sz="8" w:color="0000EE"/>
              <w:right w:val="single" w:sz="8" w:color="CCFFCC"/>
            </w:tcBorders>
            <w:shd w:val="clear" w:color="auto" w:fill="CCFFCC"/>
          </w:tcPr>
          <w:p>
            <w:pPr>
              <w:spacing w:after="0"/>
              <w:rPr>
                <w:sz w:val="18"/>
                <w:szCs w:val="18"/>
                <w:color w:val="auto"/>
              </w:rPr>
            </w:pPr>
          </w:p>
        </w:tc>
        <w:tc>
          <w:tcPr>
            <w:tcW w:w="100" w:type="dxa"/>
            <w:vAlign w:val="bottom"/>
            <w:tcBorders>
              <w:top w:val="single" w:sz="8" w:color="0000EE"/>
              <w:right w:val="single" w:sz="8" w:color="CCFFCC"/>
            </w:tcBorders>
            <w:shd w:val="clear" w:color="auto" w:fill="CCFFCC"/>
          </w:tcPr>
          <w:p>
            <w:pPr>
              <w:spacing w:after="0"/>
              <w:rPr>
                <w:sz w:val="18"/>
                <w:szCs w:val="18"/>
                <w:color w:val="auto"/>
              </w:rPr>
            </w:pPr>
          </w:p>
        </w:tc>
        <w:tc>
          <w:tcPr>
            <w:tcW w:w="100" w:type="dxa"/>
            <w:vAlign w:val="bottom"/>
            <w:tcBorders>
              <w:left w:val="single" w:sz="8" w:color="CCFFCC"/>
              <w:right w:val="single" w:sz="8" w:color="CCFFCC"/>
            </w:tcBorders>
            <w:shd w:val="clear" w:color="auto" w:fill="CCFFCC"/>
          </w:tcPr>
          <w:p>
            <w:pPr>
              <w:spacing w:after="0"/>
              <w:rPr>
                <w:sz w:val="18"/>
                <w:szCs w:val="18"/>
                <w:color w:val="auto"/>
              </w:rPr>
            </w:pPr>
          </w:p>
        </w:tc>
        <w:tc>
          <w:tcPr>
            <w:tcW w:w="540" w:type="dxa"/>
            <w:vAlign w:val="bottom"/>
            <w:tcBorders>
              <w:top w:val="single" w:sz="8" w:color="0000EE"/>
            </w:tcBorders>
            <w:shd w:val="clear" w:color="auto" w:fill="CCFFCC"/>
          </w:tcPr>
          <w:p>
            <w:pPr>
              <w:spacing w:after="0"/>
              <w:rPr>
                <w:sz w:val="18"/>
                <w:szCs w:val="18"/>
                <w:color w:val="auto"/>
              </w:rPr>
            </w:pPr>
          </w:p>
        </w:tc>
        <w:tc>
          <w:tcPr>
            <w:tcW w:w="180" w:type="dxa"/>
            <w:vAlign w:val="bottom"/>
            <w:tcBorders>
              <w:top w:val="single" w:sz="8" w:color="0000EE"/>
            </w:tcBorders>
            <w:shd w:val="clear" w:color="auto" w:fill="CCFFCC"/>
          </w:tcPr>
          <w:p>
            <w:pPr>
              <w:spacing w:after="0"/>
              <w:rPr>
                <w:sz w:val="18"/>
                <w:szCs w:val="18"/>
                <w:color w:val="auto"/>
              </w:rPr>
            </w:pPr>
          </w:p>
        </w:tc>
        <w:tc>
          <w:tcPr>
            <w:tcW w:w="280" w:type="dxa"/>
            <w:vAlign w:val="bottom"/>
            <w:tcBorders>
              <w:top w:val="single" w:sz="8" w:color="0000EE"/>
            </w:tcBorders>
            <w:shd w:val="clear" w:color="auto" w:fill="CCFFCC"/>
          </w:tcPr>
          <w:p>
            <w:pPr>
              <w:spacing w:after="0"/>
              <w:rPr>
                <w:sz w:val="18"/>
                <w:szCs w:val="18"/>
                <w:color w:val="auto"/>
              </w:rPr>
            </w:pPr>
          </w:p>
        </w:tc>
        <w:tc>
          <w:tcPr>
            <w:tcW w:w="120" w:type="dxa"/>
            <w:vAlign w:val="bottom"/>
            <w:tcBorders>
              <w:top w:val="single" w:sz="8" w:color="0000EE"/>
            </w:tcBorders>
            <w:shd w:val="clear" w:color="auto" w:fill="CCFFCC"/>
          </w:tcPr>
          <w:p>
            <w:pPr>
              <w:spacing w:after="0"/>
              <w:rPr>
                <w:sz w:val="18"/>
                <w:szCs w:val="18"/>
                <w:color w:val="auto"/>
              </w:rPr>
            </w:pPr>
          </w:p>
        </w:tc>
        <w:tc>
          <w:tcPr>
            <w:tcW w:w="280" w:type="dxa"/>
            <w:vAlign w:val="bottom"/>
            <w:tcBorders>
              <w:top w:val="single" w:sz="8" w:color="0000EE"/>
            </w:tcBorders>
            <w:shd w:val="clear" w:color="auto" w:fill="CCFFCC"/>
          </w:tcPr>
          <w:p>
            <w:pPr>
              <w:spacing w:after="0"/>
              <w:rPr>
                <w:sz w:val="18"/>
                <w:szCs w:val="18"/>
                <w:color w:val="auto"/>
              </w:rPr>
            </w:pPr>
          </w:p>
        </w:tc>
        <w:tc>
          <w:tcPr>
            <w:tcW w:w="80" w:type="dxa"/>
            <w:vAlign w:val="bottom"/>
            <w:tcBorders>
              <w:top w:val="single" w:sz="8" w:color="0000EE"/>
              <w:left w:val="single" w:sz="8" w:color="CCFFCC"/>
            </w:tcBorders>
            <w:shd w:val="clear" w:color="auto" w:fill="CCFFCC"/>
          </w:tcPr>
          <w:p>
            <w:pPr>
              <w:spacing w:after="0"/>
              <w:rPr>
                <w:sz w:val="18"/>
                <w:szCs w:val="18"/>
                <w:color w:val="auto"/>
              </w:rPr>
            </w:pPr>
          </w:p>
        </w:tc>
        <w:tc>
          <w:tcPr>
            <w:tcW w:w="80" w:type="dxa"/>
            <w:vAlign w:val="bottom"/>
            <w:tcBorders>
              <w:top w:val="single" w:sz="8" w:color="0000EE"/>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3780" w:type="dxa"/>
            <w:vAlign w:val="bottom"/>
            <w:gridSpan w:val="9"/>
            <w:shd w:val="clear" w:color="auto" w:fill="CCFFCC"/>
          </w:tcPr>
          <w:p>
            <w:pPr>
              <w:jc w:val="center"/>
              <w:ind w:right="2960"/>
              <w:spacing w:after="0"/>
              <w:rPr>
                <w:sz w:val="20"/>
                <w:szCs w:val="20"/>
                <w:color w:val="auto"/>
              </w:rPr>
            </w:pPr>
            <w:r>
              <w:rPr>
                <w:rFonts w:ascii="Arial" w:cs="Arial" w:eastAsia="Arial" w:hAnsi="Arial"/>
                <w:sz w:val="17"/>
                <w:szCs w:val="17"/>
                <w:color w:val="auto"/>
                <w:w w:val="96"/>
              </w:rPr>
              <w:t>PART III</w:t>
            </w:r>
          </w:p>
        </w:tc>
        <w:tc>
          <w:tcPr>
            <w:tcW w:w="180" w:type="dxa"/>
            <w:vAlign w:val="bottom"/>
            <w:shd w:val="clear" w:color="auto" w:fill="CCFFCC"/>
          </w:tcPr>
          <w:p>
            <w:pPr>
              <w:spacing w:after="0"/>
              <w:rPr>
                <w:sz w:val="18"/>
                <w:szCs w:val="18"/>
                <w:color w:val="auto"/>
              </w:rPr>
            </w:pPr>
          </w:p>
        </w:tc>
        <w:tc>
          <w:tcPr>
            <w:tcW w:w="80" w:type="dxa"/>
            <w:vAlign w:val="bottom"/>
            <w:tcBorders>
              <w:top w:val="single" w:sz="8" w:color="0000EE"/>
            </w:tcBorders>
            <w:shd w:val="clear" w:color="auto" w:fill="CCFFCC"/>
          </w:tcPr>
          <w:p>
            <w:pPr>
              <w:spacing w:after="0"/>
              <w:rPr>
                <w:sz w:val="18"/>
                <w:szCs w:val="18"/>
                <w:color w:val="auto"/>
              </w:rPr>
            </w:pPr>
          </w:p>
        </w:tc>
        <w:tc>
          <w:tcPr>
            <w:tcW w:w="80" w:type="dxa"/>
            <w:vAlign w:val="bottom"/>
            <w:tcBorders>
              <w:top w:val="single" w:sz="8" w:color="0000EE"/>
            </w:tcBorders>
            <w:shd w:val="clear" w:color="auto" w:fill="CCFFCC"/>
          </w:tcPr>
          <w:p>
            <w:pPr>
              <w:spacing w:after="0"/>
              <w:rPr>
                <w:sz w:val="18"/>
                <w:szCs w:val="18"/>
                <w:color w:val="auto"/>
              </w:rPr>
            </w:pPr>
          </w:p>
        </w:tc>
        <w:tc>
          <w:tcPr>
            <w:tcW w:w="100" w:type="dxa"/>
            <w:vAlign w:val="bottom"/>
            <w:tcBorders>
              <w:top w:val="single" w:sz="8" w:color="0000EE"/>
            </w:tcBorders>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r>
      <w:tr>
        <w:trPr>
          <w:trHeight w:val="167"/>
        </w:trPr>
        <w:tc>
          <w:tcPr>
            <w:tcW w:w="180" w:type="dxa"/>
            <w:vAlign w:val="bottom"/>
          </w:tcPr>
          <w:p>
            <w:pPr>
              <w:spacing w:after="0"/>
              <w:rPr>
                <w:sz w:val="14"/>
                <w:szCs w:val="14"/>
                <w:color w:val="auto"/>
              </w:rPr>
            </w:pPr>
          </w:p>
        </w:tc>
        <w:tc>
          <w:tcPr>
            <w:tcW w:w="680" w:type="dxa"/>
            <w:vAlign w:val="bottom"/>
            <w:gridSpan w:val="2"/>
          </w:tcPr>
          <w:p>
            <w:pPr>
              <w:spacing w:after="0" w:line="167" w:lineRule="exact"/>
              <w:rPr>
                <w:sz w:val="20"/>
                <w:szCs w:val="20"/>
                <w:color w:val="auto"/>
              </w:rPr>
            </w:pPr>
            <w:r>
              <w:rPr>
                <w:rFonts w:ascii="Arial" w:cs="Arial" w:eastAsia="Arial" w:hAnsi="Arial"/>
                <w:sz w:val="17"/>
                <w:szCs w:val="17"/>
                <w:color w:val="0000EE"/>
                <w:w w:val="92"/>
              </w:rPr>
              <w:t>ITEM 17.</w:t>
            </w:r>
          </w:p>
        </w:tc>
        <w:tc>
          <w:tcPr>
            <w:tcW w:w="200" w:type="dxa"/>
            <w:vAlign w:val="bottom"/>
            <w:gridSpan w:val="2"/>
          </w:tcPr>
          <w:p>
            <w:pPr>
              <w:spacing w:after="0"/>
              <w:rPr>
                <w:sz w:val="14"/>
                <w:szCs w:val="14"/>
                <w:color w:val="auto"/>
              </w:rPr>
            </w:pPr>
          </w:p>
        </w:tc>
        <w:tc>
          <w:tcPr>
            <w:tcW w:w="6200" w:type="dxa"/>
            <w:vAlign w:val="bottom"/>
            <w:gridSpan w:val="20"/>
          </w:tcPr>
          <w:p>
            <w:pPr>
              <w:spacing w:after="0" w:line="167" w:lineRule="exact"/>
              <w:rPr>
                <w:sz w:val="20"/>
                <w:szCs w:val="20"/>
                <w:color w:val="auto"/>
              </w:rPr>
            </w:pPr>
            <w:r>
              <w:rPr>
                <w:rFonts w:ascii="Arial" w:cs="Arial" w:eastAsia="Arial" w:hAnsi="Arial"/>
                <w:sz w:val="17"/>
                <w:szCs w:val="17"/>
                <w:color w:val="0000EE"/>
              </w:rPr>
              <w:t>Financial Statements</w:t>
            </w: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130</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680" w:type="dxa"/>
            <w:vAlign w:val="bottom"/>
            <w:tcBorders>
              <w:right w:val="single" w:sz="8" w:color="CCFFCC"/>
            </w:tcBorders>
            <w:gridSpan w:val="2"/>
            <w:shd w:val="clear" w:color="auto" w:fill="CCFFCC"/>
          </w:tcPr>
          <w:p>
            <w:pPr>
              <w:spacing w:after="0" w:line="176" w:lineRule="exact"/>
              <w:rPr>
                <w:sz w:val="20"/>
                <w:szCs w:val="20"/>
                <w:color w:val="auto"/>
              </w:rPr>
            </w:pPr>
            <w:r>
              <w:rPr>
                <w:rFonts w:ascii="Arial" w:cs="Arial" w:eastAsia="Arial" w:hAnsi="Arial"/>
                <w:sz w:val="17"/>
                <w:szCs w:val="17"/>
                <w:color w:val="0000EE"/>
                <w:w w:val="92"/>
              </w:rPr>
              <w:t>ITEM 18.</w:t>
            </w:r>
          </w:p>
        </w:tc>
        <w:tc>
          <w:tcPr>
            <w:tcW w:w="200" w:type="dxa"/>
            <w:vAlign w:val="bottom"/>
            <w:tcBorders>
              <w:right w:val="single" w:sz="8" w:color="CCFFCC"/>
            </w:tcBorders>
            <w:gridSpan w:val="2"/>
            <w:shd w:val="clear" w:color="auto" w:fill="CCFFCC"/>
          </w:tcPr>
          <w:p>
            <w:pPr>
              <w:spacing w:after="0"/>
              <w:rPr>
                <w:sz w:val="15"/>
                <w:szCs w:val="15"/>
                <w:color w:val="auto"/>
              </w:rPr>
            </w:pPr>
          </w:p>
        </w:tc>
        <w:tc>
          <w:tcPr>
            <w:tcW w:w="6200" w:type="dxa"/>
            <w:vAlign w:val="bottom"/>
            <w:gridSpan w:val="20"/>
            <w:shd w:val="clear" w:color="auto" w:fill="CCFFCC"/>
          </w:tcPr>
          <w:p>
            <w:pPr>
              <w:spacing w:after="0" w:line="176" w:lineRule="exact"/>
              <w:rPr>
                <w:sz w:val="20"/>
                <w:szCs w:val="20"/>
                <w:color w:val="auto"/>
              </w:rPr>
            </w:pPr>
            <w:r>
              <w:rPr>
                <w:rFonts w:ascii="Arial" w:cs="Arial" w:eastAsia="Arial" w:hAnsi="Arial"/>
                <w:sz w:val="17"/>
                <w:szCs w:val="17"/>
                <w:color w:val="0000EE"/>
              </w:rPr>
              <w:t>Financial Statements</w:t>
            </w: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131</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CCFFCC"/>
            </w:tcBorders>
            <w:shd w:val="clear" w:color="auto" w:fill="CCFFCC"/>
          </w:tcPr>
          <w:p>
            <w:pPr>
              <w:spacing w:after="0"/>
              <w:rPr>
                <w:sz w:val="3"/>
                <w:szCs w:val="3"/>
                <w:color w:val="auto"/>
              </w:rPr>
            </w:pPr>
          </w:p>
        </w:tc>
        <w:tc>
          <w:tcPr>
            <w:tcW w:w="100" w:type="dxa"/>
            <w:vAlign w:val="bottom"/>
            <w:tcBorders>
              <w:left w:val="single" w:sz="8" w:color="CCFFCC"/>
              <w:right w:val="single" w:sz="8" w:color="0000EE"/>
            </w:tcBorders>
            <w:shd w:val="clear" w:color="auto" w:fill="CCFFCC"/>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40" w:type="dxa"/>
            <w:vAlign w:val="bottom"/>
            <w:tcBorders>
              <w:left w:val="single" w:sz="8" w:color="CCFFCC"/>
            </w:tcBorders>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680" w:type="dxa"/>
            <w:vAlign w:val="bottom"/>
            <w:gridSpan w:val="2"/>
          </w:tcPr>
          <w:p>
            <w:pPr>
              <w:spacing w:after="0" w:line="167" w:lineRule="exact"/>
              <w:rPr>
                <w:sz w:val="20"/>
                <w:szCs w:val="20"/>
                <w:color w:val="auto"/>
              </w:rPr>
            </w:pPr>
            <w:r>
              <w:rPr>
                <w:rFonts w:ascii="Arial" w:cs="Arial" w:eastAsia="Arial" w:hAnsi="Arial"/>
                <w:sz w:val="17"/>
                <w:szCs w:val="17"/>
                <w:color w:val="0000EE"/>
                <w:w w:val="92"/>
              </w:rPr>
              <w:t>ITEM 19.</w:t>
            </w:r>
          </w:p>
        </w:tc>
        <w:tc>
          <w:tcPr>
            <w:tcW w:w="200" w:type="dxa"/>
            <w:vAlign w:val="bottom"/>
            <w:gridSpan w:val="2"/>
          </w:tcPr>
          <w:p>
            <w:pPr>
              <w:spacing w:after="0"/>
              <w:rPr>
                <w:sz w:val="14"/>
                <w:szCs w:val="14"/>
                <w:color w:val="auto"/>
              </w:rPr>
            </w:pPr>
          </w:p>
        </w:tc>
        <w:tc>
          <w:tcPr>
            <w:tcW w:w="1400" w:type="dxa"/>
            <w:vAlign w:val="bottom"/>
            <w:gridSpan w:val="5"/>
          </w:tcPr>
          <w:p>
            <w:pPr>
              <w:spacing w:after="0" w:line="167" w:lineRule="exact"/>
              <w:rPr>
                <w:sz w:val="20"/>
                <w:szCs w:val="20"/>
                <w:color w:val="auto"/>
              </w:rPr>
            </w:pPr>
            <w:r>
              <w:rPr>
                <w:rFonts w:ascii="Arial" w:cs="Arial" w:eastAsia="Arial" w:hAnsi="Arial"/>
                <w:sz w:val="17"/>
                <w:szCs w:val="17"/>
                <w:color w:val="0000EE"/>
              </w:rPr>
              <w:t>Exhibits</w:t>
            </w:r>
          </w:p>
        </w:tc>
        <w:tc>
          <w:tcPr>
            <w:tcW w:w="4800" w:type="dxa"/>
            <w:vAlign w:val="bottom"/>
            <w:gridSpan w:val="15"/>
          </w:tcPr>
          <w:p>
            <w:pPr>
              <w:spacing w:after="0"/>
              <w:rPr>
                <w:sz w:val="14"/>
                <w:szCs w:val="14"/>
                <w:color w:val="auto"/>
              </w:rPr>
            </w:pPr>
          </w:p>
        </w:tc>
        <w:tc>
          <w:tcPr>
            <w:tcW w:w="440" w:type="dxa"/>
            <w:vAlign w:val="bottom"/>
            <w:gridSpan w:val="4"/>
          </w:tcPr>
          <w:p>
            <w:pPr>
              <w:jc w:val="right"/>
              <w:spacing w:after="0" w:line="167" w:lineRule="exact"/>
              <w:rPr>
                <w:sz w:val="20"/>
                <w:szCs w:val="20"/>
                <w:color w:val="auto"/>
              </w:rPr>
            </w:pPr>
            <w:r>
              <w:rPr>
                <w:rFonts w:ascii="Arial" w:cs="Arial" w:eastAsia="Arial" w:hAnsi="Arial"/>
                <w:sz w:val="17"/>
                <w:szCs w:val="17"/>
                <w:color w:val="0000EE"/>
              </w:rPr>
              <w:t>132</w:t>
            </w:r>
          </w:p>
        </w:tc>
        <w:tc>
          <w:tcPr>
            <w:tcW w:w="12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0000EE"/>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77"/>
        </w:trPr>
        <w:tc>
          <w:tcPr>
            <w:tcW w:w="1060" w:type="dxa"/>
            <w:vAlign w:val="bottom"/>
            <w:tcBorders>
              <w:right w:val="single" w:sz="8" w:color="CCFFCC"/>
            </w:tcBorders>
            <w:gridSpan w:val="5"/>
            <w:shd w:val="clear" w:color="auto" w:fill="CCFFCC"/>
          </w:tcPr>
          <w:p>
            <w:pPr>
              <w:spacing w:after="0" w:line="176" w:lineRule="exact"/>
              <w:rPr>
                <w:sz w:val="20"/>
                <w:szCs w:val="20"/>
                <w:color w:val="auto"/>
              </w:rPr>
            </w:pPr>
            <w:r>
              <w:rPr>
                <w:rFonts w:ascii="Arial" w:cs="Arial" w:eastAsia="Arial" w:hAnsi="Arial"/>
                <w:sz w:val="17"/>
                <w:szCs w:val="17"/>
                <w:color w:val="0000EE"/>
                <w:w w:val="92"/>
              </w:rPr>
              <w:t>SIGNATURES</w:t>
            </w:r>
          </w:p>
        </w:tc>
        <w:tc>
          <w:tcPr>
            <w:tcW w:w="6200" w:type="dxa"/>
            <w:vAlign w:val="bottom"/>
            <w:gridSpan w:val="20"/>
            <w:shd w:val="clear" w:color="auto" w:fill="CCFFCC"/>
          </w:tcPr>
          <w:p>
            <w:pPr>
              <w:spacing w:after="0"/>
              <w:rPr>
                <w:sz w:val="15"/>
                <w:szCs w:val="15"/>
                <w:color w:val="auto"/>
              </w:rPr>
            </w:pPr>
          </w:p>
        </w:tc>
        <w:tc>
          <w:tcPr>
            <w:tcW w:w="440" w:type="dxa"/>
            <w:vAlign w:val="bottom"/>
            <w:gridSpan w:val="4"/>
            <w:shd w:val="clear" w:color="auto" w:fill="CCFFCC"/>
          </w:tcPr>
          <w:p>
            <w:pPr>
              <w:jc w:val="right"/>
              <w:spacing w:after="0" w:line="176" w:lineRule="exact"/>
              <w:rPr>
                <w:sz w:val="20"/>
                <w:szCs w:val="20"/>
                <w:color w:val="auto"/>
              </w:rPr>
            </w:pPr>
            <w:r>
              <w:rPr>
                <w:rFonts w:ascii="Arial" w:cs="Arial" w:eastAsia="Arial" w:hAnsi="Arial"/>
                <w:sz w:val="17"/>
                <w:szCs w:val="17"/>
                <w:color w:val="0000EE"/>
              </w:rPr>
              <w:t>134</w:t>
            </w:r>
          </w:p>
        </w:tc>
        <w:tc>
          <w:tcPr>
            <w:tcW w:w="120" w:type="dxa"/>
            <w:vAlign w:val="bottom"/>
            <w:tcBorders>
              <w:left w:val="single" w:sz="8" w:color="CCFFCC"/>
            </w:tcBorders>
          </w:tcPr>
          <w:p>
            <w:pPr>
              <w:spacing w:after="0"/>
              <w:rPr>
                <w:sz w:val="15"/>
                <w:szCs w:val="15"/>
                <w:color w:val="auto"/>
              </w:rPr>
            </w:pPr>
          </w:p>
        </w:tc>
      </w:tr>
      <w:tr>
        <w:trPr>
          <w:trHeight w:val="39"/>
        </w:trPr>
        <w:tc>
          <w:tcPr>
            <w:tcW w:w="1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54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440" w:type="dxa"/>
            <w:vAlign w:val="bottom"/>
            <w:tcBorders>
              <w:left w:val="single" w:sz="8" w:color="CCFFCC"/>
            </w:tcBorders>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340" w:type="dxa"/>
            <w:vAlign w:val="bottom"/>
            <w:tcBorders>
              <w:right w:val="single" w:sz="8" w:color="CCFFCC"/>
            </w:tcBorders>
            <w:shd w:val="clear" w:color="auto" w:fill="CCFFCC"/>
          </w:tcPr>
          <w:p>
            <w:pPr>
              <w:spacing w:after="0"/>
              <w:rPr>
                <w:sz w:val="3"/>
                <w:szCs w:val="3"/>
                <w:color w:val="auto"/>
              </w:rPr>
            </w:pPr>
          </w:p>
        </w:tc>
        <w:tc>
          <w:tcPr>
            <w:tcW w:w="50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CCFFCC"/>
            </w:tcBorders>
          </w:tcPr>
          <w:p>
            <w:pPr>
              <w:spacing w:after="0"/>
              <w:rPr>
                <w:sz w:val="3"/>
                <w:szCs w:val="3"/>
                <w:color w:val="auto"/>
              </w:rPr>
            </w:pPr>
          </w:p>
        </w:tc>
      </w:tr>
    </w:tbl>
    <w:p>
      <w:pPr>
        <w:spacing w:after="0" w:line="200" w:lineRule="exact"/>
        <w:rPr>
          <w:sz w:val="20"/>
          <w:szCs w:val="20"/>
          <w:color w:val="auto"/>
        </w:rPr>
      </w:pPr>
    </w:p>
    <w:p>
      <w:pPr>
        <w:spacing w:after="0" w:line="31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FORWARD-LOOKING STATEMENTS</w:t>
      </w:r>
    </w:p>
    <w:p>
      <w:pPr>
        <w:spacing w:after="0" w:line="119" w:lineRule="exact"/>
        <w:rPr>
          <w:sz w:val="20"/>
          <w:szCs w:val="20"/>
          <w:color w:val="auto"/>
        </w:rPr>
      </w:pPr>
    </w:p>
    <w:p>
      <w:pPr>
        <w:ind w:left="60" w:right="1019" w:firstLine="257"/>
        <w:spacing w:after="0" w:line="292" w:lineRule="auto"/>
        <w:rPr>
          <w:sz w:val="20"/>
          <w:szCs w:val="20"/>
          <w:color w:val="auto"/>
        </w:rPr>
      </w:pPr>
      <w:r>
        <w:rPr>
          <w:rFonts w:ascii="Arial" w:cs="Arial" w:eastAsia="Arial" w:hAnsi="Arial"/>
          <w:sz w:val="15"/>
          <w:szCs w:val="15"/>
          <w:color w:val="auto"/>
        </w:rPr>
        <w:t>Some of the statements under the sections entitled “Item 3. Key Information — Risk Factors,” “Item 4. Information on the Company,” and “Item 5. Operating and Financial Review and Prospects.”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subject to risks and uncertainties. In addition, the sections of this Registration Statement on Form 20-F entitled “Item 4. Information on the Company” contain information obtained from independent industry and other sources that we have not independently verified. You should not put undue reliance on any forward-looking statements. Unless we are required to do so under U.S. federal securities laws or other applicable laws, we do not intend to update or revise any forward-looking statements.</w:t>
      </w:r>
    </w:p>
    <w:p>
      <w:pPr>
        <w:spacing w:after="0" w:line="58" w:lineRule="exact"/>
        <w:rPr>
          <w:sz w:val="20"/>
          <w:szCs w:val="20"/>
          <w:color w:val="auto"/>
        </w:rPr>
      </w:pPr>
    </w:p>
    <w:p>
      <w:pPr>
        <w:ind w:left="60" w:right="1639" w:firstLine="257"/>
        <w:spacing w:after="0" w:line="278" w:lineRule="auto"/>
        <w:rPr>
          <w:sz w:val="20"/>
          <w:szCs w:val="20"/>
          <w:color w:val="auto"/>
        </w:rPr>
      </w:pPr>
      <w:r>
        <w:rPr>
          <w:rFonts w:ascii="Arial" w:cs="Arial" w:eastAsia="Arial" w:hAnsi="Arial"/>
          <w:sz w:val="17"/>
          <w:szCs w:val="17"/>
          <w:color w:val="auto"/>
        </w:rPr>
        <w:t>Factors that could cause our actual results to differ materially from those expressed or implied in such forward-looking statements include, but are not limited to:</w:t>
      </w:r>
    </w:p>
    <w:p>
      <w:pPr>
        <w:spacing w:after="0" w:line="62" w:lineRule="exact"/>
        <w:rPr>
          <w:sz w:val="20"/>
          <w:szCs w:val="20"/>
          <w:color w:val="auto"/>
        </w:rPr>
      </w:pPr>
    </w:p>
    <w:p>
      <w:pPr>
        <w:ind w:left="580" w:right="1719" w:hanging="307"/>
        <w:spacing w:after="0" w:line="27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clinical trials, and other therapeutic candidate development efforts;</w:t>
      </w:r>
    </w:p>
    <w:p>
      <w:pPr>
        <w:spacing w:after="0" w:line="61" w:lineRule="exact"/>
        <w:rPr>
          <w:rFonts w:ascii="Arial" w:cs="Arial" w:eastAsia="Arial" w:hAnsi="Arial"/>
          <w:sz w:val="17"/>
          <w:szCs w:val="17"/>
          <w:color w:val="auto"/>
        </w:rPr>
      </w:pPr>
    </w:p>
    <w:p>
      <w:pPr>
        <w:ind w:left="580" w:right="1279" w:hanging="307"/>
        <w:spacing w:after="0" w:line="27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advance our therapeutic candidates into clinical trials or to successfully complete our preclinical studies or clinical trials;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receipt of regulatory approvals for our therapeutic candidates, and the timing of other regulatory filings and approvals;</w:t>
      </w:r>
    </w:p>
    <w:p>
      <w:pPr>
        <w:spacing w:after="0" w:line="136" w:lineRule="exact"/>
        <w:rPr>
          <w:rFonts w:ascii="Arial" w:cs="Arial" w:eastAsia="Arial" w:hAnsi="Arial"/>
          <w:sz w:val="15"/>
          <w:szCs w:val="15"/>
          <w:color w:val="auto"/>
        </w:rPr>
      </w:pPr>
    </w:p>
    <w:p>
      <w:pPr>
        <w:ind w:left="580" w:hanging="30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clinical development, commercialization, and market acceptance of our therapeutic candidates;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establish and maintain corporate collaborations;</w:t>
      </w:r>
    </w:p>
    <w:p>
      <w:pPr>
        <w:spacing w:after="0" w:line="113" w:lineRule="exact"/>
        <w:rPr>
          <w:rFonts w:ascii="Arial" w:cs="Arial" w:eastAsia="Arial" w:hAnsi="Arial"/>
          <w:sz w:val="17"/>
          <w:szCs w:val="17"/>
          <w:color w:val="auto"/>
        </w:rPr>
      </w:pPr>
    </w:p>
    <w:p>
      <w:pPr>
        <w:ind w:left="580" w:right="1359" w:hanging="307"/>
        <w:spacing w:after="0" w:line="278"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interpretation of the properties and characteristics of our therapeutic candidates and of the results obtained with our therapeutic candidates in preclinical studies or clinical trials;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and therapeutic candidates;</w:t>
      </w:r>
    </w:p>
    <w:p>
      <w:pPr>
        <w:spacing w:after="0" w:line="113" w:lineRule="exact"/>
        <w:rPr>
          <w:rFonts w:ascii="Arial" w:cs="Arial" w:eastAsia="Arial" w:hAnsi="Arial"/>
          <w:sz w:val="17"/>
          <w:szCs w:val="17"/>
          <w:color w:val="auto"/>
        </w:rPr>
      </w:pPr>
    </w:p>
    <w:p>
      <w:pPr>
        <w:ind w:left="580" w:right="1559" w:hanging="307"/>
        <w:spacing w:after="0" w:line="347"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scope of protection we are able to establish and maintain for intellectual property rights covering our therapeutic candidates and our ability to operate our business without infringing the intellectual property rights of others;</w:t>
      </w:r>
    </w:p>
    <w:p>
      <w:pPr>
        <w:spacing w:after="0" w:line="15" w:lineRule="exact"/>
        <w:rPr>
          <w:rFonts w:ascii="Arial" w:cs="Arial" w:eastAsia="Arial" w:hAnsi="Arial"/>
          <w:sz w:val="15"/>
          <w:szCs w:val="15"/>
          <w:color w:val="auto"/>
        </w:rPr>
      </w:pPr>
    </w:p>
    <w:p>
      <w:pPr>
        <w:ind w:left="580" w:hanging="30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companies, technologies and our industry;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statements as to the impact of the political and security situation in Israel on our business.</w:t>
      </w:r>
    </w:p>
    <w:p>
      <w:pPr>
        <w:spacing w:after="0" w:line="200" w:lineRule="exact"/>
        <w:rPr>
          <w:sz w:val="20"/>
          <w:szCs w:val="20"/>
          <w:color w:val="auto"/>
        </w:rPr>
      </w:pPr>
    </w:p>
    <w:p>
      <w:pPr>
        <w:spacing w:after="0" w:line="351"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PART I</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 IDENTITY OF DIRECTORS, SENIOR MANAGEMENT AND ADVISERS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Directors and Senior Management</w:t>
      </w:r>
    </w:p>
    <w:p>
      <w:pPr>
        <w:spacing w:after="0" w:line="119" w:lineRule="exact"/>
        <w:rPr>
          <w:sz w:val="20"/>
          <w:szCs w:val="20"/>
          <w:color w:val="auto"/>
        </w:rPr>
      </w:pPr>
    </w:p>
    <w:p>
      <w:pPr>
        <w:ind w:left="60" w:right="1239" w:firstLine="257"/>
        <w:spacing w:after="0" w:line="270" w:lineRule="auto"/>
        <w:rPr>
          <w:sz w:val="20"/>
          <w:szCs w:val="20"/>
          <w:color w:val="auto"/>
        </w:rPr>
      </w:pPr>
      <w:r>
        <w:rPr>
          <w:rFonts w:ascii="Arial" w:cs="Arial" w:eastAsia="Arial" w:hAnsi="Arial"/>
          <w:sz w:val="17"/>
          <w:szCs w:val="17"/>
          <w:color w:val="auto"/>
        </w:rPr>
        <w:t>The following table lists the members of our Board of Directors. The business address for all directors is P.O. Box 45158, 19 Hartum Street, Jerusalem 91450,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9415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415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528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Position(s)</w:t>
            </w:r>
          </w:p>
        </w:tc>
      </w:tr>
      <w:tr>
        <w:trPr>
          <w:trHeight w:val="186"/>
        </w:trPr>
        <w:tc>
          <w:tcPr>
            <w:tcW w:w="2380" w:type="dxa"/>
            <w:vAlign w:val="bottom"/>
          </w:tcPr>
          <w:p>
            <w:pPr>
              <w:spacing w:after="0" w:line="186" w:lineRule="exact"/>
              <w:rPr>
                <w:sz w:val="20"/>
                <w:szCs w:val="20"/>
                <w:color w:val="auto"/>
              </w:rPr>
            </w:pPr>
            <w:r>
              <w:rPr>
                <w:rFonts w:ascii="Arial" w:cs="Arial" w:eastAsia="Arial" w:hAnsi="Arial"/>
                <w:sz w:val="17"/>
                <w:szCs w:val="17"/>
                <w:color w:val="auto"/>
              </w:rPr>
              <w:t>Aharon Schwartz, Ph.D.</w:t>
            </w:r>
          </w:p>
        </w:tc>
        <w:tc>
          <w:tcPr>
            <w:tcW w:w="160" w:type="dxa"/>
            <w:vAlign w:val="bottom"/>
          </w:tcPr>
          <w:p>
            <w:pPr>
              <w:spacing w:after="0"/>
              <w:rPr>
                <w:sz w:val="16"/>
                <w:szCs w:val="16"/>
                <w:color w:val="auto"/>
              </w:rPr>
            </w:pPr>
          </w:p>
        </w:tc>
        <w:tc>
          <w:tcPr>
            <w:tcW w:w="5280" w:type="dxa"/>
            <w:vAlign w:val="bottom"/>
          </w:tcPr>
          <w:p>
            <w:pPr>
              <w:spacing w:after="0" w:line="186" w:lineRule="exact"/>
              <w:rPr>
                <w:sz w:val="20"/>
                <w:szCs w:val="20"/>
                <w:color w:val="auto"/>
              </w:rPr>
            </w:pPr>
            <w:r>
              <w:rPr>
                <w:rFonts w:ascii="Arial" w:cs="Arial" w:eastAsia="Arial" w:hAnsi="Arial"/>
                <w:sz w:val="17"/>
                <w:szCs w:val="17"/>
                <w:color w:val="auto"/>
              </w:rPr>
              <w:t>Chairman of the Board</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Kinneret Savitsky, Ph.D.</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Chief Executive Officer, Director</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Raphael Hofstein, Ph.D.</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Yakov Friedman</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Michael J. Anghel, Ph.D.</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Avraham Molcho, M.D.</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External Director</w:t>
            </w:r>
          </w:p>
        </w:tc>
      </w:tr>
      <w:tr>
        <w:trPr>
          <w:trHeight w:val="217"/>
        </w:trPr>
        <w:tc>
          <w:tcPr>
            <w:tcW w:w="2380" w:type="dxa"/>
            <w:vAlign w:val="bottom"/>
          </w:tcPr>
          <w:p>
            <w:pPr>
              <w:spacing w:after="0"/>
              <w:rPr>
                <w:sz w:val="20"/>
                <w:szCs w:val="20"/>
                <w:color w:val="auto"/>
              </w:rPr>
            </w:pPr>
            <w:r>
              <w:rPr>
                <w:rFonts w:ascii="Arial" w:cs="Arial" w:eastAsia="Arial" w:hAnsi="Arial"/>
                <w:sz w:val="17"/>
                <w:szCs w:val="17"/>
                <w:color w:val="auto"/>
              </w:rPr>
              <w:t>Nurit Benjamini</w:t>
            </w:r>
          </w:p>
        </w:tc>
        <w:tc>
          <w:tcPr>
            <w:tcW w:w="1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External Director</w:t>
            </w:r>
          </w:p>
        </w:tc>
      </w:tr>
    </w:tbl>
    <w:p>
      <w:pPr>
        <w:spacing w:after="0" w:line="92" w:lineRule="exact"/>
        <w:rPr>
          <w:sz w:val="20"/>
          <w:szCs w:val="20"/>
          <w:color w:val="auto"/>
        </w:rPr>
      </w:pPr>
    </w:p>
    <w:p>
      <w:pPr>
        <w:ind w:left="60" w:right="1139" w:firstLine="257"/>
        <w:spacing w:after="0" w:line="270" w:lineRule="auto"/>
        <w:rPr>
          <w:sz w:val="20"/>
          <w:szCs w:val="20"/>
          <w:color w:val="auto"/>
        </w:rPr>
      </w:pPr>
      <w:r>
        <w:rPr>
          <w:rFonts w:ascii="Arial" w:cs="Arial" w:eastAsia="Arial" w:hAnsi="Arial"/>
          <w:sz w:val="17"/>
          <w:szCs w:val="17"/>
          <w:color w:val="auto"/>
        </w:rPr>
        <w:t>The following table lists our executive officers. The business address for all of these executives is P.O. Box 45158, 19 Hartum Street, Jerusalem 91450,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9415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415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528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Position(s)</w:t>
            </w:r>
          </w:p>
        </w:tc>
      </w:tr>
      <w:tr>
        <w:trPr>
          <w:trHeight w:val="186"/>
        </w:trPr>
        <w:tc>
          <w:tcPr>
            <w:tcW w:w="2380" w:type="dxa"/>
            <w:vAlign w:val="bottom"/>
          </w:tcPr>
          <w:p>
            <w:pPr>
              <w:spacing w:after="0" w:line="186" w:lineRule="exact"/>
              <w:rPr>
                <w:sz w:val="20"/>
                <w:szCs w:val="20"/>
                <w:color w:val="auto"/>
              </w:rPr>
            </w:pPr>
            <w:r>
              <w:rPr>
                <w:rFonts w:ascii="Arial" w:cs="Arial" w:eastAsia="Arial" w:hAnsi="Arial"/>
                <w:sz w:val="17"/>
                <w:szCs w:val="17"/>
                <w:color w:val="auto"/>
              </w:rPr>
              <w:t>Kinneret Savitsky, Ph.D.</w:t>
            </w:r>
          </w:p>
        </w:tc>
        <w:tc>
          <w:tcPr>
            <w:tcW w:w="160" w:type="dxa"/>
            <w:vAlign w:val="bottom"/>
          </w:tcPr>
          <w:p>
            <w:pPr>
              <w:spacing w:after="0"/>
              <w:rPr>
                <w:sz w:val="16"/>
                <w:szCs w:val="16"/>
                <w:color w:val="auto"/>
              </w:rPr>
            </w:pPr>
          </w:p>
        </w:tc>
        <w:tc>
          <w:tcPr>
            <w:tcW w:w="5280" w:type="dxa"/>
            <w:vAlign w:val="bottom"/>
          </w:tcPr>
          <w:p>
            <w:pPr>
              <w:spacing w:after="0" w:line="186" w:lineRule="exact"/>
              <w:rPr>
                <w:sz w:val="20"/>
                <w:szCs w:val="20"/>
                <w:color w:val="auto"/>
              </w:rPr>
            </w:pPr>
            <w:r>
              <w:rPr>
                <w:rFonts w:ascii="Arial" w:cs="Arial" w:eastAsia="Arial" w:hAnsi="Arial"/>
                <w:sz w:val="17"/>
                <w:szCs w:val="17"/>
                <w:color w:val="auto"/>
              </w:rPr>
              <w:t>Chief Executive Officer, Director</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Philip Serlin</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Chief Financial Officer and Chief Operating Officer</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Moshe Phillip, M.D.</w:t>
            </w:r>
          </w:p>
        </w:tc>
        <w:tc>
          <w:tcPr>
            <w:tcW w:w="16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Vice President of Medical Affairs and Senior Clinical Advisor</w:t>
            </w:r>
          </w:p>
        </w:tc>
      </w:tr>
      <w:tr>
        <w:trPr>
          <w:trHeight w:val="244"/>
        </w:trPr>
        <w:tc>
          <w:tcPr>
            <w:tcW w:w="2380" w:type="dxa"/>
            <w:vAlign w:val="bottom"/>
          </w:tcPr>
          <w:p>
            <w:pPr>
              <w:spacing w:after="0" w:line="245" w:lineRule="exact"/>
              <w:rPr>
                <w:sz w:val="20"/>
                <w:szCs w:val="20"/>
                <w:color w:val="auto"/>
              </w:rPr>
            </w:pPr>
            <w:r>
              <w:rPr>
                <w:rFonts w:ascii="Arial" w:cs="Arial" w:eastAsia="Arial" w:hAnsi="Arial"/>
                <w:sz w:val="17"/>
                <w:szCs w:val="17"/>
                <w:color w:val="auto"/>
              </w:rPr>
              <w:t>Nir Gamliel</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Vice President of Business Development of BioLineRx USA, Inc.</w:t>
            </w:r>
          </w:p>
        </w:tc>
      </w:tr>
      <w:tr>
        <w:trPr>
          <w:trHeight w:val="217"/>
        </w:trPr>
        <w:tc>
          <w:tcPr>
            <w:tcW w:w="2380" w:type="dxa"/>
            <w:vAlign w:val="bottom"/>
          </w:tcPr>
          <w:p>
            <w:pPr>
              <w:spacing w:after="0"/>
              <w:rPr>
                <w:sz w:val="20"/>
                <w:szCs w:val="20"/>
                <w:color w:val="auto"/>
              </w:rPr>
            </w:pPr>
            <w:r>
              <w:rPr>
                <w:rFonts w:ascii="Arial" w:cs="Arial" w:eastAsia="Arial" w:hAnsi="Arial"/>
                <w:sz w:val="17"/>
                <w:szCs w:val="17"/>
                <w:color w:val="auto"/>
              </w:rPr>
              <w:t>Leah Klapper, Ph.D.</w:t>
            </w:r>
          </w:p>
        </w:tc>
        <w:tc>
          <w:tcPr>
            <w:tcW w:w="1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General Manager, BioLine Innovations Jerusalem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164465</wp:posOffset>
            </wp:positionV>
            <wp:extent cx="5880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right="1339" w:hanging="304"/>
        <w:spacing w:after="0" w:line="452" w:lineRule="auto"/>
        <w:tabs>
          <w:tab w:leader="none" w:pos="281"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Pursuant to an agreement dated March 30, 2011, Mr. Gamliel’s employment with our company terminates on July 13, 2011. For further details, see “Item 6. Directors, Senior Management and Employees — Directors and Senior Management.”</w:t>
      </w:r>
    </w:p>
    <w:p>
      <w:pPr>
        <w:ind w:left="60"/>
        <w:spacing w:after="0"/>
        <w:rPr>
          <w:sz w:val="20"/>
          <w:szCs w:val="20"/>
          <w:color w:val="auto"/>
        </w:rPr>
      </w:pPr>
      <w:r>
        <w:rPr>
          <w:rFonts w:ascii="Arial" w:cs="Arial" w:eastAsia="Arial" w:hAnsi="Arial"/>
          <w:sz w:val="17"/>
          <w:szCs w:val="17"/>
          <w:b w:val="1"/>
          <w:bCs w:val="1"/>
          <w:color w:val="auto"/>
        </w:rPr>
        <w:t>B. Advisors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Auditors</w:t>
      </w:r>
    </w:p>
    <w:p>
      <w:pPr>
        <w:spacing w:after="0" w:line="119" w:lineRule="exact"/>
        <w:rPr>
          <w:sz w:val="20"/>
          <w:szCs w:val="20"/>
          <w:color w:val="auto"/>
        </w:rPr>
      </w:pPr>
    </w:p>
    <w:p>
      <w:pPr>
        <w:ind w:left="60" w:right="1099" w:firstLine="257"/>
        <w:spacing w:after="0" w:line="282" w:lineRule="auto"/>
        <w:rPr>
          <w:sz w:val="20"/>
          <w:szCs w:val="20"/>
          <w:color w:val="auto"/>
        </w:rPr>
      </w:pPr>
      <w:r>
        <w:rPr>
          <w:rFonts w:ascii="Arial" w:cs="Arial" w:eastAsia="Arial" w:hAnsi="Arial"/>
          <w:sz w:val="16"/>
          <w:szCs w:val="16"/>
          <w:color w:val="auto"/>
        </w:rPr>
        <w:t>Our auditor since our inception in 2003 has been Kesselman &amp; Kesselman, independent registered public accounting firm, and a member firm of PricewaterhouseCoopers International Limited, or Kesselman. Kesselman audited our consolidated financial statements for the years ended December 31, 2010 and 2009, and for the three years ended December 31, 2010. The address of Kesselman &amp; Kesselman is 25 HaMered Street, Tel Aviv 68125, Israel.</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3. KEY INFORMATION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Selected Financial Data</w:t>
      </w:r>
    </w:p>
    <w:p>
      <w:pPr>
        <w:spacing w:after="0" w:line="119" w:lineRule="exact"/>
        <w:rPr>
          <w:sz w:val="20"/>
          <w:szCs w:val="20"/>
          <w:color w:val="auto"/>
        </w:rPr>
      </w:pPr>
    </w:p>
    <w:p>
      <w:pPr>
        <w:ind w:left="60" w:right="999" w:firstLine="257"/>
        <w:spacing w:after="0" w:line="256" w:lineRule="auto"/>
        <w:rPr>
          <w:sz w:val="20"/>
          <w:szCs w:val="20"/>
          <w:color w:val="auto"/>
        </w:rPr>
      </w:pPr>
      <w:r>
        <w:rPr>
          <w:rFonts w:ascii="Arial" w:cs="Arial" w:eastAsia="Arial" w:hAnsi="Arial"/>
          <w:sz w:val="17"/>
          <w:szCs w:val="17"/>
          <w:i w:val="1"/>
          <w:iCs w:val="1"/>
          <w:color w:val="auto"/>
        </w:rPr>
        <w:t>The following table sets forth our selected consolidated financial data for the periods ended and as of the dates indicated. The following selected historical consolidated financial data for our company should be read in conjunction with the historical financial information, “Item 5. Operational and Financial Review and Prospects” and other information provided elsewhere in this Registration Statement on Form 20-F and our consolidated financial statements and related notes. The selected consolidated financial data in this section is not intended to replace the consolidated financial statements and is qualified in its entirety thereby. In the opinion of our management, our unaudited consolidated financial statements contain all adjustments, consisting only of normal recurring adjustments, necessary for a fair presentation of our financial position, results of operations and cash flows as of and for the periods indicated therein.</w:t>
      </w:r>
    </w:p>
    <w:p>
      <w:pPr>
        <w:spacing w:after="0" w:line="81" w:lineRule="exact"/>
        <w:rPr>
          <w:sz w:val="20"/>
          <w:szCs w:val="20"/>
          <w:color w:val="auto"/>
        </w:rPr>
      </w:pPr>
    </w:p>
    <w:p>
      <w:pPr>
        <w:ind w:left="60" w:right="1039" w:firstLine="257"/>
        <w:spacing w:after="0" w:line="282" w:lineRule="auto"/>
        <w:rPr>
          <w:sz w:val="20"/>
          <w:szCs w:val="20"/>
          <w:color w:val="auto"/>
        </w:rPr>
      </w:pPr>
      <w:r>
        <w:rPr>
          <w:rFonts w:ascii="Arial" w:cs="Arial" w:eastAsia="Arial" w:hAnsi="Arial"/>
          <w:sz w:val="16"/>
          <w:szCs w:val="16"/>
          <w:color w:val="auto"/>
        </w:rPr>
        <w:t>We derived the selected consolidated financial statements as of and for the years ended December 31, 2010, 2009 and 2008 from our audited consolidated financial statements included elsewhere in this Registration Statement on Form 20-F. We derived the selected consolidated financial data as of and for the three months ended March 31, 2011 and March 31, 2010 from our unaudited consolidated financial statements included elsewhere in this Registration Statement on Form 20-F.</w:t>
      </w:r>
    </w:p>
    <w:p>
      <w:pPr>
        <w:spacing w:after="0" w:line="61" w:lineRule="exact"/>
        <w:rPr>
          <w:sz w:val="20"/>
          <w:szCs w:val="20"/>
          <w:color w:val="auto"/>
        </w:rPr>
      </w:pPr>
    </w:p>
    <w:p>
      <w:pPr>
        <w:ind w:left="60" w:right="1379" w:firstLine="257"/>
        <w:spacing w:after="0" w:line="311" w:lineRule="auto"/>
        <w:rPr>
          <w:sz w:val="20"/>
          <w:szCs w:val="20"/>
          <w:color w:val="auto"/>
        </w:rPr>
      </w:pPr>
      <w:r>
        <w:rPr>
          <w:rFonts w:ascii="Arial" w:cs="Arial" w:eastAsia="Arial" w:hAnsi="Arial"/>
          <w:sz w:val="16"/>
          <w:szCs w:val="16"/>
          <w:color w:val="auto"/>
        </w:rPr>
        <w:t>Our consolidated financial statements included in this prospectus were prepared in accordance with International Financial Reporting Standards (“IFRS”) as issued by the International Accounting Standards Board, and reported in 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58070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58070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070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62"/>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w:t>
            </w: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780" w:type="dxa"/>
            <w:vAlign w:val="bottom"/>
            <w:gridSpan w:val="3"/>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780" w:type="dxa"/>
            <w:vAlign w:val="bottom"/>
          </w:tcPr>
          <w:p>
            <w:pPr>
              <w:jc w:val="center"/>
              <w:ind w:right="32"/>
              <w:spacing w:after="0" w:line="162" w:lineRule="exact"/>
              <w:rPr>
                <w:sz w:val="20"/>
                <w:szCs w:val="20"/>
                <w:color w:val="auto"/>
              </w:rPr>
            </w:pPr>
            <w:r>
              <w:rPr>
                <w:rFonts w:ascii="Arial" w:cs="Arial" w:eastAsia="Arial" w:hAnsi="Arial"/>
                <w:sz w:val="12"/>
                <w:szCs w:val="12"/>
                <w:b w:val="1"/>
                <w:bCs w:val="1"/>
                <w:color w:val="auto"/>
              </w:rPr>
              <w:t>2011</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40" w:type="dxa"/>
            <w:vAlign w:val="bottom"/>
            <w:tcBorders>
              <w:bottom w:val="single" w:sz="8" w:color="auto"/>
            </w:tcBorders>
            <w:gridSpan w:val="3"/>
          </w:tcPr>
          <w:p>
            <w:pPr>
              <w:spacing w:after="0" w:line="191" w:lineRule="exact"/>
              <w:rPr>
                <w:sz w:val="20"/>
                <w:szCs w:val="20"/>
                <w:color w:val="auto"/>
              </w:rPr>
            </w:pPr>
            <w:r>
              <w:rPr>
                <w:rFonts w:ascii="Arial" w:cs="Arial" w:eastAsia="Arial" w:hAnsi="Arial"/>
                <w:sz w:val="14"/>
                <w:szCs w:val="14"/>
                <w:b w:val="1"/>
                <w:bCs w:val="1"/>
                <w:color w:val="auto"/>
              </w:rPr>
              <w:t>Operations Data:</w:t>
            </w:r>
            <w:r>
              <w:rPr>
                <w:rFonts w:ascii="Arial" w:cs="Arial" w:eastAsia="Arial" w:hAnsi="Arial"/>
                <w:sz w:val="22"/>
                <w:szCs w:val="22"/>
                <w:b w:val="1"/>
                <w:bCs w:val="1"/>
                <w:color w:val="auto"/>
                <w:vertAlign w:val="superscript"/>
              </w:rPr>
              <w:t>(1)</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180"/>
              <w:spacing w:after="0" w:line="112" w:lineRule="exact"/>
              <w:rPr>
                <w:sz w:val="20"/>
                <w:szCs w:val="20"/>
                <w:color w:val="auto"/>
              </w:rPr>
            </w:pPr>
            <w:r>
              <w:rPr>
                <w:rFonts w:ascii="Arial" w:cs="Arial" w:eastAsia="Arial" w:hAnsi="Arial"/>
                <w:sz w:val="11"/>
                <w:szCs w:val="11"/>
                <w:color w:val="auto"/>
              </w:rPr>
              <w:t>(in</w:t>
            </w:r>
          </w:p>
        </w:tc>
        <w:tc>
          <w:tcPr>
            <w:tcW w:w="90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w w:val="89"/>
              </w:rPr>
              <w:t>thousands, except</w:t>
            </w:r>
          </w:p>
        </w:tc>
        <w:tc>
          <w:tcPr>
            <w:tcW w:w="1800" w:type="dxa"/>
            <w:vAlign w:val="bottom"/>
            <w:gridSpan w:val="9"/>
          </w:tcPr>
          <w:p>
            <w:pPr>
              <w:jc w:val="right"/>
              <w:ind w:right="480"/>
              <w:spacing w:after="0" w:line="112" w:lineRule="exact"/>
              <w:rPr>
                <w:sz w:val="20"/>
                <w:szCs w:val="20"/>
                <w:color w:val="auto"/>
              </w:rPr>
            </w:pPr>
            <w:r>
              <w:rPr>
                <w:rFonts w:ascii="Arial" w:cs="Arial" w:eastAsia="Arial" w:hAnsi="Arial"/>
                <w:sz w:val="11"/>
                <w:szCs w:val="11"/>
                <w:color w:val="auto"/>
              </w:rPr>
              <w:t>share and per share data)</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U.S.$</w:t>
            </w:r>
          </w:p>
        </w:tc>
        <w:tc>
          <w:tcPr>
            <w:tcW w:w="0" w:type="dxa"/>
            <w:vAlign w:val="bottom"/>
          </w:tcPr>
          <w:p>
            <w:pPr>
              <w:spacing w:after="0"/>
              <w:rPr>
                <w:sz w:val="1"/>
                <w:szCs w:val="1"/>
                <w:color w:val="auto"/>
              </w:rPr>
            </w:pPr>
          </w:p>
        </w:tc>
      </w:tr>
      <w:tr>
        <w:trPr>
          <w:trHeight w:val="164"/>
        </w:trPr>
        <w:tc>
          <w:tcPr>
            <w:tcW w:w="2040" w:type="dxa"/>
            <w:vAlign w:val="bottom"/>
            <w:gridSpan w:val="3"/>
            <w:vMerge w:val="restart"/>
          </w:tcPr>
          <w:p>
            <w:pPr>
              <w:spacing w:after="0"/>
              <w:rPr>
                <w:sz w:val="20"/>
                <w:szCs w:val="20"/>
                <w:color w:val="auto"/>
              </w:rPr>
            </w:pPr>
            <w:r>
              <w:rPr>
                <w:rFonts w:ascii="Arial" w:cs="Arial" w:eastAsia="Arial" w:hAnsi="Arial"/>
                <w:sz w:val="14"/>
                <w:szCs w:val="14"/>
                <w:color w:val="auto"/>
              </w:rPr>
              <w:t>Revenues</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NIS</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40" w:type="dxa"/>
            <w:vAlign w:val="bottom"/>
            <w:gridSpan w:val="3"/>
            <w:vMerge w:val="continue"/>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63,909</w:t>
            </w:r>
          </w:p>
        </w:tc>
        <w:tc>
          <w:tcPr>
            <w:tcW w:w="900" w:type="dxa"/>
            <w:vAlign w:val="bottom"/>
            <w:gridSpan w:val="4"/>
          </w:tcPr>
          <w:p>
            <w:pPr>
              <w:jc w:val="right"/>
              <w:ind w:right="51"/>
              <w:spacing w:after="0" w:line="135" w:lineRule="exact"/>
              <w:rPr>
                <w:sz w:val="20"/>
                <w:szCs w:val="20"/>
                <w:color w:val="auto"/>
              </w:rPr>
            </w:pPr>
            <w:r>
              <w:rPr>
                <w:rFonts w:ascii="Arial" w:cs="Arial" w:eastAsia="Arial" w:hAnsi="Arial"/>
                <w:sz w:val="14"/>
                <w:szCs w:val="14"/>
                <w:color w:val="auto"/>
              </w:rPr>
              <w:t>113,160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40" w:type="dxa"/>
            <w:vAlign w:val="bottom"/>
            <w:tcBorders>
              <w:right w:val="single" w:sz="8" w:color="CCFFCC"/>
            </w:tcBorders>
            <w:gridSpan w:val="3"/>
            <w:shd w:val="clear" w:color="auto" w:fill="CCFFCC"/>
          </w:tcPr>
          <w:p>
            <w:pPr>
              <w:spacing w:after="0" w:line="141" w:lineRule="exact"/>
              <w:rPr>
                <w:sz w:val="20"/>
                <w:szCs w:val="20"/>
                <w:color w:val="auto"/>
              </w:rPr>
            </w:pPr>
            <w:r>
              <w:rPr>
                <w:rFonts w:ascii="Arial" w:cs="Arial" w:eastAsia="Arial" w:hAnsi="Arial"/>
                <w:sz w:val="14"/>
                <w:szCs w:val="14"/>
                <w:color w:val="auto"/>
              </w:rPr>
              <w:t>Cost of revenues</w:t>
            </w:r>
          </w:p>
        </w:tc>
        <w:tc>
          <w:tcPr>
            <w:tcW w:w="880" w:type="dxa"/>
            <w:vAlign w:val="bottom"/>
            <w:tcBorders>
              <w:right w:val="single" w:sz="8" w:color="CCFFCC"/>
            </w:tcBorders>
            <w:gridSpan w:val="2"/>
            <w:shd w:val="clear" w:color="auto" w:fill="CCFFCC"/>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FFCC"/>
            </w:tcBorders>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FFCC"/>
            </w:tcBorders>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FFCC"/>
            </w:tcBorders>
            <w:gridSpan w:val="2"/>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(22,622)</w:t>
            </w:r>
          </w:p>
        </w:tc>
        <w:tc>
          <w:tcPr>
            <w:tcW w:w="900" w:type="dxa"/>
            <w:vAlign w:val="bottom"/>
            <w:tcBorders>
              <w:right w:val="single" w:sz="8" w:color="CCFFCC"/>
            </w:tcBorders>
            <w:gridSpan w:val="4"/>
            <w:shd w:val="clear" w:color="auto" w:fill="CCFFCC"/>
          </w:tcPr>
          <w:p>
            <w:pPr>
              <w:jc w:val="right"/>
              <w:spacing w:after="0" w:line="141" w:lineRule="exact"/>
              <w:rPr>
                <w:sz w:val="20"/>
                <w:szCs w:val="20"/>
                <w:color w:val="auto"/>
              </w:rPr>
            </w:pPr>
            <w:r>
              <w:rPr>
                <w:rFonts w:ascii="Arial" w:cs="Arial" w:eastAsia="Arial" w:hAnsi="Arial"/>
                <w:sz w:val="14"/>
                <w:szCs w:val="14"/>
                <w:color w:val="auto"/>
              </w:rPr>
              <w:t>(25,571)</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40" w:type="dxa"/>
            <w:vAlign w:val="bottom"/>
            <w:gridSpan w:val="3"/>
          </w:tcPr>
          <w:p>
            <w:pPr>
              <w:spacing w:after="0" w:line="141" w:lineRule="exact"/>
              <w:rPr>
                <w:sz w:val="20"/>
                <w:szCs w:val="20"/>
                <w:color w:val="auto"/>
              </w:rPr>
            </w:pPr>
            <w:r>
              <w:rPr>
                <w:rFonts w:ascii="Arial" w:cs="Arial" w:eastAsia="Arial" w:hAnsi="Arial"/>
                <w:sz w:val="14"/>
                <w:szCs w:val="14"/>
                <w:color w:val="auto"/>
              </w:rPr>
              <w:t>Operating expenses: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40" w:type="dxa"/>
            <w:vAlign w:val="bottom"/>
            <w:tcBorders>
              <w:right w:val="single" w:sz="8" w:color="CCFFCC"/>
            </w:tcBorders>
            <w:gridSpan w:val="3"/>
            <w:shd w:val="clear" w:color="auto" w:fill="CCFFCC"/>
          </w:tcPr>
          <w:p>
            <w:pPr>
              <w:spacing w:after="0" w:line="123" w:lineRule="exact"/>
              <w:rPr>
                <w:sz w:val="20"/>
                <w:szCs w:val="20"/>
                <w:color w:val="auto"/>
              </w:rPr>
            </w:pPr>
            <w:r>
              <w:rPr>
                <w:rFonts w:ascii="Arial" w:cs="Arial" w:eastAsia="Arial" w:hAnsi="Arial"/>
                <w:sz w:val="14"/>
                <w:szCs w:val="14"/>
                <w:color w:val="auto"/>
              </w:rPr>
              <w:t>Research and development,</w:t>
            </w:r>
          </w:p>
        </w:tc>
        <w:tc>
          <w:tcPr>
            <w:tcW w:w="880" w:type="dxa"/>
            <w:vAlign w:val="bottom"/>
            <w:tcBorders>
              <w:right w:val="single" w:sz="8" w:color="CCFFCC"/>
            </w:tcBorders>
            <w:gridSpan w:val="2"/>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rPr>
              <w:t>(42,193)</w:t>
            </w:r>
          </w:p>
        </w:tc>
        <w:tc>
          <w:tcPr>
            <w:tcW w:w="880" w:type="dxa"/>
            <w:vAlign w:val="bottom"/>
            <w:tcBorders>
              <w:right w:val="single" w:sz="8" w:color="CCFFCC"/>
            </w:tcBorders>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(75,863)</w:t>
            </w:r>
          </w:p>
        </w:tc>
        <w:tc>
          <w:tcPr>
            <w:tcW w:w="860" w:type="dxa"/>
            <w:vAlign w:val="bottom"/>
            <w:tcBorders>
              <w:right w:val="single" w:sz="8" w:color="CCFFCC"/>
            </w:tcBorders>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(106,156)</w:t>
            </w:r>
          </w:p>
        </w:tc>
        <w:tc>
          <w:tcPr>
            <w:tcW w:w="900" w:type="dxa"/>
            <w:vAlign w:val="bottom"/>
            <w:tcBorders>
              <w:right w:val="single" w:sz="8" w:color="CCFFCC"/>
            </w:tcBorders>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(90,302)</w:t>
            </w:r>
          </w:p>
        </w:tc>
        <w:tc>
          <w:tcPr>
            <w:tcW w:w="900" w:type="dxa"/>
            <w:vAlign w:val="bottom"/>
            <w:tcBorders>
              <w:right w:val="single" w:sz="8" w:color="CCFFCC"/>
            </w:tcBorders>
            <w:gridSpan w:val="4"/>
            <w:shd w:val="clear" w:color="auto" w:fill="CCFFCC"/>
          </w:tcPr>
          <w:p>
            <w:pPr>
              <w:jc w:val="right"/>
              <w:spacing w:after="0" w:line="123" w:lineRule="exact"/>
              <w:rPr>
                <w:sz w:val="20"/>
                <w:szCs w:val="20"/>
                <w:color w:val="auto"/>
              </w:rPr>
            </w:pPr>
            <w:r>
              <w:rPr>
                <w:rFonts w:ascii="Arial" w:cs="Arial" w:eastAsia="Arial" w:hAnsi="Arial"/>
                <w:sz w:val="14"/>
                <w:szCs w:val="14"/>
                <w:color w:val="auto"/>
              </w:rPr>
              <w:t>(54,966)</w:t>
            </w:r>
          </w:p>
        </w:tc>
        <w:tc>
          <w:tcPr>
            <w:tcW w:w="1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tcBorders>
              <w:right w:val="single" w:sz="8" w:color="CCFFCC"/>
            </w:tcBorders>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(10,736)</w:t>
            </w:r>
          </w:p>
        </w:tc>
        <w:tc>
          <w:tcPr>
            <w:tcW w:w="900" w:type="dxa"/>
            <w:vAlign w:val="bottom"/>
            <w:tcBorders>
              <w:right w:val="single" w:sz="8" w:color="CCFFCC"/>
            </w:tcBorders>
            <w:gridSpan w:val="4"/>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(6,384)</w:t>
            </w:r>
          </w:p>
        </w:tc>
        <w:tc>
          <w:tcPr>
            <w:tcW w:w="88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60"/>
        </w:trPr>
        <w:tc>
          <w:tcPr>
            <w:tcW w:w="20" w:type="dxa"/>
            <w:vAlign w:val="bottom"/>
            <w:shd w:val="clear" w:color="auto" w:fill="CCFFCC"/>
          </w:tcPr>
          <w:p>
            <w:pPr>
              <w:spacing w:after="0"/>
              <w:rPr>
                <w:sz w:val="13"/>
                <w:szCs w:val="13"/>
                <w:color w:val="auto"/>
              </w:rPr>
            </w:pPr>
          </w:p>
        </w:tc>
        <w:tc>
          <w:tcPr>
            <w:tcW w:w="2020" w:type="dxa"/>
            <w:vAlign w:val="bottom"/>
            <w:tcBorders>
              <w:right w:val="single" w:sz="8" w:color="CCFFCC"/>
            </w:tcBorders>
            <w:gridSpan w:val="2"/>
            <w:shd w:val="clear" w:color="auto" w:fill="CCFFCC"/>
          </w:tcPr>
          <w:p>
            <w:pPr>
              <w:ind w:left="160"/>
              <w:spacing w:after="0" w:line="160" w:lineRule="exact"/>
              <w:rPr>
                <w:sz w:val="20"/>
                <w:szCs w:val="20"/>
                <w:color w:val="auto"/>
              </w:rPr>
            </w:pPr>
            <w:r>
              <w:rPr>
                <w:rFonts w:ascii="Arial" w:cs="Arial" w:eastAsia="Arial" w:hAnsi="Arial"/>
                <w:sz w:val="14"/>
                <w:szCs w:val="14"/>
                <w:color w:val="auto"/>
              </w:rPr>
              <w:t>expenses net</w:t>
            </w:r>
          </w:p>
        </w:tc>
        <w:tc>
          <w:tcPr>
            <w:tcW w:w="720" w:type="dxa"/>
            <w:vAlign w:val="bottom"/>
            <w:shd w:val="clear" w:color="auto" w:fill="CCFFCC"/>
          </w:tcPr>
          <w:p>
            <w:pPr>
              <w:spacing w:after="0"/>
              <w:rPr>
                <w:sz w:val="13"/>
                <w:szCs w:val="13"/>
                <w:color w:val="auto"/>
              </w:rPr>
            </w:pPr>
          </w:p>
        </w:tc>
        <w:tc>
          <w:tcPr>
            <w:tcW w:w="160" w:type="dxa"/>
            <w:vAlign w:val="bottom"/>
            <w:tcBorders>
              <w:right w:val="single" w:sz="8" w:color="CCFFCC"/>
            </w:tcBorders>
            <w:shd w:val="clear" w:color="auto" w:fill="CCFFCC"/>
          </w:tcPr>
          <w:p>
            <w:pPr>
              <w:spacing w:after="0"/>
              <w:rPr>
                <w:sz w:val="13"/>
                <w:szCs w:val="13"/>
                <w:color w:val="auto"/>
              </w:rPr>
            </w:pPr>
          </w:p>
        </w:tc>
        <w:tc>
          <w:tcPr>
            <w:tcW w:w="740" w:type="dxa"/>
            <w:vAlign w:val="bottom"/>
            <w:shd w:val="clear" w:color="auto" w:fill="CCFFCC"/>
          </w:tcPr>
          <w:p>
            <w:pPr>
              <w:spacing w:after="0"/>
              <w:rPr>
                <w:sz w:val="13"/>
                <w:szCs w:val="13"/>
                <w:color w:val="auto"/>
              </w:rPr>
            </w:pPr>
          </w:p>
        </w:tc>
        <w:tc>
          <w:tcPr>
            <w:tcW w:w="140" w:type="dxa"/>
            <w:vAlign w:val="bottom"/>
            <w:tcBorders>
              <w:right w:val="single" w:sz="8" w:color="CCFFCC"/>
            </w:tcBorders>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40" w:type="dxa"/>
            <w:vAlign w:val="bottom"/>
            <w:tcBorders>
              <w:righ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6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40" w:type="dxa"/>
            <w:vAlign w:val="bottom"/>
            <w:gridSpan w:val="3"/>
          </w:tcPr>
          <w:p>
            <w:pPr>
              <w:spacing w:after="0" w:line="141" w:lineRule="exact"/>
              <w:rPr>
                <w:sz w:val="20"/>
                <w:szCs w:val="20"/>
                <w:color w:val="auto"/>
              </w:rPr>
            </w:pPr>
            <w:r>
              <w:rPr>
                <w:rFonts w:ascii="Arial" w:cs="Arial" w:eastAsia="Arial" w:hAnsi="Arial"/>
                <w:sz w:val="14"/>
                <w:szCs w:val="14"/>
                <w:color w:val="auto"/>
              </w:rPr>
              <w:t>Sales and marketing expenses</w:t>
            </w:r>
          </w:p>
        </w:tc>
        <w:tc>
          <w:tcPr>
            <w:tcW w:w="8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(3,085)</w:t>
            </w:r>
          </w:p>
        </w:tc>
        <w:tc>
          <w:tcPr>
            <w:tcW w:w="900" w:type="dxa"/>
            <w:vAlign w:val="bottom"/>
            <w:gridSpan w:val="4"/>
          </w:tcPr>
          <w:p>
            <w:pPr>
              <w:jc w:val="right"/>
              <w:spacing w:after="0" w:line="141" w:lineRule="exact"/>
              <w:rPr>
                <w:sz w:val="20"/>
                <w:szCs w:val="20"/>
                <w:color w:val="auto"/>
              </w:rPr>
            </w:pPr>
            <w:r>
              <w:rPr>
                <w:rFonts w:ascii="Arial" w:cs="Arial" w:eastAsia="Arial" w:hAnsi="Arial"/>
                <w:sz w:val="14"/>
                <w:szCs w:val="14"/>
                <w:color w:val="auto"/>
              </w:rPr>
              <w:t>(4,609)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Arial" w:cs="Arial" w:eastAsia="Arial" w:hAnsi="Arial"/>
                <w:sz w:val="14"/>
                <w:szCs w:val="14"/>
                <w:color w:val="auto"/>
              </w:rPr>
              <w:t>(959)</w:t>
            </w:r>
          </w:p>
        </w:tc>
        <w:tc>
          <w:tcPr>
            <w:tcW w:w="900" w:type="dxa"/>
            <w:vAlign w:val="bottom"/>
            <w:gridSpan w:val="4"/>
          </w:tcPr>
          <w:p>
            <w:pPr>
              <w:jc w:val="right"/>
              <w:ind w:right="60"/>
              <w:spacing w:after="0" w:line="141" w:lineRule="exact"/>
              <w:rPr>
                <w:sz w:val="20"/>
                <w:szCs w:val="20"/>
                <w:color w:val="auto"/>
              </w:rPr>
            </w:pPr>
            <w:r>
              <w:rPr>
                <w:rFonts w:ascii="Arial" w:cs="Arial" w:eastAsia="Arial" w:hAnsi="Arial"/>
                <w:sz w:val="14"/>
                <w:szCs w:val="14"/>
                <w:color w:val="auto"/>
              </w:rPr>
              <w:t>(750)</w:t>
            </w:r>
          </w:p>
        </w:tc>
        <w:tc>
          <w:tcPr>
            <w:tcW w:w="8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23"/>
        </w:trPr>
        <w:tc>
          <w:tcPr>
            <w:tcW w:w="2040" w:type="dxa"/>
            <w:vAlign w:val="bottom"/>
            <w:tcBorders>
              <w:right w:val="single" w:sz="8" w:color="CCFFCC"/>
            </w:tcBorders>
            <w:gridSpan w:val="3"/>
            <w:shd w:val="clear" w:color="auto" w:fill="CCFFCC"/>
          </w:tcPr>
          <w:p>
            <w:pPr>
              <w:spacing w:after="0" w:line="123" w:lineRule="exact"/>
              <w:rPr>
                <w:sz w:val="20"/>
                <w:szCs w:val="20"/>
                <w:color w:val="auto"/>
              </w:rPr>
            </w:pPr>
            <w:r>
              <w:rPr>
                <w:rFonts w:ascii="Arial" w:cs="Arial" w:eastAsia="Arial" w:hAnsi="Arial"/>
                <w:sz w:val="14"/>
                <w:szCs w:val="14"/>
                <w:color w:val="auto"/>
              </w:rPr>
              <w:t>General and administrative</w:t>
            </w:r>
          </w:p>
        </w:tc>
        <w:tc>
          <w:tcPr>
            <w:tcW w:w="880" w:type="dxa"/>
            <w:vAlign w:val="bottom"/>
            <w:tcBorders>
              <w:right w:val="single" w:sz="8" w:color="CCFFCC"/>
            </w:tcBorders>
            <w:gridSpan w:val="2"/>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rPr>
              <w:t>(6,357)</w:t>
            </w:r>
          </w:p>
        </w:tc>
        <w:tc>
          <w:tcPr>
            <w:tcW w:w="880" w:type="dxa"/>
            <w:vAlign w:val="bottom"/>
            <w:tcBorders>
              <w:right w:val="single" w:sz="8" w:color="CCFFCC"/>
            </w:tcBorders>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(13,611)</w:t>
            </w:r>
          </w:p>
        </w:tc>
        <w:tc>
          <w:tcPr>
            <w:tcW w:w="860" w:type="dxa"/>
            <w:vAlign w:val="bottom"/>
            <w:tcBorders>
              <w:right w:val="single" w:sz="8" w:color="CCFFCC"/>
            </w:tcBorders>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(13,083)</w:t>
            </w:r>
          </w:p>
        </w:tc>
        <w:tc>
          <w:tcPr>
            <w:tcW w:w="900" w:type="dxa"/>
            <w:vAlign w:val="bottom"/>
            <w:tcBorders>
              <w:right w:val="single" w:sz="8" w:color="CCFFCC"/>
            </w:tcBorders>
            <w:gridSpan w:val="2"/>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(11,182)</w:t>
            </w:r>
          </w:p>
        </w:tc>
        <w:tc>
          <w:tcPr>
            <w:tcW w:w="900" w:type="dxa"/>
            <w:vAlign w:val="bottom"/>
            <w:tcBorders>
              <w:right w:val="single" w:sz="8" w:color="CCFFCC"/>
            </w:tcBorders>
            <w:gridSpan w:val="4"/>
            <w:shd w:val="clear" w:color="auto" w:fill="CCFFCC"/>
          </w:tcPr>
          <w:p>
            <w:pPr>
              <w:jc w:val="right"/>
              <w:spacing w:after="0" w:line="123" w:lineRule="exact"/>
              <w:rPr>
                <w:sz w:val="20"/>
                <w:szCs w:val="20"/>
                <w:color w:val="auto"/>
              </w:rPr>
            </w:pPr>
            <w:r>
              <w:rPr>
                <w:rFonts w:ascii="Arial" w:cs="Arial" w:eastAsia="Arial" w:hAnsi="Arial"/>
                <w:sz w:val="14"/>
                <w:szCs w:val="14"/>
                <w:color w:val="auto"/>
              </w:rPr>
              <w:t>(14,875)</w:t>
            </w:r>
          </w:p>
        </w:tc>
        <w:tc>
          <w:tcPr>
            <w:tcW w:w="1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tcBorders>
              <w:right w:val="single" w:sz="8" w:color="CCFFCC"/>
            </w:tcBorders>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(2,935)</w:t>
            </w:r>
          </w:p>
        </w:tc>
        <w:tc>
          <w:tcPr>
            <w:tcW w:w="900" w:type="dxa"/>
            <w:vAlign w:val="bottom"/>
            <w:tcBorders>
              <w:right w:val="single" w:sz="8" w:color="CCFFCC"/>
            </w:tcBorders>
            <w:gridSpan w:val="4"/>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(2,926)</w:t>
            </w:r>
          </w:p>
        </w:tc>
        <w:tc>
          <w:tcPr>
            <w:tcW w:w="88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60"/>
        </w:trPr>
        <w:tc>
          <w:tcPr>
            <w:tcW w:w="20" w:type="dxa"/>
            <w:vAlign w:val="bottom"/>
            <w:shd w:val="clear" w:color="auto" w:fill="CCFFCC"/>
          </w:tcPr>
          <w:p>
            <w:pPr>
              <w:spacing w:after="0"/>
              <w:rPr>
                <w:sz w:val="13"/>
                <w:szCs w:val="13"/>
                <w:color w:val="auto"/>
              </w:rPr>
            </w:pPr>
          </w:p>
        </w:tc>
        <w:tc>
          <w:tcPr>
            <w:tcW w:w="2020" w:type="dxa"/>
            <w:vAlign w:val="bottom"/>
            <w:tcBorders>
              <w:right w:val="single" w:sz="8" w:color="CCFFCC"/>
            </w:tcBorders>
            <w:gridSpan w:val="2"/>
            <w:shd w:val="clear" w:color="auto" w:fill="CCFFCC"/>
          </w:tcPr>
          <w:p>
            <w:pPr>
              <w:ind w:left="160"/>
              <w:spacing w:after="0" w:line="160" w:lineRule="exact"/>
              <w:rPr>
                <w:sz w:val="20"/>
                <w:szCs w:val="20"/>
                <w:color w:val="auto"/>
              </w:rPr>
            </w:pPr>
            <w:r>
              <w:rPr>
                <w:rFonts w:ascii="Arial" w:cs="Arial" w:eastAsia="Arial" w:hAnsi="Arial"/>
                <w:sz w:val="14"/>
                <w:szCs w:val="14"/>
                <w:color w:val="auto"/>
              </w:rPr>
              <w:t>expenses</w:t>
            </w:r>
          </w:p>
        </w:tc>
        <w:tc>
          <w:tcPr>
            <w:tcW w:w="720" w:type="dxa"/>
            <w:vAlign w:val="bottom"/>
            <w:shd w:val="clear" w:color="auto" w:fill="CCFFCC"/>
          </w:tcPr>
          <w:p>
            <w:pPr>
              <w:spacing w:after="0"/>
              <w:rPr>
                <w:sz w:val="13"/>
                <w:szCs w:val="13"/>
                <w:color w:val="auto"/>
              </w:rPr>
            </w:pPr>
          </w:p>
        </w:tc>
        <w:tc>
          <w:tcPr>
            <w:tcW w:w="160" w:type="dxa"/>
            <w:vAlign w:val="bottom"/>
            <w:tcBorders>
              <w:right w:val="single" w:sz="8" w:color="CCFFCC"/>
            </w:tcBorders>
            <w:shd w:val="clear" w:color="auto" w:fill="CCFFCC"/>
          </w:tcPr>
          <w:p>
            <w:pPr>
              <w:spacing w:after="0"/>
              <w:rPr>
                <w:sz w:val="13"/>
                <w:szCs w:val="13"/>
                <w:color w:val="auto"/>
              </w:rPr>
            </w:pPr>
          </w:p>
        </w:tc>
        <w:tc>
          <w:tcPr>
            <w:tcW w:w="740" w:type="dxa"/>
            <w:vAlign w:val="bottom"/>
            <w:shd w:val="clear" w:color="auto" w:fill="CCFFCC"/>
          </w:tcPr>
          <w:p>
            <w:pPr>
              <w:spacing w:after="0"/>
              <w:rPr>
                <w:sz w:val="13"/>
                <w:szCs w:val="13"/>
                <w:color w:val="auto"/>
              </w:rPr>
            </w:pPr>
          </w:p>
        </w:tc>
        <w:tc>
          <w:tcPr>
            <w:tcW w:w="140" w:type="dxa"/>
            <w:vAlign w:val="bottom"/>
            <w:tcBorders>
              <w:right w:val="single" w:sz="8" w:color="CCFFCC"/>
            </w:tcBorders>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40" w:type="dxa"/>
            <w:vAlign w:val="bottom"/>
            <w:tcBorders>
              <w:righ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6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40" w:type="dxa"/>
            <w:vAlign w:val="bottom"/>
            <w:gridSpan w:val="3"/>
          </w:tcPr>
          <w:p>
            <w:pPr>
              <w:spacing w:after="0" w:line="123" w:lineRule="exact"/>
              <w:rPr>
                <w:sz w:val="20"/>
                <w:szCs w:val="20"/>
                <w:color w:val="auto"/>
              </w:rPr>
            </w:pPr>
            <w:r>
              <w:rPr>
                <w:rFonts w:ascii="Arial" w:cs="Arial" w:eastAsia="Arial" w:hAnsi="Arial"/>
                <w:sz w:val="14"/>
                <w:szCs w:val="14"/>
                <w:color w:val="auto"/>
                <w:w w:val="97"/>
              </w:rPr>
              <w:t>Gain on adjusting warrants to fair</w:t>
            </w:r>
          </w:p>
        </w:tc>
        <w:tc>
          <w:tcPr>
            <w:tcW w:w="88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rPr>
              <w:t>27,557</w:t>
            </w:r>
          </w:p>
        </w:tc>
        <w:tc>
          <w:tcPr>
            <w:tcW w:w="86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3,658</w:t>
            </w:r>
          </w:p>
        </w:tc>
        <w:tc>
          <w:tcPr>
            <w:tcW w:w="90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4"/>
          </w:tcPr>
          <w:p>
            <w:pPr>
              <w:jc w:val="right"/>
              <w:ind w:right="38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gridSpan w:val="2"/>
          </w:tcPr>
          <w:p>
            <w:pPr>
              <w:ind w:left="160"/>
              <w:spacing w:after="0" w:line="160" w:lineRule="exact"/>
              <w:rPr>
                <w:sz w:val="20"/>
                <w:szCs w:val="20"/>
                <w:color w:val="auto"/>
              </w:rPr>
            </w:pPr>
            <w:r>
              <w:rPr>
                <w:rFonts w:ascii="Arial" w:cs="Arial" w:eastAsia="Arial" w:hAnsi="Arial"/>
                <w:sz w:val="14"/>
                <w:szCs w:val="14"/>
                <w:color w:val="auto"/>
              </w:rPr>
              <w:t>value</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40" w:type="dxa"/>
            <w:vAlign w:val="bottom"/>
            <w:tcBorders>
              <w:right w:val="single" w:sz="8" w:color="CCFFCC"/>
            </w:tcBorders>
            <w:gridSpan w:val="3"/>
            <w:shd w:val="clear" w:color="auto" w:fill="CCFFCC"/>
          </w:tcPr>
          <w:p>
            <w:pPr>
              <w:spacing w:after="0" w:line="141" w:lineRule="exact"/>
              <w:rPr>
                <w:sz w:val="20"/>
                <w:szCs w:val="20"/>
                <w:color w:val="auto"/>
              </w:rPr>
            </w:pPr>
            <w:r>
              <w:rPr>
                <w:rFonts w:ascii="Arial" w:cs="Arial" w:eastAsia="Arial" w:hAnsi="Arial"/>
                <w:sz w:val="14"/>
                <w:szCs w:val="14"/>
                <w:color w:val="auto"/>
              </w:rPr>
              <w:t>Capital loss, net</w:t>
            </w:r>
          </w:p>
        </w:tc>
        <w:tc>
          <w:tcPr>
            <w:tcW w:w="880" w:type="dxa"/>
            <w:vAlign w:val="bottom"/>
            <w:tcBorders>
              <w:right w:val="single" w:sz="8" w:color="CCFFCC"/>
            </w:tcBorders>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(121)</w:t>
            </w:r>
          </w:p>
        </w:tc>
        <w:tc>
          <w:tcPr>
            <w:tcW w:w="880" w:type="dxa"/>
            <w:vAlign w:val="bottom"/>
            <w:tcBorders>
              <w:right w:val="single" w:sz="8" w:color="CCFFCC"/>
            </w:tcBorders>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CCFFCC"/>
            </w:tcBorders>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FFCC"/>
            </w:tcBorders>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100" w:type="dxa"/>
            <w:vAlign w:val="bottom"/>
            <w:tcBorders>
              <w:righ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40" w:type="dxa"/>
            <w:vAlign w:val="bottom"/>
            <w:gridSpan w:val="3"/>
          </w:tcPr>
          <w:p>
            <w:pPr>
              <w:spacing w:after="0" w:line="135" w:lineRule="exact"/>
              <w:rPr>
                <w:sz w:val="20"/>
                <w:szCs w:val="20"/>
                <w:color w:val="auto"/>
              </w:rPr>
            </w:pPr>
            <w:r>
              <w:rPr>
                <w:rFonts w:ascii="Arial" w:cs="Arial" w:eastAsia="Arial" w:hAnsi="Arial"/>
                <w:sz w:val="14"/>
                <w:szCs w:val="14"/>
                <w:color w:val="auto"/>
              </w:rPr>
              <w:t>Operating profit (loss)</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(48,671)</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(61,917)</w:t>
            </w:r>
          </w:p>
        </w:tc>
        <w:tc>
          <w:tcPr>
            <w:tcW w:w="86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(115,581)</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(63,282)</w:t>
            </w:r>
          </w:p>
        </w:tc>
        <w:tc>
          <w:tcPr>
            <w:tcW w:w="900" w:type="dxa"/>
            <w:vAlign w:val="bottom"/>
            <w:gridSpan w:val="4"/>
          </w:tcPr>
          <w:p>
            <w:pPr>
              <w:jc w:val="right"/>
              <w:ind w:right="51"/>
              <w:spacing w:after="0" w:line="135" w:lineRule="exact"/>
              <w:rPr>
                <w:sz w:val="20"/>
                <w:szCs w:val="20"/>
                <w:color w:val="auto"/>
              </w:rPr>
            </w:pPr>
            <w:r>
              <w:rPr>
                <w:rFonts w:ascii="Arial" w:cs="Arial" w:eastAsia="Arial" w:hAnsi="Arial"/>
                <w:sz w:val="14"/>
                <w:szCs w:val="14"/>
                <w:color w:val="auto"/>
              </w:rPr>
              <w:t>13,139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60"/>
              <w:spacing w:after="0" w:line="135" w:lineRule="exact"/>
              <w:rPr>
                <w:sz w:val="20"/>
                <w:szCs w:val="20"/>
                <w:color w:val="auto"/>
              </w:rPr>
            </w:pPr>
            <w:r>
              <w:rPr>
                <w:rFonts w:ascii="Arial" w:cs="Arial" w:eastAsia="Arial" w:hAnsi="Arial"/>
                <w:sz w:val="14"/>
                <w:szCs w:val="14"/>
                <w:color w:val="auto"/>
              </w:rPr>
              <w:t>(14,630)</w:t>
            </w:r>
          </w:p>
        </w:tc>
        <w:tc>
          <w:tcPr>
            <w:tcW w:w="900" w:type="dxa"/>
            <w:vAlign w:val="bottom"/>
            <w:gridSpan w:val="4"/>
          </w:tcPr>
          <w:p>
            <w:pPr>
              <w:jc w:val="right"/>
              <w:ind w:right="60"/>
              <w:spacing w:after="0" w:line="135" w:lineRule="exact"/>
              <w:rPr>
                <w:sz w:val="20"/>
                <w:szCs w:val="20"/>
                <w:color w:val="auto"/>
              </w:rPr>
            </w:pPr>
            <w:r>
              <w:rPr>
                <w:rFonts w:ascii="Arial" w:cs="Arial" w:eastAsia="Arial" w:hAnsi="Arial"/>
                <w:sz w:val="14"/>
                <w:szCs w:val="14"/>
                <w:color w:val="auto"/>
              </w:rPr>
              <w:t>(10,060)</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4"/>
                <w:szCs w:val="14"/>
                <w:color w:val="auto"/>
              </w:rPr>
              <w:t>(2,889)</w:t>
            </w:r>
          </w:p>
        </w:tc>
        <w:tc>
          <w:tcPr>
            <w:tcW w:w="0" w:type="dxa"/>
            <w:vAlign w:val="bottom"/>
          </w:tcPr>
          <w:p>
            <w:pPr>
              <w:spacing w:after="0"/>
              <w:rPr>
                <w:sz w:val="1"/>
                <w:szCs w:val="1"/>
                <w:color w:val="auto"/>
              </w:rPr>
            </w:pPr>
          </w:p>
        </w:tc>
      </w:tr>
      <w:tr>
        <w:trPr>
          <w:trHeight w:val="141"/>
        </w:trPr>
        <w:tc>
          <w:tcPr>
            <w:tcW w:w="2040" w:type="dxa"/>
            <w:vAlign w:val="bottom"/>
            <w:tcBorders>
              <w:right w:val="single" w:sz="8" w:color="CCFFCC"/>
            </w:tcBorders>
            <w:gridSpan w:val="3"/>
            <w:shd w:val="clear" w:color="auto" w:fill="CCFFCC"/>
          </w:tcPr>
          <w:p>
            <w:pPr>
              <w:spacing w:after="0" w:line="141" w:lineRule="exact"/>
              <w:rPr>
                <w:sz w:val="20"/>
                <w:szCs w:val="20"/>
                <w:color w:val="auto"/>
              </w:rPr>
            </w:pPr>
            <w:r>
              <w:rPr>
                <w:rFonts w:ascii="Arial" w:cs="Arial" w:eastAsia="Arial" w:hAnsi="Arial"/>
                <w:sz w:val="14"/>
                <w:szCs w:val="14"/>
                <w:color w:val="auto"/>
              </w:rPr>
              <w:t>Financial income</w:t>
            </w:r>
          </w:p>
        </w:tc>
        <w:tc>
          <w:tcPr>
            <w:tcW w:w="880" w:type="dxa"/>
            <w:vAlign w:val="bottom"/>
            <w:tcBorders>
              <w:right w:val="single" w:sz="8" w:color="CCFFCC"/>
            </w:tcBorders>
            <w:gridSpan w:val="2"/>
            <w:shd w:val="clear" w:color="auto" w:fill="CCFFCC"/>
          </w:tcPr>
          <w:p>
            <w:pPr>
              <w:jc w:val="right"/>
              <w:ind w:right="160"/>
              <w:spacing w:after="0" w:line="141" w:lineRule="exact"/>
              <w:rPr>
                <w:sz w:val="20"/>
                <w:szCs w:val="20"/>
                <w:color w:val="auto"/>
              </w:rPr>
            </w:pPr>
            <w:r>
              <w:rPr>
                <w:rFonts w:ascii="Arial" w:cs="Arial" w:eastAsia="Arial" w:hAnsi="Arial"/>
                <w:sz w:val="14"/>
                <w:szCs w:val="14"/>
                <w:color w:val="auto"/>
              </w:rPr>
              <w:t>584</w:t>
            </w:r>
          </w:p>
        </w:tc>
        <w:tc>
          <w:tcPr>
            <w:tcW w:w="880" w:type="dxa"/>
            <w:vAlign w:val="bottom"/>
            <w:tcBorders>
              <w:right w:val="single" w:sz="8" w:color="CCFFCC"/>
            </w:tcBorders>
            <w:gridSpan w:val="2"/>
            <w:shd w:val="clear" w:color="auto" w:fill="CCFFCC"/>
          </w:tcPr>
          <w:p>
            <w:pPr>
              <w:jc w:val="right"/>
              <w:ind w:right="140"/>
              <w:spacing w:after="0" w:line="141" w:lineRule="exact"/>
              <w:rPr>
                <w:sz w:val="20"/>
                <w:szCs w:val="20"/>
                <w:color w:val="auto"/>
              </w:rPr>
            </w:pPr>
            <w:r>
              <w:rPr>
                <w:rFonts w:ascii="Arial" w:cs="Arial" w:eastAsia="Arial" w:hAnsi="Arial"/>
                <w:sz w:val="14"/>
                <w:szCs w:val="14"/>
                <w:color w:val="auto"/>
              </w:rPr>
              <w:t>7,875</w:t>
            </w:r>
          </w:p>
        </w:tc>
        <w:tc>
          <w:tcPr>
            <w:tcW w:w="860" w:type="dxa"/>
            <w:vAlign w:val="bottom"/>
            <w:tcBorders>
              <w:right w:val="single" w:sz="8" w:color="CCFFCC"/>
            </w:tcBorders>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13,001</w:t>
            </w:r>
          </w:p>
        </w:tc>
        <w:tc>
          <w:tcPr>
            <w:tcW w:w="900" w:type="dxa"/>
            <w:vAlign w:val="bottom"/>
            <w:tcBorders>
              <w:right w:val="single" w:sz="8" w:color="CCFFCC"/>
            </w:tcBorders>
            <w:gridSpan w:val="2"/>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3,928</w:t>
            </w:r>
          </w:p>
        </w:tc>
        <w:tc>
          <w:tcPr>
            <w:tcW w:w="900" w:type="dxa"/>
            <w:vAlign w:val="bottom"/>
            <w:tcBorders>
              <w:right w:val="single" w:sz="8" w:color="CCFFCC"/>
            </w:tcBorders>
            <w:gridSpan w:val="4"/>
            <w:shd w:val="clear" w:color="auto" w:fill="CCFFCC"/>
          </w:tcPr>
          <w:p>
            <w:pPr>
              <w:jc w:val="right"/>
              <w:ind w:right="51"/>
              <w:spacing w:after="0" w:line="141" w:lineRule="exact"/>
              <w:rPr>
                <w:sz w:val="20"/>
                <w:szCs w:val="20"/>
                <w:color w:val="auto"/>
              </w:rPr>
            </w:pPr>
            <w:r>
              <w:rPr>
                <w:rFonts w:ascii="Arial" w:cs="Arial" w:eastAsia="Arial" w:hAnsi="Arial"/>
                <w:sz w:val="14"/>
                <w:szCs w:val="14"/>
                <w:color w:val="auto"/>
              </w:rPr>
              <w:t>3,056</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40" w:type="dxa"/>
            <w:vAlign w:val="bottom"/>
            <w:tcBorders>
              <w:right w:val="single" w:sz="8" w:color="CCFFCC"/>
            </w:tcBorders>
            <w:gridSpan w:val="3"/>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193</w:t>
            </w:r>
          </w:p>
        </w:tc>
        <w:tc>
          <w:tcPr>
            <w:tcW w:w="900" w:type="dxa"/>
            <w:vAlign w:val="bottom"/>
            <w:tcBorders>
              <w:right w:val="single" w:sz="8" w:color="CCFFCC"/>
            </w:tcBorders>
            <w:gridSpan w:val="4"/>
            <w:shd w:val="clear" w:color="auto" w:fill="CCFFCC"/>
          </w:tcPr>
          <w:p>
            <w:pPr>
              <w:jc w:val="right"/>
              <w:ind w:right="120"/>
              <w:spacing w:after="0" w:line="141" w:lineRule="exact"/>
              <w:rPr>
                <w:sz w:val="20"/>
                <w:szCs w:val="20"/>
                <w:color w:val="auto"/>
              </w:rPr>
            </w:pPr>
            <w:r>
              <w:rPr>
                <w:rFonts w:ascii="Arial" w:cs="Arial" w:eastAsia="Arial" w:hAnsi="Arial"/>
                <w:sz w:val="14"/>
                <w:szCs w:val="14"/>
                <w:color w:val="auto"/>
              </w:rPr>
              <w:t>1,183</w:t>
            </w:r>
          </w:p>
        </w:tc>
        <w:tc>
          <w:tcPr>
            <w:tcW w:w="880" w:type="dxa"/>
            <w:vAlign w:val="bottom"/>
            <w:gridSpan w:val="2"/>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1"/>
        </w:trPr>
        <w:tc>
          <w:tcPr>
            <w:tcW w:w="2040" w:type="dxa"/>
            <w:vAlign w:val="bottom"/>
            <w:gridSpan w:val="3"/>
          </w:tcPr>
          <w:p>
            <w:pPr>
              <w:spacing w:after="0" w:line="141" w:lineRule="exact"/>
              <w:rPr>
                <w:sz w:val="20"/>
                <w:szCs w:val="20"/>
                <w:color w:val="auto"/>
              </w:rPr>
            </w:pPr>
            <w:r>
              <w:rPr>
                <w:rFonts w:ascii="Arial" w:cs="Arial" w:eastAsia="Arial" w:hAnsi="Arial"/>
                <w:sz w:val="14"/>
                <w:szCs w:val="14"/>
                <w:color w:val="auto"/>
              </w:rPr>
              <w:t>Financial expenses</w:t>
            </w: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(834)</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(5,377)</w:t>
            </w:r>
          </w:p>
        </w:tc>
        <w:tc>
          <w:tcPr>
            <w:tcW w:w="86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(12,269)</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(2,164)</w:t>
            </w:r>
          </w:p>
        </w:tc>
        <w:tc>
          <w:tcPr>
            <w:tcW w:w="900" w:type="dxa"/>
            <w:vAlign w:val="bottom"/>
            <w:gridSpan w:val="4"/>
          </w:tcPr>
          <w:p>
            <w:pPr>
              <w:jc w:val="right"/>
              <w:spacing w:after="0" w:line="141" w:lineRule="exact"/>
              <w:rPr>
                <w:sz w:val="20"/>
                <w:szCs w:val="20"/>
                <w:color w:val="auto"/>
              </w:rPr>
            </w:pPr>
            <w:r>
              <w:rPr>
                <w:rFonts w:ascii="Arial" w:cs="Arial" w:eastAsia="Arial" w:hAnsi="Arial"/>
                <w:sz w:val="14"/>
                <w:szCs w:val="14"/>
                <w:color w:val="auto"/>
              </w:rPr>
              <w:t>(8,755)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60"/>
              <w:spacing w:after="0" w:line="141" w:lineRule="exact"/>
              <w:rPr>
                <w:sz w:val="20"/>
                <w:szCs w:val="20"/>
                <w:color w:val="auto"/>
              </w:rPr>
            </w:pPr>
            <w:r>
              <w:rPr>
                <w:rFonts w:ascii="Arial" w:cs="Arial" w:eastAsia="Arial" w:hAnsi="Arial"/>
                <w:sz w:val="14"/>
                <w:szCs w:val="14"/>
                <w:color w:val="auto"/>
              </w:rPr>
              <w:t>(1,038)</w:t>
            </w:r>
          </w:p>
        </w:tc>
        <w:tc>
          <w:tcPr>
            <w:tcW w:w="900" w:type="dxa"/>
            <w:vAlign w:val="bottom"/>
            <w:gridSpan w:val="4"/>
          </w:tcPr>
          <w:p>
            <w:pPr>
              <w:jc w:val="right"/>
              <w:ind w:right="60"/>
              <w:spacing w:after="0" w:line="141" w:lineRule="exact"/>
              <w:rPr>
                <w:sz w:val="20"/>
                <w:szCs w:val="20"/>
                <w:color w:val="auto"/>
              </w:rPr>
            </w:pPr>
            <w:r>
              <w:rPr>
                <w:rFonts w:ascii="Arial" w:cs="Arial" w:eastAsia="Arial" w:hAnsi="Arial"/>
                <w:sz w:val="14"/>
                <w:szCs w:val="14"/>
                <w:color w:val="auto"/>
              </w:rPr>
              <w:t>(2,767)</w:t>
            </w:r>
          </w:p>
        </w:tc>
        <w:tc>
          <w:tcPr>
            <w:tcW w:w="8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40" w:type="dxa"/>
            <w:vAlign w:val="bottom"/>
            <w:tcBorders>
              <w:right w:val="single" w:sz="8" w:color="CCFFCC"/>
            </w:tcBorders>
            <w:gridSpan w:val="3"/>
            <w:shd w:val="clear" w:color="auto" w:fill="CCFFCC"/>
          </w:tcPr>
          <w:p>
            <w:pPr>
              <w:spacing w:after="0" w:line="135" w:lineRule="exact"/>
              <w:rPr>
                <w:sz w:val="20"/>
                <w:szCs w:val="20"/>
                <w:color w:val="auto"/>
              </w:rPr>
            </w:pPr>
            <w:r>
              <w:rPr>
                <w:rFonts w:ascii="Arial" w:cs="Arial" w:eastAsia="Arial" w:hAnsi="Arial"/>
                <w:sz w:val="14"/>
                <w:szCs w:val="14"/>
                <w:color w:val="auto"/>
              </w:rPr>
              <w:t>Net profit (loss)</w:t>
            </w:r>
          </w:p>
        </w:tc>
        <w:tc>
          <w:tcPr>
            <w:tcW w:w="880" w:type="dxa"/>
            <w:vAlign w:val="bottom"/>
            <w:tcBorders>
              <w:right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4"/>
                <w:szCs w:val="14"/>
                <w:color w:val="auto"/>
              </w:rPr>
              <w:t>(48,921)</w:t>
            </w:r>
          </w:p>
        </w:tc>
        <w:tc>
          <w:tcPr>
            <w:tcW w:w="880" w:type="dxa"/>
            <w:vAlign w:val="bottom"/>
            <w:tcBorders>
              <w:right w:val="single" w:sz="8" w:color="CCFFCC"/>
            </w:tcBorders>
            <w:gridSpan w:val="2"/>
            <w:shd w:val="clear" w:color="auto" w:fill="CCFFCC"/>
          </w:tcPr>
          <w:p>
            <w:pPr>
              <w:jc w:val="right"/>
              <w:ind w:right="100"/>
              <w:spacing w:after="0" w:line="135" w:lineRule="exact"/>
              <w:rPr>
                <w:sz w:val="20"/>
                <w:szCs w:val="20"/>
                <w:color w:val="auto"/>
              </w:rPr>
            </w:pPr>
            <w:r>
              <w:rPr>
                <w:rFonts w:ascii="Arial" w:cs="Arial" w:eastAsia="Arial" w:hAnsi="Arial"/>
                <w:sz w:val="14"/>
                <w:szCs w:val="14"/>
                <w:color w:val="auto"/>
              </w:rPr>
              <w:t>(59,419)</w:t>
            </w:r>
          </w:p>
        </w:tc>
        <w:tc>
          <w:tcPr>
            <w:tcW w:w="860" w:type="dxa"/>
            <w:vAlign w:val="bottom"/>
            <w:tcBorders>
              <w:right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4"/>
                <w:szCs w:val="14"/>
                <w:color w:val="auto"/>
              </w:rPr>
              <w:t>114,849</w:t>
            </w:r>
          </w:p>
        </w:tc>
        <w:tc>
          <w:tcPr>
            <w:tcW w:w="900" w:type="dxa"/>
            <w:vAlign w:val="bottom"/>
            <w:tcBorders>
              <w:right w:val="single" w:sz="8" w:color="CCFFCC"/>
            </w:tcBorders>
            <w:gridSpan w:val="2"/>
            <w:shd w:val="clear" w:color="auto" w:fill="CCFFCC"/>
          </w:tcPr>
          <w:p>
            <w:pPr>
              <w:jc w:val="right"/>
              <w:ind w:right="120"/>
              <w:spacing w:after="0" w:line="135" w:lineRule="exact"/>
              <w:rPr>
                <w:sz w:val="20"/>
                <w:szCs w:val="20"/>
                <w:color w:val="auto"/>
              </w:rPr>
            </w:pPr>
            <w:r>
              <w:rPr>
                <w:rFonts w:ascii="Arial" w:cs="Arial" w:eastAsia="Arial" w:hAnsi="Arial"/>
                <w:sz w:val="14"/>
                <w:szCs w:val="14"/>
                <w:color w:val="auto"/>
              </w:rPr>
              <w:t>61,518</w:t>
            </w:r>
          </w:p>
        </w:tc>
        <w:tc>
          <w:tcPr>
            <w:tcW w:w="900" w:type="dxa"/>
            <w:vAlign w:val="bottom"/>
            <w:tcBorders>
              <w:right w:val="single" w:sz="8" w:color="CCFFCC"/>
            </w:tcBorders>
            <w:gridSpan w:val="4"/>
            <w:shd w:val="clear" w:color="auto" w:fill="CCFFCC"/>
          </w:tcPr>
          <w:p>
            <w:pPr>
              <w:jc w:val="right"/>
              <w:ind w:right="51"/>
              <w:spacing w:after="0" w:line="135" w:lineRule="exact"/>
              <w:rPr>
                <w:sz w:val="20"/>
                <w:szCs w:val="20"/>
                <w:color w:val="auto"/>
              </w:rPr>
            </w:pPr>
            <w:r>
              <w:rPr>
                <w:rFonts w:ascii="Arial" w:cs="Arial" w:eastAsia="Arial" w:hAnsi="Arial"/>
                <w:sz w:val="14"/>
                <w:szCs w:val="14"/>
                <w:color w:val="auto"/>
              </w:rPr>
              <w:t>7,440</w:t>
            </w: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40" w:type="dxa"/>
            <w:vAlign w:val="bottom"/>
            <w:tcBorders>
              <w:right w:val="single" w:sz="8" w:color="CCFFCC"/>
            </w:tcBorders>
            <w:gridSpan w:val="3"/>
            <w:shd w:val="clear" w:color="auto" w:fill="CCFFCC"/>
          </w:tcPr>
          <w:p>
            <w:pPr>
              <w:jc w:val="right"/>
              <w:ind w:right="60"/>
              <w:spacing w:after="0" w:line="135" w:lineRule="exact"/>
              <w:rPr>
                <w:sz w:val="20"/>
                <w:szCs w:val="20"/>
                <w:color w:val="auto"/>
              </w:rPr>
            </w:pPr>
            <w:r>
              <w:rPr>
                <w:rFonts w:ascii="Arial" w:cs="Arial" w:eastAsia="Arial" w:hAnsi="Arial"/>
                <w:sz w:val="14"/>
                <w:szCs w:val="14"/>
                <w:color w:val="auto"/>
              </w:rPr>
              <w:t>(15,475)</w:t>
            </w:r>
          </w:p>
        </w:tc>
        <w:tc>
          <w:tcPr>
            <w:tcW w:w="900" w:type="dxa"/>
            <w:vAlign w:val="bottom"/>
            <w:tcBorders>
              <w:right w:val="single" w:sz="8" w:color="CCFFCC"/>
            </w:tcBorders>
            <w:gridSpan w:val="4"/>
            <w:shd w:val="clear" w:color="auto" w:fill="CCFFCC"/>
          </w:tcPr>
          <w:p>
            <w:pPr>
              <w:jc w:val="right"/>
              <w:ind w:right="60"/>
              <w:spacing w:after="0" w:line="135" w:lineRule="exact"/>
              <w:rPr>
                <w:sz w:val="20"/>
                <w:szCs w:val="20"/>
                <w:color w:val="auto"/>
              </w:rPr>
            </w:pPr>
            <w:r>
              <w:rPr>
                <w:rFonts w:ascii="Arial" w:cs="Arial" w:eastAsia="Arial" w:hAnsi="Arial"/>
                <w:sz w:val="14"/>
                <w:szCs w:val="14"/>
                <w:color w:val="auto"/>
              </w:rPr>
              <w:t>(11,644)</w:t>
            </w:r>
          </w:p>
        </w:tc>
        <w:tc>
          <w:tcPr>
            <w:tcW w:w="8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40" w:type="dxa"/>
            <w:vAlign w:val="bottom"/>
            <w:gridSpan w:val="3"/>
          </w:tcPr>
          <w:p>
            <w:pPr>
              <w:spacing w:after="0" w:line="124" w:lineRule="exact"/>
              <w:rPr>
                <w:sz w:val="20"/>
                <w:szCs w:val="20"/>
                <w:color w:val="auto"/>
              </w:rPr>
            </w:pPr>
            <w:r>
              <w:rPr>
                <w:rFonts w:ascii="Arial" w:cs="Arial" w:eastAsia="Arial" w:hAnsi="Arial"/>
                <w:sz w:val="14"/>
                <w:szCs w:val="14"/>
                <w:color w:val="auto"/>
              </w:rPr>
              <w:t>Net profit (loss) per ordinary</w:t>
            </w:r>
          </w:p>
        </w:tc>
        <w:tc>
          <w:tcPr>
            <w:tcW w:w="880" w:type="dxa"/>
            <w:vAlign w:val="bottom"/>
            <w:gridSpan w:val="2"/>
          </w:tcPr>
          <w:p>
            <w:pPr>
              <w:jc w:val="right"/>
              <w:ind w:right="120"/>
              <w:spacing w:after="0" w:line="124" w:lineRule="exact"/>
              <w:rPr>
                <w:sz w:val="20"/>
                <w:szCs w:val="20"/>
                <w:color w:val="auto"/>
              </w:rPr>
            </w:pPr>
            <w:r>
              <w:rPr>
                <w:rFonts w:ascii="Arial" w:cs="Arial" w:eastAsia="Arial" w:hAnsi="Arial"/>
                <w:sz w:val="14"/>
                <w:szCs w:val="14"/>
                <w:color w:val="auto"/>
              </w:rPr>
              <w:t>(1,772.6)</w:t>
            </w:r>
          </w:p>
        </w:tc>
        <w:tc>
          <w:tcPr>
            <w:tcW w:w="880" w:type="dxa"/>
            <w:vAlign w:val="bottom"/>
            <w:gridSpan w:val="2"/>
          </w:tcPr>
          <w:p>
            <w:pPr>
              <w:jc w:val="right"/>
              <w:ind w:right="100"/>
              <w:spacing w:after="0" w:line="124" w:lineRule="exact"/>
              <w:rPr>
                <w:sz w:val="20"/>
                <w:szCs w:val="20"/>
                <w:color w:val="auto"/>
              </w:rPr>
            </w:pPr>
            <w:r>
              <w:rPr>
                <w:rFonts w:ascii="Arial" w:cs="Arial" w:eastAsia="Arial" w:hAnsi="Arial"/>
                <w:sz w:val="14"/>
                <w:szCs w:val="14"/>
                <w:color w:val="auto"/>
              </w:rPr>
              <w:t>(0.88)</w:t>
            </w:r>
          </w:p>
        </w:tc>
        <w:tc>
          <w:tcPr>
            <w:tcW w:w="860" w:type="dxa"/>
            <w:vAlign w:val="bottom"/>
            <w:gridSpan w:val="2"/>
          </w:tcPr>
          <w:p>
            <w:pPr>
              <w:jc w:val="right"/>
              <w:ind w:right="80"/>
              <w:spacing w:after="0" w:line="124" w:lineRule="exact"/>
              <w:rPr>
                <w:sz w:val="20"/>
                <w:szCs w:val="20"/>
                <w:color w:val="auto"/>
              </w:rPr>
            </w:pPr>
            <w:r>
              <w:rPr>
                <w:rFonts w:ascii="Arial" w:cs="Arial" w:eastAsia="Arial" w:hAnsi="Arial"/>
                <w:sz w:val="14"/>
                <w:szCs w:val="14"/>
                <w:color w:val="auto"/>
              </w:rPr>
              <w:t>(1.44)</w:t>
            </w:r>
          </w:p>
        </w:tc>
        <w:tc>
          <w:tcPr>
            <w:tcW w:w="900" w:type="dxa"/>
            <w:vAlign w:val="bottom"/>
            <w:gridSpan w:val="2"/>
          </w:tcPr>
          <w:p>
            <w:pPr>
              <w:jc w:val="right"/>
              <w:ind w:right="80"/>
              <w:spacing w:after="0" w:line="124" w:lineRule="exact"/>
              <w:rPr>
                <w:sz w:val="20"/>
                <w:szCs w:val="20"/>
                <w:color w:val="auto"/>
              </w:rPr>
            </w:pPr>
            <w:r>
              <w:rPr>
                <w:rFonts w:ascii="Arial" w:cs="Arial" w:eastAsia="Arial" w:hAnsi="Arial"/>
                <w:sz w:val="14"/>
                <w:szCs w:val="14"/>
                <w:color w:val="auto"/>
              </w:rPr>
              <w:t>(0.63)</w:t>
            </w:r>
          </w:p>
        </w:tc>
        <w:tc>
          <w:tcPr>
            <w:tcW w:w="900" w:type="dxa"/>
            <w:vAlign w:val="bottom"/>
            <w:gridSpan w:val="4"/>
          </w:tcPr>
          <w:p>
            <w:pPr>
              <w:jc w:val="right"/>
              <w:ind w:right="51"/>
              <w:spacing w:after="0" w:line="124"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right"/>
              <w:ind w:right="60"/>
              <w:spacing w:after="0" w:line="124" w:lineRule="exact"/>
              <w:rPr>
                <w:sz w:val="20"/>
                <w:szCs w:val="20"/>
                <w:color w:val="auto"/>
              </w:rPr>
            </w:pPr>
            <w:r>
              <w:rPr>
                <w:rFonts w:ascii="Arial" w:cs="Arial" w:eastAsia="Arial" w:hAnsi="Arial"/>
                <w:sz w:val="14"/>
                <w:szCs w:val="14"/>
                <w:color w:val="auto"/>
              </w:rPr>
              <w:t>(0.13)</w:t>
            </w:r>
          </w:p>
        </w:tc>
        <w:tc>
          <w:tcPr>
            <w:tcW w:w="900" w:type="dxa"/>
            <w:vAlign w:val="bottom"/>
            <w:gridSpan w:val="4"/>
          </w:tcPr>
          <w:p>
            <w:pPr>
              <w:jc w:val="right"/>
              <w:ind w:right="60"/>
              <w:spacing w:after="0" w:line="124" w:lineRule="exact"/>
              <w:rPr>
                <w:sz w:val="20"/>
                <w:szCs w:val="20"/>
                <w:color w:val="auto"/>
              </w:rPr>
            </w:pPr>
            <w:r>
              <w:rPr>
                <w:rFonts w:ascii="Arial" w:cs="Arial" w:eastAsia="Arial" w:hAnsi="Arial"/>
                <w:sz w:val="14"/>
                <w:szCs w:val="14"/>
                <w:color w:val="auto"/>
              </w:rPr>
              <w:t>(0.09)</w:t>
            </w:r>
          </w:p>
        </w:tc>
        <w:tc>
          <w:tcPr>
            <w:tcW w:w="880" w:type="dxa"/>
            <w:vAlign w:val="bottom"/>
            <w:gridSpan w:val="2"/>
          </w:tcPr>
          <w:p>
            <w:pPr>
              <w:jc w:val="right"/>
              <w:ind w:right="40"/>
              <w:spacing w:after="0" w:line="124"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gridSpan w:val="2"/>
          </w:tcPr>
          <w:p>
            <w:pPr>
              <w:ind w:left="160"/>
              <w:spacing w:after="0" w:line="189" w:lineRule="exact"/>
              <w:rPr>
                <w:sz w:val="20"/>
                <w:szCs w:val="20"/>
                <w:color w:val="auto"/>
              </w:rPr>
            </w:pPr>
            <w:r>
              <w:rPr>
                <w:rFonts w:ascii="Arial" w:cs="Arial" w:eastAsia="Arial" w:hAnsi="Arial"/>
                <w:sz w:val="13"/>
                <w:szCs w:val="13"/>
                <w:color w:val="auto"/>
              </w:rPr>
              <w:t>share</w:t>
            </w:r>
            <w:r>
              <w:rPr>
                <w:rFonts w:ascii="Arial" w:cs="Arial" w:eastAsia="Arial" w:hAnsi="Arial"/>
                <w:sz w:val="21"/>
                <w:szCs w:val="21"/>
                <w:color w:val="auto"/>
                <w:vertAlign w:val="superscript"/>
              </w:rPr>
              <w:t>(3)</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40" w:type="dxa"/>
            <w:vAlign w:val="bottom"/>
            <w:tcBorders>
              <w:right w:val="single" w:sz="8" w:color="CCFFCC"/>
            </w:tcBorders>
            <w:gridSpan w:val="3"/>
            <w:shd w:val="clear" w:color="auto" w:fill="CCFFCC"/>
          </w:tcPr>
          <w:p>
            <w:pPr>
              <w:spacing w:after="0" w:line="123" w:lineRule="exact"/>
              <w:rPr>
                <w:sz w:val="20"/>
                <w:szCs w:val="20"/>
                <w:color w:val="auto"/>
              </w:rPr>
            </w:pPr>
            <w:r>
              <w:rPr>
                <w:rFonts w:ascii="Arial" w:cs="Arial" w:eastAsia="Arial" w:hAnsi="Arial"/>
                <w:sz w:val="14"/>
                <w:szCs w:val="14"/>
                <w:color w:val="auto"/>
                <w:w w:val="93"/>
              </w:rPr>
              <w:t>Number of ordinary shares used in</w:t>
            </w:r>
          </w:p>
        </w:tc>
        <w:tc>
          <w:tcPr>
            <w:tcW w:w="880" w:type="dxa"/>
            <w:vAlign w:val="bottom"/>
            <w:tcBorders>
              <w:right w:val="single" w:sz="8" w:color="CCFFCC"/>
            </w:tcBorders>
            <w:gridSpan w:val="2"/>
            <w:shd w:val="clear" w:color="auto" w:fill="CCFFCC"/>
          </w:tcPr>
          <w:p>
            <w:pPr>
              <w:jc w:val="right"/>
              <w:ind w:right="160"/>
              <w:spacing w:after="0" w:line="123" w:lineRule="exact"/>
              <w:rPr>
                <w:sz w:val="20"/>
                <w:szCs w:val="20"/>
                <w:color w:val="auto"/>
              </w:rPr>
            </w:pPr>
            <w:r>
              <w:rPr>
                <w:rFonts w:ascii="Arial" w:cs="Arial" w:eastAsia="Arial" w:hAnsi="Arial"/>
                <w:sz w:val="14"/>
                <w:szCs w:val="14"/>
                <w:color w:val="auto"/>
              </w:rPr>
              <w:t>38,521</w:t>
            </w:r>
          </w:p>
        </w:tc>
        <w:tc>
          <w:tcPr>
            <w:tcW w:w="880" w:type="dxa"/>
            <w:vAlign w:val="bottom"/>
            <w:tcBorders>
              <w:right w:val="single" w:sz="8" w:color="CCFFCC"/>
            </w:tcBorders>
            <w:gridSpan w:val="2"/>
            <w:shd w:val="clear" w:color="auto" w:fill="CCFFCC"/>
          </w:tcPr>
          <w:p>
            <w:pPr>
              <w:jc w:val="right"/>
              <w:ind w:right="140"/>
              <w:spacing w:after="0" w:line="123" w:lineRule="exact"/>
              <w:rPr>
                <w:sz w:val="20"/>
                <w:szCs w:val="20"/>
                <w:color w:val="auto"/>
              </w:rPr>
            </w:pPr>
            <w:r>
              <w:rPr>
                <w:rFonts w:ascii="Arial" w:cs="Arial" w:eastAsia="Arial" w:hAnsi="Arial"/>
                <w:sz w:val="14"/>
                <w:szCs w:val="14"/>
                <w:color w:val="auto"/>
              </w:rPr>
              <w:t>69,302,075</w:t>
            </w:r>
          </w:p>
        </w:tc>
        <w:tc>
          <w:tcPr>
            <w:tcW w:w="860" w:type="dxa"/>
            <w:vAlign w:val="bottom"/>
            <w:tcBorders>
              <w:right w:val="single" w:sz="8" w:color="CCFFCC"/>
            </w:tcBorders>
            <w:gridSpan w:val="2"/>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rPr>
              <w:t>78,131,103</w:t>
            </w:r>
          </w:p>
        </w:tc>
        <w:tc>
          <w:tcPr>
            <w:tcW w:w="900" w:type="dxa"/>
            <w:vAlign w:val="bottom"/>
            <w:tcBorders>
              <w:right w:val="single" w:sz="8" w:color="CCFFCC"/>
            </w:tcBorders>
            <w:gridSpan w:val="2"/>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w w:val="97"/>
              </w:rPr>
              <w:t>123,497,029</w:t>
            </w:r>
          </w:p>
        </w:tc>
        <w:tc>
          <w:tcPr>
            <w:tcW w:w="1800" w:type="dxa"/>
            <w:vAlign w:val="bottom"/>
            <w:tcBorders>
              <w:right w:val="single" w:sz="8" w:color="CCFFCC"/>
            </w:tcBorders>
            <w:gridSpan w:val="9"/>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w w:val="99"/>
              </w:rPr>
              <w:t>123,512,098   123,497,535</w:t>
            </w:r>
          </w:p>
        </w:tc>
        <w:tc>
          <w:tcPr>
            <w:tcW w:w="900" w:type="dxa"/>
            <w:vAlign w:val="bottom"/>
            <w:tcBorders>
              <w:right w:val="single" w:sz="8" w:color="CCFFCC"/>
            </w:tcBorders>
            <w:gridSpan w:val="4"/>
            <w:shd w:val="clear" w:color="auto" w:fill="CCFFCC"/>
          </w:tcPr>
          <w:p>
            <w:pPr>
              <w:jc w:val="right"/>
              <w:ind w:right="120"/>
              <w:spacing w:after="0" w:line="123" w:lineRule="exact"/>
              <w:rPr>
                <w:sz w:val="20"/>
                <w:szCs w:val="20"/>
                <w:color w:val="auto"/>
              </w:rPr>
            </w:pPr>
            <w:r>
              <w:rPr>
                <w:rFonts w:ascii="Arial" w:cs="Arial" w:eastAsia="Arial" w:hAnsi="Arial"/>
                <w:sz w:val="14"/>
                <w:szCs w:val="14"/>
                <w:color w:val="auto"/>
                <w:w w:val="97"/>
              </w:rPr>
              <w:t>123,579,221</w:t>
            </w:r>
          </w:p>
        </w:tc>
        <w:tc>
          <w:tcPr>
            <w:tcW w:w="88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w w:val="97"/>
              </w:rPr>
              <w:t>123,579,221</w:t>
            </w:r>
          </w:p>
        </w:tc>
        <w:tc>
          <w:tcPr>
            <w:tcW w:w="0" w:type="dxa"/>
            <w:vAlign w:val="bottom"/>
          </w:tcPr>
          <w:p>
            <w:pPr>
              <w:spacing w:after="0"/>
              <w:rPr>
                <w:sz w:val="1"/>
                <w:szCs w:val="1"/>
                <w:color w:val="auto"/>
              </w:rPr>
            </w:pPr>
          </w:p>
        </w:tc>
      </w:tr>
      <w:tr>
        <w:trPr>
          <w:trHeight w:val="141"/>
        </w:trPr>
        <w:tc>
          <w:tcPr>
            <w:tcW w:w="20" w:type="dxa"/>
            <w:vAlign w:val="bottom"/>
            <w:shd w:val="clear" w:color="auto" w:fill="CCFFCC"/>
          </w:tcPr>
          <w:p>
            <w:pPr>
              <w:spacing w:after="0"/>
              <w:rPr>
                <w:sz w:val="12"/>
                <w:szCs w:val="12"/>
                <w:color w:val="auto"/>
              </w:rPr>
            </w:pPr>
          </w:p>
        </w:tc>
        <w:tc>
          <w:tcPr>
            <w:tcW w:w="2020" w:type="dxa"/>
            <w:vAlign w:val="bottom"/>
            <w:tcBorders>
              <w:right w:val="single" w:sz="8" w:color="CCFFCC"/>
            </w:tcBorders>
            <w:gridSpan w:val="2"/>
            <w:shd w:val="clear" w:color="auto" w:fill="CCFFCC"/>
          </w:tcPr>
          <w:p>
            <w:pPr>
              <w:ind w:left="160"/>
              <w:spacing w:after="0" w:line="141" w:lineRule="exact"/>
              <w:rPr>
                <w:sz w:val="20"/>
                <w:szCs w:val="20"/>
                <w:color w:val="auto"/>
              </w:rPr>
            </w:pPr>
            <w:r>
              <w:rPr>
                <w:rFonts w:ascii="Arial" w:cs="Arial" w:eastAsia="Arial" w:hAnsi="Arial"/>
                <w:sz w:val="14"/>
                <w:szCs w:val="14"/>
                <w:color w:val="auto"/>
              </w:rPr>
              <w:t>computing profit (loss) per</w:t>
            </w:r>
          </w:p>
        </w:tc>
        <w:tc>
          <w:tcPr>
            <w:tcW w:w="720" w:type="dxa"/>
            <w:vAlign w:val="bottom"/>
            <w:shd w:val="clear" w:color="auto" w:fill="CCFFCC"/>
          </w:tcPr>
          <w:p>
            <w:pPr>
              <w:spacing w:after="0"/>
              <w:rPr>
                <w:sz w:val="12"/>
                <w:szCs w:val="12"/>
                <w:color w:val="auto"/>
              </w:rPr>
            </w:pPr>
          </w:p>
        </w:tc>
        <w:tc>
          <w:tcPr>
            <w:tcW w:w="160" w:type="dxa"/>
            <w:vAlign w:val="bottom"/>
            <w:tcBorders>
              <w:right w:val="single" w:sz="8" w:color="CCFFCC"/>
            </w:tcBorders>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40" w:type="dxa"/>
            <w:vAlign w:val="bottom"/>
            <w:tcBorders>
              <w:right w:val="single" w:sz="8" w:color="CCFFCC"/>
            </w:tcBorders>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FFCC"/>
          </w:tcPr>
          <w:p>
            <w:pPr>
              <w:spacing w:after="0"/>
              <w:rPr>
                <w:sz w:val="13"/>
                <w:szCs w:val="13"/>
                <w:color w:val="auto"/>
              </w:rPr>
            </w:pPr>
          </w:p>
        </w:tc>
        <w:tc>
          <w:tcPr>
            <w:tcW w:w="2020" w:type="dxa"/>
            <w:vAlign w:val="bottom"/>
            <w:tcBorders>
              <w:right w:val="single" w:sz="8" w:color="CCFFCC"/>
            </w:tcBorders>
            <w:gridSpan w:val="2"/>
            <w:shd w:val="clear" w:color="auto" w:fill="CCFFCC"/>
          </w:tcPr>
          <w:p>
            <w:pPr>
              <w:ind w:left="160"/>
              <w:spacing w:after="0" w:line="160" w:lineRule="exact"/>
              <w:rPr>
                <w:sz w:val="20"/>
                <w:szCs w:val="20"/>
                <w:color w:val="auto"/>
              </w:rPr>
            </w:pPr>
            <w:r>
              <w:rPr>
                <w:rFonts w:ascii="Arial" w:cs="Arial" w:eastAsia="Arial" w:hAnsi="Arial"/>
                <w:sz w:val="14"/>
                <w:szCs w:val="14"/>
                <w:color w:val="auto"/>
              </w:rPr>
              <w:t>ordinary share</w:t>
            </w:r>
          </w:p>
        </w:tc>
        <w:tc>
          <w:tcPr>
            <w:tcW w:w="720" w:type="dxa"/>
            <w:vAlign w:val="bottom"/>
            <w:shd w:val="clear" w:color="auto" w:fill="CCFFCC"/>
          </w:tcPr>
          <w:p>
            <w:pPr>
              <w:spacing w:after="0"/>
              <w:rPr>
                <w:sz w:val="13"/>
                <w:szCs w:val="13"/>
                <w:color w:val="auto"/>
              </w:rPr>
            </w:pPr>
          </w:p>
        </w:tc>
        <w:tc>
          <w:tcPr>
            <w:tcW w:w="160" w:type="dxa"/>
            <w:vAlign w:val="bottom"/>
            <w:tcBorders>
              <w:right w:val="single" w:sz="8" w:color="CCFFCC"/>
            </w:tcBorders>
            <w:shd w:val="clear" w:color="auto" w:fill="CCFFCC"/>
          </w:tcPr>
          <w:p>
            <w:pPr>
              <w:spacing w:after="0"/>
              <w:rPr>
                <w:sz w:val="13"/>
                <w:szCs w:val="13"/>
                <w:color w:val="auto"/>
              </w:rPr>
            </w:pPr>
          </w:p>
        </w:tc>
        <w:tc>
          <w:tcPr>
            <w:tcW w:w="740" w:type="dxa"/>
            <w:vAlign w:val="bottom"/>
            <w:shd w:val="clear" w:color="auto" w:fill="CCFFCC"/>
          </w:tcPr>
          <w:p>
            <w:pPr>
              <w:spacing w:after="0"/>
              <w:rPr>
                <w:sz w:val="13"/>
                <w:szCs w:val="13"/>
                <w:color w:val="auto"/>
              </w:rPr>
            </w:pPr>
          </w:p>
        </w:tc>
        <w:tc>
          <w:tcPr>
            <w:tcW w:w="140" w:type="dxa"/>
            <w:vAlign w:val="bottom"/>
            <w:tcBorders>
              <w:right w:val="single" w:sz="8" w:color="CCFFCC"/>
            </w:tcBorders>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40" w:type="dxa"/>
            <w:vAlign w:val="bottom"/>
            <w:tcBorders>
              <w:righ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6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3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320" w:type="dxa"/>
            <w:vAlign w:val="bottom"/>
            <w:shd w:val="clear" w:color="auto" w:fill="CCFFCC"/>
          </w:tcPr>
          <w:p>
            <w:pPr>
              <w:spacing w:after="0"/>
              <w:rPr>
                <w:sz w:val="13"/>
                <w:szCs w:val="13"/>
                <w:color w:val="auto"/>
              </w:rPr>
            </w:pPr>
          </w:p>
        </w:tc>
        <w:tc>
          <w:tcPr>
            <w:tcW w:w="120" w:type="dxa"/>
            <w:vAlign w:val="bottom"/>
            <w:tcBorders>
              <w:right w:val="single" w:sz="8" w:color="CCFFCC"/>
            </w:tcBorders>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4"/>
              </w:rPr>
              <w:t>As of March 31,</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Consolidated Balance Sheet Data:</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gridSpan w:val="3"/>
          </w:tcPr>
          <w:p>
            <w:pPr>
              <w:jc w:val="center"/>
              <w:ind w:left="112"/>
              <w:spacing w:after="0" w:line="186" w:lineRule="exact"/>
              <w:rPr>
                <w:sz w:val="20"/>
                <w:szCs w:val="20"/>
                <w:color w:val="auto"/>
              </w:rPr>
            </w:pPr>
            <w:r>
              <w:rPr>
                <w:rFonts w:ascii="Arial" w:cs="Arial" w:eastAsia="Arial" w:hAnsi="Arial"/>
                <w:sz w:val="13"/>
                <w:szCs w:val="13"/>
                <w:b w:val="1"/>
                <w:bCs w:val="1"/>
                <w:color w:val="auto"/>
                <w:w w:val="86"/>
              </w:rPr>
              <w:t>2011</w:t>
            </w:r>
            <w:r>
              <w:rPr>
                <w:rFonts w:ascii="Arial" w:cs="Arial" w:eastAsia="Arial" w:hAnsi="Arial"/>
                <w:sz w:val="21"/>
                <w:szCs w:val="21"/>
                <w:b w:val="1"/>
                <w:bCs w:val="1"/>
                <w:color w:val="auto"/>
                <w:w w:val="86"/>
                <w:vertAlign w:val="superscript"/>
              </w:rPr>
              <w:t>(2)</w:t>
            </w:r>
          </w:p>
        </w:tc>
        <w:tc>
          <w:tcPr>
            <w:tcW w:w="1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w w:val="90"/>
              </w:rPr>
              <w:t>(in thousands</w:t>
            </w:r>
          </w:p>
        </w:tc>
        <w:tc>
          <w:tcPr>
            <w:tcW w:w="160" w:type="dxa"/>
            <w:vAlign w:val="bottom"/>
          </w:tcPr>
          <w:p>
            <w:pPr>
              <w:spacing w:after="0"/>
              <w:rPr>
                <w:sz w:val="13"/>
                <w:szCs w:val="13"/>
                <w:color w:val="auto"/>
              </w:rPr>
            </w:pPr>
          </w:p>
        </w:tc>
        <w:tc>
          <w:tcPr>
            <w:tcW w:w="1380" w:type="dxa"/>
            <w:vAlign w:val="bottom"/>
            <w:gridSpan w:val="6"/>
          </w:tcPr>
          <w:p>
            <w:pPr>
              <w:jc w:val="center"/>
              <w:ind w:right="440"/>
              <w:spacing w:after="0" w:line="155" w:lineRule="exact"/>
              <w:rPr>
                <w:sz w:val="20"/>
                <w:szCs w:val="20"/>
                <w:color w:val="auto"/>
              </w:rPr>
            </w:pPr>
            <w:r>
              <w:rPr>
                <w:rFonts w:ascii="Arial" w:cs="Arial" w:eastAsia="Arial" w:hAnsi="Arial"/>
                <w:sz w:val="14"/>
                <w:szCs w:val="14"/>
                <w:color w:val="auto"/>
                <w:w w:val="87"/>
              </w:rPr>
              <w:t>(in thousands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4"/>
          </w:tcPr>
          <w:p>
            <w:pPr>
              <w:jc w:val="right"/>
              <w:ind w:right="260"/>
              <w:spacing w:after="0" w:line="160" w:lineRule="exact"/>
              <w:rPr>
                <w:sz w:val="20"/>
                <w:szCs w:val="20"/>
                <w:color w:val="auto"/>
              </w:rPr>
            </w:pPr>
            <w:r>
              <w:rPr>
                <w:rFonts w:ascii="Arial" w:cs="Arial" w:eastAsia="Arial" w:hAnsi="Arial"/>
                <w:sz w:val="14"/>
                <w:szCs w:val="14"/>
                <w:color w:val="auto"/>
              </w:rPr>
              <w:t>NIS)</w:t>
            </w:r>
          </w:p>
        </w:tc>
        <w:tc>
          <w:tcPr>
            <w:tcW w:w="160" w:type="dxa"/>
            <w:vAlign w:val="bottom"/>
          </w:tcPr>
          <w:p>
            <w:pPr>
              <w:spacing w:after="0"/>
              <w:rPr>
                <w:sz w:val="13"/>
                <w:szCs w:val="13"/>
                <w:color w:val="auto"/>
              </w:rPr>
            </w:pPr>
          </w:p>
        </w:tc>
        <w:tc>
          <w:tcPr>
            <w:tcW w:w="1380" w:type="dxa"/>
            <w:vAlign w:val="bottom"/>
            <w:gridSpan w:val="6"/>
          </w:tcPr>
          <w:p>
            <w:pPr>
              <w:jc w:val="center"/>
              <w:ind w:right="420"/>
              <w:spacing w:after="0" w:line="160" w:lineRule="exact"/>
              <w:rPr>
                <w:sz w:val="20"/>
                <w:szCs w:val="20"/>
                <w:color w:val="auto"/>
              </w:rPr>
            </w:pPr>
            <w:r>
              <w:rPr>
                <w:rFonts w:ascii="Arial" w:cs="Arial" w:eastAsia="Arial" w:hAnsi="Arial"/>
                <w:sz w:val="14"/>
                <w:szCs w:val="14"/>
                <w:color w:val="auto"/>
                <w:w w:val="90"/>
              </w:rPr>
              <w:t>U.S.$)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020" w:type="dxa"/>
            <w:vAlign w:val="bottom"/>
            <w:tcBorders>
              <w:right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w w:val="89"/>
              </w:rPr>
              <w:t>Cash and cash equivalents</w:t>
            </w:r>
          </w:p>
        </w:tc>
        <w:tc>
          <w:tcPr>
            <w:tcW w:w="7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160" w:type="dxa"/>
            <w:vAlign w:val="bottom"/>
            <w:gridSpan w:val="6"/>
            <w:shd w:val="clear" w:color="auto" w:fill="CCFFCC"/>
          </w:tcPr>
          <w:p>
            <w:pPr>
              <w:jc w:val="right"/>
              <w:ind w:right="100"/>
              <w:spacing w:after="0"/>
              <w:rPr>
                <w:sz w:val="20"/>
                <w:szCs w:val="20"/>
                <w:color w:val="auto"/>
              </w:rPr>
            </w:pPr>
            <w:r>
              <w:rPr>
                <w:rFonts w:ascii="Arial" w:cs="Arial" w:eastAsia="Arial" w:hAnsi="Arial"/>
                <w:sz w:val="17"/>
                <w:szCs w:val="17"/>
                <w:color w:val="auto"/>
              </w:rPr>
              <w:t>54,737</w:t>
            </w:r>
          </w:p>
        </w:tc>
        <w:tc>
          <w:tcPr>
            <w:tcW w:w="1100" w:type="dxa"/>
            <w:vAlign w:val="bottom"/>
            <w:gridSpan w:val="5"/>
            <w:shd w:val="clear" w:color="auto" w:fill="CCFFCC"/>
          </w:tcPr>
          <w:p>
            <w:pPr>
              <w:jc w:val="right"/>
              <w:ind w:right="160"/>
              <w:spacing w:after="0"/>
              <w:rPr>
                <w:sz w:val="20"/>
                <w:szCs w:val="20"/>
                <w:color w:val="auto"/>
              </w:rPr>
            </w:pPr>
            <w:r>
              <w:rPr>
                <w:rFonts w:ascii="Arial" w:cs="Arial" w:eastAsia="Arial" w:hAnsi="Arial"/>
                <w:sz w:val="17"/>
                <w:szCs w:val="17"/>
                <w:color w:val="auto"/>
              </w:rPr>
              <w:t>15,725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20" w:type="dxa"/>
            <w:vAlign w:val="bottom"/>
            <w:gridSpan w:val="2"/>
          </w:tcPr>
          <w:p>
            <w:pPr>
              <w:ind w:left="160"/>
              <w:spacing w:after="0"/>
              <w:rPr>
                <w:sz w:val="20"/>
                <w:szCs w:val="20"/>
                <w:color w:val="auto"/>
              </w:rPr>
            </w:pPr>
            <w:r>
              <w:rPr>
                <w:rFonts w:ascii="Arial" w:cs="Arial" w:eastAsia="Arial" w:hAnsi="Arial"/>
                <w:sz w:val="17"/>
                <w:szCs w:val="17"/>
                <w:color w:val="auto"/>
              </w:rPr>
              <w:t>Accounts receivable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5"/>
          </w:tcPr>
          <w:p>
            <w:pPr>
              <w:jc w:val="right"/>
              <w:spacing w:after="0"/>
              <w:rPr>
                <w:sz w:val="20"/>
                <w:szCs w:val="20"/>
                <w:color w:val="auto"/>
              </w:rPr>
            </w:pPr>
            <w:r>
              <w:rPr>
                <w:rFonts w:ascii="Arial" w:cs="Arial" w:eastAsia="Arial" w:hAnsi="Arial"/>
                <w:sz w:val="17"/>
                <w:szCs w:val="17"/>
                <w:color w:val="auto"/>
              </w:rPr>
              <w:t>6,439</w:t>
            </w:r>
          </w:p>
        </w:tc>
        <w:tc>
          <w:tcPr>
            <w:tcW w:w="100" w:type="dxa"/>
            <w:vAlign w:val="bottom"/>
          </w:tcPr>
          <w:p>
            <w:pPr>
              <w:spacing w:after="0"/>
              <w:rPr>
                <w:sz w:val="17"/>
                <w:szCs w:val="17"/>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7"/>
                <w:szCs w:val="17"/>
                <w:color w:val="auto"/>
              </w:rPr>
              <w:t>1,849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900" w:type="dxa"/>
            <w:vAlign w:val="bottom"/>
            <w:tcBorders>
              <w:right w:val="single" w:sz="8" w:color="CCFFCC"/>
            </w:tcBorders>
            <w:gridSpan w:val="4"/>
            <w:shd w:val="clear" w:color="auto" w:fill="CCFFCC"/>
          </w:tcPr>
          <w:p>
            <w:pPr>
              <w:ind w:left="160"/>
              <w:spacing w:after="0"/>
              <w:rPr>
                <w:sz w:val="20"/>
                <w:szCs w:val="20"/>
                <w:color w:val="auto"/>
              </w:rPr>
            </w:pPr>
            <w:r>
              <w:rPr>
                <w:rFonts w:ascii="Arial" w:cs="Arial" w:eastAsia="Arial" w:hAnsi="Arial"/>
                <w:sz w:val="17"/>
                <w:szCs w:val="17"/>
                <w:color w:val="auto"/>
              </w:rPr>
              <w:t>Property, plant and equipment, net</w:t>
            </w:r>
          </w:p>
        </w:tc>
        <w:tc>
          <w:tcPr>
            <w:tcW w:w="74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60" w:type="dxa"/>
            <w:vAlign w:val="bottom"/>
            <w:gridSpan w:val="5"/>
            <w:shd w:val="clear" w:color="auto" w:fill="CCFFCC"/>
          </w:tcPr>
          <w:p>
            <w:pPr>
              <w:jc w:val="right"/>
              <w:spacing w:after="0"/>
              <w:rPr>
                <w:sz w:val="20"/>
                <w:szCs w:val="20"/>
                <w:color w:val="auto"/>
              </w:rPr>
            </w:pPr>
            <w:r>
              <w:rPr>
                <w:rFonts w:ascii="Arial" w:cs="Arial" w:eastAsia="Arial" w:hAnsi="Arial"/>
                <w:sz w:val="17"/>
                <w:szCs w:val="17"/>
                <w:color w:val="auto"/>
              </w:rPr>
              <w:t>4,350</w:t>
            </w:r>
          </w:p>
        </w:tc>
        <w:tc>
          <w:tcPr>
            <w:tcW w:w="100" w:type="dxa"/>
            <w:vAlign w:val="bottom"/>
            <w:shd w:val="clear" w:color="auto" w:fill="CCFFCC"/>
          </w:tcPr>
          <w:p>
            <w:pPr>
              <w:spacing w:after="0"/>
              <w:rPr>
                <w:sz w:val="17"/>
                <w:szCs w:val="17"/>
                <w:color w:val="auto"/>
              </w:rPr>
            </w:pPr>
          </w:p>
        </w:tc>
        <w:tc>
          <w:tcPr>
            <w:tcW w:w="1100" w:type="dxa"/>
            <w:vAlign w:val="bottom"/>
            <w:gridSpan w:val="5"/>
            <w:shd w:val="clear" w:color="auto" w:fill="CCFFCC"/>
          </w:tcPr>
          <w:p>
            <w:pPr>
              <w:jc w:val="right"/>
              <w:ind w:right="160"/>
              <w:spacing w:after="0"/>
              <w:rPr>
                <w:sz w:val="20"/>
                <w:szCs w:val="20"/>
                <w:color w:val="auto"/>
              </w:rPr>
            </w:pPr>
            <w:r>
              <w:rPr>
                <w:rFonts w:ascii="Arial" w:cs="Arial" w:eastAsia="Arial" w:hAnsi="Arial"/>
                <w:sz w:val="17"/>
                <w:szCs w:val="17"/>
                <w:color w:val="auto"/>
              </w:rPr>
              <w:t>1,250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5"/>
          </w:tcPr>
          <w:p>
            <w:pPr>
              <w:jc w:val="right"/>
              <w:spacing w:after="0"/>
              <w:rPr>
                <w:sz w:val="20"/>
                <w:szCs w:val="20"/>
                <w:color w:val="auto"/>
              </w:rPr>
            </w:pPr>
            <w:r>
              <w:rPr>
                <w:rFonts w:ascii="Arial" w:cs="Arial" w:eastAsia="Arial" w:hAnsi="Arial"/>
                <w:sz w:val="17"/>
                <w:szCs w:val="17"/>
                <w:color w:val="auto"/>
              </w:rPr>
              <w:t>143,661</w:t>
            </w:r>
          </w:p>
        </w:tc>
        <w:tc>
          <w:tcPr>
            <w:tcW w:w="100" w:type="dxa"/>
            <w:vAlign w:val="bottom"/>
          </w:tcPr>
          <w:p>
            <w:pPr>
              <w:spacing w:after="0"/>
              <w:rPr>
                <w:sz w:val="17"/>
                <w:szCs w:val="17"/>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7"/>
                <w:szCs w:val="17"/>
                <w:color w:val="auto"/>
              </w:rPr>
              <w:t>41,270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020" w:type="dxa"/>
            <w:vAlign w:val="bottom"/>
            <w:tcBorders>
              <w:right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Total liabilities</w:t>
            </w:r>
          </w:p>
        </w:tc>
        <w:tc>
          <w:tcPr>
            <w:tcW w:w="7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160" w:type="dxa"/>
            <w:vAlign w:val="bottom"/>
            <w:gridSpan w:val="6"/>
            <w:shd w:val="clear" w:color="auto" w:fill="CCFFCC"/>
          </w:tcPr>
          <w:p>
            <w:pPr>
              <w:jc w:val="right"/>
              <w:ind w:right="40"/>
              <w:spacing w:after="0"/>
              <w:rPr>
                <w:sz w:val="20"/>
                <w:szCs w:val="20"/>
                <w:color w:val="auto"/>
              </w:rPr>
            </w:pPr>
            <w:r>
              <w:rPr>
                <w:rFonts w:ascii="Arial" w:cs="Arial" w:eastAsia="Arial" w:hAnsi="Arial"/>
                <w:sz w:val="17"/>
                <w:szCs w:val="17"/>
                <w:color w:val="auto"/>
              </w:rPr>
              <w:t>(22,712)</w:t>
            </w:r>
          </w:p>
        </w:tc>
        <w:tc>
          <w:tcPr>
            <w:tcW w:w="1100" w:type="dxa"/>
            <w:vAlign w:val="bottom"/>
            <w:gridSpan w:val="5"/>
            <w:shd w:val="clear" w:color="auto" w:fill="CCFFCC"/>
          </w:tcPr>
          <w:p>
            <w:pPr>
              <w:jc w:val="right"/>
              <w:ind w:right="100"/>
              <w:spacing w:after="0"/>
              <w:rPr>
                <w:sz w:val="20"/>
                <w:szCs w:val="20"/>
                <w:color w:val="auto"/>
              </w:rPr>
            </w:pPr>
            <w:r>
              <w:rPr>
                <w:rFonts w:ascii="Arial" w:cs="Arial" w:eastAsia="Arial" w:hAnsi="Arial"/>
                <w:sz w:val="17"/>
                <w:szCs w:val="17"/>
                <w:color w:val="auto"/>
              </w:rPr>
              <w:t>(6,525)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gridSpan w:val="7"/>
          </w:tcPr>
          <w:p>
            <w:pPr>
              <w:spacing w:after="0"/>
              <w:rPr>
                <w:sz w:val="20"/>
                <w:szCs w:val="20"/>
                <w:color w:val="auto"/>
              </w:rPr>
            </w:pPr>
            <w:r>
              <w:rPr>
                <w:rFonts w:ascii="Arial" w:cs="Arial" w:eastAsia="Arial" w:hAnsi="Arial"/>
                <w:sz w:val="17"/>
                <w:szCs w:val="17"/>
                <w:color w:val="auto"/>
              </w:rPr>
              <w:t>Total shareholders’ equity (capital deficiency)</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6"/>
          </w:tcPr>
          <w:p>
            <w:pPr>
              <w:jc w:val="right"/>
              <w:ind w:right="40"/>
              <w:spacing w:after="0"/>
              <w:rPr>
                <w:sz w:val="20"/>
                <w:szCs w:val="20"/>
                <w:color w:val="auto"/>
              </w:rPr>
            </w:pPr>
            <w:r>
              <w:rPr>
                <w:rFonts w:ascii="Arial" w:cs="Arial" w:eastAsia="Arial" w:hAnsi="Arial"/>
                <w:sz w:val="17"/>
                <w:szCs w:val="17"/>
                <w:color w:val="auto"/>
              </w:rPr>
              <w:t>(120,949)</w:t>
            </w:r>
          </w:p>
        </w:tc>
        <w:tc>
          <w:tcPr>
            <w:tcW w:w="1100" w:type="dxa"/>
            <w:vAlign w:val="bottom"/>
            <w:gridSpan w:val="5"/>
          </w:tcPr>
          <w:p>
            <w:pPr>
              <w:jc w:val="right"/>
              <w:ind w:right="100"/>
              <w:spacing w:after="0"/>
              <w:rPr>
                <w:sz w:val="20"/>
                <w:szCs w:val="20"/>
                <w:color w:val="auto"/>
              </w:rPr>
            </w:pPr>
            <w:r>
              <w:rPr>
                <w:rFonts w:ascii="Arial" w:cs="Arial" w:eastAsia="Arial" w:hAnsi="Arial"/>
                <w:sz w:val="17"/>
                <w:szCs w:val="17"/>
                <w:color w:val="auto"/>
              </w:rPr>
              <w:t>(34,745)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-2335530</wp:posOffset>
            </wp:positionV>
            <wp:extent cx="5807075" cy="97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7075" cy="977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-1959610</wp:posOffset>
            </wp:positionV>
            <wp:extent cx="5807075" cy="236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07075" cy="2368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-1526540</wp:posOffset>
            </wp:positionV>
            <wp:extent cx="4958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8080" cy="8255"/>
                    </a:xfrm>
                    <a:prstGeom prst="rect">
                      <a:avLst/>
                    </a:prstGeom>
                    <a:noFill/>
                  </pic:spPr>
                </pic:pic>
              </a:graphicData>
            </a:graphic>
          </wp:anchor>
        </w:drawing>
      </w:r>
    </w:p>
    <w:p>
      <w:pPr>
        <w:spacing w:after="0" w:line="225" w:lineRule="exact"/>
        <w:rPr>
          <w:sz w:val="20"/>
          <w:szCs w:val="20"/>
          <w:color w:val="auto"/>
        </w:rPr>
      </w:pPr>
    </w:p>
    <w:p>
      <w:pPr>
        <w:ind w:left="280" w:right="1239" w:hanging="264"/>
        <w:spacing w:after="0" w:line="278" w:lineRule="auto"/>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Data on diluted loss per share was not presented in the financial statements because the effect of the exercise of the options is anti-dilutive.</w:t>
      </w:r>
    </w:p>
    <w:p>
      <w:pPr>
        <w:spacing w:after="0" w:line="200" w:lineRule="exact"/>
        <w:rPr>
          <w:sz w:val="20"/>
          <w:szCs w:val="20"/>
          <w:color w:val="auto"/>
        </w:rPr>
      </w:pPr>
    </w:p>
    <w:p>
      <w:pPr>
        <w:spacing w:after="0" w:line="29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280" w:right="1399" w:hanging="264"/>
        <w:spacing w:after="0" w:line="278"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Calculated using the exchange rate reported by the Bank of Israel for March 31, 2011 at the rate of one U.S. dollar per NIS 3.481.</w:t>
      </w:r>
    </w:p>
    <w:p>
      <w:pPr>
        <w:spacing w:after="0" w:line="61" w:lineRule="exact"/>
        <w:rPr>
          <w:rFonts w:ascii="Arial" w:cs="Arial" w:eastAsia="Arial" w:hAnsi="Arial"/>
          <w:sz w:val="17"/>
          <w:szCs w:val="17"/>
          <w:color w:val="auto"/>
        </w:rPr>
      </w:pPr>
    </w:p>
    <w:p>
      <w:pPr>
        <w:ind w:left="280" w:hanging="264"/>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net loss per share was adjusted to reflect the benefit component related to the issuance of rights to investors.</w:t>
      </w:r>
    </w:p>
    <w:p>
      <w:pPr>
        <w:spacing w:after="0" w:line="113" w:lineRule="exact"/>
        <w:rPr>
          <w:sz w:val="20"/>
          <w:szCs w:val="20"/>
          <w:color w:val="auto"/>
        </w:rPr>
      </w:pPr>
    </w:p>
    <w:p>
      <w:pPr>
        <w:ind w:left="60" w:right="1459" w:firstLine="257"/>
        <w:spacing w:after="0" w:line="347" w:lineRule="auto"/>
        <w:rPr>
          <w:sz w:val="20"/>
          <w:szCs w:val="20"/>
          <w:color w:val="auto"/>
        </w:rPr>
      </w:pPr>
      <w:r>
        <w:rPr>
          <w:rFonts w:ascii="Arial" w:cs="Arial" w:eastAsia="Arial" w:hAnsi="Arial"/>
          <w:sz w:val="15"/>
          <w:szCs w:val="15"/>
          <w:color w:val="auto"/>
        </w:rPr>
        <w:t>We report our financial statements in NIS. No representation is made that the NIS amounts referred to in this Registration Statement on Form 20-F could have been or could be converted into U.S. dollars at any particular rate or at all.</w:t>
      </w:r>
    </w:p>
    <w:p>
      <w:pPr>
        <w:spacing w:after="0" w:line="16" w:lineRule="exact"/>
        <w:rPr>
          <w:sz w:val="20"/>
          <w:szCs w:val="20"/>
          <w:color w:val="auto"/>
        </w:rPr>
      </w:pPr>
    </w:p>
    <w:p>
      <w:pPr>
        <w:ind w:left="60" w:right="1139" w:firstLine="257"/>
        <w:spacing w:after="0" w:line="264" w:lineRule="auto"/>
        <w:rPr>
          <w:sz w:val="20"/>
          <w:szCs w:val="20"/>
          <w:color w:val="auto"/>
        </w:rPr>
      </w:pPr>
      <w:r>
        <w:rPr>
          <w:rFonts w:ascii="Arial" w:cs="Arial" w:eastAsia="Arial" w:hAnsi="Arial"/>
          <w:sz w:val="17"/>
          <w:szCs w:val="17"/>
          <w:color w:val="auto"/>
        </w:rPr>
        <w:t>The following table sets forth information regarding the exchange rates of U.S. dollars per NIS for the periods indicated. Average rates are calculated by using the daily representative rates as reported by the Bank of Israel on the last day of each month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58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8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NIS per U.S. $</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6"/>
                <w:szCs w:val="16"/>
                <w:color w:val="auto"/>
              </w:rPr>
            </w:pPr>
          </w:p>
        </w:tc>
        <w:tc>
          <w:tcPr>
            <w:tcW w:w="820" w:type="dxa"/>
            <w:vAlign w:val="bottom"/>
          </w:tcPr>
          <w:p>
            <w:pPr>
              <w:jc w:val="right"/>
              <w:ind w:right="186"/>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6"/>
                <w:szCs w:val="16"/>
                <w:color w:val="auto"/>
              </w:rPr>
            </w:pPr>
          </w:p>
        </w:tc>
        <w:tc>
          <w:tcPr>
            <w:tcW w:w="820" w:type="dxa"/>
            <w:vAlign w:val="bottom"/>
          </w:tcPr>
          <w:p>
            <w:pPr>
              <w:jc w:val="right"/>
              <w:ind w:right="8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Arial" w:cs="Arial" w:eastAsia="Arial" w:hAnsi="Arial"/>
                <w:sz w:val="14"/>
                <w:szCs w:val="14"/>
                <w:b w:val="1"/>
                <w:bCs w:val="1"/>
                <w:color w:val="auto"/>
              </w:rPr>
              <w:t>Period End</w:t>
            </w:r>
          </w:p>
        </w:tc>
      </w:tr>
      <w:tr>
        <w:trPr>
          <w:trHeight w:val="199"/>
        </w:trPr>
        <w:tc>
          <w:tcPr>
            <w:tcW w:w="38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7"/>
                <w:szCs w:val="17"/>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3.894</w:t>
            </w:r>
          </w:p>
        </w:tc>
        <w:tc>
          <w:tcPr>
            <w:tcW w:w="140" w:type="dxa"/>
            <w:vAlign w:val="bottom"/>
          </w:tcPr>
          <w:p>
            <w:pPr>
              <w:spacing w:after="0"/>
              <w:rPr>
                <w:sz w:val="17"/>
                <w:szCs w:val="17"/>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7"/>
                <w:szCs w:val="17"/>
                <w:color w:val="auto"/>
              </w:rPr>
              <w:t>3.549</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Arial" w:cs="Arial" w:eastAsia="Arial" w:hAnsi="Arial"/>
                <w:sz w:val="17"/>
                <w:szCs w:val="17"/>
                <w:color w:val="auto"/>
              </w:rPr>
              <w:t>3.730</w:t>
            </w:r>
          </w:p>
        </w:tc>
        <w:tc>
          <w:tcPr>
            <w:tcW w:w="160" w:type="dxa"/>
            <w:vAlign w:val="bottom"/>
          </w:tcPr>
          <w:p>
            <w:pPr>
              <w:spacing w:after="0"/>
              <w:rPr>
                <w:sz w:val="17"/>
                <w:szCs w:val="17"/>
                <w:color w:val="auto"/>
              </w:rPr>
            </w:pP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3.549</w:t>
            </w:r>
          </w:p>
        </w:tc>
      </w:tr>
      <w:tr>
        <w:trPr>
          <w:trHeight w:val="206"/>
        </w:trPr>
        <w:tc>
          <w:tcPr>
            <w:tcW w:w="3800" w:type="dxa"/>
            <w:vAlign w:val="bottom"/>
            <w:shd w:val="clear" w:color="auto" w:fill="CCFFCC"/>
          </w:tcPr>
          <w:p>
            <w:pPr>
              <w:spacing w:after="0"/>
              <w:rPr>
                <w:sz w:val="20"/>
                <w:szCs w:val="20"/>
                <w:color w:val="auto"/>
              </w:rPr>
            </w:pPr>
            <w:r>
              <w:rPr>
                <w:rFonts w:ascii="Arial" w:cs="Arial" w:eastAsia="Arial" w:hAnsi="Arial"/>
                <w:sz w:val="17"/>
                <w:szCs w:val="17"/>
                <w:color w:val="auto"/>
              </w:rPr>
              <w:t>2009</w:t>
            </w: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4.256</w:t>
            </w:r>
          </w:p>
        </w:tc>
        <w:tc>
          <w:tcPr>
            <w:tcW w:w="960" w:type="dxa"/>
            <w:vAlign w:val="bottom"/>
            <w:gridSpan w:val="2"/>
            <w:shd w:val="clear" w:color="auto" w:fill="CCFFCC"/>
          </w:tcPr>
          <w:p>
            <w:pPr>
              <w:jc w:val="right"/>
              <w:ind w:right="6"/>
              <w:spacing w:after="0"/>
              <w:rPr>
                <w:sz w:val="20"/>
                <w:szCs w:val="20"/>
                <w:color w:val="auto"/>
              </w:rPr>
            </w:pPr>
            <w:r>
              <w:rPr>
                <w:rFonts w:ascii="Arial" w:cs="Arial" w:eastAsia="Arial" w:hAnsi="Arial"/>
                <w:sz w:val="17"/>
                <w:szCs w:val="17"/>
                <w:color w:val="auto"/>
              </w:rPr>
              <w:t>3.690</w:t>
            </w:r>
          </w:p>
        </w:tc>
        <w:tc>
          <w:tcPr>
            <w:tcW w:w="980" w:type="dxa"/>
            <w:vAlign w:val="bottom"/>
            <w:gridSpan w:val="2"/>
            <w:shd w:val="clear" w:color="auto" w:fill="CCFFCC"/>
          </w:tcPr>
          <w:p>
            <w:pPr>
              <w:jc w:val="right"/>
              <w:ind w:right="3"/>
              <w:spacing w:after="0"/>
              <w:rPr>
                <w:sz w:val="20"/>
                <w:szCs w:val="20"/>
                <w:color w:val="auto"/>
              </w:rPr>
            </w:pPr>
            <w:r>
              <w:rPr>
                <w:rFonts w:ascii="Arial" w:cs="Arial" w:eastAsia="Arial" w:hAnsi="Arial"/>
                <w:sz w:val="17"/>
                <w:szCs w:val="17"/>
                <w:color w:val="auto"/>
              </w:rPr>
              <w:t>3.923</w:t>
            </w:r>
          </w:p>
        </w:tc>
        <w:tc>
          <w:tcPr>
            <w:tcW w:w="1100" w:type="dxa"/>
            <w:vAlign w:val="bottom"/>
            <w:gridSpan w:val="2"/>
            <w:shd w:val="clear" w:color="auto" w:fill="CCFFCC"/>
          </w:tcPr>
          <w:p>
            <w:pPr>
              <w:jc w:val="right"/>
              <w:ind w:right="43"/>
              <w:spacing w:after="0"/>
              <w:rPr>
                <w:sz w:val="20"/>
                <w:szCs w:val="20"/>
                <w:color w:val="auto"/>
              </w:rPr>
            </w:pPr>
            <w:r>
              <w:rPr>
                <w:rFonts w:ascii="Arial" w:cs="Arial" w:eastAsia="Arial" w:hAnsi="Arial"/>
                <w:sz w:val="17"/>
                <w:szCs w:val="17"/>
                <w:color w:val="auto"/>
              </w:rPr>
              <w:t>3.775</w:t>
            </w:r>
          </w:p>
        </w:tc>
      </w:tr>
      <w:tr>
        <w:trPr>
          <w:trHeight w:val="206"/>
        </w:trPr>
        <w:tc>
          <w:tcPr>
            <w:tcW w:w="3800" w:type="dxa"/>
            <w:vAlign w:val="bottom"/>
          </w:tcPr>
          <w:p>
            <w:pPr>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4.022</w:t>
            </w:r>
          </w:p>
        </w:tc>
        <w:tc>
          <w:tcPr>
            <w:tcW w:w="960" w:type="dxa"/>
            <w:vAlign w:val="bottom"/>
            <w:gridSpan w:val="2"/>
          </w:tcPr>
          <w:p>
            <w:pPr>
              <w:jc w:val="right"/>
              <w:ind w:right="6"/>
              <w:spacing w:after="0"/>
              <w:rPr>
                <w:sz w:val="20"/>
                <w:szCs w:val="20"/>
                <w:color w:val="auto"/>
              </w:rPr>
            </w:pPr>
            <w:r>
              <w:rPr>
                <w:rFonts w:ascii="Arial" w:cs="Arial" w:eastAsia="Arial" w:hAnsi="Arial"/>
                <w:sz w:val="17"/>
                <w:szCs w:val="17"/>
                <w:color w:val="auto"/>
              </w:rPr>
              <w:t>3.230</w:t>
            </w:r>
          </w:p>
        </w:tc>
        <w:tc>
          <w:tcPr>
            <w:tcW w:w="980" w:type="dxa"/>
            <w:vAlign w:val="bottom"/>
            <w:gridSpan w:val="2"/>
          </w:tcPr>
          <w:p>
            <w:pPr>
              <w:jc w:val="right"/>
              <w:ind w:right="3"/>
              <w:spacing w:after="0"/>
              <w:rPr>
                <w:sz w:val="20"/>
                <w:szCs w:val="20"/>
                <w:color w:val="auto"/>
              </w:rPr>
            </w:pPr>
            <w:r>
              <w:rPr>
                <w:rFonts w:ascii="Arial" w:cs="Arial" w:eastAsia="Arial" w:hAnsi="Arial"/>
                <w:sz w:val="17"/>
                <w:szCs w:val="17"/>
                <w:color w:val="auto"/>
              </w:rPr>
              <w:t>3.586</w:t>
            </w:r>
          </w:p>
        </w:tc>
        <w:tc>
          <w:tcPr>
            <w:tcW w:w="1100" w:type="dxa"/>
            <w:vAlign w:val="bottom"/>
            <w:gridSpan w:val="2"/>
          </w:tcPr>
          <w:p>
            <w:pPr>
              <w:jc w:val="right"/>
              <w:ind w:right="43"/>
              <w:spacing w:after="0"/>
              <w:rPr>
                <w:sz w:val="20"/>
                <w:szCs w:val="20"/>
                <w:color w:val="auto"/>
              </w:rPr>
            </w:pPr>
            <w:r>
              <w:rPr>
                <w:rFonts w:ascii="Arial" w:cs="Arial" w:eastAsia="Arial" w:hAnsi="Arial"/>
                <w:sz w:val="17"/>
                <w:szCs w:val="17"/>
                <w:color w:val="auto"/>
              </w:rPr>
              <w:t>3.802</w:t>
            </w:r>
          </w:p>
        </w:tc>
      </w:tr>
      <w:tr>
        <w:trPr>
          <w:trHeight w:val="206"/>
        </w:trPr>
        <w:tc>
          <w:tcPr>
            <w:tcW w:w="3800" w:type="dxa"/>
            <w:vAlign w:val="bottom"/>
            <w:shd w:val="clear" w:color="auto" w:fill="CCFFCC"/>
          </w:tcPr>
          <w:p>
            <w:pPr>
              <w:spacing w:after="0"/>
              <w:rPr>
                <w:sz w:val="20"/>
                <w:szCs w:val="20"/>
                <w:color w:val="auto"/>
              </w:rPr>
            </w:pPr>
            <w:r>
              <w:rPr>
                <w:rFonts w:ascii="Arial" w:cs="Arial" w:eastAsia="Arial" w:hAnsi="Arial"/>
                <w:sz w:val="17"/>
                <w:szCs w:val="17"/>
                <w:color w:val="auto"/>
              </w:rPr>
              <w:t>2007</w:t>
            </w: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4.342</w:t>
            </w:r>
          </w:p>
        </w:tc>
        <w:tc>
          <w:tcPr>
            <w:tcW w:w="960" w:type="dxa"/>
            <w:vAlign w:val="bottom"/>
            <w:gridSpan w:val="2"/>
            <w:shd w:val="clear" w:color="auto" w:fill="CCFFCC"/>
          </w:tcPr>
          <w:p>
            <w:pPr>
              <w:jc w:val="right"/>
              <w:ind w:right="6"/>
              <w:spacing w:after="0"/>
              <w:rPr>
                <w:sz w:val="20"/>
                <w:szCs w:val="20"/>
                <w:color w:val="auto"/>
              </w:rPr>
            </w:pPr>
            <w:r>
              <w:rPr>
                <w:rFonts w:ascii="Arial" w:cs="Arial" w:eastAsia="Arial" w:hAnsi="Arial"/>
                <w:sz w:val="17"/>
                <w:szCs w:val="17"/>
                <w:color w:val="auto"/>
              </w:rPr>
              <w:t>3.830</w:t>
            </w:r>
          </w:p>
        </w:tc>
        <w:tc>
          <w:tcPr>
            <w:tcW w:w="980" w:type="dxa"/>
            <w:vAlign w:val="bottom"/>
            <w:gridSpan w:val="2"/>
            <w:shd w:val="clear" w:color="auto" w:fill="CCFFCC"/>
          </w:tcPr>
          <w:p>
            <w:pPr>
              <w:jc w:val="right"/>
              <w:ind w:right="3"/>
              <w:spacing w:after="0"/>
              <w:rPr>
                <w:sz w:val="20"/>
                <w:szCs w:val="20"/>
                <w:color w:val="auto"/>
              </w:rPr>
            </w:pPr>
            <w:r>
              <w:rPr>
                <w:rFonts w:ascii="Arial" w:cs="Arial" w:eastAsia="Arial" w:hAnsi="Arial"/>
                <w:sz w:val="17"/>
                <w:szCs w:val="17"/>
                <w:color w:val="auto"/>
              </w:rPr>
              <w:t>4.110</w:t>
            </w:r>
          </w:p>
        </w:tc>
        <w:tc>
          <w:tcPr>
            <w:tcW w:w="1100" w:type="dxa"/>
            <w:vAlign w:val="bottom"/>
            <w:gridSpan w:val="2"/>
            <w:shd w:val="clear" w:color="auto" w:fill="CCFFCC"/>
          </w:tcPr>
          <w:p>
            <w:pPr>
              <w:jc w:val="right"/>
              <w:ind w:right="43"/>
              <w:spacing w:after="0"/>
              <w:rPr>
                <w:sz w:val="20"/>
                <w:szCs w:val="20"/>
                <w:color w:val="auto"/>
              </w:rPr>
            </w:pPr>
            <w:r>
              <w:rPr>
                <w:rFonts w:ascii="Arial" w:cs="Arial" w:eastAsia="Arial" w:hAnsi="Arial"/>
                <w:sz w:val="17"/>
                <w:szCs w:val="17"/>
                <w:color w:val="auto"/>
              </w:rPr>
              <w:t>3.846</w:t>
            </w:r>
          </w:p>
        </w:tc>
      </w:tr>
      <w:tr>
        <w:trPr>
          <w:trHeight w:val="217"/>
        </w:trPr>
        <w:tc>
          <w:tcPr>
            <w:tcW w:w="3800" w:type="dxa"/>
            <w:vAlign w:val="bottom"/>
          </w:tcPr>
          <w:p>
            <w:pPr>
              <w:spacing w:after="0"/>
              <w:rPr>
                <w:sz w:val="20"/>
                <w:szCs w:val="20"/>
                <w:color w:val="auto"/>
              </w:rPr>
            </w:pPr>
            <w:r>
              <w:rPr>
                <w:rFonts w:ascii="Arial" w:cs="Arial" w:eastAsia="Arial" w:hAnsi="Arial"/>
                <w:sz w:val="17"/>
                <w:szCs w:val="17"/>
                <w:color w:val="auto"/>
              </w:rPr>
              <w:t>2006</w:t>
            </w:r>
          </w:p>
        </w:tc>
        <w:tc>
          <w:tcPr>
            <w:tcW w:w="14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4.725</w:t>
            </w:r>
          </w:p>
        </w:tc>
        <w:tc>
          <w:tcPr>
            <w:tcW w:w="960" w:type="dxa"/>
            <w:vAlign w:val="bottom"/>
            <w:gridSpan w:val="2"/>
          </w:tcPr>
          <w:p>
            <w:pPr>
              <w:jc w:val="right"/>
              <w:ind w:right="6"/>
              <w:spacing w:after="0"/>
              <w:rPr>
                <w:sz w:val="20"/>
                <w:szCs w:val="20"/>
                <w:color w:val="auto"/>
              </w:rPr>
            </w:pPr>
            <w:r>
              <w:rPr>
                <w:rFonts w:ascii="Arial" w:cs="Arial" w:eastAsia="Arial" w:hAnsi="Arial"/>
                <w:sz w:val="17"/>
                <w:szCs w:val="17"/>
                <w:color w:val="auto"/>
              </w:rPr>
              <w:t>4.176</w:t>
            </w:r>
          </w:p>
        </w:tc>
        <w:tc>
          <w:tcPr>
            <w:tcW w:w="980" w:type="dxa"/>
            <w:vAlign w:val="bottom"/>
            <w:gridSpan w:val="2"/>
          </w:tcPr>
          <w:p>
            <w:pPr>
              <w:jc w:val="right"/>
              <w:ind w:right="3"/>
              <w:spacing w:after="0"/>
              <w:rPr>
                <w:sz w:val="20"/>
                <w:szCs w:val="20"/>
                <w:color w:val="auto"/>
              </w:rPr>
            </w:pPr>
            <w:r>
              <w:rPr>
                <w:rFonts w:ascii="Arial" w:cs="Arial" w:eastAsia="Arial" w:hAnsi="Arial"/>
                <w:sz w:val="17"/>
                <w:szCs w:val="17"/>
                <w:color w:val="auto"/>
              </w:rPr>
              <w:t>4.453</w:t>
            </w:r>
          </w:p>
        </w:tc>
        <w:tc>
          <w:tcPr>
            <w:tcW w:w="1100" w:type="dxa"/>
            <w:vAlign w:val="bottom"/>
            <w:gridSpan w:val="2"/>
          </w:tcPr>
          <w:p>
            <w:pPr>
              <w:jc w:val="right"/>
              <w:ind w:right="43"/>
              <w:spacing w:after="0"/>
              <w:rPr>
                <w:sz w:val="20"/>
                <w:szCs w:val="20"/>
                <w:color w:val="auto"/>
              </w:rPr>
            </w:pPr>
            <w:r>
              <w:rPr>
                <w:rFonts w:ascii="Arial" w:cs="Arial" w:eastAsia="Arial" w:hAnsi="Arial"/>
                <w:sz w:val="17"/>
                <w:szCs w:val="17"/>
                <w:color w:val="auto"/>
              </w:rPr>
              <w:t>4.225</w:t>
            </w:r>
          </w:p>
        </w:tc>
      </w:tr>
    </w:tbl>
    <w:p>
      <w:pPr>
        <w:spacing w:after="0" w:line="80" w:lineRule="exact"/>
        <w:rPr>
          <w:sz w:val="20"/>
          <w:szCs w:val="20"/>
          <w:color w:val="auto"/>
        </w:rPr>
      </w:pPr>
    </w:p>
    <w:p>
      <w:pPr>
        <w:ind w:left="60" w:right="1119" w:firstLine="257"/>
        <w:spacing w:after="0" w:line="270" w:lineRule="auto"/>
        <w:rPr>
          <w:sz w:val="20"/>
          <w:szCs w:val="20"/>
          <w:color w:val="auto"/>
        </w:rPr>
      </w:pPr>
      <w:r>
        <w:rPr>
          <w:rFonts w:ascii="Arial" w:cs="Arial" w:eastAsia="Arial" w:hAnsi="Arial"/>
          <w:sz w:val="17"/>
          <w:szCs w:val="17"/>
          <w:color w:val="auto"/>
        </w:rPr>
        <w:t>The following table sets forth the high and low daily representative rates for the NIS as reported by the Bank of Israel for each of the prior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958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8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NIS per U.S. $</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Month</w:t>
            </w: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6"/>
                <w:szCs w:val="16"/>
                <w:color w:val="auto"/>
              </w:rPr>
            </w:pPr>
          </w:p>
        </w:tc>
        <w:tc>
          <w:tcPr>
            <w:tcW w:w="820" w:type="dxa"/>
            <w:vAlign w:val="bottom"/>
          </w:tcPr>
          <w:p>
            <w:pPr>
              <w:jc w:val="right"/>
              <w:ind w:right="186"/>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6"/>
                <w:szCs w:val="16"/>
                <w:color w:val="auto"/>
              </w:rPr>
            </w:pPr>
          </w:p>
        </w:tc>
        <w:tc>
          <w:tcPr>
            <w:tcW w:w="820" w:type="dxa"/>
            <w:vAlign w:val="bottom"/>
          </w:tcPr>
          <w:p>
            <w:pPr>
              <w:jc w:val="right"/>
              <w:ind w:right="8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Arial" w:cs="Arial" w:eastAsia="Arial" w:hAnsi="Arial"/>
                <w:sz w:val="14"/>
                <w:szCs w:val="14"/>
                <w:b w:val="1"/>
                <w:bCs w:val="1"/>
                <w:color w:val="auto"/>
              </w:rPr>
              <w:t>Period End</w:t>
            </w:r>
          </w:p>
        </w:tc>
      </w:tr>
      <w:tr>
        <w:trPr>
          <w:trHeight w:val="199"/>
        </w:trPr>
        <w:tc>
          <w:tcPr>
            <w:tcW w:w="38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June 2011</w:t>
            </w:r>
          </w:p>
        </w:tc>
        <w:tc>
          <w:tcPr>
            <w:tcW w:w="140" w:type="dxa"/>
            <w:vAlign w:val="bottom"/>
          </w:tcPr>
          <w:p>
            <w:pPr>
              <w:spacing w:after="0"/>
              <w:rPr>
                <w:sz w:val="17"/>
                <w:szCs w:val="17"/>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3.485</w:t>
            </w:r>
          </w:p>
        </w:tc>
        <w:tc>
          <w:tcPr>
            <w:tcW w:w="140" w:type="dxa"/>
            <w:vAlign w:val="bottom"/>
          </w:tcPr>
          <w:p>
            <w:pPr>
              <w:spacing w:after="0"/>
              <w:rPr>
                <w:sz w:val="17"/>
                <w:szCs w:val="17"/>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7"/>
                <w:szCs w:val="17"/>
                <w:color w:val="auto"/>
              </w:rPr>
              <w:t>3.363</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Arial" w:cs="Arial" w:eastAsia="Arial" w:hAnsi="Arial"/>
                <w:sz w:val="17"/>
                <w:szCs w:val="17"/>
                <w:color w:val="auto"/>
              </w:rPr>
              <w:t>3.422</w:t>
            </w:r>
          </w:p>
        </w:tc>
        <w:tc>
          <w:tcPr>
            <w:tcW w:w="160" w:type="dxa"/>
            <w:vAlign w:val="bottom"/>
          </w:tcPr>
          <w:p>
            <w:pPr>
              <w:spacing w:after="0"/>
              <w:rPr>
                <w:sz w:val="17"/>
                <w:szCs w:val="17"/>
                <w:color w:val="auto"/>
              </w:rPr>
            </w:pP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3.415</w:t>
            </w:r>
          </w:p>
        </w:tc>
      </w:tr>
      <w:tr>
        <w:trPr>
          <w:trHeight w:val="206"/>
        </w:trPr>
        <w:tc>
          <w:tcPr>
            <w:tcW w:w="39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May 2011</w:t>
            </w:r>
          </w:p>
        </w:tc>
        <w:tc>
          <w:tcPr>
            <w:tcW w:w="84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3.538</w:t>
            </w:r>
          </w:p>
        </w:tc>
        <w:tc>
          <w:tcPr>
            <w:tcW w:w="960" w:type="dxa"/>
            <w:vAlign w:val="bottom"/>
            <w:gridSpan w:val="2"/>
            <w:shd w:val="clear" w:color="auto" w:fill="CCFFCC"/>
          </w:tcPr>
          <w:p>
            <w:pPr>
              <w:jc w:val="right"/>
              <w:ind w:right="6"/>
              <w:spacing w:after="0"/>
              <w:rPr>
                <w:sz w:val="20"/>
                <w:szCs w:val="20"/>
                <w:color w:val="auto"/>
              </w:rPr>
            </w:pPr>
            <w:r>
              <w:rPr>
                <w:rFonts w:ascii="Arial" w:cs="Arial" w:eastAsia="Arial" w:hAnsi="Arial"/>
                <w:sz w:val="17"/>
                <w:szCs w:val="17"/>
                <w:color w:val="auto"/>
              </w:rPr>
              <w:t>3.377</w:t>
            </w:r>
          </w:p>
        </w:tc>
        <w:tc>
          <w:tcPr>
            <w:tcW w:w="980" w:type="dxa"/>
            <w:vAlign w:val="bottom"/>
            <w:gridSpan w:val="2"/>
            <w:shd w:val="clear" w:color="auto" w:fill="CCFFCC"/>
          </w:tcPr>
          <w:p>
            <w:pPr>
              <w:jc w:val="right"/>
              <w:ind w:right="3"/>
              <w:spacing w:after="0"/>
              <w:rPr>
                <w:sz w:val="20"/>
                <w:szCs w:val="20"/>
                <w:color w:val="auto"/>
              </w:rPr>
            </w:pPr>
            <w:r>
              <w:rPr>
                <w:rFonts w:ascii="Arial" w:cs="Arial" w:eastAsia="Arial" w:hAnsi="Arial"/>
                <w:sz w:val="17"/>
                <w:szCs w:val="17"/>
                <w:color w:val="auto"/>
              </w:rPr>
              <w:t>3.468</w:t>
            </w:r>
          </w:p>
        </w:tc>
        <w:tc>
          <w:tcPr>
            <w:tcW w:w="1100" w:type="dxa"/>
            <w:vAlign w:val="bottom"/>
            <w:gridSpan w:val="2"/>
            <w:shd w:val="clear" w:color="auto" w:fill="CCFFCC"/>
          </w:tcPr>
          <w:p>
            <w:pPr>
              <w:jc w:val="right"/>
              <w:ind w:right="43"/>
              <w:spacing w:after="0"/>
              <w:rPr>
                <w:sz w:val="20"/>
                <w:szCs w:val="20"/>
                <w:color w:val="auto"/>
              </w:rPr>
            </w:pPr>
            <w:r>
              <w:rPr>
                <w:rFonts w:ascii="Arial" w:cs="Arial" w:eastAsia="Arial" w:hAnsi="Arial"/>
                <w:sz w:val="17"/>
                <w:szCs w:val="17"/>
                <w:color w:val="auto"/>
              </w:rPr>
              <w:t>3.437</w:t>
            </w:r>
          </w:p>
        </w:tc>
      </w:tr>
      <w:tr>
        <w:trPr>
          <w:trHeight w:val="206"/>
        </w:trPr>
        <w:tc>
          <w:tcPr>
            <w:tcW w:w="3940" w:type="dxa"/>
            <w:vAlign w:val="bottom"/>
            <w:gridSpan w:val="2"/>
          </w:tcPr>
          <w:p>
            <w:pPr>
              <w:spacing w:after="0"/>
              <w:rPr>
                <w:sz w:val="20"/>
                <w:szCs w:val="20"/>
                <w:color w:val="auto"/>
              </w:rPr>
            </w:pPr>
            <w:r>
              <w:rPr>
                <w:rFonts w:ascii="Arial" w:cs="Arial" w:eastAsia="Arial" w:hAnsi="Arial"/>
                <w:sz w:val="17"/>
                <w:szCs w:val="17"/>
                <w:color w:val="auto"/>
              </w:rPr>
              <w:t>April 2011</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3.473</w:t>
            </w:r>
          </w:p>
        </w:tc>
        <w:tc>
          <w:tcPr>
            <w:tcW w:w="960" w:type="dxa"/>
            <w:vAlign w:val="bottom"/>
            <w:gridSpan w:val="2"/>
          </w:tcPr>
          <w:p>
            <w:pPr>
              <w:jc w:val="right"/>
              <w:ind w:right="6"/>
              <w:spacing w:after="0"/>
              <w:rPr>
                <w:sz w:val="20"/>
                <w:szCs w:val="20"/>
                <w:color w:val="auto"/>
              </w:rPr>
            </w:pPr>
            <w:r>
              <w:rPr>
                <w:rFonts w:ascii="Arial" w:cs="Arial" w:eastAsia="Arial" w:hAnsi="Arial"/>
                <w:sz w:val="17"/>
                <w:szCs w:val="17"/>
                <w:color w:val="auto"/>
              </w:rPr>
              <w:t>3.395</w:t>
            </w:r>
          </w:p>
        </w:tc>
        <w:tc>
          <w:tcPr>
            <w:tcW w:w="980" w:type="dxa"/>
            <w:vAlign w:val="bottom"/>
            <w:gridSpan w:val="2"/>
          </w:tcPr>
          <w:p>
            <w:pPr>
              <w:jc w:val="right"/>
              <w:ind w:right="3"/>
              <w:spacing w:after="0"/>
              <w:rPr>
                <w:sz w:val="20"/>
                <w:szCs w:val="20"/>
                <w:color w:val="auto"/>
              </w:rPr>
            </w:pPr>
            <w:r>
              <w:rPr>
                <w:rFonts w:ascii="Arial" w:cs="Arial" w:eastAsia="Arial" w:hAnsi="Arial"/>
                <w:sz w:val="17"/>
                <w:szCs w:val="17"/>
                <w:color w:val="auto"/>
              </w:rPr>
              <w:t>3.434</w:t>
            </w:r>
          </w:p>
        </w:tc>
        <w:tc>
          <w:tcPr>
            <w:tcW w:w="1100" w:type="dxa"/>
            <w:vAlign w:val="bottom"/>
            <w:gridSpan w:val="2"/>
          </w:tcPr>
          <w:p>
            <w:pPr>
              <w:jc w:val="right"/>
              <w:ind w:right="43"/>
              <w:spacing w:after="0"/>
              <w:rPr>
                <w:sz w:val="20"/>
                <w:szCs w:val="20"/>
                <w:color w:val="auto"/>
              </w:rPr>
            </w:pPr>
            <w:r>
              <w:rPr>
                <w:rFonts w:ascii="Arial" w:cs="Arial" w:eastAsia="Arial" w:hAnsi="Arial"/>
                <w:sz w:val="17"/>
                <w:szCs w:val="17"/>
                <w:color w:val="auto"/>
              </w:rPr>
              <w:t>3.395</w:t>
            </w:r>
          </w:p>
        </w:tc>
      </w:tr>
      <w:tr>
        <w:trPr>
          <w:trHeight w:val="206"/>
        </w:trPr>
        <w:tc>
          <w:tcPr>
            <w:tcW w:w="39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March 2011</w:t>
            </w:r>
          </w:p>
        </w:tc>
        <w:tc>
          <w:tcPr>
            <w:tcW w:w="84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3.635</w:t>
            </w:r>
          </w:p>
        </w:tc>
        <w:tc>
          <w:tcPr>
            <w:tcW w:w="960" w:type="dxa"/>
            <w:vAlign w:val="bottom"/>
            <w:gridSpan w:val="2"/>
            <w:shd w:val="clear" w:color="auto" w:fill="CCFFCC"/>
          </w:tcPr>
          <w:p>
            <w:pPr>
              <w:jc w:val="right"/>
              <w:ind w:right="6"/>
              <w:spacing w:after="0"/>
              <w:rPr>
                <w:sz w:val="20"/>
                <w:szCs w:val="20"/>
                <w:color w:val="auto"/>
              </w:rPr>
            </w:pPr>
            <w:r>
              <w:rPr>
                <w:rFonts w:ascii="Arial" w:cs="Arial" w:eastAsia="Arial" w:hAnsi="Arial"/>
                <w:sz w:val="17"/>
                <w:szCs w:val="17"/>
                <w:color w:val="auto"/>
              </w:rPr>
              <w:t>3.481</w:t>
            </w:r>
          </w:p>
        </w:tc>
        <w:tc>
          <w:tcPr>
            <w:tcW w:w="980" w:type="dxa"/>
            <w:vAlign w:val="bottom"/>
            <w:gridSpan w:val="2"/>
            <w:shd w:val="clear" w:color="auto" w:fill="CCFFCC"/>
          </w:tcPr>
          <w:p>
            <w:pPr>
              <w:jc w:val="right"/>
              <w:ind w:right="3"/>
              <w:spacing w:after="0"/>
              <w:rPr>
                <w:sz w:val="20"/>
                <w:szCs w:val="20"/>
                <w:color w:val="auto"/>
              </w:rPr>
            </w:pPr>
            <w:r>
              <w:rPr>
                <w:rFonts w:ascii="Arial" w:cs="Arial" w:eastAsia="Arial" w:hAnsi="Arial"/>
                <w:sz w:val="17"/>
                <w:szCs w:val="17"/>
                <w:color w:val="auto"/>
              </w:rPr>
              <w:t>3.563</w:t>
            </w:r>
          </w:p>
        </w:tc>
        <w:tc>
          <w:tcPr>
            <w:tcW w:w="1100" w:type="dxa"/>
            <w:vAlign w:val="bottom"/>
            <w:gridSpan w:val="2"/>
            <w:shd w:val="clear" w:color="auto" w:fill="CCFFCC"/>
          </w:tcPr>
          <w:p>
            <w:pPr>
              <w:jc w:val="right"/>
              <w:ind w:right="43"/>
              <w:spacing w:after="0"/>
              <w:rPr>
                <w:sz w:val="20"/>
                <w:szCs w:val="20"/>
                <w:color w:val="auto"/>
              </w:rPr>
            </w:pPr>
            <w:r>
              <w:rPr>
                <w:rFonts w:ascii="Arial" w:cs="Arial" w:eastAsia="Arial" w:hAnsi="Arial"/>
                <w:sz w:val="17"/>
                <w:szCs w:val="17"/>
                <w:color w:val="auto"/>
              </w:rPr>
              <w:t>3.481</w:t>
            </w:r>
          </w:p>
        </w:tc>
      </w:tr>
      <w:tr>
        <w:trPr>
          <w:trHeight w:val="206"/>
        </w:trPr>
        <w:tc>
          <w:tcPr>
            <w:tcW w:w="3940" w:type="dxa"/>
            <w:vAlign w:val="bottom"/>
            <w:gridSpan w:val="2"/>
          </w:tcPr>
          <w:p>
            <w:pPr>
              <w:spacing w:after="0"/>
              <w:rPr>
                <w:sz w:val="20"/>
                <w:szCs w:val="20"/>
                <w:color w:val="auto"/>
              </w:rPr>
            </w:pPr>
            <w:r>
              <w:rPr>
                <w:rFonts w:ascii="Arial" w:cs="Arial" w:eastAsia="Arial" w:hAnsi="Arial"/>
                <w:sz w:val="17"/>
                <w:szCs w:val="17"/>
                <w:color w:val="auto"/>
              </w:rPr>
              <w:t>February 2011</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3.713</w:t>
            </w:r>
          </w:p>
        </w:tc>
        <w:tc>
          <w:tcPr>
            <w:tcW w:w="960" w:type="dxa"/>
            <w:vAlign w:val="bottom"/>
            <w:gridSpan w:val="2"/>
          </w:tcPr>
          <w:p>
            <w:pPr>
              <w:jc w:val="right"/>
              <w:ind w:right="6"/>
              <w:spacing w:after="0"/>
              <w:rPr>
                <w:sz w:val="20"/>
                <w:szCs w:val="20"/>
                <w:color w:val="auto"/>
              </w:rPr>
            </w:pPr>
            <w:r>
              <w:rPr>
                <w:rFonts w:ascii="Arial" w:cs="Arial" w:eastAsia="Arial" w:hAnsi="Arial"/>
                <w:sz w:val="17"/>
                <w:szCs w:val="17"/>
                <w:color w:val="auto"/>
              </w:rPr>
              <w:t>3.602</w:t>
            </w:r>
          </w:p>
        </w:tc>
        <w:tc>
          <w:tcPr>
            <w:tcW w:w="980" w:type="dxa"/>
            <w:vAlign w:val="bottom"/>
            <w:gridSpan w:val="2"/>
          </w:tcPr>
          <w:p>
            <w:pPr>
              <w:jc w:val="right"/>
              <w:ind w:right="3"/>
              <w:spacing w:after="0"/>
              <w:rPr>
                <w:sz w:val="20"/>
                <w:szCs w:val="20"/>
                <w:color w:val="auto"/>
              </w:rPr>
            </w:pPr>
            <w:r>
              <w:rPr>
                <w:rFonts w:ascii="Arial" w:cs="Arial" w:eastAsia="Arial" w:hAnsi="Arial"/>
                <w:sz w:val="17"/>
                <w:szCs w:val="17"/>
                <w:color w:val="auto"/>
              </w:rPr>
              <w:t>3.657</w:t>
            </w:r>
          </w:p>
        </w:tc>
        <w:tc>
          <w:tcPr>
            <w:tcW w:w="1100" w:type="dxa"/>
            <w:vAlign w:val="bottom"/>
            <w:gridSpan w:val="2"/>
          </w:tcPr>
          <w:p>
            <w:pPr>
              <w:jc w:val="right"/>
              <w:ind w:right="43"/>
              <w:spacing w:after="0"/>
              <w:rPr>
                <w:sz w:val="20"/>
                <w:szCs w:val="20"/>
                <w:color w:val="auto"/>
              </w:rPr>
            </w:pPr>
            <w:r>
              <w:rPr>
                <w:rFonts w:ascii="Arial" w:cs="Arial" w:eastAsia="Arial" w:hAnsi="Arial"/>
                <w:sz w:val="17"/>
                <w:szCs w:val="17"/>
                <w:color w:val="auto"/>
              </w:rPr>
              <w:t>3.622</w:t>
            </w:r>
          </w:p>
        </w:tc>
      </w:tr>
      <w:tr>
        <w:trPr>
          <w:trHeight w:val="206"/>
        </w:trPr>
        <w:tc>
          <w:tcPr>
            <w:tcW w:w="39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January 2011</w:t>
            </w:r>
          </w:p>
        </w:tc>
        <w:tc>
          <w:tcPr>
            <w:tcW w:w="84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3.710</w:t>
            </w:r>
          </w:p>
        </w:tc>
        <w:tc>
          <w:tcPr>
            <w:tcW w:w="960" w:type="dxa"/>
            <w:vAlign w:val="bottom"/>
            <w:gridSpan w:val="2"/>
            <w:shd w:val="clear" w:color="auto" w:fill="CCFFCC"/>
          </w:tcPr>
          <w:p>
            <w:pPr>
              <w:jc w:val="right"/>
              <w:ind w:right="6"/>
              <w:spacing w:after="0"/>
              <w:rPr>
                <w:sz w:val="20"/>
                <w:szCs w:val="20"/>
                <w:color w:val="auto"/>
              </w:rPr>
            </w:pPr>
            <w:r>
              <w:rPr>
                <w:rFonts w:ascii="Arial" w:cs="Arial" w:eastAsia="Arial" w:hAnsi="Arial"/>
                <w:sz w:val="17"/>
                <w:szCs w:val="17"/>
                <w:color w:val="auto"/>
              </w:rPr>
              <w:t>3.528</w:t>
            </w:r>
          </w:p>
        </w:tc>
        <w:tc>
          <w:tcPr>
            <w:tcW w:w="980" w:type="dxa"/>
            <w:vAlign w:val="bottom"/>
            <w:gridSpan w:val="2"/>
            <w:shd w:val="clear" w:color="auto" w:fill="CCFFCC"/>
          </w:tcPr>
          <w:p>
            <w:pPr>
              <w:jc w:val="right"/>
              <w:ind w:right="3"/>
              <w:spacing w:after="0"/>
              <w:rPr>
                <w:sz w:val="20"/>
                <w:szCs w:val="20"/>
                <w:color w:val="auto"/>
              </w:rPr>
            </w:pPr>
            <w:r>
              <w:rPr>
                <w:rFonts w:ascii="Arial" w:cs="Arial" w:eastAsia="Arial" w:hAnsi="Arial"/>
                <w:sz w:val="17"/>
                <w:szCs w:val="17"/>
                <w:color w:val="auto"/>
              </w:rPr>
              <w:t>3.584</w:t>
            </w:r>
          </w:p>
        </w:tc>
        <w:tc>
          <w:tcPr>
            <w:tcW w:w="1100" w:type="dxa"/>
            <w:vAlign w:val="bottom"/>
            <w:gridSpan w:val="2"/>
            <w:shd w:val="clear" w:color="auto" w:fill="CCFFCC"/>
          </w:tcPr>
          <w:p>
            <w:pPr>
              <w:jc w:val="right"/>
              <w:ind w:right="43"/>
              <w:spacing w:after="0"/>
              <w:rPr>
                <w:sz w:val="20"/>
                <w:szCs w:val="20"/>
                <w:color w:val="auto"/>
              </w:rPr>
            </w:pPr>
            <w:r>
              <w:rPr>
                <w:rFonts w:ascii="Arial" w:cs="Arial" w:eastAsia="Arial" w:hAnsi="Arial"/>
                <w:sz w:val="17"/>
                <w:szCs w:val="17"/>
                <w:color w:val="auto"/>
              </w:rPr>
              <w:t>3.710</w:t>
            </w:r>
          </w:p>
        </w:tc>
      </w:tr>
    </w:tbl>
    <w:p>
      <w:pPr>
        <w:spacing w:after="0" w:line="1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Capitalization and Indebtedness</w:t>
      </w:r>
    </w:p>
    <w:p>
      <w:pPr>
        <w:spacing w:after="0" w:line="119" w:lineRule="exact"/>
        <w:rPr>
          <w:sz w:val="20"/>
          <w:szCs w:val="20"/>
          <w:color w:val="auto"/>
        </w:rPr>
      </w:pPr>
    </w:p>
    <w:p>
      <w:pPr>
        <w:jc w:val="both"/>
        <w:ind w:left="60" w:right="1019" w:firstLine="257"/>
        <w:spacing w:after="0" w:line="264" w:lineRule="auto"/>
        <w:rPr>
          <w:sz w:val="20"/>
          <w:szCs w:val="20"/>
          <w:color w:val="auto"/>
        </w:rPr>
      </w:pPr>
      <w:r>
        <w:rPr>
          <w:rFonts w:ascii="Arial" w:cs="Arial" w:eastAsia="Arial" w:hAnsi="Arial"/>
          <w:sz w:val="17"/>
          <w:szCs w:val="17"/>
          <w:color w:val="auto"/>
        </w:rPr>
        <w:t>The following table sets forth our consolidated capitalization as of December 31, 2010. This table should be read in conjunction with “Item 5. Operating and Financial Review and Prospects” and our consolidated financial statements and related notes included elsewhere in this Registration Statement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58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8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of March 31, 2011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9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(NIS</w:t>
            </w: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(U.S.$</w:t>
            </w:r>
          </w:p>
        </w:tc>
        <w:tc>
          <w:tcPr>
            <w:tcW w:w="0" w:type="dxa"/>
            <w:vAlign w:val="bottom"/>
          </w:tcPr>
          <w:p>
            <w:pPr>
              <w:spacing w:after="0"/>
              <w:rPr>
                <w:sz w:val="1"/>
                <w:szCs w:val="1"/>
                <w:color w:val="auto"/>
              </w:rPr>
            </w:pPr>
          </w:p>
        </w:tc>
      </w:tr>
      <w:tr>
        <w:trPr>
          <w:trHeight w:val="308"/>
        </w:trPr>
        <w:tc>
          <w:tcPr>
            <w:tcW w:w="59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Long-term liabilities: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in thousands)</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w w:val="86"/>
              </w:rPr>
              <w:t>in thousands)</w:t>
            </w:r>
            <w:r>
              <w:rPr>
                <w:rFonts w:ascii="Arial" w:cs="Arial" w:eastAsia="Arial" w:hAnsi="Arial"/>
                <w:sz w:val="22"/>
                <w:szCs w:val="22"/>
                <w:color w:val="auto"/>
                <w:w w:val="86"/>
                <w:vertAlign w:val="superscript"/>
              </w:rPr>
              <w:t>(1)</w:t>
            </w:r>
          </w:p>
        </w:tc>
        <w:tc>
          <w:tcPr>
            <w:tcW w:w="0" w:type="dxa"/>
            <w:vAlign w:val="bottom"/>
          </w:tcPr>
          <w:p>
            <w:pPr>
              <w:spacing w:after="0"/>
              <w:rPr>
                <w:sz w:val="1"/>
                <w:szCs w:val="1"/>
                <w:color w:val="auto"/>
              </w:rPr>
            </w:pPr>
          </w:p>
        </w:tc>
      </w:tr>
      <w:tr>
        <w:trPr>
          <w:trHeight w:val="96"/>
        </w:trPr>
        <w:tc>
          <w:tcPr>
            <w:tcW w:w="590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590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Long term loan, less current maturities</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7"/>
                <w:szCs w:val="17"/>
                <w:color w:val="auto"/>
              </w:rPr>
              <w:t>352</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9"/>
        </w:trPr>
        <w:tc>
          <w:tcPr>
            <w:tcW w:w="5900" w:type="dxa"/>
            <w:vAlign w:val="bottom"/>
            <w:tcBorders>
              <w:top w:val="single" w:sz="8" w:color="CCFFCC"/>
            </w:tcBorders>
            <w:gridSpan w:val="3"/>
          </w:tcPr>
          <w:p>
            <w:pPr>
              <w:spacing w:after="0"/>
              <w:rPr>
                <w:sz w:val="20"/>
                <w:szCs w:val="20"/>
                <w:color w:val="auto"/>
              </w:rPr>
            </w:pPr>
            <w:r>
              <w:rPr>
                <w:rFonts w:ascii="Arial" w:cs="Arial" w:eastAsia="Arial" w:hAnsi="Arial"/>
                <w:sz w:val="17"/>
                <w:szCs w:val="17"/>
                <w:b w:val="1"/>
                <w:bCs w:val="1"/>
                <w:color w:val="auto"/>
              </w:rPr>
              <w:t>Shareholders’ equity:</w:t>
            </w: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CCFFC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Ordinary shares</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7"/>
                <w:szCs w:val="17"/>
                <w:color w:val="auto"/>
              </w:rPr>
              <w:t>1,236</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6"/>
        </w:trPr>
        <w:tc>
          <w:tcPr>
            <w:tcW w:w="5900" w:type="dxa"/>
            <w:vAlign w:val="bottom"/>
            <w:gridSpan w:val="3"/>
          </w:tcPr>
          <w:p>
            <w:pPr>
              <w:spacing w:after="0"/>
              <w:rPr>
                <w:sz w:val="20"/>
                <w:szCs w:val="20"/>
                <w:color w:val="auto"/>
              </w:rPr>
            </w:pPr>
            <w:r>
              <w:rPr>
                <w:rFonts w:ascii="Arial" w:cs="Arial" w:eastAsia="Arial" w:hAnsi="Arial"/>
                <w:sz w:val="17"/>
                <w:szCs w:val="17"/>
                <w:color w:val="auto"/>
              </w:rPr>
              <w:t>Warrants</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6,549</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1,881</w:t>
            </w:r>
          </w:p>
        </w:tc>
        <w:tc>
          <w:tcPr>
            <w:tcW w:w="0" w:type="dxa"/>
            <w:vAlign w:val="bottom"/>
          </w:tcPr>
          <w:p>
            <w:pPr>
              <w:spacing w:after="0"/>
              <w:rPr>
                <w:sz w:val="1"/>
                <w:szCs w:val="1"/>
                <w:color w:val="auto"/>
              </w:rPr>
            </w:pPr>
          </w:p>
        </w:tc>
      </w:tr>
      <w:tr>
        <w:trPr>
          <w:trHeight w:val="206"/>
        </w:trPr>
        <w:tc>
          <w:tcPr>
            <w:tcW w:w="590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Share premium</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7"/>
                <w:szCs w:val="17"/>
                <w:color w:val="auto"/>
              </w:rPr>
              <w:t>414,571</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119,095</w:t>
            </w:r>
          </w:p>
        </w:tc>
        <w:tc>
          <w:tcPr>
            <w:tcW w:w="0" w:type="dxa"/>
            <w:vAlign w:val="bottom"/>
          </w:tcPr>
          <w:p>
            <w:pPr>
              <w:spacing w:after="0"/>
              <w:rPr>
                <w:sz w:val="1"/>
                <w:szCs w:val="1"/>
                <w:color w:val="auto"/>
              </w:rPr>
            </w:pPr>
          </w:p>
        </w:tc>
      </w:tr>
      <w:tr>
        <w:trPr>
          <w:trHeight w:val="206"/>
        </w:trPr>
        <w:tc>
          <w:tcPr>
            <w:tcW w:w="5900" w:type="dxa"/>
            <w:vAlign w:val="bottom"/>
            <w:gridSpan w:val="3"/>
          </w:tcPr>
          <w:p>
            <w:pPr>
              <w:spacing w:after="0"/>
              <w:rPr>
                <w:sz w:val="20"/>
                <w:szCs w:val="20"/>
                <w:color w:val="auto"/>
              </w:rPr>
            </w:pPr>
            <w:r>
              <w:rPr>
                <w:rFonts w:ascii="Arial" w:cs="Arial" w:eastAsia="Arial" w:hAnsi="Arial"/>
                <w:sz w:val="17"/>
                <w:szCs w:val="17"/>
                <w:color w:val="auto"/>
              </w:rPr>
              <w:t>Capital reserve</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28,120</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8,078</w:t>
            </w:r>
          </w:p>
        </w:tc>
        <w:tc>
          <w:tcPr>
            <w:tcW w:w="0" w:type="dxa"/>
            <w:vAlign w:val="bottom"/>
          </w:tcPr>
          <w:p>
            <w:pPr>
              <w:spacing w:after="0"/>
              <w:rPr>
                <w:sz w:val="1"/>
                <w:szCs w:val="1"/>
                <w:color w:val="auto"/>
              </w:rPr>
            </w:pPr>
          </w:p>
        </w:tc>
      </w:tr>
      <w:tr>
        <w:trPr>
          <w:trHeight w:val="206"/>
        </w:trPr>
        <w:tc>
          <w:tcPr>
            <w:tcW w:w="590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Accumulated loss</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(329,527)</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(94,664)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49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00" w:type="dxa"/>
            <w:vAlign w:val="bottom"/>
            <w:gridSpan w:val="3"/>
          </w:tcPr>
          <w:p>
            <w:pPr>
              <w:spacing w:after="0"/>
              <w:rPr>
                <w:sz w:val="20"/>
                <w:szCs w:val="20"/>
                <w:color w:val="auto"/>
              </w:rPr>
            </w:pPr>
            <w:r>
              <w:rPr>
                <w:rFonts w:ascii="Arial" w:cs="Arial" w:eastAsia="Arial" w:hAnsi="Arial"/>
                <w:sz w:val="17"/>
                <w:szCs w:val="17"/>
                <w:color w:val="auto"/>
              </w:rPr>
              <w:t>Total shareholder’s equity</w:t>
            </w:r>
          </w:p>
        </w:tc>
        <w:tc>
          <w:tcPr>
            <w:tcW w:w="720" w:type="dxa"/>
            <w:vAlign w:val="bottom"/>
          </w:tcPr>
          <w:p>
            <w:pPr>
              <w:jc w:val="right"/>
              <w:spacing w:after="0"/>
              <w:rPr>
                <w:sz w:val="20"/>
                <w:szCs w:val="20"/>
                <w:color w:val="auto"/>
              </w:rPr>
            </w:pPr>
            <w:r>
              <w:rPr>
                <w:rFonts w:ascii="Arial" w:cs="Arial" w:eastAsia="Arial" w:hAnsi="Arial"/>
                <w:sz w:val="17"/>
                <w:szCs w:val="17"/>
                <w:color w:val="auto"/>
              </w:rPr>
              <w:t>120,949</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34,745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gridSpan w:val="3"/>
            <w:shd w:val="clear" w:color="auto" w:fill="CCFFCC"/>
          </w:tcPr>
          <w:p>
            <w:pPr>
              <w:spacing w:after="0"/>
              <w:rPr>
                <w:sz w:val="20"/>
                <w:szCs w:val="20"/>
                <w:color w:val="auto"/>
              </w:rPr>
            </w:pPr>
            <w:r>
              <w:rPr>
                <w:rFonts w:ascii="Arial" w:cs="Arial" w:eastAsia="Arial" w:hAnsi="Arial"/>
                <w:sz w:val="17"/>
                <w:szCs w:val="17"/>
                <w:b w:val="1"/>
                <w:bCs w:val="1"/>
                <w:color w:val="auto"/>
              </w:rPr>
              <w:t>Total capitalization (debt and equity)</w:t>
            </w: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7"/>
                <w:szCs w:val="17"/>
                <w:color w:val="auto"/>
              </w:rPr>
              <w:t>121,301</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34,846</w:t>
            </w:r>
          </w:p>
        </w:tc>
        <w:tc>
          <w:tcPr>
            <w:tcW w:w="0" w:type="dxa"/>
            <w:vAlign w:val="bottom"/>
          </w:tcPr>
          <w:p>
            <w:pPr>
              <w:spacing w:after="0"/>
              <w:rPr>
                <w:sz w:val="1"/>
                <w:szCs w:val="1"/>
                <w:color w:val="auto"/>
              </w:rPr>
            </w:pPr>
          </w:p>
        </w:tc>
      </w:tr>
      <w:tr>
        <w:trPr>
          <w:trHeight w:val="254"/>
        </w:trPr>
        <w:tc>
          <w:tcPr>
            <w:tcW w:w="20" w:type="dxa"/>
            <w:vAlign w:val="bottom"/>
            <w:tcBorders>
              <w:top w:val="single" w:sz="8" w:color="CCFFCC"/>
            </w:tcBorders>
          </w:tcPr>
          <w:p>
            <w:pPr>
              <w:spacing w:after="0"/>
              <w:rPr>
                <w:sz w:val="22"/>
                <w:szCs w:val="22"/>
                <w:color w:val="auto"/>
              </w:rPr>
            </w:pPr>
          </w:p>
        </w:tc>
        <w:tc>
          <w:tcPr>
            <w:tcW w:w="920" w:type="dxa"/>
            <w:vAlign w:val="bottom"/>
            <w:tcBorders>
              <w:top w:val="single" w:sz="8" w:color="CCFFCC"/>
              <w:bottom w:val="single" w:sz="8" w:color="auto"/>
            </w:tcBorders>
          </w:tcPr>
          <w:p>
            <w:pPr>
              <w:spacing w:after="0"/>
              <w:rPr>
                <w:sz w:val="22"/>
                <w:szCs w:val="22"/>
                <w:color w:val="auto"/>
              </w:rPr>
            </w:pPr>
          </w:p>
        </w:tc>
        <w:tc>
          <w:tcPr>
            <w:tcW w:w="49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6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-1306195</wp:posOffset>
            </wp:positionV>
            <wp:extent cx="4966335"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wp:posOffset>
            </wp:positionV>
            <wp:extent cx="496633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66335"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49663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225" w:lineRule="exact"/>
        <w:rPr>
          <w:sz w:val="20"/>
          <w:szCs w:val="20"/>
          <w:color w:val="auto"/>
        </w:rPr>
      </w:pPr>
    </w:p>
    <w:p>
      <w:pPr>
        <w:ind w:left="280" w:right="1399" w:hanging="264"/>
        <w:spacing w:after="0" w:line="278"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Calculated using the exchange rate reported by the Bank of Israel for March 31, 2011 at the rate of one U.S. dollar per NIS 3.481.</w:t>
      </w: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Reasons for the Offer and Use of Proceeds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 Risk Factors</w:t>
      </w:r>
    </w:p>
    <w:p>
      <w:pPr>
        <w:spacing w:after="0" w:line="119"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i w:val="1"/>
          <w:iCs w:val="1"/>
          <w:color w:val="auto"/>
        </w:rPr>
        <w:t>You should carefully consider the risks we describe below, in addition to the other information set forth elsewhere in this Registration Statement on Form 20-F, including our consolidated financial statements and the related notes beginning on page F-</w:t>
      </w:r>
      <w:r>
        <w:rPr>
          <w:rFonts w:ascii="Arial" w:cs="Arial" w:eastAsia="Arial" w:hAnsi="Arial"/>
          <w:sz w:val="17"/>
          <w:szCs w:val="17"/>
          <w:i w:val="1"/>
          <w:iCs w:val="1"/>
          <w:u w:val="single" w:color="auto"/>
          <w:color w:val="0000EE"/>
        </w:rPr>
        <w:t>1</w:t>
      </w:r>
      <w:r>
        <w:rPr>
          <w:rFonts w:ascii="Arial" w:cs="Arial" w:eastAsia="Arial" w:hAnsi="Arial"/>
          <w:sz w:val="17"/>
          <w:szCs w:val="17"/>
          <w:i w:val="1"/>
          <w:iCs w:val="1"/>
          <w:color w:val="auto"/>
        </w:rPr>
        <w:t>, before deciding to invest in our ordinary shares or our ADRs. These material risks could adversely impact our results of operations, possibly causing the trading price of our ordinary shares and ADRs to decline, and you could lose all or part of your investment.</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Financial Condition and Capital Requirements</w:t>
      </w:r>
    </w:p>
    <w:p>
      <w:pPr>
        <w:spacing w:after="0" w:line="119" w:lineRule="exact"/>
        <w:rPr>
          <w:sz w:val="20"/>
          <w:szCs w:val="20"/>
          <w:color w:val="auto"/>
        </w:rPr>
      </w:pPr>
    </w:p>
    <w:p>
      <w:pPr>
        <w:ind w:left="60" w:right="1719" w:firstLine="257"/>
        <w:spacing w:after="0" w:line="278" w:lineRule="auto"/>
        <w:rPr>
          <w:sz w:val="20"/>
          <w:szCs w:val="20"/>
          <w:color w:val="auto"/>
        </w:rPr>
      </w:pPr>
      <w:r>
        <w:rPr>
          <w:rFonts w:ascii="Arial" w:cs="Arial" w:eastAsia="Arial" w:hAnsi="Arial"/>
          <w:sz w:val="17"/>
          <w:szCs w:val="17"/>
          <w:b w:val="1"/>
          <w:bCs w:val="1"/>
          <w:i w:val="1"/>
          <w:iCs w:val="1"/>
          <w:color w:val="auto"/>
        </w:rPr>
        <w:t>We are a clinical stage biopharmaceutical development company with a history of operating losses, expect to incur additional losses in the future and may never be profitable.</w:t>
      </w:r>
    </w:p>
    <w:p>
      <w:pPr>
        <w:spacing w:after="0" w:line="62" w:lineRule="exact"/>
        <w:rPr>
          <w:sz w:val="20"/>
          <w:szCs w:val="20"/>
          <w:color w:val="auto"/>
        </w:rPr>
      </w:pPr>
    </w:p>
    <w:p>
      <w:pPr>
        <w:ind w:left="60" w:right="1019" w:firstLine="257"/>
        <w:spacing w:after="0" w:line="273" w:lineRule="auto"/>
        <w:rPr>
          <w:sz w:val="20"/>
          <w:szCs w:val="20"/>
          <w:color w:val="auto"/>
        </w:rPr>
      </w:pPr>
      <w:r>
        <w:rPr>
          <w:rFonts w:ascii="Arial" w:cs="Arial" w:eastAsia="Arial" w:hAnsi="Arial"/>
          <w:sz w:val="16"/>
          <w:szCs w:val="16"/>
          <w:color w:val="auto"/>
        </w:rPr>
        <w:t>We are a clinical stage biopharmaceutical development company that was incorporated in 2003. Since our incorporation, we have been focused on research and development. Our most advanced therapeutic candidates are in clinical development. We, or our licensees, as applicable, will be required to conduct significant additional clinical trials before we can seek the regulatory approvals necessary to begin commercial sales of our therapeutic candidates. We have incurred losses since inception, principally as a result of research and development and general administrative expenses in support of our operations. We experienced net loss of approximately NIS 11.6 million in the first quarter of 2011, net profit of approximately NIS 7.4 million in 2010, and net losses of approximately NIS 61.5 million in 2009 and approximately NIS 114.8 million in 2008. As of March 31, 2011, we had an accumulated deficit of approximately NIS 329.5 million. We anticipate that we will incur significant additional losses as we continue to focus our resources on prioritizing, selecting and advancing our most promising therapeutic candidates. We may never be profitable and we may never achieve significant sustained revenues.</w:t>
      </w:r>
    </w:p>
    <w:p>
      <w:pPr>
        <w:spacing w:after="0" w:line="68" w:lineRule="exact"/>
        <w:rPr>
          <w:sz w:val="20"/>
          <w:szCs w:val="20"/>
          <w:color w:val="auto"/>
        </w:rPr>
      </w:pPr>
    </w:p>
    <w:p>
      <w:pPr>
        <w:ind w:left="60" w:right="1459" w:firstLine="257"/>
        <w:spacing w:after="0" w:line="278" w:lineRule="auto"/>
        <w:rPr>
          <w:sz w:val="20"/>
          <w:szCs w:val="20"/>
          <w:color w:val="auto"/>
        </w:rPr>
      </w:pPr>
      <w:r>
        <w:rPr>
          <w:rFonts w:ascii="Arial" w:cs="Arial" w:eastAsia="Arial" w:hAnsi="Arial"/>
          <w:sz w:val="17"/>
          <w:szCs w:val="17"/>
          <w:b w:val="1"/>
          <w:bCs w:val="1"/>
          <w:i w:val="1"/>
          <w:iCs w:val="1"/>
          <w:color w:val="auto"/>
        </w:rPr>
        <w:t>We cannot ensure investors that our existing cash and investment balances will be sufficient to meet our future capital requirements.</w:t>
      </w:r>
    </w:p>
    <w:p>
      <w:pPr>
        <w:spacing w:after="0" w:line="62" w:lineRule="exact"/>
        <w:rPr>
          <w:sz w:val="20"/>
          <w:szCs w:val="20"/>
          <w:color w:val="auto"/>
        </w:rPr>
      </w:pPr>
    </w:p>
    <w:p>
      <w:pPr>
        <w:ind w:left="60" w:right="1019" w:firstLine="257"/>
        <w:spacing w:after="0" w:line="291" w:lineRule="auto"/>
        <w:rPr>
          <w:sz w:val="20"/>
          <w:szCs w:val="20"/>
          <w:color w:val="auto"/>
        </w:rPr>
      </w:pPr>
      <w:r>
        <w:rPr>
          <w:rFonts w:ascii="Arial" w:cs="Arial" w:eastAsia="Arial" w:hAnsi="Arial"/>
          <w:sz w:val="15"/>
          <w:szCs w:val="15"/>
          <w:color w:val="auto"/>
        </w:rPr>
        <w:t>We believe that our existing cash and investment balances and other sources of liquidity, not including potential milestone payments under our out-licensing agreement with Ikaria Development Subsidiary One LLC, a subsidiary of Ikaria, Inc., or Ikaria, will be sufficient to meet our requirements through the end of 2012. We have funded our operations primarily through public (in Israel) and private offerings of our securities and grants from the Office of the Chief Scientist of Israel’s Ministry of Industry, Trade and Labor, or the OCS. We expect to fund our future operations through out-licensing arrangements with respect to our therapeutic candidates. We have entered into an out-licensing arrangement with Ikaria in connection with our BL-1040 therapeutic candidate. Although we had out-licensed to Cypress Bioscience, Inc., or Cypress Bioscience, certain development and commercial rights with respect to our BL-1020 therapeutic candidate, we reacquired the rights from Cypress Bioscience in May 2011. The adequacy of our available funds to meet our operating and capital requirements will depend on many factors including: the number, breadth, progress and results of our research, product development and clinical programs; the costs and timing of obtaining regulatory approvals for any of our therapeutic candidates; the terms and conditions of in-licensing and out-licensing therapeutic candidates; and costs incurred in enforcing and defending our patent claims and other intellectual property rights.</w:t>
      </w:r>
    </w:p>
    <w:p>
      <w:pPr>
        <w:spacing w:after="0" w:line="63" w:lineRule="exact"/>
        <w:rPr>
          <w:sz w:val="20"/>
          <w:szCs w:val="20"/>
          <w:color w:val="auto"/>
        </w:rPr>
      </w:pPr>
    </w:p>
    <w:p>
      <w:pPr>
        <w:ind w:left="60" w:right="1119" w:firstLine="257"/>
        <w:spacing w:after="0" w:line="296" w:lineRule="auto"/>
        <w:rPr>
          <w:sz w:val="20"/>
          <w:szCs w:val="20"/>
          <w:color w:val="auto"/>
        </w:rPr>
      </w:pPr>
      <w:r>
        <w:rPr>
          <w:rFonts w:ascii="Arial" w:cs="Arial" w:eastAsia="Arial" w:hAnsi="Arial"/>
          <w:sz w:val="15"/>
          <w:szCs w:val="15"/>
          <w:color w:val="auto"/>
        </w:rPr>
        <w:t>While we will continue to explore alternative financing sources, including the possibility of future securities offerings and continued government funding, we cannot be certain that in the future these liquidity sources will be available when needed on commercially reasonable terms or at all, or that our actual cash requirements will not be greater than anticipated. We may seek to finance our operations through other sources, including out-licensing arrangements for the development and commercialization of our therapeutic candidates or other partnerships or joint ventures. If we are unable to obtain future financing through the methods we describe above or through other means, we may be unable to complete our business objectives and may be unable to continue operations, which would have a material adverse effect on our business and financial condition.</w:t>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limited operating history makes it difficult to evaluate our business and prospects.</w:t>
      </w:r>
    </w:p>
    <w:p>
      <w:pPr>
        <w:spacing w:after="0" w:line="113" w:lineRule="exact"/>
        <w:rPr>
          <w:sz w:val="20"/>
          <w:szCs w:val="20"/>
          <w:color w:val="auto"/>
        </w:rPr>
      </w:pPr>
    </w:p>
    <w:p>
      <w:pPr>
        <w:ind w:left="60" w:right="1059" w:firstLine="257"/>
        <w:spacing w:after="0" w:line="301" w:lineRule="auto"/>
        <w:rPr>
          <w:sz w:val="20"/>
          <w:szCs w:val="20"/>
          <w:color w:val="auto"/>
        </w:rPr>
      </w:pPr>
      <w:r>
        <w:rPr>
          <w:rFonts w:ascii="Arial" w:cs="Arial" w:eastAsia="Arial" w:hAnsi="Arial"/>
          <w:sz w:val="15"/>
          <w:szCs w:val="15"/>
          <w:color w:val="auto"/>
        </w:rPr>
        <w:t>We have a limited operating history and our operations to date have been limited to organizing and staffing our company, conducting product development activities for our therapeutic candidates and performing research and development with respect to our preclinical programs. We have not yet demonstrated an ability to obtain regulatory approval for or to commercialize a therapeutic candidate. Consequently, any predictions about our future performance may not be as accurate as they could be if we had a history of successfully developing and commercializing pharmaceutical products or medical devices.</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Business and Regulatory Matters</w:t>
      </w:r>
    </w:p>
    <w:p>
      <w:pPr>
        <w:spacing w:after="0" w:line="119" w:lineRule="exact"/>
        <w:rPr>
          <w:sz w:val="20"/>
          <w:szCs w:val="20"/>
          <w:color w:val="auto"/>
        </w:rPr>
      </w:pPr>
    </w:p>
    <w:p>
      <w:pPr>
        <w:ind w:left="60" w:right="999" w:firstLine="257"/>
        <w:spacing w:after="0" w:line="278" w:lineRule="auto"/>
        <w:rPr>
          <w:sz w:val="20"/>
          <w:szCs w:val="20"/>
          <w:color w:val="auto"/>
        </w:rPr>
      </w:pPr>
      <w:r>
        <w:rPr>
          <w:rFonts w:ascii="Arial" w:cs="Arial" w:eastAsia="Arial" w:hAnsi="Arial"/>
          <w:sz w:val="17"/>
          <w:szCs w:val="17"/>
          <w:b w:val="1"/>
          <w:bCs w:val="1"/>
          <w:i w:val="1"/>
          <w:iCs w:val="1"/>
          <w:color w:val="auto"/>
        </w:rPr>
        <w:t>If we or our licensees are unable to obtain U.S. and/or foreign regulatory approval for our therapeutic candidates, we will be unable to commercialize our therapeutic candidates.</w:t>
      </w:r>
    </w:p>
    <w:p>
      <w:pPr>
        <w:spacing w:after="0" w:line="62" w:lineRule="exact"/>
        <w:rPr>
          <w:sz w:val="20"/>
          <w:szCs w:val="20"/>
          <w:color w:val="auto"/>
        </w:rPr>
      </w:pPr>
    </w:p>
    <w:p>
      <w:pPr>
        <w:ind w:left="60" w:right="1019" w:firstLine="257"/>
        <w:spacing w:after="0" w:line="274" w:lineRule="auto"/>
        <w:rPr>
          <w:sz w:val="20"/>
          <w:szCs w:val="20"/>
          <w:color w:val="auto"/>
        </w:rPr>
      </w:pPr>
      <w:r>
        <w:rPr>
          <w:rFonts w:ascii="Arial" w:cs="Arial" w:eastAsia="Arial" w:hAnsi="Arial"/>
          <w:sz w:val="16"/>
          <w:szCs w:val="16"/>
          <w:color w:val="auto"/>
        </w:rPr>
        <w:t>To date, we have not marketed, distributed or sold an approved product. Currently, we have five lead therapeutic candidates in clinical development: BL-1020 for the treatment of schizophrenia; BL-1021 for the treatment of neuropathic pain; BL-1040 for the treatment of acute myocardial infarctions, or AMI; BL-5010 for the treatment of skin lesions; and BL-7040 for the treatment of inflammatory bowel disease, or IBD. Our therapeutic candidates are subject to extensive governmental regulations relating to development, clinical trials, manufacturing and commercialization of drugs and devices. We may not obtain marketing approval for any of our therapeutic candidates in a timely manner or at all. In connection with the clinical trials for BL-1020, BL-1021, BL-1040, BL-5010 and BL-7040, and other therapeutic candidates that we are currently developing or may seek to develop in the future, either on our own or through out-licensing arrangements, we face the risk that:</w:t>
      </w:r>
    </w:p>
    <w:p>
      <w:pPr>
        <w:spacing w:after="0" w:line="69" w:lineRule="exact"/>
        <w:rPr>
          <w:sz w:val="20"/>
          <w:szCs w:val="20"/>
          <w:color w:val="auto"/>
        </w:rPr>
      </w:pPr>
    </w:p>
    <w:p>
      <w:pPr>
        <w:ind w:left="580" w:hanging="307"/>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therapeutic candidate or medical device may not prove safe or efficacious;</w:t>
      </w:r>
    </w:p>
    <w:p>
      <w:pPr>
        <w:spacing w:after="0" w:line="113" w:lineRule="exact"/>
        <w:rPr>
          <w:rFonts w:ascii="Arial" w:cs="Arial" w:eastAsia="Arial" w:hAnsi="Arial"/>
          <w:sz w:val="17"/>
          <w:szCs w:val="17"/>
          <w:color w:val="auto"/>
        </w:rPr>
      </w:pPr>
    </w:p>
    <w:p>
      <w:pPr>
        <w:ind w:left="580" w:right="1139" w:hanging="307"/>
        <w:spacing w:after="0" w:line="27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with respect to any therapeutic candidate may not confirm the positive results from earlier preclinical studies or clinical trials;</w:t>
      </w:r>
    </w:p>
    <w:p>
      <w:pPr>
        <w:spacing w:after="0" w:line="61" w:lineRule="exact"/>
        <w:rPr>
          <w:rFonts w:ascii="Arial" w:cs="Arial" w:eastAsia="Arial" w:hAnsi="Arial"/>
          <w:sz w:val="17"/>
          <w:szCs w:val="17"/>
          <w:color w:val="auto"/>
        </w:rPr>
      </w:pPr>
    </w:p>
    <w:p>
      <w:pPr>
        <w:ind w:left="580" w:right="1039" w:hanging="307"/>
        <w:spacing w:after="0" w:line="27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may not meet the level of statistical significance required by the U.S. Food and Drug Administration, or FDA, or other regulatory authorities; and</w:t>
      </w:r>
    </w:p>
    <w:p>
      <w:pPr>
        <w:spacing w:after="0" w:line="61" w:lineRule="exact"/>
        <w:rPr>
          <w:rFonts w:ascii="Arial" w:cs="Arial" w:eastAsia="Arial" w:hAnsi="Arial"/>
          <w:sz w:val="17"/>
          <w:szCs w:val="17"/>
          <w:color w:val="auto"/>
        </w:rPr>
      </w:pPr>
    </w:p>
    <w:p>
      <w:pPr>
        <w:ind w:left="580" w:right="1079" w:hanging="307"/>
        <w:spacing w:after="0" w:line="27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will justify only limited and/or restrictive uses, including the inclusion of warnings and contraindications, which could significantly limit the marketability and profitability of the therapeutic candidate.</w:t>
      </w:r>
    </w:p>
    <w:p>
      <w:pPr>
        <w:spacing w:after="0" w:line="62"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Any delay in obtaining, or the failure to obtain, required regulatory approvals will materially and adversely affect our ability to generate future revenues from a particular therapeutic candidate. Any regulatory approval to market a product may be subject to limitations on the indicated uses for which we may market the product or may impose restrictive conditions of use, including cautionary information, thereby limiting the size of the market for the product. We and our licensees, as applicable, also are, and will be, subject to numerous foreign regulatory requirements that govern the conduct of clinical trials, manufacturing and marketing authorization, pricing and third-party reimbursement. The foreign regulatory approval process includes all of the risks associated with the FDA approval process that we describe above, as well as risks attributable to the satisfaction of foreign requirements. Approval by the FDA does not ensure approval by regulatory authorities outside the United States. Foreign jurisdictions may have different approval processes than those required by the FDA and may impose additional testing requirements for our therapeutic candidates.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have no experience selling, marketing or distributing products and no internal capability to do so.</w:t>
      </w:r>
    </w:p>
    <w:p>
      <w:pPr>
        <w:spacing w:after="0" w:line="113" w:lineRule="exact"/>
        <w:rPr>
          <w:sz w:val="20"/>
          <w:szCs w:val="20"/>
          <w:color w:val="auto"/>
        </w:rPr>
      </w:pPr>
    </w:p>
    <w:p>
      <w:pPr>
        <w:ind w:left="60" w:right="1059" w:firstLine="257"/>
        <w:spacing w:after="0" w:line="275" w:lineRule="auto"/>
        <w:rPr>
          <w:sz w:val="20"/>
          <w:szCs w:val="20"/>
          <w:color w:val="auto"/>
        </w:rPr>
      </w:pPr>
      <w:r>
        <w:rPr>
          <w:rFonts w:ascii="Arial" w:cs="Arial" w:eastAsia="Arial" w:hAnsi="Arial"/>
          <w:sz w:val="16"/>
          <w:szCs w:val="16"/>
          <w:color w:val="auto"/>
        </w:rPr>
        <w:t>We currently have no sales, marketing or distribution capabilities and no experience in building a sales force or distribution capabilities. To be able to commercialize any of our therapeutic candidates upon approval, if at all, we must either develop internal sales, marketing and distribution capabilities, which will be expensive and time consuming, or enter into out-licensing arrangements with third parties to perform these services. In July 2009, we entered into an exclusive, royalty-bearing worldwide out-licensing arrangement with Ikaria with respect to BL-1040, which was amended and restated in August 2009. Under the arrangement, Ikaria is obligated to use commercially reasonable efforts to complete clinical development of, and to commercialize, BL-1040 or a product related thereto. In May 2011, we reacquired from Cypress</w:t>
      </w: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659"/>
        <w:spacing w:after="0" w:line="347" w:lineRule="auto"/>
        <w:rPr>
          <w:sz w:val="20"/>
          <w:szCs w:val="20"/>
          <w:color w:val="auto"/>
        </w:rPr>
      </w:pPr>
      <w:r>
        <w:rPr>
          <w:rFonts w:ascii="Arial" w:cs="Arial" w:eastAsia="Arial" w:hAnsi="Arial"/>
          <w:sz w:val="15"/>
          <w:szCs w:val="15"/>
          <w:color w:val="auto"/>
        </w:rPr>
        <w:t>Bioscience all out-licensed development and commercialization rights to BL-1020. Unless we enter into an out-licensing arrangement with a new partner with respect to BL-1020, we may elect to develop and commercialize BL-1020 internally.</w:t>
      </w:r>
    </w:p>
    <w:p>
      <w:pPr>
        <w:spacing w:after="0" w:line="16" w:lineRule="exact"/>
        <w:rPr>
          <w:sz w:val="20"/>
          <w:szCs w:val="20"/>
          <w:color w:val="auto"/>
        </w:rPr>
      </w:pPr>
    </w:p>
    <w:p>
      <w:pPr>
        <w:ind w:left="60" w:right="1119" w:firstLine="257"/>
        <w:spacing w:after="0" w:line="289" w:lineRule="auto"/>
        <w:rPr>
          <w:sz w:val="20"/>
          <w:szCs w:val="20"/>
          <w:color w:val="auto"/>
        </w:rPr>
      </w:pPr>
      <w:r>
        <w:rPr>
          <w:rFonts w:ascii="Arial" w:cs="Arial" w:eastAsia="Arial" w:hAnsi="Arial"/>
          <w:sz w:val="16"/>
          <w:szCs w:val="16"/>
          <w:color w:val="auto"/>
        </w:rPr>
        <w:t>If we decide to market any of our other therapeutic candidates on our own,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56" w:lineRule="exact"/>
        <w:rPr>
          <w:sz w:val="20"/>
          <w:szCs w:val="20"/>
          <w:color w:val="auto"/>
        </w:rPr>
      </w:pPr>
    </w:p>
    <w:p>
      <w:pPr>
        <w:ind w:left="580" w:hanging="307"/>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3" w:lineRule="exact"/>
        <w:rPr>
          <w:rFonts w:ascii="Arial" w:cs="Arial" w:eastAsia="Arial" w:hAnsi="Arial"/>
          <w:sz w:val="17"/>
          <w:szCs w:val="17"/>
          <w:color w:val="auto"/>
        </w:rPr>
      </w:pPr>
    </w:p>
    <w:p>
      <w:pPr>
        <w:ind w:left="580" w:right="1119" w:hanging="307"/>
        <w:spacing w:after="0" w:line="27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or persuade adequate numbers of physicians to prescribe our therapeutic candidates;</w:t>
      </w:r>
    </w:p>
    <w:p>
      <w:pPr>
        <w:spacing w:after="0" w:line="61" w:lineRule="exact"/>
        <w:rPr>
          <w:rFonts w:ascii="Arial" w:cs="Arial" w:eastAsia="Arial" w:hAnsi="Arial"/>
          <w:sz w:val="17"/>
          <w:szCs w:val="17"/>
          <w:color w:val="auto"/>
        </w:rPr>
      </w:pPr>
    </w:p>
    <w:p>
      <w:pPr>
        <w:ind w:left="580" w:right="1459" w:hanging="307"/>
        <w:spacing w:after="0" w:line="27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and sustaining an independent sales and marketing organization.</w:t>
      </w:r>
    </w:p>
    <w:p>
      <w:pPr>
        <w:spacing w:after="0" w:line="136" w:lineRule="exact"/>
        <w:rPr>
          <w:sz w:val="20"/>
          <w:szCs w:val="20"/>
          <w:color w:val="auto"/>
        </w:rPr>
      </w:pPr>
    </w:p>
    <w:p>
      <w:pPr>
        <w:ind w:left="60" w:right="1279" w:firstLine="257"/>
        <w:spacing w:after="0" w:line="317" w:lineRule="auto"/>
        <w:rPr>
          <w:sz w:val="20"/>
          <w:szCs w:val="20"/>
          <w:color w:val="auto"/>
        </w:rPr>
      </w:pPr>
      <w:r>
        <w:rPr>
          <w:rFonts w:ascii="Arial" w:cs="Arial" w:eastAsia="Arial" w:hAnsi="Arial"/>
          <w:sz w:val="15"/>
          <w:szCs w:val="15"/>
          <w:color w:val="auto"/>
        </w:rPr>
        <w:t>We may not be successful in recruiting the sales and marketing personnel necessary to sell any of our therapeutic candidates upon approval, if at all, and even if we do build a sales force, it may not be successful in marketing our therapeutic candidates, which would have a material adverse effect on our business, financial condition and results of operations.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We depend on out-licensing arrangements to develop, market and commercialize our therapeutic candidates.</w:t>
      </w:r>
    </w:p>
    <w:p>
      <w:pPr>
        <w:spacing w:after="0" w:line="131" w:lineRule="exact"/>
        <w:rPr>
          <w:sz w:val="20"/>
          <w:szCs w:val="20"/>
          <w:color w:val="auto"/>
        </w:rPr>
      </w:pPr>
    </w:p>
    <w:p>
      <w:pPr>
        <w:jc w:val="both"/>
        <w:ind w:left="60" w:right="1119" w:firstLine="257"/>
        <w:spacing w:after="0" w:line="265" w:lineRule="auto"/>
        <w:rPr>
          <w:sz w:val="20"/>
          <w:szCs w:val="20"/>
          <w:color w:val="auto"/>
        </w:rPr>
      </w:pPr>
      <w:r>
        <w:rPr>
          <w:rFonts w:ascii="Arial" w:cs="Arial" w:eastAsia="Arial" w:hAnsi="Arial"/>
          <w:sz w:val="17"/>
          <w:szCs w:val="17"/>
          <w:color w:val="auto"/>
        </w:rPr>
        <w:t>We depend on out-licensing arrangements to develop, market and commercialize our therapeutic candidates. We have limited experience in developing, marketing and commercializing therapeutic candidates. Dependence on out-licensing arrangements will subject us to a number of risks, including the risk that:</w:t>
      </w:r>
    </w:p>
    <w:p>
      <w:pPr>
        <w:spacing w:after="0" w:line="73" w:lineRule="exact"/>
        <w:rPr>
          <w:sz w:val="20"/>
          <w:szCs w:val="20"/>
          <w:color w:val="auto"/>
        </w:rPr>
      </w:pPr>
    </w:p>
    <w:p>
      <w:pPr>
        <w:ind w:left="580" w:hanging="307"/>
        <w:spacing w:after="0"/>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not be able to control the amount and timing of resources that our licensees devote to our therapeutic candidates;</w:t>
      </w:r>
    </w:p>
    <w:p>
      <w:pPr>
        <w:spacing w:after="0" w:line="136" w:lineRule="exact"/>
        <w:rPr>
          <w:rFonts w:ascii="Arial" w:cs="Arial" w:eastAsia="Arial" w:hAnsi="Arial"/>
          <w:sz w:val="15"/>
          <w:szCs w:val="15"/>
          <w:color w:val="auto"/>
        </w:rPr>
      </w:pPr>
    </w:p>
    <w:p>
      <w:pPr>
        <w:ind w:left="580" w:hanging="30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licensees may experience financial difficulties;</w:t>
      </w:r>
    </w:p>
    <w:p>
      <w:pPr>
        <w:spacing w:after="0" w:line="113" w:lineRule="exact"/>
        <w:rPr>
          <w:rFonts w:ascii="Arial" w:cs="Arial" w:eastAsia="Arial" w:hAnsi="Arial"/>
          <w:sz w:val="17"/>
          <w:szCs w:val="17"/>
          <w:color w:val="auto"/>
        </w:rPr>
      </w:pPr>
    </w:p>
    <w:p>
      <w:pPr>
        <w:ind w:left="580" w:right="1099" w:hanging="307"/>
        <w:spacing w:after="0" w:line="27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licensees may fail to secure adequate commercial supplies of our therapeutic candidates upon marketing approval, if at all;</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future revenues will depend heavily on the efforts of our licensees;</w:t>
      </w:r>
    </w:p>
    <w:p>
      <w:pPr>
        <w:spacing w:after="0" w:line="113" w:lineRule="exact"/>
        <w:rPr>
          <w:rFonts w:ascii="Arial" w:cs="Arial" w:eastAsia="Arial" w:hAnsi="Arial"/>
          <w:sz w:val="17"/>
          <w:szCs w:val="17"/>
          <w:color w:val="auto"/>
        </w:rPr>
      </w:pPr>
    </w:p>
    <w:p>
      <w:pPr>
        <w:ind w:left="580" w:right="1779" w:hanging="307"/>
        <w:spacing w:after="0" w:line="27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business combinations or significant changes in a licensee’s business strategy may adversely affect the licensee’s willingness or ability to complete its obligations under any arrangement with us;</w:t>
      </w:r>
    </w:p>
    <w:p>
      <w:pPr>
        <w:spacing w:after="0" w:line="61" w:lineRule="exact"/>
        <w:rPr>
          <w:rFonts w:ascii="Arial" w:cs="Arial" w:eastAsia="Arial" w:hAnsi="Arial"/>
          <w:sz w:val="17"/>
          <w:szCs w:val="17"/>
          <w:color w:val="auto"/>
        </w:rPr>
      </w:pPr>
    </w:p>
    <w:p>
      <w:pPr>
        <w:ind w:left="580" w:right="1179" w:hanging="307"/>
        <w:spacing w:after="0" w:line="27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licensee could move forward with a competing therapeutic candidate developed either independently or in collaboration with others, including our competitors; and</w:t>
      </w:r>
    </w:p>
    <w:p>
      <w:pPr>
        <w:spacing w:after="0" w:line="61" w:lineRule="exact"/>
        <w:rPr>
          <w:rFonts w:ascii="Arial" w:cs="Arial" w:eastAsia="Arial" w:hAnsi="Arial"/>
          <w:sz w:val="17"/>
          <w:szCs w:val="17"/>
          <w:color w:val="auto"/>
        </w:rPr>
      </w:pPr>
    </w:p>
    <w:p>
      <w:pPr>
        <w:ind w:left="580" w:right="1019" w:hanging="307"/>
        <w:spacing w:after="0" w:line="27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out-licensing arrangements are often terminated or allowed to expire, which would delay the development and may increase the development costs of our therapeutic candidates.</w:t>
      </w:r>
    </w:p>
    <w:p>
      <w:pPr>
        <w:spacing w:after="0" w:line="62" w:lineRule="exact"/>
        <w:rPr>
          <w:sz w:val="20"/>
          <w:szCs w:val="20"/>
          <w:color w:val="auto"/>
        </w:rPr>
      </w:pPr>
    </w:p>
    <w:p>
      <w:pPr>
        <w:ind w:left="60" w:right="999" w:firstLine="257"/>
        <w:spacing w:after="0" w:line="296" w:lineRule="auto"/>
        <w:rPr>
          <w:sz w:val="20"/>
          <w:szCs w:val="20"/>
          <w:color w:val="auto"/>
        </w:rPr>
      </w:pPr>
      <w:r>
        <w:rPr>
          <w:rFonts w:ascii="Arial" w:cs="Arial" w:eastAsia="Arial" w:hAnsi="Arial"/>
          <w:sz w:val="15"/>
          <w:szCs w:val="15"/>
          <w:color w:val="auto"/>
        </w:rPr>
        <w:t>If we or any of our licensees, including Ikaria, breach or terminate their agreements with us, or if any of our licensees otherwise fail to conduct their development and commercialization activities in a timely manner or there is a dispute about their obligations, we may need to seek other licensees, or we may have to develop our own internal sales and marketing capability for our therapeutic candidates. Our dependence on our licensees’ experience and the rights of our licensees will limit our flexibility in considering alternative out-licensing arrangements for our therapeutic candidates. Any failure to successfully develop these arrangements or failure by our licensees to successfully develop or commercialize any of our therapeutic candidates in a competitive and timely manner, will have a material adverse effect on the commercialization of our therapeutic candidates.</w:t>
      </w:r>
    </w:p>
    <w:p>
      <w:pPr>
        <w:spacing w:after="0" w:line="200" w:lineRule="exact"/>
        <w:rPr>
          <w:sz w:val="20"/>
          <w:szCs w:val="20"/>
          <w:color w:val="auto"/>
        </w:rPr>
      </w:pP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779" w:firstLine="257"/>
        <w:spacing w:after="0" w:line="278" w:lineRule="auto"/>
        <w:rPr>
          <w:sz w:val="20"/>
          <w:szCs w:val="20"/>
          <w:color w:val="auto"/>
        </w:rPr>
      </w:pPr>
      <w:r>
        <w:rPr>
          <w:rFonts w:ascii="Arial" w:cs="Arial" w:eastAsia="Arial" w:hAnsi="Arial"/>
          <w:sz w:val="17"/>
          <w:szCs w:val="17"/>
          <w:b w:val="1"/>
          <w:bCs w:val="1"/>
          <w:i w:val="1"/>
          <w:iCs w:val="1"/>
          <w:color w:val="auto"/>
        </w:rPr>
        <w:t>If we are unable to enter into agreements with third parties to develop, market and commercialize our therapeutic candidates, we may not generate product revenue.</w:t>
      </w:r>
    </w:p>
    <w:p>
      <w:pPr>
        <w:spacing w:after="0" w:line="62" w:lineRule="exact"/>
        <w:rPr>
          <w:sz w:val="20"/>
          <w:szCs w:val="20"/>
          <w:color w:val="auto"/>
        </w:rPr>
      </w:pPr>
    </w:p>
    <w:p>
      <w:pPr>
        <w:ind w:left="60" w:right="1059" w:firstLine="257"/>
        <w:spacing w:after="0" w:line="275" w:lineRule="auto"/>
        <w:rPr>
          <w:sz w:val="20"/>
          <w:szCs w:val="20"/>
          <w:color w:val="auto"/>
        </w:rPr>
      </w:pPr>
      <w:r>
        <w:rPr>
          <w:rFonts w:ascii="Arial" w:cs="Arial" w:eastAsia="Arial" w:hAnsi="Arial"/>
          <w:sz w:val="16"/>
          <w:szCs w:val="16"/>
          <w:color w:val="auto"/>
        </w:rPr>
        <w:t>We plan to develop, market and commercialize our therapeutic candidates primarily through out-licensing arrangements or, when appropriate, by ourselves. The preclinical and clinical development of our therapeutic candidates, even if undertaken through licensing arrangements with third parties, will require that we expend significant funds and will be subject to the risks of failure inherent in the development of pharmaceutical products. In order to successfully commercialize any of our therapeutic candidates that may be approved in the future by the FDA or other regulatory authorities, we must enter into out-licensing arrangements with third parties to perform these services for us or build internal sales and marketing capabilities. Our ability to commercialize our therapeutic candidates will depend on our ability to:</w:t>
      </w:r>
    </w:p>
    <w:p>
      <w:pPr>
        <w:spacing w:after="0" w:line="68" w:lineRule="exact"/>
        <w:rPr>
          <w:sz w:val="20"/>
          <w:szCs w:val="20"/>
          <w:color w:val="auto"/>
        </w:rPr>
      </w:pPr>
    </w:p>
    <w:p>
      <w:pPr>
        <w:ind w:left="580" w:hanging="30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attract suitable licensees on reasonable terms;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 and maintain necessary intellectual property rights to our therapeutic candidates;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where appropriate, enter into arrangements with third parties to manufacture our products, if any, on our behalf; and</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deploy sales and marketing resources effectively or enter into arrangements with third parties to provide these services.</w:t>
      </w:r>
    </w:p>
    <w:p>
      <w:pPr>
        <w:spacing w:after="0" w:line="125"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color w:val="auto"/>
        </w:rPr>
        <w:t>If we are unable to enter into an out-licensing arrangement with respect to BL-1020, BL-1021, BL-5010, BL-7040 or any of our other therapeutic candidates, whether with third parties or independently, our ability to develop a commercially viable product or generate product revenue based on the therapeutic candidate will be adversely affected, and we may not become profitable. We face significant competition in seeking out-licensing arrangements with third parties. We may not be able to negotiate out-licensing arrangements on acceptable terms, if at all. In addition, these out-licensing arrangements may be unsuccessful. If we fail to negotiate and maintain suitable out-licensing arrangements, we may have to limit the size or scope of, or delay, one or more of our development or research programs. If we elect to fund development or research programs independently, we will have to increase our expenditures significantly and will need to obtain additional funding, which may be unavailable or available only on unfavorable terms. We will also need to make significant investments in pharmaceutical product development, marketing, sales and regulatory compliance resources, and we will have to establish or contract for the manufacture of products under applicable regulatory requirements. Any failure to enter into an out-licensing arrangement with respect to the development, marketing and commercialization of any therapeutic candidate, or failure to develop, market and commercialize the therapeutic candidate independently, will have a material adverse effect on our business, financial condition and results of operations.</w:t>
      </w:r>
    </w:p>
    <w:p>
      <w:pPr>
        <w:spacing w:after="0" w:line="60" w:lineRule="exact"/>
        <w:rPr>
          <w:sz w:val="20"/>
          <w:szCs w:val="20"/>
          <w:color w:val="auto"/>
        </w:rPr>
      </w:pPr>
    </w:p>
    <w:p>
      <w:pPr>
        <w:jc w:val="both"/>
        <w:ind w:left="60" w:right="1159" w:firstLine="257"/>
        <w:spacing w:after="0" w:line="265" w:lineRule="auto"/>
        <w:rPr>
          <w:sz w:val="20"/>
          <w:szCs w:val="20"/>
          <w:color w:val="auto"/>
        </w:rPr>
      </w:pPr>
      <w:r>
        <w:rPr>
          <w:rFonts w:ascii="Arial" w:cs="Arial" w:eastAsia="Arial" w:hAnsi="Arial"/>
          <w:sz w:val="17"/>
          <w:szCs w:val="17"/>
          <w:b w:val="1"/>
          <w:bCs w:val="1"/>
          <w:i w:val="1"/>
          <w:iCs w:val="1"/>
          <w:color w:val="auto"/>
        </w:rPr>
        <w:t>Modifications to our therapeutic candidates, or to any other therapeutic candidates that we may develop in the future, may require new regulatory clearances or approvals or may require us or our licensees, as applicable, to recall or cease marketing these therapeutic candidates until clearances are obtained.</w:t>
      </w:r>
    </w:p>
    <w:p>
      <w:pPr>
        <w:spacing w:after="0" w:line="7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Modifications to our therapeutic candidates, after they have been approved for marketing, if at all, or to any other pharmaceutical product or medical device that we may develop in the future, may require new regulatory clearance, or approvals, and, if necessitated by a problem with a marketed product, may result in the recall or suspension of marketing of the previously approved and marketed product until clearances or approvals of the modified product are obtained. The FDA requires pharmaceutical products and device manufacturers to initially make and document a determination of whether or not a modification requires a new approval, supplement or clearance. A manufacturer may determine in conformity with applicable regulations and guidelines that a modification may be implemented without pre-clearance by the FDA; however, the FDA can review a manufacturer’s decision and may disagree. The FDA may also on its own initiative determine that a new clearance or approval is required. If the FDA requires new clearances or approvals of any pharmaceutical product or medical device for which we or our licensees receive marketing approval, if any, we or our licensees may be required to recall such product and to stop marketing the product as modified,</w:t>
      </w: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59"/>
        <w:spacing w:after="0" w:line="311" w:lineRule="auto"/>
        <w:rPr>
          <w:sz w:val="20"/>
          <w:szCs w:val="20"/>
          <w:color w:val="auto"/>
        </w:rPr>
      </w:pPr>
      <w:r>
        <w:rPr>
          <w:rFonts w:ascii="Arial" w:cs="Arial" w:eastAsia="Arial" w:hAnsi="Arial"/>
          <w:sz w:val="16"/>
          <w:szCs w:val="16"/>
          <w:color w:val="auto"/>
        </w:rPr>
        <w:t>which could require us or our licensees to redesign the product and will have a material adverse affect on our business, financial condition and results of operations. In these circumstances, we may be subject to significant enforcement actions.</w:t>
      </w:r>
    </w:p>
    <w:p>
      <w:pPr>
        <w:spacing w:after="0" w:line="38" w:lineRule="exact"/>
        <w:rPr>
          <w:sz w:val="20"/>
          <w:szCs w:val="20"/>
          <w:color w:val="auto"/>
        </w:rPr>
      </w:pPr>
    </w:p>
    <w:p>
      <w:pPr>
        <w:ind w:left="60" w:right="1019" w:firstLine="257"/>
        <w:spacing w:after="0" w:line="27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the safety or efficacy of the device, would constitute a major change in its intended use, or otherwise requires pre-clearance, the modification may not be implemented without the requisite clearance. We or our licensees may not be able to obtain those additional clearances or approvals for the modifications or additional indications in a timely manner, or at all. For those products sold in the European Union, or E.U., we, or our licensees, as applicable, must notify the applicable E.U. Notified Body, an organization appointed by a member State of the E.U. either for the approval and monitoring of a manufacturer’s quality assurance system or for direct product inspection, if significant changes are made to the product or if there are substantial changes to the quality assurance systems affecting the product. Delays in obtaining required future clearances or approvals would materially and adversely affect our ability to introduce new or enhanced products in a timely manner, which in turn would have a material adverse effect on our business, financial condition and results of operations.</w:t>
      </w:r>
    </w:p>
    <w:p>
      <w:pPr>
        <w:spacing w:after="0" w:line="68" w:lineRule="exact"/>
        <w:rPr>
          <w:sz w:val="20"/>
          <w:szCs w:val="20"/>
          <w:color w:val="auto"/>
        </w:rPr>
      </w:pPr>
    </w:p>
    <w:p>
      <w:pPr>
        <w:ind w:left="60" w:right="1239" w:firstLine="257"/>
        <w:spacing w:after="0" w:line="278" w:lineRule="auto"/>
        <w:rPr>
          <w:sz w:val="20"/>
          <w:szCs w:val="20"/>
          <w:color w:val="auto"/>
        </w:rPr>
      </w:pPr>
      <w:r>
        <w:rPr>
          <w:rFonts w:ascii="Arial" w:cs="Arial" w:eastAsia="Arial" w:hAnsi="Arial"/>
          <w:sz w:val="17"/>
          <w:szCs w:val="17"/>
          <w:b w:val="1"/>
          <w:bCs w:val="1"/>
          <w:i w:val="1"/>
          <w:iCs w:val="1"/>
          <w:color w:val="auto"/>
        </w:rPr>
        <w:t>Clinical trials involve a lengthy and expensive process with an uncertain outcome, and results of earlier studies and trials may not be predictive of future trial results.</w:t>
      </w:r>
    </w:p>
    <w:p>
      <w:pPr>
        <w:spacing w:after="0" w:line="62" w:lineRule="exact"/>
        <w:rPr>
          <w:sz w:val="20"/>
          <w:szCs w:val="20"/>
          <w:color w:val="auto"/>
        </w:rPr>
      </w:pPr>
    </w:p>
    <w:p>
      <w:pPr>
        <w:ind w:left="60" w:right="1099" w:firstLine="257"/>
        <w:spacing w:after="0" w:line="274" w:lineRule="auto"/>
        <w:rPr>
          <w:sz w:val="20"/>
          <w:szCs w:val="20"/>
          <w:color w:val="auto"/>
        </w:rPr>
      </w:pPr>
      <w:r>
        <w:rPr>
          <w:rFonts w:ascii="Arial" w:cs="Arial" w:eastAsia="Arial" w:hAnsi="Arial"/>
          <w:sz w:val="16"/>
          <w:szCs w:val="16"/>
          <w:color w:val="auto"/>
        </w:rPr>
        <w:t>We have limited experience in conducting and managing the clinical trials necessary to obtain regulatory approvals, including FDA approval. Clinical trials are expensive and complex, can take many years and have uncertain outcomes. We cannot predict whether we or our licensees will encounter problems with any of the completed, ongoing or planned clinical trials that will cause us, our licensees or regulatory authorities to delay or suspend clinical trials, or delay the analysis of data from completed or ongoing clinical trials. We estimate that clinical trials of our most advanced therapeutic candidates will continue for several years, but they may take significantly longer to complete. Failure can occur at any stage of the testing and we may experience numerous unforeseen events during, or as a result of, the clinical trial process that could delay or prevent commercialization of our current or future therapeutic candidates, including but not limited to:</w:t>
      </w:r>
    </w:p>
    <w:p>
      <w:pPr>
        <w:spacing w:after="0" w:line="69" w:lineRule="exact"/>
        <w:rPr>
          <w:sz w:val="20"/>
          <w:szCs w:val="20"/>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securing clinical investigators or trial sites for the clinical trials;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obtaining institutional review board and other regulatory approvals to commence a clinical trial;</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slower than anticipated patient recruitment and enrollment;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negative or inconclusive results from clinical trials;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unforeseen safety issues;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 dosing issues;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inability to monitor patients adequately during or after treatment;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problems with investigator or patient compliance with the trial protocols.</w:t>
      </w:r>
    </w:p>
    <w:p>
      <w:pPr>
        <w:spacing w:after="0" w:line="113" w:lineRule="exact"/>
        <w:rPr>
          <w:sz w:val="20"/>
          <w:szCs w:val="20"/>
          <w:color w:val="auto"/>
        </w:rPr>
      </w:pPr>
    </w:p>
    <w:p>
      <w:pPr>
        <w:ind w:left="60" w:right="1079" w:firstLine="257"/>
        <w:spacing w:after="0" w:line="275" w:lineRule="auto"/>
        <w:rPr>
          <w:sz w:val="20"/>
          <w:szCs w:val="20"/>
          <w:color w:val="auto"/>
        </w:rPr>
      </w:pPr>
      <w:r>
        <w:rPr>
          <w:rFonts w:ascii="Arial" w:cs="Arial" w:eastAsia="Arial" w:hAnsi="Arial"/>
          <w:sz w:val="16"/>
          <w:szCs w:val="16"/>
          <w:color w:val="auto"/>
        </w:rPr>
        <w:t>A number of companies in the pharmaceutical, medical device and biotechnology industries, including those with greater resources and experience than us, have suffered significant setbacks in advanced clinical trials, even after seeing promising results in earlier clinical trials. Despite the results reported in earlier clinical trials for our therapeutic candidates, we do not know whether any phase 3 or other clinical trials we or our licensees may conduct will demonstrate adequate efficacy and safety to result in regulatory approval to market our therapeutic candidates. If later-stage clinical trials of any therapeutic candidate do not produce favorable results, our ability to obtain regulatory approval for the therapeutic candidate may be adversely impacted, which will have a material adverse effect on our business, financial condition and results of operations.</w:t>
      </w: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99" w:firstLine="257"/>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provide other services, and those third parties may not perform satisfactorily, including by failing to meet established deadlines for the completion of such services.</w:t>
      </w:r>
    </w:p>
    <w:p>
      <w:pPr>
        <w:spacing w:after="0" w:line="38" w:lineRule="exact"/>
        <w:rPr>
          <w:sz w:val="20"/>
          <w:szCs w:val="20"/>
          <w:color w:val="auto"/>
        </w:rPr>
      </w:pPr>
    </w:p>
    <w:p>
      <w:pPr>
        <w:ind w:left="60" w:right="1019" w:firstLine="257"/>
        <w:spacing w:after="0" w:line="272" w:lineRule="auto"/>
        <w:rPr>
          <w:sz w:val="20"/>
          <w:szCs w:val="20"/>
          <w:color w:val="auto"/>
        </w:rPr>
      </w:pPr>
      <w:r>
        <w:rPr>
          <w:rFonts w:ascii="Arial" w:cs="Arial" w:eastAsia="Arial" w:hAnsi="Arial"/>
          <w:sz w:val="16"/>
          <w:szCs w:val="16"/>
          <w:color w:val="auto"/>
        </w:rPr>
        <w:t>We do not have the ability to conduct certain preclinical studies and clinical trials independently for our therapeutic candidates, and we rely on third parties, such as contract laboratories, contract research organizations, medical institutions and clinical investigators to conduct these studies and our clinical trials. Our reliance on these third parties limits our control over these activities. The third-party contractors may not assign as great a priority to our clinical development programs or pursue them as diligently as we would if we were undertaking such programs directly. Accordingly, these third-party contractors may not complete activities on schedule, or may not conduct the studies or our clinical trials in accordance with regulatory requirements or with our trial design. If these third parties do not successfully carry out their contractual duties or meet expected deadlines, or if their performance is substandard, we may be required to replace them. Although we believe that there are a number of other third-party contractors that we could engage to continue these activities, replacement of these third parties will result in delays. As a result, our efforts to obtain regulatory approvals for, and to commercialize, our therapeutic candidates may be delayed. The third-party contractors may also have relationships with other commercial entities, some of whom may compete with us. If the third-party contractors assist our competitors, our competitive position may be harmed.</w:t>
      </w:r>
    </w:p>
    <w:p>
      <w:pPr>
        <w:spacing w:after="0" w:line="70" w:lineRule="exact"/>
        <w:rPr>
          <w:sz w:val="20"/>
          <w:szCs w:val="20"/>
          <w:color w:val="auto"/>
        </w:rPr>
      </w:pPr>
    </w:p>
    <w:p>
      <w:pPr>
        <w:ind w:left="60" w:right="1119" w:firstLine="257"/>
        <w:spacing w:after="0" w:line="259" w:lineRule="auto"/>
        <w:rPr>
          <w:sz w:val="20"/>
          <w:szCs w:val="20"/>
          <w:color w:val="auto"/>
        </w:rPr>
      </w:pPr>
      <w:r>
        <w:rPr>
          <w:rFonts w:ascii="Arial" w:cs="Arial" w:eastAsia="Arial" w:hAnsi="Arial"/>
          <w:sz w:val="17"/>
          <w:szCs w:val="17"/>
          <w:color w:val="auto"/>
        </w:rPr>
        <w:t>In addition, our ability to bring future products to market depends on the quality and integrity of data that we present to regulatory authorities in order to obtain marketing authorizations. Although we attempt to audit and control the quality of third-party data, we cannot guarantee the authenticity or accuracy of such data, nor can we be certain that such data has not been fraudulently generated. The failure of these third parties to carry out their obligations would materially adversely affect our ability to develop and market new products and implement our strategies.</w:t>
      </w:r>
    </w:p>
    <w:p>
      <w:pPr>
        <w:spacing w:after="0" w:line="77" w:lineRule="exact"/>
        <w:rPr>
          <w:sz w:val="20"/>
          <w:szCs w:val="20"/>
          <w:color w:val="auto"/>
        </w:rPr>
      </w:pPr>
    </w:p>
    <w:p>
      <w:pPr>
        <w:ind w:left="60" w:right="1239" w:firstLine="257"/>
        <w:spacing w:after="0" w:line="278" w:lineRule="auto"/>
        <w:rPr>
          <w:sz w:val="20"/>
          <w:szCs w:val="20"/>
          <w:color w:val="auto"/>
        </w:rPr>
      </w:pPr>
      <w:r>
        <w:rPr>
          <w:rFonts w:ascii="Arial" w:cs="Arial" w:eastAsia="Arial" w:hAnsi="Arial"/>
          <w:sz w:val="17"/>
          <w:szCs w:val="17"/>
          <w:b w:val="1"/>
          <w:bCs w:val="1"/>
          <w:i w:val="1"/>
          <w:iCs w:val="1"/>
          <w:color w:val="auto"/>
        </w:rPr>
        <w:t>If our competitors develop and market products that are more effective, safer or less expensive than our current or future therapeutic candidates, our future prospects will be negatively impacted.</w:t>
      </w:r>
    </w:p>
    <w:p>
      <w:pPr>
        <w:spacing w:after="0" w:line="62" w:lineRule="exact"/>
        <w:rPr>
          <w:sz w:val="20"/>
          <w:szCs w:val="20"/>
          <w:color w:val="auto"/>
        </w:rPr>
      </w:pPr>
    </w:p>
    <w:p>
      <w:pPr>
        <w:ind w:left="60" w:right="1119" w:firstLine="257"/>
        <w:spacing w:after="0" w:line="289" w:lineRule="auto"/>
        <w:rPr>
          <w:sz w:val="20"/>
          <w:szCs w:val="20"/>
          <w:color w:val="auto"/>
        </w:rPr>
      </w:pPr>
      <w:r>
        <w:rPr>
          <w:rFonts w:ascii="Arial" w:cs="Arial" w:eastAsia="Arial" w:hAnsi="Arial"/>
          <w:sz w:val="15"/>
          <w:szCs w:val="15"/>
          <w:color w:val="auto"/>
        </w:rPr>
        <w:t>The life sciences industry is highly competitive, and we face significant competition from many pharmaceutical, biopharmaceutical and biotechnology companies that are researching and marketing products designed to address the indications for which we are currently developing therapeutic candidates or for which we may develop therapeutic candidates in the future. Specifically, we are aware of several other companies who currently market and/or are in the process of developing products that address schizophrenia, AMI, skin lesions, neuropathic pain and IBD. There are a number of treatments currently marketed for schizophrenia patients, including atypical anti-psychotics from Johnson &amp; Johnson, Eli Lilly and Company, AstraZeneca, Bristol-Myers Squibb/Otsuka Pharmaceutical Co., Ltd., Pfizer Inc. and others. In addition, there are a number of generic brands of typical and atypical anti-psychotics available for commercial use. We are also aware of a number of potentially competitive compounds under development to treat schizophrenia including: Cariprazine, which is being developed by Forest Laboratories, Inc.; Bifeprunox, which is being developed by Solvay Pharmaceuticals, Inc., and Lurasidone, which is being developed by Dainippon Sumitomo Pharma Co., Ltd. There are a number of therapies currently in development that treat cardiac remodeling, including</w:t>
      </w:r>
    </w:p>
    <w:p>
      <w:pPr>
        <w:ind w:left="60"/>
        <w:spacing w:after="0" w:line="223" w:lineRule="auto"/>
        <w:rPr>
          <w:sz w:val="20"/>
          <w:szCs w:val="20"/>
          <w:color w:val="auto"/>
        </w:rPr>
      </w:pPr>
      <w:r>
        <w:rPr>
          <w:rFonts w:ascii="Arial" w:cs="Arial" w:eastAsia="Arial" w:hAnsi="Arial"/>
          <w:sz w:val="17"/>
          <w:szCs w:val="17"/>
          <w:color w:val="auto"/>
        </w:rPr>
        <w:t>BioHeart, Inc.’s MyoCell® implantation procedure, Paracor Medical, Inc.’s HeartNet</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and Acorn Cardiovascular, Inc.’s</w:t>
      </w:r>
    </w:p>
    <w:p>
      <w:pPr>
        <w:ind w:left="60" w:right="1019"/>
        <w:spacing w:after="0" w:line="242" w:lineRule="auto"/>
        <w:rPr>
          <w:sz w:val="20"/>
          <w:szCs w:val="20"/>
          <w:color w:val="auto"/>
        </w:rPr>
      </w:pPr>
      <w:r>
        <w:rPr>
          <w:rFonts w:ascii="Arial" w:cs="Arial" w:eastAsia="Arial" w:hAnsi="Arial"/>
          <w:sz w:val="17"/>
          <w:szCs w:val="17"/>
          <w:color w:val="auto"/>
        </w:rPr>
        <w:t>CorCap</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device. Skin lesions are generally removed using either cryotherapy (liquid nitrogen), electro-coagulation (electrical burning), laser treatments or through surgery. Galderma Pharma SA produces a non-destructive, non-surgical, cream-based treatment for skin lesions called Metvix® which has been approved in many countries. Treatments for neuropathic pain currently in the market include Pfizer’s Lyrica (pregabalin) and Neurontin (gabapentin), Eli Lilly/Shionogi’s Cymbalta (duloxetine), Endo/Grunenthal’s Lidoderm (5% lidocaine patch); and NeurogesX/Astellas Qutenza (8% capsaicin patch). IBD is often treated with currently marketed steroids, immunomodulators and anti-TNFs (tumor necrosis factors). Approved treatments for IBD currently include anti-TNFs, such as Remicade (infliximab, Janssen Biotech, Inc., a Johnson &amp; Johnson company, Merck &amp; Co. and Mitsubishi Tanabe Pharma) and Humira (adalimumab, Abbott Laboratories and Eisai Co.), in addition to generic brands of mesalazine, a 5-aminosalicylate. Additional market leaders are Cimzia (certolizumab, UCB, Inc.), an anti-TNF, and Tysabri (natalizumab, Biogen Inc.), an integrin inhibitor. We are also aware of a number of potentially competitive compounds under development</w:t>
      </w:r>
    </w:p>
    <w:p>
      <w:pPr>
        <w:spacing w:after="0" w:line="200" w:lineRule="exact"/>
        <w:rPr>
          <w:sz w:val="20"/>
          <w:szCs w:val="20"/>
          <w:color w:val="auto"/>
        </w:rPr>
      </w:pPr>
    </w:p>
    <w:p>
      <w:pPr>
        <w:spacing w:after="0" w:line="32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659"/>
        <w:spacing w:after="0" w:line="278" w:lineRule="auto"/>
        <w:rPr>
          <w:sz w:val="20"/>
          <w:szCs w:val="20"/>
          <w:color w:val="auto"/>
        </w:rPr>
      </w:pPr>
      <w:r>
        <w:rPr>
          <w:rFonts w:ascii="Arial" w:cs="Arial" w:eastAsia="Arial" w:hAnsi="Arial"/>
          <w:sz w:val="17"/>
          <w:szCs w:val="17"/>
          <w:color w:val="auto"/>
        </w:rPr>
        <w:t>including Simponi (golimumab, Janssen Biotech, Inc., Merck &amp; Co. and Mitsubishi Tanabe Pharma), a TNF inhibitor, and Budesonide MMX (Cosmo Pharmaceuticals, Ferring Pharmaceuticals and Santarus, Inc.).</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Any therapeutic candidates we may develop in the future are also likely to face competition from other drugs and therapies.</w:t>
      </w:r>
    </w:p>
    <w:p>
      <w:pPr>
        <w:spacing w:after="0" w:line="125" w:lineRule="exact"/>
        <w:rPr>
          <w:sz w:val="20"/>
          <w:szCs w:val="20"/>
          <w:color w:val="auto"/>
        </w:rPr>
      </w:pPr>
    </w:p>
    <w:p>
      <w:pPr>
        <w:ind w:left="60" w:right="1179" w:firstLine="257"/>
        <w:spacing w:after="0" w:line="301" w:lineRule="auto"/>
        <w:rPr>
          <w:sz w:val="20"/>
          <w:szCs w:val="20"/>
          <w:color w:val="auto"/>
        </w:rPr>
      </w:pPr>
      <w:r>
        <w:rPr>
          <w:rFonts w:ascii="Arial" w:cs="Arial" w:eastAsia="Arial" w:hAnsi="Arial"/>
          <w:sz w:val="15"/>
          <w:szCs w:val="15"/>
          <w:color w:val="auto"/>
        </w:rPr>
        <w:t>Many of our competitors have significantly greater financial, manufacturing, marketing and drug development resources than we do. Large pharmaceutical companies, in particular, have extensive experience in clinical testing and in obtaining regulatory approvals for drugs. These companies also have significantly greater research and marketing capabilities than we do. If our competitors market products that are more effective, safer or less expensive than our future therapeutic candidates, if any, or that reach the market sooner than our future therapeutic candidates, if any, we may not achieve commercial success.</w:t>
      </w:r>
    </w:p>
    <w:p>
      <w:pPr>
        <w:spacing w:after="0" w:line="50" w:lineRule="exact"/>
        <w:rPr>
          <w:sz w:val="20"/>
          <w:szCs w:val="20"/>
          <w:color w:val="auto"/>
        </w:rPr>
      </w:pPr>
    </w:p>
    <w:p>
      <w:pPr>
        <w:ind w:left="60" w:right="1059" w:firstLine="257"/>
        <w:spacing w:after="0" w:line="317" w:lineRule="auto"/>
        <w:rPr>
          <w:sz w:val="20"/>
          <w:szCs w:val="20"/>
          <w:color w:val="auto"/>
        </w:rPr>
      </w:pPr>
      <w:r>
        <w:rPr>
          <w:rFonts w:ascii="Arial" w:cs="Arial" w:eastAsia="Arial" w:hAnsi="Arial"/>
          <w:sz w:val="15"/>
          <w:szCs w:val="15"/>
          <w:b w:val="1"/>
          <w:bCs w:val="1"/>
          <w:i w:val="1"/>
          <w:iCs w:val="1"/>
          <w:color w:val="auto"/>
        </w:rPr>
        <w:t>We expect to rely upon third-party manufacturers to produce therapeutic supplies for phase 3 clinical trials, and commercialization, of our therapeutic candidates. If we manufacture any of our therapeutic candidates in the future, we will be required to incur significant costs and devote significant efforts to establish and maintain manufacturing capabilities.</w:t>
      </w:r>
    </w:p>
    <w:p>
      <w:pPr>
        <w:spacing w:after="0" w:line="37" w:lineRule="exact"/>
        <w:rPr>
          <w:sz w:val="20"/>
          <w:szCs w:val="20"/>
          <w:color w:val="auto"/>
        </w:rPr>
      </w:pPr>
    </w:p>
    <w:p>
      <w:pPr>
        <w:ind w:left="60" w:right="1099" w:firstLine="257"/>
        <w:spacing w:after="0" w:line="294" w:lineRule="auto"/>
        <w:rPr>
          <w:sz w:val="20"/>
          <w:szCs w:val="20"/>
          <w:color w:val="auto"/>
        </w:rPr>
      </w:pPr>
      <w:r>
        <w:rPr>
          <w:rFonts w:ascii="Arial" w:cs="Arial" w:eastAsia="Arial" w:hAnsi="Arial"/>
          <w:sz w:val="15"/>
          <w:szCs w:val="15"/>
          <w:color w:val="auto"/>
        </w:rPr>
        <w:t>We currently have laboratories that are compliant with both current good manufacturing practices, or cGMP, and Good Laboratory Practices, or GLP, and allow us to manufacture therapeutic supplies for our current clinical trials. If we decide to perform any phase 3 clinical trial, or commercialize, any therapeutic candidate on our own, we anticipate that we will rely on third parties to produce the therapeutic supplies. We have limited personnel with experience in drug or medical device manufacturing and we lack the resources and capabilities to manufacture any of our therapeutic candidates on a commercial scale. The manufacture of pharmaceutical products and medical devices requires significant expertise and capital investment, including the development of advanced manufacturing techniques and process controls. Manufacturers of pharmaceutical products and medical devices often encounter difficulties in production, particularly in scaling up initial production. These problems include difficulties with production costs and yields and quality control, including stability of the therapeutic candidate.</w:t>
      </w:r>
    </w:p>
    <w:p>
      <w:pPr>
        <w:spacing w:after="0" w:line="54" w:lineRule="exact"/>
        <w:rPr>
          <w:sz w:val="20"/>
          <w:szCs w:val="20"/>
          <w:color w:val="auto"/>
        </w:rPr>
      </w:pPr>
    </w:p>
    <w:p>
      <w:pPr>
        <w:ind w:left="60" w:right="1059" w:firstLine="257"/>
        <w:spacing w:after="0" w:line="298" w:lineRule="auto"/>
        <w:rPr>
          <w:sz w:val="20"/>
          <w:szCs w:val="20"/>
          <w:color w:val="auto"/>
        </w:rPr>
      </w:pPr>
      <w:r>
        <w:rPr>
          <w:rFonts w:ascii="Arial" w:cs="Arial" w:eastAsia="Arial" w:hAnsi="Arial"/>
          <w:sz w:val="15"/>
          <w:szCs w:val="15"/>
          <w:color w:val="auto"/>
        </w:rPr>
        <w:t>We do not currently have any long-term agreements with third party manufacturers for the supply of any of our therapeutic candidates. We believe that our current supply of therapeutic candidates is sufficient to complete our current clinical trials. However, if we require additional supplies of our therapeutic candidates to complete our clinical trials or if we elect to commercialize our products independently, we may be unable to enter into agreements for clinical or commercial supply, as applicable, with third party manufacturers, or may be unable to do so on acceptable terms. Even if we enter into these agreements, it is likely that the manufacturers of each therapeutic candidate will be single source suppliers to us for a significant period of time.</w:t>
      </w:r>
    </w:p>
    <w:p>
      <w:pPr>
        <w:spacing w:after="0" w:line="53" w:lineRule="exact"/>
        <w:rPr>
          <w:sz w:val="20"/>
          <w:szCs w:val="20"/>
          <w:color w:val="auto"/>
        </w:rPr>
      </w:pPr>
    </w:p>
    <w:p>
      <w:pPr>
        <w:ind w:left="60" w:right="1039" w:firstLine="257"/>
        <w:spacing w:after="0" w:line="278" w:lineRule="auto"/>
        <w:rPr>
          <w:sz w:val="20"/>
          <w:szCs w:val="20"/>
          <w:color w:val="auto"/>
        </w:rPr>
      </w:pPr>
      <w:r>
        <w:rPr>
          <w:rFonts w:ascii="Arial" w:cs="Arial" w:eastAsia="Arial" w:hAnsi="Arial"/>
          <w:sz w:val="17"/>
          <w:szCs w:val="17"/>
          <w:color w:val="auto"/>
        </w:rPr>
        <w:t>Reliance on third party manufacturers entails risks to which we would not be subject if we manufactured therapeutic candidates ourselves, including:</w:t>
      </w:r>
    </w:p>
    <w:p>
      <w:pPr>
        <w:spacing w:after="0" w:line="62" w:lineRule="exact"/>
        <w:rPr>
          <w:sz w:val="20"/>
          <w:szCs w:val="20"/>
          <w:color w:val="auto"/>
        </w:rPr>
      </w:pPr>
    </w:p>
    <w:p>
      <w:pPr>
        <w:ind w:left="580" w:hanging="307"/>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limitations on supply availability resulting from capacity and scheduling constraints of the third parties;</w:t>
      </w:r>
    </w:p>
    <w:p>
      <w:pPr>
        <w:spacing w:after="0" w:line="113" w:lineRule="exact"/>
        <w:rPr>
          <w:rFonts w:ascii="Arial" w:cs="Arial" w:eastAsia="Arial" w:hAnsi="Arial"/>
          <w:sz w:val="17"/>
          <w:szCs w:val="17"/>
          <w:color w:val="auto"/>
        </w:rPr>
      </w:pPr>
    </w:p>
    <w:p>
      <w:pPr>
        <w:ind w:left="580" w:right="1179" w:hanging="307"/>
        <w:spacing w:after="0" w:line="27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impact on our reputation in the marketplace if manufacturers of our products, once commercialized, fail to meet customer demands;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 party because of factors beyond our control; and</w:t>
      </w:r>
    </w:p>
    <w:p>
      <w:pPr>
        <w:spacing w:after="0" w:line="124" w:lineRule="exact"/>
        <w:rPr>
          <w:rFonts w:ascii="Arial" w:cs="Arial" w:eastAsia="Arial" w:hAnsi="Arial"/>
          <w:sz w:val="16"/>
          <w:szCs w:val="16"/>
          <w:color w:val="auto"/>
        </w:rPr>
      </w:pPr>
    </w:p>
    <w:p>
      <w:pPr>
        <w:ind w:left="580" w:right="1239" w:hanging="307"/>
        <w:spacing w:after="0" w:line="27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based on its own business priorities, at a time that is costly or inconvenient for us.</w:t>
      </w:r>
    </w:p>
    <w:p>
      <w:pPr>
        <w:spacing w:after="0" w:line="62" w:lineRule="exact"/>
        <w:rPr>
          <w:sz w:val="20"/>
          <w:szCs w:val="20"/>
          <w:color w:val="auto"/>
        </w:rPr>
      </w:pPr>
    </w:p>
    <w:p>
      <w:pPr>
        <w:ind w:left="60" w:right="1319" w:firstLine="257"/>
        <w:spacing w:after="0" w:line="265" w:lineRule="auto"/>
        <w:rPr>
          <w:sz w:val="20"/>
          <w:szCs w:val="20"/>
          <w:color w:val="auto"/>
        </w:rPr>
      </w:pPr>
      <w:r>
        <w:rPr>
          <w:rFonts w:ascii="Arial" w:cs="Arial" w:eastAsia="Arial" w:hAnsi="Arial"/>
          <w:sz w:val="17"/>
          <w:szCs w:val="17"/>
          <w:color w:val="auto"/>
        </w:rPr>
        <w:t>The failure of any of our contract manufacturers to maintain high manufacturing standards could result in injury or death of clinical trial participants or patients being treated with our products. Such failure could also result in product liability claims, product recalls, product seizures or withdrawals, delays or failures in testing</w:t>
      </w:r>
    </w:p>
    <w:p>
      <w:pPr>
        <w:spacing w:after="0" w:line="200" w:lineRule="exact"/>
        <w:rPr>
          <w:sz w:val="20"/>
          <w:szCs w:val="20"/>
          <w:color w:val="auto"/>
        </w:rPr>
      </w:pPr>
    </w:p>
    <w:p>
      <w:pPr>
        <w:spacing w:after="0" w:line="29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99"/>
        <w:spacing w:after="0" w:line="278" w:lineRule="auto"/>
        <w:rPr>
          <w:sz w:val="20"/>
          <w:szCs w:val="20"/>
          <w:color w:val="auto"/>
        </w:rPr>
      </w:pPr>
      <w:r>
        <w:rPr>
          <w:rFonts w:ascii="Arial" w:cs="Arial" w:eastAsia="Arial" w:hAnsi="Arial"/>
          <w:sz w:val="17"/>
          <w:szCs w:val="17"/>
          <w:color w:val="auto"/>
        </w:rPr>
        <w:t>or delivery, cost overruns or other problems, which would have a material adverse effect on our business, financial condition and results of operations.</w:t>
      </w:r>
    </w:p>
    <w:p>
      <w:pPr>
        <w:spacing w:after="0" w:line="62" w:lineRule="exact"/>
        <w:rPr>
          <w:sz w:val="20"/>
          <w:szCs w:val="20"/>
          <w:color w:val="auto"/>
        </w:rPr>
      </w:pPr>
    </w:p>
    <w:p>
      <w:pPr>
        <w:ind w:left="60" w:right="1039" w:firstLine="257"/>
        <w:spacing w:after="0" w:line="265" w:lineRule="auto"/>
        <w:rPr>
          <w:sz w:val="20"/>
          <w:szCs w:val="20"/>
          <w:color w:val="auto"/>
        </w:rPr>
      </w:pPr>
      <w:r>
        <w:rPr>
          <w:rFonts w:ascii="Arial" w:cs="Arial" w:eastAsia="Arial" w:hAnsi="Arial"/>
          <w:sz w:val="17"/>
          <w:szCs w:val="17"/>
          <w:color w:val="auto"/>
        </w:rPr>
        <w:t>If we are required to manufacture any of our therapeutic candidates in the future in connection with phase 3 clinical trials or for commercialization, we will be required to incur significant costs and devote significant efforts to establish and maintain manufacturing capabilities.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and our contract manufacturers are, and will be, subject to FDA and other comparable agency regulations.</w:t>
      </w:r>
    </w:p>
    <w:p>
      <w:pPr>
        <w:spacing w:after="0" w:line="125" w:lineRule="exact"/>
        <w:rPr>
          <w:sz w:val="20"/>
          <w:szCs w:val="20"/>
          <w:color w:val="auto"/>
        </w:rPr>
      </w:pPr>
    </w:p>
    <w:p>
      <w:pPr>
        <w:ind w:left="60" w:right="1059" w:firstLine="257"/>
        <w:spacing w:after="0" w:line="273" w:lineRule="auto"/>
        <w:rPr>
          <w:sz w:val="20"/>
          <w:szCs w:val="20"/>
          <w:color w:val="auto"/>
        </w:rPr>
      </w:pPr>
      <w:r>
        <w:rPr>
          <w:rFonts w:ascii="Arial" w:cs="Arial" w:eastAsia="Arial" w:hAnsi="Arial"/>
          <w:sz w:val="16"/>
          <w:szCs w:val="16"/>
          <w:color w:val="auto"/>
        </w:rPr>
        <w:t>We and our contract manufacturers are, and will be, required to adhere to FDA regulations setting forth cGMP for drugs and Quality System Regulations, or QSR, for devices. These regulations cover all aspects of the manufacturing, testing, quality control and recordkeeping relating to our therapeutic candidates. We and our manufacturers may not be able to comply with applicable regulations. We and our manufacturers are and will be subject to unannounced inspections by the FDA, state regulators and similar regulators outside the United States. Our failure, or the failure of our third party manufacturers, to comply with applicable regulations could result in the imposition of sanctions on us, including fines, injunctions, civil penalties, failure of regulatory authorities to grant marketing approval of our therapeutic candidates, delays, suspension or withdrawal of approvals, license revocation, seizures or recalls of our candidates or products, operating restrictions and criminal prosecutions, any of which could significantly and adversely affect regulatory approval and supplies of our therapeutic candidates, and materially and adversely affect our business, financial condition and results of operations.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depend on our ability to identify and in-license technologies and therapeutic candidates.</w:t>
      </w:r>
    </w:p>
    <w:p>
      <w:pPr>
        <w:spacing w:after="0" w:line="113" w:lineRule="exact"/>
        <w:rPr>
          <w:sz w:val="20"/>
          <w:szCs w:val="20"/>
          <w:color w:val="auto"/>
        </w:rPr>
      </w:pPr>
    </w:p>
    <w:p>
      <w:pPr>
        <w:ind w:left="60" w:right="1019" w:firstLine="257"/>
        <w:spacing w:after="0" w:line="274" w:lineRule="auto"/>
        <w:rPr>
          <w:sz w:val="20"/>
          <w:szCs w:val="20"/>
          <w:color w:val="auto"/>
        </w:rPr>
      </w:pPr>
      <w:r>
        <w:rPr>
          <w:rFonts w:ascii="Arial" w:cs="Arial" w:eastAsia="Arial" w:hAnsi="Arial"/>
          <w:sz w:val="16"/>
          <w:szCs w:val="16"/>
          <w:color w:val="auto"/>
        </w:rPr>
        <w:t>We employ a number of methods to efficiently and effectively identify therapeutic candidates that we believe are likely to achieve commercial success. In addition to our internal research and business developments efforts, we employ a proprietary screening system developed by us that includes evaluation through our proprietary MedMatrx scoring tool. In addition, our Scientific Advisory Board and disease-specific third-party advisors evaluate each therapeutic candidate. However, there can be no assurance that our internal research efforts or our screening system will accurately or consistently select among various therapeutic candidates those that that have the highest likelihood to achieve, and which ultimately achieve, commercial success. As a result, we may spend substantial resources developing therapeutic candidates that will not achieve commercial success and we may not advance those therapeutic candidates with the greatest potential for commercial success.</w:t>
      </w:r>
    </w:p>
    <w:p>
      <w:pPr>
        <w:spacing w:after="0" w:line="69" w:lineRule="exact"/>
        <w:rPr>
          <w:sz w:val="20"/>
          <w:szCs w:val="20"/>
          <w:color w:val="auto"/>
        </w:rPr>
      </w:pPr>
    </w:p>
    <w:p>
      <w:pPr>
        <w:ind w:left="60" w:right="1179" w:firstLine="257"/>
        <w:spacing w:after="0" w:line="279" w:lineRule="auto"/>
        <w:rPr>
          <w:sz w:val="20"/>
          <w:szCs w:val="20"/>
          <w:color w:val="auto"/>
        </w:rPr>
      </w:pPr>
      <w:r>
        <w:rPr>
          <w:rFonts w:ascii="Arial" w:cs="Arial" w:eastAsia="Arial" w:hAnsi="Arial"/>
          <w:sz w:val="16"/>
          <w:szCs w:val="16"/>
          <w:color w:val="auto"/>
        </w:rPr>
        <w:t>An important element of our strategy is maintaining relationships with universities, medical institutions and biotechnology companies in order to in-license potential therapeutic candidates. We may not be able to maintain relationships with these entities and they may elect not to enter into in-licensing agreements with us or to terminate existing agreements. We may not be able to acquire licenses on commercially reasonable terms, or at all. Failure to license or otherwise acquire necessary technologies could materially and adversely affect our business, financial condition and results of operations.</w:t>
      </w:r>
    </w:p>
    <w:p>
      <w:pPr>
        <w:spacing w:after="0" w:line="63" w:lineRule="exact"/>
        <w:rPr>
          <w:sz w:val="20"/>
          <w:szCs w:val="20"/>
          <w:color w:val="auto"/>
        </w:rPr>
      </w:pPr>
    </w:p>
    <w:p>
      <w:pPr>
        <w:ind w:left="60" w:right="1319" w:firstLine="257"/>
        <w:spacing w:after="0" w:line="278" w:lineRule="auto"/>
        <w:rPr>
          <w:sz w:val="20"/>
          <w:szCs w:val="20"/>
          <w:color w:val="auto"/>
        </w:rPr>
      </w:pPr>
      <w:r>
        <w:rPr>
          <w:rFonts w:ascii="Arial" w:cs="Arial" w:eastAsia="Arial" w:hAnsi="Arial"/>
          <w:sz w:val="17"/>
          <w:szCs w:val="17"/>
          <w:b w:val="1"/>
          <w:bCs w:val="1"/>
          <w:i w:val="1"/>
          <w:iCs w:val="1"/>
          <w:color w:val="auto"/>
        </w:rPr>
        <w:t>If we cannot meet requirements under our in-license agreements, we could lose the rights to our therapeutic candidates, which could have a material adverse effect on our business.</w:t>
      </w:r>
    </w:p>
    <w:p>
      <w:pPr>
        <w:spacing w:after="0" w:line="62"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color w:val="auto"/>
        </w:rPr>
        <w:t>We depend on in-licensing agreements with third parties to maintain the intellectual property rights to certain of our therapeutic candidates. We have in-licensed rights from Bar Ilan Research and Development Company Ltd., or Bar Ilan Research and Development, and Ramot at Tel Aviv University, or Ramot, with respect to our BL-1020 and BL-1021 therapeutic candidates, from B.G. Negev Technologies with respect to our BL-1040 therapeutic candidate, from Innovative Pharmaceutical Concepts, Inc., or IPC, with respect to our BL-5010 therapeutic candidate and from the Yissum Research Development Company of the Hebrew University of Jerusalem Ltd., or Yissum, with respect to our BL-7040 therapeutic candidate. See “Item 4. Information on the Company — Business Overview — Our Product Pipeline.” Our in-license agreements require us to make payments and satisfy performance obligations in order to maintain our rights under these agreements. The royalty rates and revenue sharing payments vary from case to case but generally range from 20% to 29% of the consideration we receive from sublicensing the applicable therapeutic candidate. In some instances, we are required to pay a substantially lower percentage (generally less than 5%) if we elect to</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59"/>
        <w:spacing w:after="0" w:line="265" w:lineRule="auto"/>
        <w:rPr>
          <w:sz w:val="20"/>
          <w:szCs w:val="20"/>
          <w:color w:val="auto"/>
        </w:rPr>
      </w:pPr>
      <w:r>
        <w:rPr>
          <w:rFonts w:ascii="Arial" w:cs="Arial" w:eastAsia="Arial" w:hAnsi="Arial"/>
          <w:sz w:val="17"/>
          <w:szCs w:val="17"/>
          <w:color w:val="auto"/>
        </w:rPr>
        <w:t>commercialize the subject therapeutic candidate independently. These in-license agreements last either throughout the life of the patents that are the subject of the agreements, or with respect to other licensed technology, for a number of years after the first commercial sale of the relevant product.</w:t>
      </w:r>
    </w:p>
    <w:p>
      <w:pPr>
        <w:spacing w:after="0" w:line="73" w:lineRule="exact"/>
        <w:rPr>
          <w:sz w:val="20"/>
          <w:szCs w:val="20"/>
          <w:color w:val="auto"/>
        </w:rPr>
      </w:pPr>
    </w:p>
    <w:p>
      <w:pPr>
        <w:ind w:left="60" w:right="1159" w:firstLine="257"/>
        <w:spacing w:after="0" w:line="261" w:lineRule="auto"/>
        <w:rPr>
          <w:sz w:val="20"/>
          <w:szCs w:val="20"/>
          <w:color w:val="auto"/>
        </w:rPr>
      </w:pPr>
      <w:r>
        <w:rPr>
          <w:rFonts w:ascii="Arial" w:cs="Arial" w:eastAsia="Arial" w:hAnsi="Arial"/>
          <w:sz w:val="17"/>
          <w:szCs w:val="17"/>
          <w:color w:val="auto"/>
        </w:rPr>
        <w:t>In addition, we are responsible for the cost of filing and prosecuting certain patent applications and maintaining certain issued patents licensed to us. If we do not meet our obligations under our in-license agreements in a timely manner, we could lose the rights to our proprietary technology which could have a material adverse effect on our business, financial condition and results of operations.</w:t>
      </w:r>
    </w:p>
    <w:p>
      <w:pPr>
        <w:spacing w:after="0" w:line="76" w:lineRule="exact"/>
        <w:rPr>
          <w:sz w:val="20"/>
          <w:szCs w:val="20"/>
          <w:color w:val="auto"/>
        </w:rPr>
      </w:pPr>
    </w:p>
    <w:p>
      <w:pPr>
        <w:ind w:left="60" w:right="999" w:firstLine="257"/>
        <w:spacing w:after="0" w:line="265" w:lineRule="auto"/>
        <w:rPr>
          <w:sz w:val="20"/>
          <w:szCs w:val="20"/>
          <w:color w:val="auto"/>
        </w:rPr>
      </w:pPr>
      <w:r>
        <w:rPr>
          <w:rFonts w:ascii="Arial" w:cs="Arial" w:eastAsia="Arial" w:hAnsi="Arial"/>
          <w:sz w:val="17"/>
          <w:szCs w:val="17"/>
          <w:b w:val="1"/>
          <w:bCs w:val="1"/>
          <w:i w:val="1"/>
          <w:iCs w:val="1"/>
          <w:color w:val="auto"/>
        </w:rPr>
        <w:t>Even if we obtain regulatory approvals, our therapeutic candidates will be subject to ongoing regulatory review and if we fail to comply with continuing U.S. and applicable foreign regulations, we could lose those approvals and our business would be seriously harmed.</w:t>
      </w:r>
    </w:p>
    <w:p>
      <w:pPr>
        <w:spacing w:after="0" w:line="73"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Even if products we or our licensees develop receive regulatory approval or clearance, we or our licensees, as applicable, will be subject to ongoing reporting obligations and the products and the manufacturing operations will be subject to continuing regulatory review, including FDA inspections. The results of this ongoing review may result in the withdrawal of a product from the market, the interruption of the manufacturing operations and/or the imposition of labeling and/or marketing limitations. Since many more patients are exposed to drugs and medical devices following their marketing approval, serious but infrequent adverse reactions that were not observed in clinical trials may be observed during the commercial marketing of the product. In addition, the manufacturer and the manufacturing facilities we or our licensees, as applicable, will use to produce any therapeutic candidate will be subject to periodic review and inspection by the FDA and other, similar foreign regulators. Later discovery of previously unknown problems with any product, manufacturer or manufacturing process, or failure to comply with regulatory requirements, may result in actions such as:</w:t>
      </w:r>
    </w:p>
    <w:p>
      <w:pPr>
        <w:spacing w:after="0" w:line="68" w:lineRule="exact"/>
        <w:rPr>
          <w:sz w:val="20"/>
          <w:szCs w:val="20"/>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such product, manufacturer or manufacturing process;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warning letters from the FDA or other regulatory authorities;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or our licensees submit;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voluntary or mandatory recall;</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seizure or detentions;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or</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publicity.</w:t>
      </w:r>
    </w:p>
    <w:p>
      <w:pPr>
        <w:spacing w:after="0" w:line="113" w:lineRule="exact"/>
        <w:rPr>
          <w:sz w:val="20"/>
          <w:szCs w:val="20"/>
          <w:color w:val="auto"/>
        </w:rPr>
      </w:pPr>
    </w:p>
    <w:p>
      <w:pPr>
        <w:ind w:left="60" w:right="1299" w:firstLine="257"/>
        <w:spacing w:after="0" w:line="261" w:lineRule="auto"/>
        <w:rPr>
          <w:sz w:val="20"/>
          <w:szCs w:val="20"/>
          <w:color w:val="auto"/>
        </w:rPr>
      </w:pPr>
      <w:r>
        <w:rPr>
          <w:rFonts w:ascii="Arial" w:cs="Arial" w:eastAsia="Arial" w:hAnsi="Arial"/>
          <w:sz w:val="17"/>
          <w:szCs w:val="17"/>
          <w:color w:val="auto"/>
        </w:rPr>
        <w:t>If we, or our licensees, suppliers, third party contractors, partners or clinical investigators are slow to adapt, or are unable to adapt, to changes in existing regulatory requirements or the adoption of new regulatory requirements or policies, we or our licensees may lose marketing approval for any of our products, if any of our therapeutic products are approved, resulting in decreased or lost revenue from milestones, product sales or royalties.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business could suffer if we are unable to attract and retain key employees.</w:t>
      </w:r>
    </w:p>
    <w:p>
      <w:pPr>
        <w:spacing w:after="0" w:line="113"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The loss of the services of these personnel could delay or prevent the successful completion of our planned clinical trials or the commercialization of our therapeutic candidates or otherwise affect our ability to manage our company effectively and to carry out our business plan. We do not maintain key-man life insurance. Although we have entered into employment agreements with all of the members of our senior</w:t>
      </w: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99"/>
        <w:spacing w:after="0" w:line="265" w:lineRule="auto"/>
        <w:rPr>
          <w:sz w:val="20"/>
          <w:szCs w:val="20"/>
          <w:color w:val="auto"/>
        </w:rPr>
      </w:pPr>
      <w:r>
        <w:rPr>
          <w:rFonts w:ascii="Arial" w:cs="Arial" w:eastAsia="Arial" w:hAnsi="Arial"/>
          <w:sz w:val="17"/>
          <w:szCs w:val="17"/>
          <w:color w:val="auto"/>
        </w:rPr>
        <w:t>management team, members of our senior management team may resign at any time. High demand exists for senior management and other key personnel in the pharmaceutical industry. There can be no assurance that we will be able to continue to retain and attract such personnel.</w:t>
      </w:r>
    </w:p>
    <w:p>
      <w:pPr>
        <w:spacing w:after="0" w:line="73" w:lineRule="exact"/>
        <w:rPr>
          <w:sz w:val="20"/>
          <w:szCs w:val="20"/>
          <w:color w:val="auto"/>
        </w:rPr>
      </w:pPr>
    </w:p>
    <w:p>
      <w:pPr>
        <w:ind w:left="60" w:right="999" w:firstLine="257"/>
        <w:spacing w:after="0" w:line="294" w:lineRule="auto"/>
        <w:rPr>
          <w:sz w:val="20"/>
          <w:szCs w:val="20"/>
          <w:color w:val="auto"/>
        </w:rPr>
      </w:pPr>
      <w:r>
        <w:rPr>
          <w:rFonts w:ascii="Arial" w:cs="Arial" w:eastAsia="Arial" w:hAnsi="Arial"/>
          <w:sz w:val="15"/>
          <w:szCs w:val="15"/>
          <w:color w:val="auto"/>
        </w:rPr>
        <w:t>Our growth and success also depend on our ability to attract and retain additional highly qualified scientific, technical, sales, managerial and finance personnel. We experience intense competition for qualified personnel, and the existence of non-competition agreements between prospective employees and their former employers may prevent us from hiring those individuals or subject us to suit from their former employers. In addition, if we elect to independently commercialize any therapeutic candidate, we will need to expand our marketing and sales capabilities. While we attempt to provide competitive compensation packages to attract and retain key personnel, many of our competitors are likely to have greater resources and more experience than we have, making it difficult for us to compete successfully for key personnel. If we cannot attract and retain sufficiently qualified technical employees on acceptable terms, we may not be able to develop and commercialize competitive products. Further, any failure to effectively integrate new personnel could prevent us from successfully growing our company.</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Industry</w:t>
      </w:r>
    </w:p>
    <w:p>
      <w:pPr>
        <w:spacing w:after="0" w:line="119" w:lineRule="exact"/>
        <w:rPr>
          <w:sz w:val="20"/>
          <w:szCs w:val="20"/>
          <w:color w:val="auto"/>
        </w:rPr>
      </w:pPr>
    </w:p>
    <w:p>
      <w:pPr>
        <w:ind w:left="60" w:right="1139" w:firstLine="257"/>
        <w:spacing w:after="0" w:line="278" w:lineRule="auto"/>
        <w:rPr>
          <w:sz w:val="20"/>
          <w:szCs w:val="20"/>
          <w:color w:val="auto"/>
        </w:rPr>
      </w:pPr>
      <w:r>
        <w:rPr>
          <w:rFonts w:ascii="Arial" w:cs="Arial" w:eastAsia="Arial" w:hAnsi="Arial"/>
          <w:sz w:val="17"/>
          <w:szCs w:val="17"/>
          <w:b w:val="1"/>
          <w:bCs w:val="1"/>
          <w:i w:val="1"/>
          <w:iCs w:val="1"/>
          <w:color w:val="auto"/>
        </w:rPr>
        <w:t>Even if our therapeutic candidates receive regulatory approval or do not require regulatory approval, they may not become commercially viable products.</w:t>
      </w:r>
    </w:p>
    <w:p>
      <w:pPr>
        <w:spacing w:after="0" w:line="62" w:lineRule="exact"/>
        <w:rPr>
          <w:sz w:val="20"/>
          <w:szCs w:val="20"/>
          <w:color w:val="auto"/>
        </w:rPr>
      </w:pPr>
    </w:p>
    <w:p>
      <w:pPr>
        <w:ind w:left="60" w:right="999" w:firstLine="257"/>
        <w:spacing w:after="0" w:line="277" w:lineRule="auto"/>
        <w:rPr>
          <w:sz w:val="20"/>
          <w:szCs w:val="20"/>
          <w:color w:val="auto"/>
        </w:rPr>
      </w:pPr>
      <w:r>
        <w:rPr>
          <w:rFonts w:ascii="Arial" w:cs="Arial" w:eastAsia="Arial" w:hAnsi="Arial"/>
          <w:sz w:val="16"/>
          <w:szCs w:val="16"/>
          <w:color w:val="auto"/>
        </w:rPr>
        <w:t>Even if our therapeutic candidates are approved for commercialization, they may not become commercially viable products. For example, if we or our licensees receive regulatory approval to market a product, approval may be subject to limitations on the indicated uses or subject to labeling or marketing restrictions which could materially and adversely affect the marketability and profitability of the product. In addition, a new product may appear promising at an early stage of development or after clinical trials but never reach the market, or it may reach the market but not result in sufficient product sales, if any. A therapeutic candidate may not result in commercial success for various reasons, including:</w:t>
      </w:r>
    </w:p>
    <w:p>
      <w:pPr>
        <w:spacing w:after="0" w:line="64" w:lineRule="exact"/>
        <w:rPr>
          <w:sz w:val="20"/>
          <w:szCs w:val="20"/>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in large-scale manufacturing;</w:t>
      </w:r>
    </w:p>
    <w:p>
      <w:pPr>
        <w:spacing w:after="0" w:line="113" w:lineRule="exact"/>
        <w:rPr>
          <w:rFonts w:ascii="Arial" w:cs="Arial" w:eastAsia="Arial" w:hAnsi="Arial"/>
          <w:sz w:val="17"/>
          <w:szCs w:val="17"/>
          <w:color w:val="auto"/>
        </w:rPr>
      </w:pPr>
    </w:p>
    <w:p>
      <w:pPr>
        <w:ind w:left="580" w:right="999" w:hanging="307"/>
        <w:spacing w:after="0" w:line="265"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low market acceptance by physicians, healthcare payors, patients and the medical community as a result of lower demonstrated clinical safety or efficacy compared to other products, prevalence and severity of adverse side effects, or other potential disadvantages relative to alternative treatment methods;</w:t>
      </w:r>
    </w:p>
    <w:p>
      <w:pPr>
        <w:spacing w:after="0" w:line="72"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insufficient or unfavorable levels of reimbursement from government or third-party payors;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infringement on proprietary rights of others for which we or our licensees have not received licenses;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incompatibility with other therapeutic products;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potential advantages of alternative treatment methods;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ineffective marketing and distribution support;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lack of cost-effectiveness; or</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timing of market introduction of competitive products.</w:t>
      </w:r>
    </w:p>
    <w:p>
      <w:pPr>
        <w:spacing w:after="0" w:line="113" w:lineRule="exact"/>
        <w:rPr>
          <w:sz w:val="20"/>
          <w:szCs w:val="20"/>
          <w:color w:val="auto"/>
        </w:rPr>
      </w:pPr>
    </w:p>
    <w:p>
      <w:pPr>
        <w:ind w:left="60" w:right="1459" w:firstLine="257"/>
        <w:spacing w:after="0" w:line="278" w:lineRule="auto"/>
        <w:rPr>
          <w:sz w:val="20"/>
          <w:szCs w:val="20"/>
          <w:color w:val="auto"/>
        </w:rPr>
      </w:pPr>
      <w:r>
        <w:rPr>
          <w:rFonts w:ascii="Arial" w:cs="Arial" w:eastAsia="Arial" w:hAnsi="Arial"/>
          <w:sz w:val="17"/>
          <w:szCs w:val="17"/>
          <w:color w:val="auto"/>
        </w:rPr>
        <w:t>If we are unable to develop commercially viable products, either on our own or through licensees, our business, results of operations and financial condition will be materially and adversely affected.</w:t>
      </w:r>
    </w:p>
    <w:p>
      <w:pPr>
        <w:spacing w:after="0" w:line="62" w:lineRule="exact"/>
        <w:rPr>
          <w:sz w:val="20"/>
          <w:szCs w:val="20"/>
          <w:color w:val="auto"/>
        </w:rPr>
      </w:pPr>
    </w:p>
    <w:p>
      <w:pPr>
        <w:ind w:left="60" w:right="1759" w:firstLine="257"/>
        <w:spacing w:after="0" w:line="278" w:lineRule="auto"/>
        <w:rPr>
          <w:sz w:val="20"/>
          <w:szCs w:val="20"/>
          <w:color w:val="auto"/>
        </w:rPr>
      </w:pPr>
      <w:r>
        <w:rPr>
          <w:rFonts w:ascii="Arial" w:cs="Arial" w:eastAsia="Arial" w:hAnsi="Arial"/>
          <w:sz w:val="17"/>
          <w:szCs w:val="17"/>
          <w:b w:val="1"/>
          <w:bCs w:val="1"/>
          <w:i w:val="1"/>
          <w:iCs w:val="1"/>
          <w:color w:val="auto"/>
        </w:rPr>
        <w:t>We could be adversely affected if healthcare reform measures substantially change the market for medical care or healthcare coverage in the United States.</w:t>
      </w:r>
    </w:p>
    <w:p>
      <w:pPr>
        <w:spacing w:after="0" w:line="62"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The U.S. Congress recently adopted important legislation regarding health insurance. Under the new legislation, substantial changes are going to be made to the current system for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w:t>
      </w: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59"/>
        <w:spacing w:after="0" w:line="277" w:lineRule="auto"/>
        <w:rPr>
          <w:sz w:val="20"/>
          <w:szCs w:val="20"/>
          <w:color w:val="auto"/>
        </w:rPr>
      </w:pPr>
      <w:r>
        <w:rPr>
          <w:rFonts w:ascii="Arial" w:cs="Arial" w:eastAsia="Arial" w:hAnsi="Arial"/>
          <w:sz w:val="16"/>
          <w:szCs w:val="16"/>
          <w:color w:val="auto"/>
        </w:rPr>
        <w:t>structural changes could entail modifications to the existing system of private payors and government programs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and biopharmaceuticals, such as those we and our licensees are currently developing. If reimbursement for our approved products, if any, is substantially reduced in the future, or rebate obligations associated with them are substantially increased, our business could be materially and adversely impacted.</w:t>
      </w:r>
    </w:p>
    <w:p>
      <w:pPr>
        <w:spacing w:after="0" w:line="64"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Extending medical benefits to those who currently lack coverage will likely result in substantial cost to the U.S. federal government, which may force significant changes to the healthcare system in the United States. Much of the funding for expanded healthcare coverage may be sought through cost savings. While some of these savings may come from realizing greater efficiencies in delivering care, improving the effectiveness of preventive care and enhancing the overall quality of care, much of the cost savings may come from reducing the cost of care. Cost of care could be reduced by decreasing the level of reimbursement for medical services or products (including those biopharmaceuticals currently being developed by us or our licensees), or by restricting coverage (and, thereby, utilization) of medical services or products. In either case, a reduction in the utilization of, or reimbursement for, any product for which we receive marketing approval in the future could have a materially adverse effect on our financial performance.</w:t>
      </w:r>
    </w:p>
    <w:p>
      <w:pPr>
        <w:spacing w:after="0" w:line="86" w:lineRule="exact"/>
        <w:rPr>
          <w:sz w:val="20"/>
          <w:szCs w:val="20"/>
          <w:color w:val="auto"/>
        </w:rPr>
      </w:pPr>
    </w:p>
    <w:p>
      <w:pPr>
        <w:ind w:left="60" w:right="1339" w:firstLine="257"/>
        <w:spacing w:after="0" w:line="347" w:lineRule="auto"/>
        <w:rPr>
          <w:sz w:val="20"/>
          <w:szCs w:val="20"/>
          <w:color w:val="auto"/>
        </w:rPr>
      </w:pPr>
      <w:r>
        <w:rPr>
          <w:rFonts w:ascii="Arial" w:cs="Arial" w:eastAsia="Arial" w:hAnsi="Arial"/>
          <w:sz w:val="15"/>
          <w:szCs w:val="15"/>
          <w:b w:val="1"/>
          <w:bCs w:val="1"/>
          <w:i w:val="1"/>
          <w:iCs w:val="1"/>
          <w:color w:val="auto"/>
        </w:rPr>
        <w:t>If third-party payors do not adequately reimburse customers for any of our therapeutic candidates that are approved for marketing, they might not be purchased or used, and our revenues and profits will not develop or increase.</w:t>
      </w:r>
    </w:p>
    <w:p>
      <w:pPr>
        <w:spacing w:after="0" w:line="16"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Our revenues and profits will depend heavily upon the availability of adequate reimbursement for the use of our approved candidates, if any, from governmental or other third-party payors, both in the United States and in foreign markets. Reimbursement by a third-party payor may depend upon a number of factors, including the third-party payor’s determination that the use of an approved product is:</w:t>
      </w:r>
    </w:p>
    <w:p>
      <w:pPr>
        <w:spacing w:after="0" w:line="76" w:lineRule="exact"/>
        <w:rPr>
          <w:sz w:val="20"/>
          <w:szCs w:val="20"/>
          <w:color w:val="auto"/>
        </w:rPr>
      </w:pPr>
    </w:p>
    <w:p>
      <w:pPr>
        <w:ind w:left="580" w:hanging="307"/>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3" w:lineRule="exact"/>
        <w:rPr>
          <w:sz w:val="20"/>
          <w:szCs w:val="20"/>
          <w:color w:val="auto"/>
        </w:rPr>
      </w:pPr>
    </w:p>
    <w:p>
      <w:pPr>
        <w:ind w:left="60" w:right="1079" w:firstLine="257"/>
        <w:spacing w:after="0" w:line="256" w:lineRule="auto"/>
        <w:rPr>
          <w:sz w:val="20"/>
          <w:szCs w:val="20"/>
          <w:color w:val="auto"/>
        </w:rPr>
      </w:pPr>
      <w:r>
        <w:rPr>
          <w:rFonts w:ascii="Arial" w:cs="Arial" w:eastAsia="Arial" w:hAnsi="Arial"/>
          <w:sz w:val="17"/>
          <w:szCs w:val="17"/>
          <w:color w:val="auto"/>
        </w:rPr>
        <w:t>Obtaining reimbursement approval for a product from each government or other third-party payor is a time-consuming and costly process that could require us or our licensees to provide supporting scientific, clinical and cost-effectiveness data for the use of our products to each payor. Even when a payor determines that a product is eligible for reimbursement, the payor may impose coverage limitations that preclude payment for some uses that are approved by the FDA or comparable foreign regulatory authorities. Reimbursement rates may vary according to the use of the product and the clinical setting in which it used, may be based on payments allowed for lower-cost products that are already reimbursed, may be incorporated into existing payments for other products or services, and may reflect budgetary constraints and/or imperfections in Medicare, Medicaid or other data used to calculate these rates.</w:t>
      </w:r>
    </w:p>
    <w:p>
      <w:pPr>
        <w:spacing w:after="0" w:line="81" w:lineRule="exact"/>
        <w:rPr>
          <w:sz w:val="20"/>
          <w:szCs w:val="20"/>
          <w:color w:val="auto"/>
        </w:rPr>
      </w:pPr>
    </w:p>
    <w:p>
      <w:pPr>
        <w:ind w:left="60" w:right="1159" w:firstLine="257"/>
        <w:spacing w:after="0" w:line="257" w:lineRule="auto"/>
        <w:rPr>
          <w:sz w:val="20"/>
          <w:szCs w:val="20"/>
          <w:color w:val="auto"/>
        </w:rPr>
      </w:pPr>
      <w:r>
        <w:rPr>
          <w:rFonts w:ascii="Arial" w:cs="Arial" w:eastAsia="Arial" w:hAnsi="Arial"/>
          <w:sz w:val="17"/>
          <w:szCs w:val="17"/>
          <w:color w:val="auto"/>
        </w:rPr>
        <w:t>In the United States, there have been, and we expect that there will continue to be, federal and state proposals to constrain expenditures for medical products and services, which may affect payments for our products in the United States. We believe that legislation that reduces reimbursement for our therapeutic candidates could adversely impact how much or under what circumstances healthcare providers will prescribe or administer our products, if approved. This could materially and adversely impact our business by reducing our ability to generate revenue, raise capital, obtain additional collaborators and market our products, if approved.</w:t>
      </w:r>
    </w:p>
    <w:p>
      <w:pPr>
        <w:spacing w:after="0" w:line="82" w:lineRule="exact"/>
        <w:rPr>
          <w:sz w:val="20"/>
          <w:szCs w:val="20"/>
          <w:color w:val="auto"/>
        </w:rPr>
      </w:pPr>
    </w:p>
    <w:p>
      <w:pPr>
        <w:ind w:left="60" w:right="1259" w:firstLine="257"/>
        <w:spacing w:after="0" w:line="278" w:lineRule="auto"/>
        <w:rPr>
          <w:sz w:val="20"/>
          <w:szCs w:val="20"/>
          <w:color w:val="auto"/>
        </w:rPr>
      </w:pPr>
      <w:r>
        <w:rPr>
          <w:rFonts w:ascii="Arial" w:cs="Arial" w:eastAsia="Arial" w:hAnsi="Arial"/>
          <w:sz w:val="17"/>
          <w:szCs w:val="17"/>
          <w:color w:val="auto"/>
        </w:rPr>
        <w:t>Further, the Centers for Medicare and Medicaid Services, or CMS, frequently change product descriptors, coverage policies, product and service codes, payment methodologies and reimbursement values. Third-party</w:t>
      </w:r>
    </w:p>
    <w:p>
      <w:pPr>
        <w:spacing w:after="0" w:line="200" w:lineRule="exact"/>
        <w:rPr>
          <w:sz w:val="20"/>
          <w:szCs w:val="20"/>
          <w:color w:val="auto"/>
        </w:rPr>
      </w:pPr>
    </w:p>
    <w:p>
      <w:pPr>
        <w:spacing w:after="0" w:line="28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spacing w:after="0" w:line="278" w:lineRule="auto"/>
        <w:rPr>
          <w:sz w:val="20"/>
          <w:szCs w:val="20"/>
          <w:color w:val="auto"/>
        </w:rPr>
      </w:pPr>
      <w:r>
        <w:rPr>
          <w:rFonts w:ascii="Arial" w:cs="Arial" w:eastAsia="Arial" w:hAnsi="Arial"/>
          <w:sz w:val="17"/>
          <w:szCs w:val="17"/>
          <w:color w:val="auto"/>
        </w:rPr>
        <w:t>payors often follow Medicare coverage policy and payment limitations in setting their own reimbursement rates, and both CMS and other third-party payors may have sufficient market power to demand significant price reductions.</w:t>
      </w:r>
    </w:p>
    <w:p>
      <w:pPr>
        <w:spacing w:after="0" w:line="62" w:lineRule="exact"/>
        <w:rPr>
          <w:sz w:val="20"/>
          <w:szCs w:val="20"/>
          <w:color w:val="auto"/>
        </w:rPr>
      </w:pPr>
    </w:p>
    <w:p>
      <w:pPr>
        <w:ind w:left="60" w:right="1359" w:firstLine="257"/>
        <w:spacing w:after="0" w:line="278" w:lineRule="auto"/>
        <w:rPr>
          <w:sz w:val="20"/>
          <w:szCs w:val="20"/>
          <w:color w:val="auto"/>
        </w:rPr>
      </w:pPr>
      <w:r>
        <w:rPr>
          <w:rFonts w:ascii="Arial" w:cs="Arial" w:eastAsia="Arial" w:hAnsi="Arial"/>
          <w:sz w:val="17"/>
          <w:szCs w:val="17"/>
          <w:b w:val="1"/>
          <w:bCs w:val="1"/>
          <w:i w:val="1"/>
          <w:iCs w:val="1"/>
          <w:color w:val="auto"/>
        </w:rPr>
        <w:t>Our business has a substantial risk of clinical trial and product liability claims. If we are unable to obtain and maintain appropriate levels of insurance, a claim could adversely affect our business.</w:t>
      </w:r>
    </w:p>
    <w:p>
      <w:pPr>
        <w:spacing w:after="0" w:line="62"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color w:val="auto"/>
        </w:rPr>
        <w:t>Our business exposes us to significant potential clinical trial and product liability risks that are inherent in the development, manufacturing and sales and marketing of human therapeutic products. Although we do not currently commercialize any products, claims could be made against us based on the use of our therapeutic candidates in clinical trials. We currently carry life science liability insurance covering bodily and personal injury, general liability and products liability with an annual coverage amount of $5.0 million in the aggregate, and clinical trial insurance with a coverage amount of $10.0 million in the aggregate. In addition to these policies, we carry excess liability insurance with a coverage amount of $5.0 million which increases the coverage limit provided by our life science insurance package. However, our insurance may not provide adequate coverage against potential liabilities. Furthermore, clinical trial and product liability insurance is becoming increasingly expensive. As a result, we may be unable to maintain current amounts of insurance coverage or obtain additional or sufficient insurance at a reasonable cost to protect against losses that could have a material adverse effect on us. If a claim is brought against us, we might be required to pay legal and other expenses to defend the claim, as well as damages awards beyond the coverage of our insurance policies resulting from a claim brought successfully against us. Furthermore, whether or not we are ultimately successful in defending any claims, we might be required to direct significant financial and managerial resources to such defense, and adverse publicity is likely to result.</w:t>
      </w:r>
    </w:p>
    <w:p>
      <w:pPr>
        <w:spacing w:after="0" w:line="60" w:lineRule="exact"/>
        <w:rPr>
          <w:sz w:val="20"/>
          <w:szCs w:val="20"/>
          <w:color w:val="auto"/>
        </w:rPr>
      </w:pPr>
    </w:p>
    <w:p>
      <w:pPr>
        <w:ind w:left="60" w:right="1119" w:firstLine="257"/>
        <w:spacing w:after="0" w:line="278" w:lineRule="auto"/>
        <w:rPr>
          <w:sz w:val="20"/>
          <w:szCs w:val="20"/>
          <w:color w:val="auto"/>
        </w:rPr>
      </w:pPr>
      <w:r>
        <w:rPr>
          <w:rFonts w:ascii="Arial" w:cs="Arial" w:eastAsia="Arial" w:hAnsi="Arial"/>
          <w:sz w:val="17"/>
          <w:szCs w:val="17"/>
          <w:b w:val="1"/>
          <w:bCs w:val="1"/>
          <w:i w:val="1"/>
          <w:iCs w:val="1"/>
          <w:color w:val="auto"/>
        </w:rPr>
        <w:t>We deal with hazardous materials and must comply with environmental, health and safety laws and regulations, which can be expensive and restrict how we do business.</w:t>
      </w:r>
    </w:p>
    <w:p>
      <w:pPr>
        <w:spacing w:after="0" w:line="62" w:lineRule="exact"/>
        <w:rPr>
          <w:sz w:val="20"/>
          <w:szCs w:val="20"/>
          <w:color w:val="auto"/>
        </w:rPr>
      </w:pPr>
    </w:p>
    <w:p>
      <w:pPr>
        <w:ind w:left="60" w:right="1079" w:firstLine="257"/>
        <w:spacing w:after="0" w:line="274" w:lineRule="auto"/>
        <w:rPr>
          <w:sz w:val="20"/>
          <w:szCs w:val="20"/>
          <w:color w:val="auto"/>
        </w:rPr>
      </w:pPr>
      <w:r>
        <w:rPr>
          <w:rFonts w:ascii="Arial" w:cs="Arial" w:eastAsia="Arial" w:hAnsi="Arial"/>
          <w:sz w:val="16"/>
          <w:szCs w:val="16"/>
          <w:color w:val="auto"/>
        </w:rPr>
        <w:t>Our activities and those of our third-party manufacturers on our behalf involve the controlled storage, use and disposal of hazardous materials, including microbial agents, corrosive, explosive and flammable chemicals and other hazardous compounds. We and our manufacturers are subject to U.S. federal, state, local, Israeli and other foreign laws and regulations governing the use, manufacture, storage, handling and disposal of these hazardous materials. Although we believe that our safety procedures for handling and disposing of these materials comply with the standards prescribed by these laws and regulations, we cannot eliminate the risk of accidental contamination or injury from these materials. In addition, if we develop a manufacturing capacity, we may incur substantial costs to comply with environmental regulations and would be subject to the risk of accidental contamination or injury from the use of hazardous materials in our manufacturing process.</w:t>
      </w:r>
    </w:p>
    <w:p>
      <w:pPr>
        <w:spacing w:after="0" w:line="69"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color w:val="auto"/>
        </w:rPr>
        <w:t>In the event of an accident, government authorities may curtail our use of these materials and interrupt our business operations. In addition, we could be liable for any civil damages that result, which may exceed our financial resources and may seriously harm our business. Although our Israeli insurance program covers certain unforeseen sudden pollutions, we do not maintain a separate insurance policy for any of the foregoing types of risks. In addition, although the general liability section of our life sciences policy covers certain environmental issues, pollution in the United States and Canada is excluded from the policy. In the event of environmental discharge or contamination or an accident, we may be held liable for any resulting damages, and any liability could exceed our resources. In addition, we may be subject to liability and may be required to comply with new or existing environmental laws regulating pharmaceuticals or other medical products in the environment.</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9"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b w:val="1"/>
          <w:bCs w:val="1"/>
          <w:i w:val="1"/>
          <w:iCs w:val="1"/>
          <w:color w:val="auto"/>
        </w:rPr>
        <w:t>Our access to most of the intellectual property associated with our therapeutic candidates results from in-license agreements with universities, research institutions and biotechnology companies, the termination of which would prevent us from commercializing the associated therapeutic candidates.</w:t>
      </w:r>
    </w:p>
    <w:p>
      <w:pPr>
        <w:spacing w:after="0" w:line="73" w:lineRule="exact"/>
        <w:rPr>
          <w:sz w:val="20"/>
          <w:szCs w:val="20"/>
          <w:color w:val="auto"/>
        </w:rPr>
      </w:pPr>
    </w:p>
    <w:p>
      <w:pPr>
        <w:ind w:left="60" w:right="1119" w:firstLine="257"/>
        <w:spacing w:after="0" w:line="261" w:lineRule="auto"/>
        <w:rPr>
          <w:sz w:val="20"/>
          <w:szCs w:val="20"/>
          <w:color w:val="auto"/>
        </w:rPr>
      </w:pPr>
      <w:r>
        <w:rPr>
          <w:rFonts w:ascii="Arial" w:cs="Arial" w:eastAsia="Arial" w:hAnsi="Arial"/>
          <w:sz w:val="17"/>
          <w:szCs w:val="17"/>
          <w:color w:val="auto"/>
        </w:rPr>
        <w:t>We do not conduct our own initial research with respect to the identification of our therapeutic candidates. Instead, we rely upon research and development work conducted by third parties as the primary source of our therapeutic candidates. As such, we have obtained our rights to the majority of our therapeutic candidates through in-license agreements entered into with universities, research institutions and biotechnology</w:t>
      </w: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79"/>
        <w:spacing w:after="0" w:line="296" w:lineRule="auto"/>
        <w:rPr>
          <w:sz w:val="20"/>
          <w:szCs w:val="20"/>
          <w:color w:val="auto"/>
        </w:rPr>
      </w:pPr>
      <w:r>
        <w:rPr>
          <w:rFonts w:ascii="Arial" w:cs="Arial" w:eastAsia="Arial" w:hAnsi="Arial"/>
          <w:sz w:val="15"/>
          <w:szCs w:val="15"/>
          <w:color w:val="auto"/>
        </w:rPr>
        <w:t>companies that invent and own the intellectual property underlying our candidates. There is no assurance that such in-licenses or rights will not be terminated or expire due to a material breach of the agreements, such as a failure on our part to achieve certain progress milestones set forth in the terms of the in-licenses or due to the loss of the rights to the underlying intellectual property by any of our licensors. There is no assurance that we will be able to renew or renegotiate an in-licensing agreement on acceptable terms if and when the agreement terminates. We cannot guarantee that any in-license is enforceable or will not be terminated or converted into a non-exclusive license in the future. The termination of any in-license or our inability to enforce our rights under any in-license would materially and adversely affect our ability to commercialize certain of our therapeutic candidates.</w:t>
      </w:r>
    </w:p>
    <w:p>
      <w:pPr>
        <w:spacing w:after="0" w:line="54" w:lineRule="exact"/>
        <w:rPr>
          <w:sz w:val="20"/>
          <w:szCs w:val="20"/>
          <w:color w:val="auto"/>
        </w:rPr>
      </w:pPr>
    </w:p>
    <w:p>
      <w:pPr>
        <w:ind w:left="60" w:right="999" w:firstLine="257"/>
        <w:spacing w:after="0" w:line="290" w:lineRule="auto"/>
        <w:rPr>
          <w:sz w:val="20"/>
          <w:szCs w:val="20"/>
          <w:color w:val="auto"/>
        </w:rPr>
      </w:pPr>
      <w:r>
        <w:rPr>
          <w:rFonts w:ascii="Arial" w:cs="Arial" w:eastAsia="Arial" w:hAnsi="Arial"/>
          <w:sz w:val="15"/>
          <w:szCs w:val="15"/>
          <w:color w:val="auto"/>
        </w:rPr>
        <w:t>We currently have in-licensing agreements relating to our lead therapeutic candidates under clinical development. In April 2004, we in-licensed the rights to BL-1020 and BL-1021, and one other compound, under a research and license agreement with Bar Ilan Research and Development and Ramot. Under the research and license agreement, we are obligated to use commercially reasonable efforts to develop, commercialize and market the licensed technology, including meeting certain specified diligence goals. In January 2005, we in-licensed the rights to BL-1040 under a license agreement with B.G. Negev Technologies and Applications Ltd., the technology transfer company of Ben Gurion University, or B.G. Negev Technologies. Under the BL-1040 license agreement, we are obligated to use commercially reasonable efforts to develop the licensed technology in accordance with a specified development plan, including meeting certain specified diligence goals. In November 2007, we in-licensed the rights to develop and commercialize BL-5010 under a license agreement with Innovative Pharmaceutical Concepts, Inc., or IPC. Under the IPC license agreement, we are obligated to use commercially reasonable efforts to develop the licensed technology in accordance with a specified development plan, including meeting certain specified diligence goals. Last, in June 2011, we in-licensed the rights to develop, have developed, manufacture, have manufactured, use, market, distribute, export, import and/or sell BL-7040 under a license agreement from Yissum. Under the BL-7040 license agreement, we are responsible for, and are required to exert, reasonable commercial efforts to carry out the development, regulatory, manufacturing, and marketing work necessary to develop and commercialize products under the agreement in accordance with a specified development plan.</w:t>
      </w:r>
    </w:p>
    <w:p>
      <w:pPr>
        <w:spacing w:after="0" w:line="64"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color w:val="auto"/>
        </w:rPr>
        <w:t>Each of the four in-licensing agreements, or the obligation to pay royalties thereunder, will generally remain in effect until the expiration, under the applicable agreement, of all of the licensing, royalty and sublicense revenue obligations to the applicable licensors, determined on a product-by-product and country-by-country basis. We may terminate any in-licensing agreement by providing 60 days’ prior written notice to Ramot, in the case of the BL-1020/BL-1021 in-licensing agreement or to B.G. Negev Technologies, in the case of the BL-1040 in-licensing agreement. We may terminate the BL-5010 in-licensing agreement or the BL-7040 in-licensing agreement upon 30 days’ prior written notice. However, if we elect to terminate the BL-5010 in-licensing agreement without cause, we may be required to fund the completion of certain clinical trials of the licensed technology in an amount not to exceed $600,000. We may also elect to terminate the BL-5010 in-licensing agreement upon 60 days’ prior written notice to IPC for scientific, regulatory or medical reasons which, as determined by our Scientific Advisory Board, would prevent us from continuing the development of the licensed technology pursuant to the agreed upon development plan.</w:t>
      </w:r>
    </w:p>
    <w:p>
      <w:pPr>
        <w:spacing w:after="0" w:line="68"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Any party to any of the four in-licensing agreements may terminate the respective agreement for material breach by the other party if the breaching party is unable to cure the breach within an agreed upon period, generally 30 days to 90 days, after receiving written notice of the breach from the non-breaching party. Notwithstanding the foregoing, in the case of the BL-1020 in-licensing agreement, Ramot, but not Bar Ilan Research and Development, has the right to provide us with notice of material breach and to terminate the agreement. In addition, with respect to the BL-1040 in-licensing agreement, the breaching party is entitled to 60 days’ prior written notice of the material breach prior to termination instead of 30 days. Each of the four in-licensing agreements provide that with respect to any termination for material breach, if the breach is not susceptible to cure within the stated period and the breaching party uses diligent, good faith efforts to cure such breach, the stated period will be extended by an additional 30 days. In addition, either party to one of the four in-licensing agreements (except Bar Ilan Research and Development, in the case of the BL-1020 in-licensing agreement) may terminate the agreement upon notice to the other upon the occurrence of certain bankruptcy events.</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Patent protection for our products is important and uncertain.</w:t>
      </w:r>
    </w:p>
    <w:p>
      <w:pPr>
        <w:spacing w:after="0" w:line="113" w:lineRule="exact"/>
        <w:rPr>
          <w:sz w:val="20"/>
          <w:szCs w:val="20"/>
          <w:color w:val="auto"/>
        </w:rPr>
      </w:pPr>
    </w:p>
    <w:p>
      <w:pPr>
        <w:ind w:left="60" w:right="1339" w:firstLine="257"/>
        <w:spacing w:after="0" w:line="265" w:lineRule="auto"/>
        <w:rPr>
          <w:sz w:val="20"/>
          <w:szCs w:val="20"/>
          <w:color w:val="auto"/>
        </w:rPr>
      </w:pPr>
      <w:r>
        <w:rPr>
          <w:rFonts w:ascii="Arial" w:cs="Arial" w:eastAsia="Arial" w:hAnsi="Arial"/>
          <w:sz w:val="17"/>
          <w:szCs w:val="17"/>
          <w:color w:val="auto"/>
        </w:rPr>
        <w:t>Our success depends, in part, on our ability, and the ability of our licensees and licensors to obtain patent protection for our therapeutic candidates, maintain the confidentiality of our trade secrets and know how, operate without infringing on the proprietary rights of others and prevent others from infringing our proprietary rights.</w:t>
      </w:r>
    </w:p>
    <w:p>
      <w:pPr>
        <w:spacing w:after="0" w:line="73" w:lineRule="exact"/>
        <w:rPr>
          <w:sz w:val="20"/>
          <w:szCs w:val="20"/>
          <w:color w:val="auto"/>
        </w:rPr>
      </w:pPr>
    </w:p>
    <w:p>
      <w:pPr>
        <w:ind w:left="60" w:right="1099" w:firstLine="257"/>
        <w:spacing w:after="0" w:line="259" w:lineRule="auto"/>
        <w:rPr>
          <w:sz w:val="20"/>
          <w:szCs w:val="20"/>
          <w:color w:val="auto"/>
        </w:rPr>
      </w:pPr>
      <w:r>
        <w:rPr>
          <w:rFonts w:ascii="Arial" w:cs="Arial" w:eastAsia="Arial" w:hAnsi="Arial"/>
          <w:sz w:val="17"/>
          <w:szCs w:val="17"/>
          <w:color w:val="auto"/>
        </w:rPr>
        <w:t>We try to protect our proprietary position by, among other things, filing U.S., European, Israeli and other patent applications related to our proprietary products, technologies, inventions and improvements that may be important to the continuing development of our therapeutic candidates. As of June 30, 2011, our portfolio of owned and licensed patents consists of 15 patent families that, collectively, contain over 21 issued patents and over 67 patent applications relating to our clinical candidates. We are also pursuing patent protection for other drug candidates in our pipeline.</w:t>
      </w:r>
    </w:p>
    <w:p>
      <w:pPr>
        <w:spacing w:after="0" w:line="77" w:lineRule="exact"/>
        <w:rPr>
          <w:sz w:val="20"/>
          <w:szCs w:val="20"/>
          <w:color w:val="auto"/>
        </w:rPr>
      </w:pPr>
    </w:p>
    <w:p>
      <w:pPr>
        <w:ind w:left="60" w:right="1099" w:firstLine="257"/>
        <w:spacing w:after="0" w:line="255" w:lineRule="auto"/>
        <w:rPr>
          <w:sz w:val="20"/>
          <w:szCs w:val="20"/>
          <w:color w:val="auto"/>
        </w:rPr>
      </w:pPr>
      <w:r>
        <w:rPr>
          <w:rFonts w:ascii="Arial" w:cs="Arial" w:eastAsia="Arial" w:hAnsi="Arial"/>
          <w:sz w:val="17"/>
          <w:szCs w:val="17"/>
          <w:color w:val="auto"/>
        </w:rPr>
        <w:t>Because the patent position of biopharmaceutical companies involves complex legal and factual questions, we cannot predict the validity and enforceability of patents with certainty. Our issued patents and the issued patents of our licensees or licensors may not provide us with any competitive advantages, or may be held invalid or unenforceable as a result of legal challenges by third parties.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against competitors with similar technology. The degree of future protection to be afforded by our proprietary rights is uncertain because legal means afford only limited protection and may not adequately protect our rights or permit us to gain or keep our competitive advantage.</w:t>
      </w:r>
    </w:p>
    <w:p>
      <w:pPr>
        <w:spacing w:after="0" w:line="86" w:lineRule="exact"/>
        <w:rPr>
          <w:sz w:val="20"/>
          <w:szCs w:val="20"/>
          <w:color w:val="auto"/>
        </w:rPr>
      </w:pPr>
    </w:p>
    <w:p>
      <w:pPr>
        <w:ind w:left="60" w:right="1039" w:firstLine="257"/>
        <w:spacing w:after="0" w:line="296" w:lineRule="auto"/>
        <w:rPr>
          <w:sz w:val="20"/>
          <w:szCs w:val="20"/>
          <w:color w:val="auto"/>
        </w:rPr>
      </w:pPr>
      <w:r>
        <w:rPr>
          <w:rFonts w:ascii="Arial" w:cs="Arial" w:eastAsia="Arial" w:hAnsi="Arial"/>
          <w:sz w:val="15"/>
          <w:szCs w:val="15"/>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Israel. For example, the patent laws of China and India are relatively new and are not as developed as are older, more established patent laws of other countries. Competitors may successfully challenge our patents, produce similar drugs or products that do not infringe our patents, or produce drugs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54" w:lineRule="exact"/>
        <w:rPr>
          <w:sz w:val="20"/>
          <w:szCs w:val="20"/>
          <w:color w:val="auto"/>
        </w:rPr>
      </w:pPr>
    </w:p>
    <w:p>
      <w:pPr>
        <w:ind w:left="60" w:right="1079" w:firstLine="257"/>
        <w:spacing w:after="0" w:line="282" w:lineRule="auto"/>
        <w:rPr>
          <w:sz w:val="20"/>
          <w:szCs w:val="20"/>
          <w:color w:val="auto"/>
        </w:rPr>
      </w:pPr>
      <w:r>
        <w:rPr>
          <w:rFonts w:ascii="Arial" w:cs="Arial" w:eastAsia="Arial" w:hAnsi="Arial"/>
          <w:sz w:val="16"/>
          <w:szCs w:val="16"/>
          <w:color w:val="auto"/>
        </w:rPr>
        <w:t>Our technology may infringe the rights of third parties. The nature of claims contained in unpublished patent filings around the world is unknown to us and it is not possible to know which countries patent holders may choose for the extension of their filings under the Patent Cooperation Treaty, or other mechanisms. Any infringement by us of the proprietary rights of third parties may have a material adverse effect on our business, financial condition and results of operations.</w:t>
      </w:r>
    </w:p>
    <w:p>
      <w:pPr>
        <w:spacing w:after="0" w:line="61" w:lineRule="exact"/>
        <w:rPr>
          <w:sz w:val="20"/>
          <w:szCs w:val="20"/>
          <w:color w:val="auto"/>
        </w:rPr>
      </w:pPr>
    </w:p>
    <w:p>
      <w:pPr>
        <w:ind w:left="60" w:right="1179" w:firstLine="257"/>
        <w:spacing w:after="0" w:line="278"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or know-how, such proprietary information may be used by others to compete against us.</w:t>
      </w:r>
    </w:p>
    <w:p>
      <w:pPr>
        <w:spacing w:after="0" w:line="62" w:lineRule="exact"/>
        <w:rPr>
          <w:sz w:val="20"/>
          <w:szCs w:val="20"/>
          <w:color w:val="auto"/>
        </w:rPr>
      </w:pPr>
    </w:p>
    <w:p>
      <w:pPr>
        <w:ind w:left="60" w:right="1019" w:firstLine="257"/>
        <w:spacing w:after="0" w:line="273" w:lineRule="auto"/>
        <w:rPr>
          <w:sz w:val="20"/>
          <w:szCs w:val="20"/>
          <w:color w:val="auto"/>
        </w:rPr>
      </w:pPr>
      <w:r>
        <w:rPr>
          <w:rFonts w:ascii="Arial" w:cs="Arial" w:eastAsia="Arial" w:hAnsi="Arial"/>
          <w:sz w:val="16"/>
          <w:szCs w:val="16"/>
          <w:color w:val="auto"/>
        </w:rPr>
        <w:t>We rely on a combination of patents, trade secrets, know-how, technology, trademarks and regulatory exclusivity to maintain our competitive position. We generally try to protect trade secrets, know-how and technology by entering into confidentiality or non-disclosure agreements with parties that have access to it, such as our licensees, employees, contractors and consultants. We also enter into agreements that purport to require the disclosure and assignment to us of the rights to the ideas, developments, discoveries and inventions of our employees, advisors, research collaborators, contractors and consultants while we employ or engage them. However,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200" w:lineRule="exact"/>
        <w:rPr>
          <w:sz w:val="20"/>
          <w:szCs w:val="20"/>
          <w:color w:val="auto"/>
        </w:rPr>
      </w:pPr>
    </w:p>
    <w:p>
      <w:pPr>
        <w:spacing w:after="0" w:line="29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39" w:firstLine="257"/>
        <w:spacing w:after="0" w:line="282" w:lineRule="auto"/>
        <w:rPr>
          <w:sz w:val="20"/>
          <w:szCs w:val="20"/>
          <w:color w:val="auto"/>
        </w:rPr>
      </w:pPr>
      <w:r>
        <w:rPr>
          <w:rFonts w:ascii="Arial" w:cs="Arial" w:eastAsia="Arial" w:hAnsi="Arial"/>
          <w:sz w:val="16"/>
          <w:szCs w:val="16"/>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61" w:lineRule="exact"/>
        <w:rPr>
          <w:sz w:val="20"/>
          <w:szCs w:val="20"/>
          <w:color w:val="auto"/>
        </w:rPr>
      </w:pPr>
    </w:p>
    <w:p>
      <w:pPr>
        <w:ind w:left="60" w:right="1179" w:firstLine="257"/>
        <w:spacing w:after="0" w:line="278" w:lineRule="auto"/>
        <w:rPr>
          <w:sz w:val="20"/>
          <w:szCs w:val="20"/>
          <w:color w:val="auto"/>
        </w:rPr>
      </w:pPr>
      <w:r>
        <w:rPr>
          <w:rFonts w:ascii="Arial" w:cs="Arial" w:eastAsia="Arial" w:hAnsi="Arial"/>
          <w:sz w:val="17"/>
          <w:szCs w:val="17"/>
          <w:b w:val="1"/>
          <w:bCs w:val="1"/>
          <w:i w:val="1"/>
          <w:iCs w:val="1"/>
          <w:color w:val="auto"/>
        </w:rPr>
        <w:t>Legal proceedings or third-party claims of intellectual property infringement may require us to spend substantial time and money and could prevent us from developing or commercializing products.</w:t>
      </w:r>
    </w:p>
    <w:p>
      <w:pPr>
        <w:spacing w:after="0" w:line="62" w:lineRule="exact"/>
        <w:rPr>
          <w:sz w:val="20"/>
          <w:szCs w:val="20"/>
          <w:color w:val="auto"/>
        </w:rPr>
      </w:pPr>
    </w:p>
    <w:p>
      <w:pPr>
        <w:ind w:left="60" w:right="999" w:firstLine="257"/>
        <w:spacing w:after="0" w:line="295" w:lineRule="auto"/>
        <w:rPr>
          <w:sz w:val="20"/>
          <w:szCs w:val="20"/>
          <w:color w:val="auto"/>
        </w:rPr>
      </w:pPr>
      <w:r>
        <w:rPr>
          <w:rFonts w:ascii="Arial" w:cs="Arial" w:eastAsia="Arial" w:hAnsi="Arial"/>
          <w:sz w:val="15"/>
          <w:szCs w:val="15"/>
          <w:color w:val="auto"/>
        </w:rPr>
        <w:t>The development, manufacture, use, offer for sale, sale or importation of our therapeutic candidates may infringe on the claims of third-party patents. A party might file an infringement action against us. The cost to us of any patent litigation or other proceeding, even if resolved in our favor, could be substantial. Some of our competitors may be able to sustain the costs of such litigation or proceedings more effectively because of their substantially greater financial resources. Uncertainties resulting from the initiation and continuation or defense of a patent litigation or other proceedings could have a material adverse effect on our ability to compete in the marketplace. Patent litigation and other proceedings may also absorb significant management time. Consequently, we are unable to guarantee that we will be able to manufacture, use, offer for sale, sell or import our therapeutic candidates in the event of an infringement action. At present, we are not aware of pending or threatened patent infringement actions against us.</w:t>
      </w:r>
    </w:p>
    <w:p>
      <w:pPr>
        <w:spacing w:after="0" w:line="53" w:lineRule="exact"/>
        <w:rPr>
          <w:sz w:val="20"/>
          <w:szCs w:val="20"/>
          <w:color w:val="auto"/>
        </w:rPr>
      </w:pPr>
    </w:p>
    <w:p>
      <w:pPr>
        <w:ind w:left="60" w:right="1079" w:firstLine="257"/>
        <w:spacing w:after="0" w:line="274" w:lineRule="auto"/>
        <w:rPr>
          <w:sz w:val="20"/>
          <w:szCs w:val="20"/>
          <w:color w:val="auto"/>
        </w:rPr>
      </w:pPr>
      <w:r>
        <w:rPr>
          <w:rFonts w:ascii="Arial" w:cs="Arial" w:eastAsia="Arial" w:hAnsi="Arial"/>
          <w:sz w:val="16"/>
          <w:szCs w:val="16"/>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therapeutic candidate or be forced to cease some aspect of our business operations if, as a result of actual or threatened patent infringement claims, we are unable to enter into licenses on acceptable terms. This inability to enter into licenses could harm our business significantly. At present, we have not received any written demands from third parties that we take a license under their patents nor have we received any notice form a third party accusing us of patent infringement.</w:t>
      </w:r>
    </w:p>
    <w:p>
      <w:pPr>
        <w:spacing w:after="0" w:line="69" w:lineRule="exact"/>
        <w:rPr>
          <w:sz w:val="20"/>
          <w:szCs w:val="20"/>
          <w:color w:val="auto"/>
        </w:rPr>
      </w:pPr>
    </w:p>
    <w:p>
      <w:pPr>
        <w:ind w:left="60" w:right="979" w:firstLine="257"/>
        <w:spacing w:after="0" w:line="282" w:lineRule="auto"/>
        <w:rPr>
          <w:sz w:val="20"/>
          <w:szCs w:val="20"/>
          <w:color w:val="auto"/>
        </w:rPr>
      </w:pPr>
      <w:r>
        <w:rPr>
          <w:rFonts w:ascii="Arial" w:cs="Arial" w:eastAsia="Arial" w:hAnsi="Arial"/>
          <w:sz w:val="16"/>
          <w:szCs w:val="16"/>
          <w:color w:val="auto"/>
        </w:rPr>
        <w:t>Our license agreement with Ikaria contains, and any contract that we enter into with licensees in the future will likely contain, indemnity provisions that obligate us to indemnify the licensees against any losses party intellectual property rights. In addition, our in-license agreements contain provisions that obligate us to indemnify the licensors against any damages arising from the development, manufacture and use of products developed on the basis of the in-licensed intellectual property.</w:t>
      </w:r>
    </w:p>
    <w:p>
      <w:pPr>
        <w:spacing w:after="0" w:line="61" w:lineRule="exact"/>
        <w:rPr>
          <w:sz w:val="20"/>
          <w:szCs w:val="20"/>
          <w:color w:val="auto"/>
        </w:rPr>
      </w:pPr>
    </w:p>
    <w:p>
      <w:pPr>
        <w:ind w:left="60" w:right="1419" w:firstLine="257"/>
        <w:spacing w:after="0" w:line="278" w:lineRule="auto"/>
        <w:rPr>
          <w:sz w:val="20"/>
          <w:szCs w:val="20"/>
          <w:color w:val="auto"/>
        </w:rPr>
      </w:pPr>
      <w:r>
        <w:rPr>
          <w:rFonts w:ascii="Arial" w:cs="Arial" w:eastAsia="Arial" w:hAnsi="Arial"/>
          <w:sz w:val="17"/>
          <w:szCs w:val="17"/>
          <w:b w:val="1"/>
          <w:bCs w:val="1"/>
          <w:i w:val="1"/>
          <w:iCs w:val="1"/>
          <w:color w:val="auto"/>
        </w:rPr>
        <w:t>We may be subject to other patent-related litigation or proceedings that could be costly to defend and uncertain in their outcome.</w:t>
      </w:r>
    </w:p>
    <w:p>
      <w:pPr>
        <w:spacing w:after="0" w:line="62" w:lineRule="exact"/>
        <w:rPr>
          <w:sz w:val="20"/>
          <w:szCs w:val="20"/>
          <w:color w:val="auto"/>
        </w:rPr>
      </w:pPr>
    </w:p>
    <w:p>
      <w:pPr>
        <w:ind w:left="60" w:right="1059" w:firstLine="257"/>
        <w:spacing w:after="0" w:line="298" w:lineRule="auto"/>
        <w:rPr>
          <w:sz w:val="20"/>
          <w:szCs w:val="20"/>
          <w:color w:val="auto"/>
        </w:rPr>
      </w:pPr>
      <w:r>
        <w:rPr>
          <w:rFonts w:ascii="Arial" w:cs="Arial" w:eastAsia="Arial" w:hAnsi="Arial"/>
          <w:sz w:val="15"/>
          <w:szCs w:val="15"/>
          <w:color w:val="auto"/>
        </w:rPr>
        <w:t>In addition to infringement claims against us, we may in the future become a party to other patent litigation or proceedings, including interference or re-examination proceedings filed with the U.S. Patent and Trademark Office or opposition proceedings in other foreign patent offices regarding intellectual property rights with respect to our products and technology, as well as other disputes regarding intellectual property rights with licensees, licensors or others with whom we have contractual or other business relationships. Post-issuance oppositions are not uncommon and we, our licensee or our licensor will be required to defend these opposition procedures as a matter of course. Opposition procedures may be costly, and there is a risk that we may not prevail.</w:t>
      </w:r>
    </w:p>
    <w:p>
      <w:pPr>
        <w:spacing w:after="0" w:line="53" w:lineRule="exact"/>
        <w:rPr>
          <w:sz w:val="20"/>
          <w:szCs w:val="20"/>
          <w:color w:val="auto"/>
        </w:rPr>
      </w:pPr>
    </w:p>
    <w:p>
      <w:pPr>
        <w:ind w:left="60" w:right="1499" w:firstLine="257"/>
        <w:spacing w:after="0" w:line="27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or contractors have wrongfully used or disclosed alleged trade secrets of their former employers.</w:t>
      </w:r>
    </w:p>
    <w:p>
      <w:pPr>
        <w:spacing w:after="0" w:line="62" w:lineRule="exact"/>
        <w:rPr>
          <w:sz w:val="20"/>
          <w:szCs w:val="20"/>
          <w:color w:val="auto"/>
        </w:rPr>
      </w:pPr>
    </w:p>
    <w:p>
      <w:pPr>
        <w:ind w:left="60" w:right="1139" w:firstLine="257"/>
        <w:spacing w:after="0" w:line="298" w:lineRule="auto"/>
        <w:rPr>
          <w:sz w:val="20"/>
          <w:szCs w:val="20"/>
          <w:color w:val="auto"/>
        </w:rPr>
      </w:pPr>
      <w:r>
        <w:rPr>
          <w:rFonts w:ascii="Arial" w:cs="Arial" w:eastAsia="Arial" w:hAnsi="Arial"/>
          <w:sz w:val="15"/>
          <w:szCs w:val="15"/>
          <w:color w:val="auto"/>
        </w:rPr>
        <w:t>Many of our employees and contractors were previously employed at universities or other biotechnology or pharmaceutical companies, including our competitors or potential competitors. Although no claims against us are currently pending, we may be subject to claims that we or any employ or contractor has inadvertently or otherwise used or disclosed trade secrets or other proprietary information of his or her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w:t>
      </w:r>
    </w:p>
    <w:p>
      <w:pPr>
        <w:spacing w:after="0" w:line="200" w:lineRule="exact"/>
        <w:rPr>
          <w:sz w:val="20"/>
          <w:szCs w:val="20"/>
          <w:color w:val="auto"/>
        </w:rPr>
      </w:pPr>
    </w:p>
    <w:p>
      <w:pPr>
        <w:spacing w:after="0" w:line="27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499"/>
        <w:spacing w:after="0" w:line="347" w:lineRule="auto"/>
        <w:rPr>
          <w:sz w:val="20"/>
          <w:szCs w:val="20"/>
          <w:color w:val="auto"/>
        </w:rPr>
      </w:pPr>
      <w:r>
        <w:rPr>
          <w:rFonts w:ascii="Arial" w:cs="Arial" w:eastAsia="Arial" w:hAnsi="Arial"/>
          <w:sz w:val="15"/>
          <w:szCs w:val="15"/>
          <w:color w:val="auto"/>
        </w:rPr>
        <w:t>therapeutic candidates, which could severely harm our business, financial condition and results of operations. Even if we are successful in defending against these claims, litigation could result in substantial costs and be a distraction to management.</w:t>
      </w:r>
    </w:p>
    <w:p>
      <w:pPr>
        <w:spacing w:after="0" w:line="16"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b w:val="1"/>
          <w:bCs w:val="1"/>
          <w:i w:val="1"/>
          <w:iCs w:val="1"/>
          <w:color w:val="auto"/>
        </w:rPr>
        <w:t>The intellectual property associated with certain of our therapeutic candidates, including BL-1040, is pledged as security for our obligations associated with the Office of the Chief Scientist of the Israeli Ministry of Industry, Trade and Labor’s biotechnology incubator program.</w:t>
      </w:r>
    </w:p>
    <w:p>
      <w:pPr>
        <w:spacing w:after="0" w:line="73" w:lineRule="exact"/>
        <w:rPr>
          <w:sz w:val="20"/>
          <w:szCs w:val="20"/>
          <w:color w:val="auto"/>
        </w:rPr>
      </w:pPr>
    </w:p>
    <w:p>
      <w:pPr>
        <w:ind w:left="60" w:right="1099" w:firstLine="257"/>
        <w:spacing w:after="0" w:line="270" w:lineRule="auto"/>
        <w:rPr>
          <w:sz w:val="20"/>
          <w:szCs w:val="20"/>
          <w:color w:val="auto"/>
        </w:rPr>
      </w:pPr>
      <w:r>
        <w:rPr>
          <w:rFonts w:ascii="Arial" w:cs="Arial" w:eastAsia="Arial" w:hAnsi="Arial"/>
          <w:sz w:val="16"/>
          <w:szCs w:val="16"/>
          <w:color w:val="auto"/>
        </w:rPr>
        <w:t>In May 2004, the OCS invited companies to bid to establish and operate OCS-funded biotechnological incubators to provide a physical, organized and professional platform for commercializing biotechnological research and development projects. We submitted a proposal to operate a biotechnological incubator, and our proposal was selected by the OCS. Accordingly, we entered into an incubator agreement with the OCS in January 2005. The initial agreement was scheduled to expire on December 31, 2010 but at the end of 2010, the OCS agreed to renew the agreement for an additional two years, with an option to renew for another one-year period at the same terms and conditions, subject to OCS approval. The funding provided to us under the incubator agreement is in the form of separate loans for each approved project initiated by our incubator. Each loan is subject to repayment solely out of the revenues generated by that project. If revenues are not achieved with respect to a project, the loan for the project will be forgiven, subject to certain terms and conditions. If revenues are achieved with respect to a project, the loans will be repaid from such revenues, with interest. The interest rates for the loans are prescribed by the OCS at the commencement of each loan, and range from 3.11% to 5.34%, but are doubled if the loan is not repaid within five years of our achievement of certain development milestones, or within two years following the completion of the applicable incubator program. All intellectual property held by our incubator for development through the incubator program is pledged as security for our obligations under the incubator agreement. If we are unable to meet our obligations under the incubator agreement, the intellectual property held by the incubator would be subject to seizure and would not be available for sale for the benefit of or distribution to our creditors or shareholders in the event of a reorganization or insolvency. Any loss of the rights to the intellectual property held by our incubator would have a material adverse effect on our business and prospects. In addition, all intellectual property held by the incubator program is subject to restrictions imposed by the OCS with respect to transfer abroad of rights to manufacture products based on the intellectual property or of rights to the intellectual property itself, as described more fully under “Item 4. Information on the Company — Business Overview — Government Regulation and Funding — Israeli Government Programs — Office of the Chief Scientist.”</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Ordinary Shares and ADRs</w:t>
      </w:r>
    </w:p>
    <w:p>
      <w:pPr>
        <w:spacing w:after="0" w:line="119" w:lineRule="exact"/>
        <w:rPr>
          <w:sz w:val="20"/>
          <w:szCs w:val="20"/>
          <w:color w:val="auto"/>
        </w:rPr>
      </w:pPr>
    </w:p>
    <w:p>
      <w:pPr>
        <w:ind w:left="60" w:right="1359" w:firstLine="257"/>
        <w:spacing w:after="0" w:line="265" w:lineRule="auto"/>
        <w:rPr>
          <w:sz w:val="20"/>
          <w:szCs w:val="20"/>
          <w:color w:val="auto"/>
        </w:rPr>
      </w:pPr>
      <w:r>
        <w:rPr>
          <w:rFonts w:ascii="Arial" w:cs="Arial" w:eastAsia="Arial" w:hAnsi="Arial"/>
          <w:sz w:val="17"/>
          <w:szCs w:val="17"/>
          <w:b w:val="1"/>
          <w:bCs w:val="1"/>
          <w:i w:val="1"/>
          <w:iCs w:val="1"/>
          <w:color w:val="auto"/>
        </w:rPr>
        <w:t>We may be a passive foreign investment company, or PFIC, for U.S. federal income tax purposes in 2011 or in any subsequent year. There may be negative tax consequences for U.S. taxpayers that are holders of our ordinary shares or our ADRs.</w:t>
      </w:r>
    </w:p>
    <w:p>
      <w:pPr>
        <w:spacing w:after="0" w:line="73" w:lineRule="exact"/>
        <w:rPr>
          <w:sz w:val="20"/>
          <w:szCs w:val="20"/>
          <w:color w:val="auto"/>
        </w:rPr>
      </w:pPr>
    </w:p>
    <w:p>
      <w:pPr>
        <w:ind w:left="60" w:right="1039" w:firstLine="257"/>
        <w:spacing w:after="0" w:line="290" w:lineRule="auto"/>
        <w:rPr>
          <w:sz w:val="20"/>
          <w:szCs w:val="20"/>
          <w:color w:val="auto"/>
        </w:rPr>
      </w:pPr>
      <w:r>
        <w:rPr>
          <w:rFonts w:ascii="Arial" w:cs="Arial" w:eastAsia="Arial" w:hAnsi="Arial"/>
          <w:sz w:val="15"/>
          <w:szCs w:val="15"/>
          <w:color w:val="auto"/>
        </w:rPr>
        <w:t>We will be treated as a PFIC for U.S. federal income tax purposes in any taxable year in which either (i) at least 75% of our gross income is “passive income” or (ii)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believe that we were a PFIC during certain prior years and, although we have not determined whether we will be a PFIC in 2011, or in any subsequent year, our operating results for any such years may cause us to be a PFIC. If we are a PFIC in 2011, or any subsequent year, and a U.S. shareholder does not make an election to treat us as a “qualified electing fund,” or QEF, or make a “mark-to-market” election, then “excess distributions” to a U.S. shareholder, and any gain realized on the sale or other disposition of our ordinary shares or ADRs will be subject to special rules. Under these rules: (i) the excess distribution or gain would be allocated ratably over the U.S. shareholder’s holding period for the ordinary shares (or ADRs, as the case may be); (ii) the amount allocated to the current taxable year and any period prior to the first day of the first taxable year in which we were a PFIC would be taxed as ordinary income; and (iii) the amount allocated to each of the other taxable years would be subject to tax at</w:t>
      </w:r>
    </w:p>
    <w:p>
      <w:pPr>
        <w:spacing w:after="0" w:line="200" w:lineRule="exact"/>
        <w:rPr>
          <w:sz w:val="20"/>
          <w:szCs w:val="20"/>
          <w:color w:val="auto"/>
        </w:rPr>
      </w:pPr>
    </w:p>
    <w:p>
      <w:pPr>
        <w:spacing w:after="0" w:line="30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39"/>
        <w:spacing w:after="0" w:line="293" w:lineRule="auto"/>
        <w:rPr>
          <w:sz w:val="20"/>
          <w:szCs w:val="20"/>
          <w:color w:val="auto"/>
        </w:rPr>
      </w:pPr>
      <w:r>
        <w:rPr>
          <w:rFonts w:ascii="Arial" w:cs="Arial" w:eastAsia="Arial" w:hAnsi="Arial"/>
          <w:sz w:val="15"/>
          <w:szCs w:val="15"/>
          <w:color w:val="auto"/>
        </w:rPr>
        <w:t>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determines that we are a PFIC for a year with respect to which we have determined that we were not a PFIC, it may be too late for a U.S. shareholder to make a timely QEF or mark-to-market election. U.S. shareholders who hold our ordinary shares or ADRs during a period when we are a PFIC will be subject to the foregoing rules, even if we cease to be a PFIC in subsequent years, subject to exceptions for U.S. shareholders who made a timely QEF or mark-to-market election. A U.S. shareholder can make a QEF election by completing the relevant portions of and filing IRS Form 8621 in accordance with the instructions thereto. Upon request, we will annually furnish U.S. shareholders with information needed in order to complete IRS Form 8621 (which form would be required to be filed with the IRS on an annual basis by the U.S. shareholder) and to make and maintain a valid QEF election for any year in which we or any of our subsidiaries are a PFIC.</w:t>
      </w:r>
    </w:p>
    <w:p>
      <w:pPr>
        <w:spacing w:after="0" w:line="55" w:lineRule="exact"/>
        <w:rPr>
          <w:sz w:val="20"/>
          <w:szCs w:val="20"/>
          <w:color w:val="auto"/>
        </w:rPr>
      </w:pPr>
    </w:p>
    <w:p>
      <w:pPr>
        <w:ind w:left="60" w:right="1279" w:firstLine="257"/>
        <w:spacing w:after="0" w:line="278" w:lineRule="auto"/>
        <w:rPr>
          <w:sz w:val="20"/>
          <w:szCs w:val="20"/>
          <w:color w:val="auto"/>
        </w:rPr>
      </w:pPr>
      <w:r>
        <w:rPr>
          <w:rFonts w:ascii="Arial" w:cs="Arial" w:eastAsia="Arial" w:hAnsi="Arial"/>
          <w:sz w:val="17"/>
          <w:szCs w:val="17"/>
          <w:b w:val="1"/>
          <w:bCs w:val="1"/>
          <w:i w:val="1"/>
          <w:iCs w:val="1"/>
          <w:color w:val="auto"/>
        </w:rPr>
        <w:t>The market price of our ordinary shares is, and the market price of our ADRs will be, subject to fluctuation, which could result in substantial losses by our investors.</w:t>
      </w:r>
    </w:p>
    <w:p>
      <w:pPr>
        <w:spacing w:after="0" w:line="62" w:lineRule="exact"/>
        <w:rPr>
          <w:sz w:val="20"/>
          <w:szCs w:val="20"/>
          <w:color w:val="auto"/>
        </w:rPr>
      </w:pPr>
    </w:p>
    <w:p>
      <w:pPr>
        <w:ind w:left="60" w:right="1059" w:firstLine="257"/>
        <w:spacing w:after="0" w:line="259" w:lineRule="auto"/>
        <w:rPr>
          <w:sz w:val="20"/>
          <w:szCs w:val="20"/>
          <w:color w:val="auto"/>
        </w:rPr>
      </w:pPr>
      <w:r>
        <w:rPr>
          <w:rFonts w:ascii="Arial" w:cs="Arial" w:eastAsia="Arial" w:hAnsi="Arial"/>
          <w:sz w:val="17"/>
          <w:szCs w:val="17"/>
          <w:color w:val="auto"/>
        </w:rPr>
        <w:t>The stock market in general and the market price of our ordinary shares on the TASE in particular, is subject to fluctuation, and changes in our share price may be unrelated to our operating performance. The market price of our ordinary shares on the TASE has fluctuated in the past, and we expect it will continue to do so. It is likely that the market price of our ADRs will likewise be subject to wide fluctuations. The market price of our ordinary shares and ADRs are and will be subject to a number of factors, including:</w:t>
      </w:r>
    </w:p>
    <w:p>
      <w:pPr>
        <w:spacing w:after="0" w:line="77" w:lineRule="exact"/>
        <w:rPr>
          <w:sz w:val="20"/>
          <w:szCs w:val="20"/>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of technological innovations or new products by us or others;</w:t>
      </w:r>
    </w:p>
    <w:p>
      <w:pPr>
        <w:spacing w:after="0" w:line="113" w:lineRule="exact"/>
        <w:rPr>
          <w:rFonts w:ascii="Arial" w:cs="Arial" w:eastAsia="Arial" w:hAnsi="Arial"/>
          <w:sz w:val="17"/>
          <w:szCs w:val="17"/>
          <w:color w:val="auto"/>
        </w:rPr>
      </w:pPr>
    </w:p>
    <w:p>
      <w:pPr>
        <w:ind w:left="580" w:right="1099" w:hanging="307"/>
        <w:spacing w:after="0" w:line="27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by us of significant acquisitions, strategic partnerships, in-licensing, out-licensing, joint ventures or capital commitments;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expiration or terminations of licenses, research contracts or other collaboration agreements;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 concern as to the safety of drugs we, our licensees or others develop;</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market conditions;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volatility of market prices for shares of biotechnology companies generally;</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 of research and development projects;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departure of key personnel;</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developments concerning intellectual property rights or regulatory approvals;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variations in our and our competitors’ results of operations;</w:t>
      </w:r>
    </w:p>
    <w:p>
      <w:pPr>
        <w:spacing w:after="0" w:line="113" w:lineRule="exact"/>
        <w:rPr>
          <w:rFonts w:ascii="Arial" w:cs="Arial" w:eastAsia="Arial" w:hAnsi="Arial"/>
          <w:sz w:val="17"/>
          <w:szCs w:val="17"/>
          <w:color w:val="auto"/>
        </w:rPr>
      </w:pPr>
    </w:p>
    <w:p>
      <w:pPr>
        <w:ind w:left="580" w:right="1279" w:hanging="307"/>
        <w:spacing w:after="0" w:line="27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if our ordinary shares or ADRs are covered by analysts;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government regulations or patent decisions;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developments by our licensees;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market conditions and other factors, including factors unrelated to our operating performance.</w:t>
      </w:r>
    </w:p>
    <w:p>
      <w:pPr>
        <w:spacing w:after="0" w:line="113" w:lineRule="exact"/>
        <w:rPr>
          <w:sz w:val="20"/>
          <w:szCs w:val="20"/>
          <w:color w:val="auto"/>
        </w:rPr>
      </w:pPr>
    </w:p>
    <w:p>
      <w:pPr>
        <w:ind w:left="60" w:right="1299" w:firstLine="257"/>
        <w:spacing w:after="0" w:line="278" w:lineRule="auto"/>
        <w:rPr>
          <w:sz w:val="20"/>
          <w:szCs w:val="20"/>
          <w:color w:val="auto"/>
        </w:rPr>
      </w:pPr>
      <w:r>
        <w:rPr>
          <w:rFonts w:ascii="Arial" w:cs="Arial" w:eastAsia="Arial" w:hAnsi="Arial"/>
          <w:sz w:val="17"/>
          <w:szCs w:val="17"/>
          <w:color w:val="auto"/>
        </w:rPr>
        <w:t>These factors and any corresponding price fluctuations may materially and adversely affect the market price of our ordinary shares and result in substantial losses by our investors.</w:t>
      </w:r>
    </w:p>
    <w:p>
      <w:pPr>
        <w:spacing w:after="0" w:line="62" w:lineRule="exact"/>
        <w:rPr>
          <w:sz w:val="20"/>
          <w:szCs w:val="20"/>
          <w:color w:val="auto"/>
        </w:rPr>
      </w:pPr>
    </w:p>
    <w:p>
      <w:pPr>
        <w:ind w:left="60" w:right="1039" w:firstLine="257"/>
        <w:spacing w:after="0" w:line="279" w:lineRule="auto"/>
        <w:rPr>
          <w:sz w:val="20"/>
          <w:szCs w:val="20"/>
          <w:color w:val="auto"/>
        </w:rPr>
      </w:pPr>
      <w:r>
        <w:rPr>
          <w:rFonts w:ascii="Arial" w:cs="Arial" w:eastAsia="Arial" w:hAnsi="Arial"/>
          <w:sz w:val="16"/>
          <w:szCs w:val="16"/>
          <w:color w:val="auto"/>
        </w:rPr>
        <w:t>Additionally, market prices for securities of biotechnology and pharmaceutical companies historically have been very volatile. The market for these securities has from time to time experienced significant price and volume fluctuations for reasons unrelated to the operating performance of any one company. In the past, following periods of market volatility, shareholders have often instituted securities class action litigation. If we were involved in securities litigation, it could have a substantial cost and divert resources and attention of management from our business, even if we are successful.</w:t>
      </w:r>
    </w:p>
    <w:p>
      <w:pPr>
        <w:spacing w:after="0" w:line="200" w:lineRule="exact"/>
        <w:rPr>
          <w:sz w:val="20"/>
          <w:szCs w:val="20"/>
          <w:color w:val="auto"/>
        </w:rPr>
      </w:pPr>
    </w:p>
    <w:p>
      <w:pPr>
        <w:spacing w:after="0" w:line="28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Future sales of our ordinary shares or ADRs could reduce the market price of our ordinary shares and ADRs.</w:t>
      </w:r>
    </w:p>
    <w:p>
      <w:pPr>
        <w:spacing w:after="0" w:line="125" w:lineRule="exact"/>
        <w:rPr>
          <w:sz w:val="20"/>
          <w:szCs w:val="20"/>
          <w:color w:val="auto"/>
        </w:rPr>
      </w:pPr>
    </w:p>
    <w:p>
      <w:pPr>
        <w:ind w:left="60" w:right="1079" w:firstLine="257"/>
        <w:spacing w:after="0" w:line="282" w:lineRule="auto"/>
        <w:rPr>
          <w:sz w:val="20"/>
          <w:szCs w:val="20"/>
          <w:color w:val="auto"/>
        </w:rPr>
      </w:pPr>
      <w:r>
        <w:rPr>
          <w:rFonts w:ascii="Arial" w:cs="Arial" w:eastAsia="Arial" w:hAnsi="Arial"/>
          <w:sz w:val="16"/>
          <w:szCs w:val="16"/>
          <w:color w:val="auto"/>
        </w:rPr>
        <w:t>Substantial sales of our ordinary shares or ADRs, either on the TASE or on The NASDAQ Capital Market, may cause the market price of our ordinary shares or ADRs to decline. All of our outstanding ordinary shares are registered and available for sale in Israel. Sales by us or our securityholders of substantial amounts of our ordinary shares or ADRs, or the perception that these sales may occur in the future, could cause a reduction in the market price of our ordinary shares or ADRs.</w:t>
      </w:r>
    </w:p>
    <w:p>
      <w:pPr>
        <w:spacing w:after="0" w:line="61" w:lineRule="exact"/>
        <w:rPr>
          <w:sz w:val="20"/>
          <w:szCs w:val="20"/>
          <w:color w:val="auto"/>
        </w:rPr>
      </w:pPr>
    </w:p>
    <w:p>
      <w:pPr>
        <w:ind w:left="60" w:right="1019" w:firstLine="257"/>
        <w:spacing w:after="0" w:line="298" w:lineRule="auto"/>
        <w:rPr>
          <w:sz w:val="20"/>
          <w:szCs w:val="20"/>
          <w:color w:val="auto"/>
        </w:rPr>
      </w:pPr>
      <w:r>
        <w:rPr>
          <w:rFonts w:ascii="Arial" w:cs="Arial" w:eastAsia="Arial" w:hAnsi="Arial"/>
          <w:sz w:val="15"/>
          <w:szCs w:val="15"/>
          <w:color w:val="auto"/>
        </w:rPr>
        <w:t>On May 31, 2011, we filed a shelf prospectus with the TASE and the Israeli Securities Authority. The shelf prospectus allows us, for a period of two years from the date of filing, to issue the following securities to the public in Israel by means of shelf offering reports, without being required to publish a full prospectus: (a) up to 500,000,000 ordinary shares; and (b) up to nine series of warrants, each warrant exercisable into one ordinary share (subject to certain adjustments), provided that each individual series of warrant may consist of no more than 200,000,000 warrants. The securities may be offered and sold from time to time through shelf offering reports and, when issued, the securities will be registered for trade on the TASE without any lock-up period.</w:t>
      </w:r>
    </w:p>
    <w:p>
      <w:pPr>
        <w:spacing w:after="0" w:line="53" w:lineRule="exact"/>
        <w:rPr>
          <w:sz w:val="20"/>
          <w:szCs w:val="20"/>
          <w:color w:val="auto"/>
        </w:rPr>
      </w:pPr>
    </w:p>
    <w:p>
      <w:pPr>
        <w:ind w:left="60" w:right="999" w:firstLine="257"/>
        <w:spacing w:after="0" w:line="279" w:lineRule="auto"/>
        <w:rPr>
          <w:sz w:val="20"/>
          <w:szCs w:val="20"/>
          <w:color w:val="auto"/>
        </w:rPr>
      </w:pPr>
      <w:r>
        <w:rPr>
          <w:rFonts w:ascii="Arial" w:cs="Arial" w:eastAsia="Arial" w:hAnsi="Arial"/>
          <w:sz w:val="16"/>
          <w:szCs w:val="16"/>
          <w:color w:val="auto"/>
        </w:rPr>
        <w:t>In December 29, 2009, we issued 11,293,419 ordinary shares, and Series 2 Warrants to purchase 7,528,946 ordinary shares, under a shelf prospectus which expired in May 2011, for aggregate gross proceeds of approximately NIS 47.1 million, or $12.4 million (based on the exchange rate reported by the Bank of Israel for that date). The Series 2 Warrants were originally scheduled to expire on December 29, 2011. However, on June 13, 2011, our Board of Directors decided to extend the exercise period of the Series 2 Warrants until June 30, 2013. The extension remains subject to court and other approvals.</w:t>
      </w:r>
    </w:p>
    <w:p>
      <w:pPr>
        <w:spacing w:after="0" w:line="63" w:lineRule="exact"/>
        <w:rPr>
          <w:sz w:val="20"/>
          <w:szCs w:val="20"/>
          <w:color w:val="auto"/>
        </w:rPr>
      </w:pPr>
    </w:p>
    <w:p>
      <w:pPr>
        <w:ind w:left="60" w:right="1079" w:firstLine="257"/>
        <w:spacing w:after="0" w:line="265" w:lineRule="auto"/>
        <w:rPr>
          <w:sz w:val="20"/>
          <w:szCs w:val="20"/>
          <w:color w:val="auto"/>
        </w:rPr>
      </w:pPr>
      <w:r>
        <w:rPr>
          <w:rFonts w:ascii="Arial" w:cs="Arial" w:eastAsia="Arial" w:hAnsi="Arial"/>
          <w:sz w:val="17"/>
          <w:szCs w:val="17"/>
          <w:color w:val="auto"/>
        </w:rPr>
        <w:t>The issuance of any additional ordinary shares under the shelf prospectus, or any securities that are exercisable for or convertible into our ordinary shares, may have an adverse effect on the market price of our ordinary shares and will have a dilutive effect on our shareholders.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Raising additional capital by issuing securities may cause dilution to existing shareholders.</w:t>
      </w:r>
    </w:p>
    <w:p>
      <w:pPr>
        <w:spacing w:after="0" w:line="113" w:lineRule="exact"/>
        <w:rPr>
          <w:sz w:val="20"/>
          <w:szCs w:val="20"/>
          <w:color w:val="auto"/>
        </w:rPr>
      </w:pPr>
    </w:p>
    <w:p>
      <w:pPr>
        <w:ind w:left="60" w:right="999" w:firstLine="257"/>
        <w:spacing w:after="0" w:line="289" w:lineRule="auto"/>
        <w:rPr>
          <w:sz w:val="20"/>
          <w:szCs w:val="20"/>
          <w:color w:val="auto"/>
        </w:rPr>
      </w:pPr>
      <w:r>
        <w:rPr>
          <w:rFonts w:ascii="Arial" w:cs="Arial" w:eastAsia="Arial" w:hAnsi="Arial"/>
          <w:sz w:val="16"/>
          <w:szCs w:val="16"/>
          <w:color w:val="auto"/>
        </w:rPr>
        <w:t>We may need to raise substantial future capital to continue to complete clinical development and commercialize our products and therapeutic candidates and to conduct the research and development and clinical and regulatory activities necessary to bring our therapeutic candidates to market. Our future capital requirements will depend on many factors, including:</w:t>
      </w:r>
    </w:p>
    <w:p>
      <w:pPr>
        <w:spacing w:after="0" w:line="56" w:lineRule="exact"/>
        <w:rPr>
          <w:sz w:val="20"/>
          <w:szCs w:val="20"/>
          <w:color w:val="auto"/>
        </w:rPr>
      </w:pPr>
    </w:p>
    <w:p>
      <w:pPr>
        <w:ind w:left="580" w:right="1159" w:hanging="307"/>
        <w:spacing w:after="0" w:line="27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failure to obtain regulatory approval or achieve commercial success of our therapeutic candidates, including BL-1020, BL-1021, BL-1040, BL-5010 and BL-7040;</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 in effecting out-licensing arrangements with third-parties;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 in establishing other out-licensing arrangements;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success of our licensees in selling products that utilize our technologies;</w:t>
      </w:r>
    </w:p>
    <w:p>
      <w:pPr>
        <w:spacing w:after="0" w:line="113" w:lineRule="exact"/>
        <w:rPr>
          <w:rFonts w:ascii="Arial" w:cs="Arial" w:eastAsia="Arial" w:hAnsi="Arial"/>
          <w:sz w:val="17"/>
          <w:szCs w:val="17"/>
          <w:color w:val="auto"/>
        </w:rPr>
      </w:pPr>
    </w:p>
    <w:p>
      <w:pPr>
        <w:ind w:left="580" w:right="1419" w:hanging="307"/>
        <w:spacing w:after="0" w:line="27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results of our preclinical studies and clinical trials for our earlier stage therapeutic candidates, and any decisions to initiate clinical trials if supported by the preclinical results;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therapeutic candidates that progress to clinical trials;</w:t>
      </w:r>
    </w:p>
    <w:p>
      <w:pPr>
        <w:spacing w:after="0" w:line="113" w:lineRule="exact"/>
        <w:rPr>
          <w:rFonts w:ascii="Arial" w:cs="Arial" w:eastAsia="Arial" w:hAnsi="Arial"/>
          <w:sz w:val="17"/>
          <w:szCs w:val="17"/>
          <w:color w:val="auto"/>
        </w:rPr>
      </w:pPr>
    </w:p>
    <w:p>
      <w:pPr>
        <w:ind w:left="580" w:right="1499" w:hanging="307"/>
        <w:spacing w:after="0" w:line="27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establishing or acquiring specialty sales, marketing and distribution capabilities, if any of our therapeutic candidates are approved, and we decide to commercialize them ourselves;</w:t>
      </w:r>
    </w:p>
    <w:p>
      <w:pPr>
        <w:spacing w:after="0" w:line="61" w:lineRule="exact"/>
        <w:rPr>
          <w:rFonts w:ascii="Arial" w:cs="Arial" w:eastAsia="Arial" w:hAnsi="Arial"/>
          <w:sz w:val="17"/>
          <w:szCs w:val="17"/>
          <w:color w:val="auto"/>
        </w:rPr>
      </w:pPr>
    </w:p>
    <w:p>
      <w:pPr>
        <w:ind w:left="580" w:right="1659" w:hanging="307"/>
        <w:spacing w:after="0" w:line="27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issued patents and defending intellectual property-related claims;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and other strategic relationships; and</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financing unanticipated working capital requirements and responding to competitive pressures.</w:t>
      </w:r>
    </w:p>
    <w:p>
      <w:pPr>
        <w:spacing w:after="0" w:line="200" w:lineRule="exact"/>
        <w:rPr>
          <w:sz w:val="20"/>
          <w:szCs w:val="20"/>
          <w:color w:val="auto"/>
        </w:rPr>
      </w:pPr>
    </w:p>
    <w:p>
      <w:pPr>
        <w:spacing w:after="0" w:line="33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99" w:firstLine="257"/>
        <w:spacing w:after="0" w:line="279" w:lineRule="auto"/>
        <w:rPr>
          <w:sz w:val="20"/>
          <w:szCs w:val="20"/>
          <w:color w:val="auto"/>
        </w:rPr>
      </w:pPr>
      <w:r>
        <w:rPr>
          <w:rFonts w:ascii="Arial" w:cs="Arial" w:eastAsia="Arial" w:hAnsi="Arial"/>
          <w:sz w:val="16"/>
          <w:szCs w:val="16"/>
          <w:color w:val="auto"/>
        </w:rPr>
        <w:t>If we raise additional funds through licensing arrangements with third parties, we may have to relinquish valuable rights to our therapeutic candidates, or grant licenses on terms that are not favorable to us. If we raise additional funds by issuing equity or convertible debt securities, we will reduce the percentage ownership of our then-existing shareholders, and these securities may have rights, preferences or privileges senior to those of our existing shareholders. See also “— Future sales of our ordinary shares or ADRs could reduce the market price of our ordinary shares and ADRs.”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Associated with Potential NASDAQ Listing of our ADRs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ordinary shares and our ADRs will be traded on different markets and this may result in price variations.</w:t>
      </w:r>
    </w:p>
    <w:p>
      <w:pPr>
        <w:spacing w:after="0" w:line="113"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color w:val="auto"/>
        </w:rPr>
        <w:t>Our ordinary shares have been traded on the TASE since February 2007 and we have applied to have our ADRs listed on The NASDAQ Capital Market. Trading in our securities on these markets will take place in different currencies (dollars on The NASDAQ Capital Market and NIS on the TASE), and at different times (resulting from different time zones, different trading days and different public holidays in the United States and Israel). The trading prices of our securities on these two markets may differ due to these and other factors. Any decrease in the price of our securities on one of these markets could cause a decrease in the trading price of our securities on the other market.</w:t>
      </w:r>
    </w:p>
    <w:p>
      <w:pPr>
        <w:spacing w:after="0" w:line="82" w:lineRule="exact"/>
        <w:rPr>
          <w:sz w:val="20"/>
          <w:szCs w:val="20"/>
          <w:color w:val="auto"/>
        </w:rPr>
      </w:pPr>
    </w:p>
    <w:p>
      <w:pPr>
        <w:ind w:left="60" w:right="1299" w:firstLine="257"/>
        <w:spacing w:after="0" w:line="278" w:lineRule="auto"/>
        <w:rPr>
          <w:sz w:val="20"/>
          <w:szCs w:val="20"/>
          <w:color w:val="auto"/>
        </w:rPr>
      </w:pPr>
      <w:r>
        <w:rPr>
          <w:rFonts w:ascii="Arial" w:cs="Arial" w:eastAsia="Arial" w:hAnsi="Arial"/>
          <w:sz w:val="17"/>
          <w:szCs w:val="17"/>
          <w:b w:val="1"/>
          <w:bCs w:val="1"/>
          <w:i w:val="1"/>
          <w:iCs w:val="1"/>
          <w:color w:val="auto"/>
        </w:rPr>
        <w:t>Our ADRs have no prior trading history in the United States, and an active market may not develop, which may limit the ability of our investors to sell our ADRs in the United States.</w:t>
      </w:r>
    </w:p>
    <w:p>
      <w:pPr>
        <w:spacing w:after="0" w:line="62" w:lineRule="exact"/>
        <w:rPr>
          <w:sz w:val="20"/>
          <w:szCs w:val="20"/>
          <w:color w:val="auto"/>
        </w:rPr>
      </w:pPr>
    </w:p>
    <w:p>
      <w:pPr>
        <w:jc w:val="both"/>
        <w:ind w:left="60" w:right="1119" w:firstLine="257"/>
        <w:spacing w:after="0" w:line="289" w:lineRule="auto"/>
        <w:rPr>
          <w:sz w:val="20"/>
          <w:szCs w:val="20"/>
          <w:color w:val="auto"/>
        </w:rPr>
      </w:pPr>
      <w:r>
        <w:rPr>
          <w:rFonts w:ascii="Arial" w:cs="Arial" w:eastAsia="Arial" w:hAnsi="Arial"/>
          <w:sz w:val="16"/>
          <w:szCs w:val="16"/>
          <w:color w:val="auto"/>
        </w:rPr>
        <w:t>There is no public market for our ADRs or ordinary shares in the United States. Although we have applied to have our ADRs listed on The NASDAQ Capital Market, an active trading market for our ADRs may never develop or may not be sustained if one develops. If an active market for our ADRs does not develop, it may be difficult to sell your ADRs.</w:t>
      </w:r>
    </w:p>
    <w:p>
      <w:pPr>
        <w:spacing w:after="0" w:line="56" w:lineRule="exact"/>
        <w:rPr>
          <w:sz w:val="20"/>
          <w:szCs w:val="20"/>
          <w:color w:val="auto"/>
        </w:rPr>
      </w:pPr>
    </w:p>
    <w:p>
      <w:pPr>
        <w:jc w:val="both"/>
        <w:ind w:left="60" w:right="1419" w:firstLine="257"/>
        <w:spacing w:after="0" w:line="265" w:lineRule="auto"/>
        <w:rPr>
          <w:sz w:val="20"/>
          <w:szCs w:val="20"/>
          <w:color w:val="auto"/>
        </w:rPr>
      </w:pPr>
      <w:r>
        <w:rPr>
          <w:rFonts w:ascii="Arial" w:cs="Arial" w:eastAsia="Arial" w:hAnsi="Arial"/>
          <w:sz w:val="17"/>
          <w:szCs w:val="17"/>
          <w:b w:val="1"/>
          <w:bCs w:val="1"/>
          <w:i w:val="1"/>
          <w:iCs w:val="1"/>
          <w:color w:val="auto"/>
        </w:rPr>
        <w:t>We will incur significant additional increased costs as a result of the listing of our ADRs for trading on The NASDAQ Capital Market, and our management will be required to devote substantial time to new compliance initiatives as well as to compliance with ongoing U.S. and Israeli reporting requirements.</w:t>
      </w:r>
    </w:p>
    <w:p>
      <w:pPr>
        <w:spacing w:after="0" w:line="73" w:lineRule="exact"/>
        <w:rPr>
          <w:sz w:val="20"/>
          <w:szCs w:val="20"/>
          <w:color w:val="auto"/>
        </w:rPr>
      </w:pPr>
    </w:p>
    <w:p>
      <w:pPr>
        <w:ind w:left="60" w:right="999" w:firstLine="257"/>
        <w:spacing w:after="0" w:line="290" w:lineRule="auto"/>
        <w:rPr>
          <w:sz w:val="20"/>
          <w:szCs w:val="20"/>
          <w:color w:val="auto"/>
        </w:rPr>
      </w:pPr>
      <w:r>
        <w:rPr>
          <w:rFonts w:ascii="Arial" w:cs="Arial" w:eastAsia="Arial" w:hAnsi="Arial"/>
          <w:sz w:val="15"/>
          <w:szCs w:val="15"/>
          <w:color w:val="auto"/>
        </w:rPr>
        <w:t>As a public company in the United States, we will incur additional significant accounting, legal and other expenses that we did not incur before the offering. We also anticipate that we will incur costs associated with corporate governance requirements of the SEC and the Marketplace Rules of The NASDAQ Stock Market, as well as requirements under Section 404 and other provisions of the Sarbanes-Oxley Act of 2002, or the Sarbanes-Oxley Act. We expect these rules and regulations to increase our legal and financial compliance costs, introduce new costs such as investor relations, stock exchange listing fees and shareholder reporting, and to make some activities more time consuming and costly. The implementation and testing of such processes and systems may require us to hire outside consultants and incur other significant costs. Any future changes in the laws and regulations affecting public companies in the United States and Israel, including Section 404 and other provisions of the Sarbanes-Oxley Act, the rules and regulations adopted by the SEC and the Marketplace Rules of The NASDAQ Stock Market, as well as applicable Israeli reporting requirements,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Furthermore, until such time as our shareholders may vote to approve our transition from Israeli securities law reporting requirements to U.S. requirements, we will also be required to comply fully with both Israeli and U.S. requirements. The need to comply with both U.S. and Israeli reporting and other securities law requirements will also add to our legal and financial compliance costs and require devotion of additional management resources to reporting and compliance efforts.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jc w:val="both"/>
        <w:ind w:left="60" w:right="1479" w:firstLine="257"/>
        <w:spacing w:after="0" w:line="265" w:lineRule="auto"/>
        <w:rPr>
          <w:sz w:val="20"/>
          <w:szCs w:val="20"/>
          <w:color w:val="auto"/>
        </w:rPr>
      </w:pPr>
      <w:r>
        <w:rPr>
          <w:rFonts w:ascii="Arial" w:cs="Arial" w:eastAsia="Arial" w:hAnsi="Arial"/>
          <w:sz w:val="17"/>
          <w:szCs w:val="17"/>
          <w:b w:val="1"/>
          <w:bCs w:val="1"/>
          <w:i w:val="1"/>
          <w:iCs w:val="1"/>
          <w:color w:val="auto"/>
        </w:rPr>
        <w:t>As a foreign private issuer, we are permitted to follow certain home country corporate governance practices instead of applicable SEC and NASDAQ requirements, which may result in less protection than is accorded to investors under rules applicable to domestic issuers.</w:t>
      </w:r>
    </w:p>
    <w:p>
      <w:pPr>
        <w:spacing w:after="0" w:line="73" w:lineRule="exact"/>
        <w:rPr>
          <w:sz w:val="20"/>
          <w:szCs w:val="20"/>
          <w:color w:val="auto"/>
        </w:rPr>
      </w:pPr>
    </w:p>
    <w:p>
      <w:pPr>
        <w:ind w:left="60" w:right="1019" w:firstLine="257"/>
        <w:spacing w:after="0" w:line="272" w:lineRule="auto"/>
        <w:rPr>
          <w:sz w:val="20"/>
          <w:szCs w:val="20"/>
          <w:color w:val="auto"/>
        </w:rPr>
      </w:pPr>
      <w:r>
        <w:rPr>
          <w:rFonts w:ascii="Arial" w:cs="Arial" w:eastAsia="Arial" w:hAnsi="Arial"/>
          <w:sz w:val="16"/>
          <w:szCs w:val="16"/>
          <w:color w:val="auto"/>
        </w:rPr>
        <w:t>As a foreign private issuer, we will be permitted to follow certain home country corporate governance practices instead of those otherwise required under the Marketplace Rules of The NASDAQ Stock Market for domestic issuers. For instance, we may follow home country practice in Israel with regard to, among other things, composition of the Board of Directors, director nomination procedure, approval of compensation of officers, and quorum at shareholders’ meetings. In addition, we will follow our home country law, instead of the Marketplace Rules of The NASDAQ Stock Market, which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of the stock or assets of another company. We will evaluate the extent to which we will avail ourselves of the exemptions available to foreign private issuers in connection with the actual listing of our ordinary shares for trading on The NASDAQ Capital Market. Following our home country governance practices as opposed to the requirements that would otherwise apply to a United States company listed on the NASDAQ Capital Market may provide less protection than is accorded to investors under the Marketplace Rules of The NASDAQ Stock Market applicable to domestic issuers.</w:t>
      </w:r>
    </w:p>
    <w:p>
      <w:pPr>
        <w:spacing w:after="0" w:line="68"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In addition, as a foreign private issuer, we will be exempt from the rules and regulations under the U.S. Securities Exchange Act of 1934, as amended, or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companies whose securities are registered under the Exchange Act.</w:t>
      </w:r>
    </w:p>
    <w:p>
      <w:pPr>
        <w:spacing w:after="0" w:line="82" w:lineRule="exact"/>
        <w:rPr>
          <w:sz w:val="20"/>
          <w:szCs w:val="20"/>
          <w:color w:val="auto"/>
        </w:rPr>
      </w:pPr>
    </w:p>
    <w:p>
      <w:pPr>
        <w:ind w:left="60" w:right="1379" w:firstLine="257"/>
        <w:spacing w:after="0" w:line="348" w:lineRule="auto"/>
        <w:rPr>
          <w:sz w:val="20"/>
          <w:szCs w:val="20"/>
          <w:color w:val="auto"/>
        </w:rPr>
      </w:pPr>
      <w:r>
        <w:rPr>
          <w:rFonts w:ascii="Arial" w:cs="Arial" w:eastAsia="Arial" w:hAnsi="Arial"/>
          <w:sz w:val="14"/>
          <w:szCs w:val="14"/>
          <w:b w:val="1"/>
          <w:bCs w:val="1"/>
          <w:i w:val="1"/>
          <w:iCs w:val="1"/>
          <w:color w:val="auto"/>
        </w:rPr>
        <w:t>If we are unable to satisfy the requirements of Section 404 of the Sarbanes-Oxley Act of 2002 as they apply to a foreign private issuer that is listing on a U.S. exchange for the first time, or our internal controls over financial reporting are not effective, the reliability of our financial statements may be questioned and our stock price and ADR price may suffer.</w:t>
      </w:r>
    </w:p>
    <w:p>
      <w:pPr>
        <w:spacing w:after="0" w:line="20" w:lineRule="exact"/>
        <w:rPr>
          <w:sz w:val="20"/>
          <w:szCs w:val="20"/>
          <w:color w:val="auto"/>
        </w:rPr>
      </w:pPr>
    </w:p>
    <w:p>
      <w:pPr>
        <w:ind w:left="60" w:right="1019" w:firstLine="257"/>
        <w:spacing w:after="0" w:line="296" w:lineRule="auto"/>
        <w:rPr>
          <w:sz w:val="20"/>
          <w:szCs w:val="20"/>
          <w:color w:val="auto"/>
        </w:rPr>
      </w:pPr>
      <w:r>
        <w:rPr>
          <w:rFonts w:ascii="Arial" w:cs="Arial" w:eastAsia="Arial" w:hAnsi="Arial"/>
          <w:sz w:val="15"/>
          <w:szCs w:val="15"/>
          <w:color w:val="auto"/>
        </w:rPr>
        <w:t>We will become subject to the requirements of the Sarbanes-Oxley Act once our ADRs are listed on the NASDAQ Capital Market. Section 404 of the Sarbanes-Oxley Act requires companies subject to the reporting requirements of the U.S. securities laws to do a comprehensive evaluation of its and its subsidiaries’ internal controls over financial reporting. To comply with this statute, we will be required to document and test our internal control procedures; our management will be required to assess and issue a report concerning our internal controls over financial reporting. In addition, our independent registered public accounting firm will be required to issue an opinion on management’s assessment of those matters, which will first be tested in connection with the filing of our second annual report on Form 20-F after this Registration Statement on 20-F is declared effective.</w:t>
      </w:r>
    </w:p>
    <w:p>
      <w:pPr>
        <w:spacing w:after="0" w:line="54"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We will need to prepare for compliance with Section 404 by strengthening, assessing and testing our system of internal controls to provide the basis for our report. However, the continuous process of strengthening our internal controls and complying with Section 404 is complicated and time-consuming. Furthermore, as our business continues to grow both domestically and internationally, our internal controls will become more complex and will require significantly more resources and attention to ensure our internal controls remain effective overall. During the course of its testing, our management may identify material weaknesses or significant deficiencies, which may not be remedied in a timely manner to meet the deadline imposed by the Sarbanes-Oxley Act. If our management cannot favorably assess the effectiveness of our internal controls over financial reporting, or our independent registered public accounting firm identifies material weaknesses in our internal controls, investor confidence in our financial results may weaken, and the market price of our securities may suffer.</w:t>
      </w: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Operations in Israel</w:t>
      </w:r>
    </w:p>
    <w:p>
      <w:pPr>
        <w:spacing w:after="0" w:line="119" w:lineRule="exact"/>
        <w:rPr>
          <w:sz w:val="20"/>
          <w:szCs w:val="20"/>
          <w:color w:val="auto"/>
        </w:rPr>
      </w:pPr>
    </w:p>
    <w:p>
      <w:pPr>
        <w:ind w:left="60" w:right="1119" w:firstLine="257"/>
        <w:spacing w:after="0" w:line="278" w:lineRule="auto"/>
        <w:rPr>
          <w:sz w:val="20"/>
          <w:szCs w:val="20"/>
          <w:color w:val="auto"/>
        </w:rPr>
      </w:pPr>
      <w:r>
        <w:rPr>
          <w:rFonts w:ascii="Arial" w:cs="Arial" w:eastAsia="Arial" w:hAnsi="Arial"/>
          <w:sz w:val="17"/>
          <w:szCs w:val="17"/>
          <w:b w:val="1"/>
          <w:bCs w:val="1"/>
          <w:i w:val="1"/>
          <w:iCs w:val="1"/>
          <w:color w:val="auto"/>
        </w:rPr>
        <w:t>We conduct our operations in Israel and therefore our results may be adversely affected by political, economic and military instability in Israel and its region.</w:t>
      </w:r>
    </w:p>
    <w:p>
      <w:pPr>
        <w:spacing w:after="0" w:line="62" w:lineRule="exact"/>
        <w:rPr>
          <w:sz w:val="20"/>
          <w:szCs w:val="20"/>
          <w:color w:val="auto"/>
        </w:rPr>
      </w:pPr>
    </w:p>
    <w:p>
      <w:pPr>
        <w:ind w:left="60" w:right="999" w:firstLine="257"/>
        <w:spacing w:after="0" w:line="289" w:lineRule="auto"/>
        <w:rPr>
          <w:sz w:val="20"/>
          <w:szCs w:val="20"/>
          <w:color w:val="auto"/>
        </w:rPr>
      </w:pPr>
      <w:r>
        <w:rPr>
          <w:rFonts w:ascii="Arial" w:cs="Arial" w:eastAsia="Arial" w:hAnsi="Arial"/>
          <w:sz w:val="15"/>
          <w:szCs w:val="15"/>
          <w:color w:val="auto"/>
        </w:rPr>
        <w:t>Our headquarters, all of our operations and some of our suppliers and third party contractors are located in central Israel and our key employees, officers and most of our directors are residents of Israel. Accordingly, political, economic and military conditions in Israel and the surrounding region may directly affect our business. Since the establishment of the State of Israel in 1948, a number of armed conflicts have taken place between Israel and its Arab neighbors. Any hostilities involving Israel or the interruption or curtailment of trade within Israel or between Israel and its trading partners could adversely affect our operations and results of operations and could make it more difficult for us to raise capital. During the winter of 2008, Israel was engaged in an armed conflict with Hamas, a militia group and political party operating in the Gaza Strip, and during the summer of 2006, Israel was engaged in an armed conflict with Hezbollah, a Lebanese Islamist Shiite militia group and political party. These conflicts involved missile strikes against civilian targets in various parts of Israel, and negatively affected business conditions in Israel. Recent political uprisings and social unrest in various countries in the Middle East and North Africa are affecting the political stability of those countries. This instability may lead to deterioration of the political relationships that exist between Israel and these countries, and have raised concerns regarding security in the region and the potential for armed conflict. Among other things, this instability may affect the global economy and marketplace through changes in oil and gas process. Any armed conflicts, terrorist activities or political instability in the region could adversely affect business conditions and could harm our results of operations. For example, any major escalation in hostilities in the region could result in a portion of our employees being called up to perform military duty for an extended period of time. Parties with whom we do business have sometimes declined to travel to Israel during periods of heightened unrest or tension, forcing us to make alternative arrangements when necessary. In addition, the political and security situation in Israel may result in parties with whom we have agreements involving performance in Israel claiming that they are not obligated to perform their commitments under those agreements pursuant to force majeure provisions in the agreements.</w:t>
      </w:r>
    </w:p>
    <w:p>
      <w:pPr>
        <w:spacing w:after="0" w:line="67" w:lineRule="exact"/>
        <w:rPr>
          <w:sz w:val="20"/>
          <w:szCs w:val="20"/>
          <w:color w:val="auto"/>
        </w:rPr>
      </w:pPr>
    </w:p>
    <w:p>
      <w:pPr>
        <w:ind w:left="60" w:right="1019" w:firstLine="257"/>
        <w:spacing w:after="0" w:line="279" w:lineRule="auto"/>
        <w:rPr>
          <w:sz w:val="20"/>
          <w:szCs w:val="20"/>
          <w:color w:val="auto"/>
        </w:rPr>
      </w:pPr>
      <w:r>
        <w:rPr>
          <w:rFonts w:ascii="Arial" w:cs="Arial" w:eastAsia="Arial" w:hAnsi="Arial"/>
          <w:sz w:val="16"/>
          <w:szCs w:val="16"/>
          <w:color w:val="auto"/>
        </w:rPr>
        <w:t>Our commercial insurance does not cover losses that may occur as a result of events associated with the security situation in the Middle East. Although the Israeli government currently covers the reinstatement value of direct damages that are caused by terrorist attacks or acts of war, we cannot assure you that this government coverage will be maintained.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63" w:lineRule="exact"/>
        <w:rPr>
          <w:sz w:val="20"/>
          <w:szCs w:val="20"/>
          <w:color w:val="auto"/>
        </w:rPr>
      </w:pPr>
    </w:p>
    <w:p>
      <w:pPr>
        <w:jc w:val="both"/>
        <w:ind w:left="60" w:right="1039" w:firstLine="257"/>
        <w:spacing w:after="0" w:line="265" w:lineRule="auto"/>
        <w:rPr>
          <w:sz w:val="20"/>
          <w:szCs w:val="20"/>
          <w:color w:val="auto"/>
        </w:rPr>
      </w:pPr>
      <w:r>
        <w:rPr>
          <w:rFonts w:ascii="Arial" w:cs="Arial" w:eastAsia="Arial" w:hAnsi="Arial"/>
          <w:sz w:val="17"/>
          <w:szCs w:val="17"/>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operations may be disrupted as a result of the obligation of management or key personnel to perform military service.</w:t>
      </w:r>
    </w:p>
    <w:p>
      <w:pPr>
        <w:spacing w:after="0" w:line="136" w:lineRule="exact"/>
        <w:rPr>
          <w:sz w:val="20"/>
          <w:szCs w:val="20"/>
          <w:color w:val="auto"/>
        </w:rPr>
      </w:pPr>
    </w:p>
    <w:p>
      <w:pPr>
        <w:ind w:left="60" w:right="999" w:firstLine="257"/>
        <w:spacing w:after="0" w:line="275" w:lineRule="auto"/>
        <w:rPr>
          <w:sz w:val="20"/>
          <w:szCs w:val="20"/>
          <w:color w:val="auto"/>
        </w:rPr>
      </w:pPr>
      <w:r>
        <w:rPr>
          <w:rFonts w:ascii="Arial" w:cs="Arial" w:eastAsia="Arial" w:hAnsi="Arial"/>
          <w:sz w:val="16"/>
          <w:szCs w:val="16"/>
          <w:color w:val="auto"/>
        </w:rPr>
        <w:t>Many of our male employees in Israel, including members of our senior management, are obligated to perform one month, and in some cases more, of annual military reserve duty until they reach the age of 45 (or older, for reservists with certain occupations) and, in the event of a military conflict, may be called to active duty. In response to increases in terrorist activity, there have been periods of significant call-ups of military reservists, and recently some of our employees have been called up in connection with armed conflicts. It is possible that there will be military reserve duty call-ups in the future. Our operations could be disrupted by the absence of a significant number of our employees or of one or more of our key employees. Such disruption could materially adversely affect our business, financial condition and results of operations.</w:t>
      </w:r>
    </w:p>
    <w:p>
      <w:pPr>
        <w:spacing w:after="0" w:line="200" w:lineRule="exact"/>
        <w:rPr>
          <w:sz w:val="20"/>
          <w:szCs w:val="20"/>
          <w:color w:val="auto"/>
        </w:rPr>
      </w:pPr>
    </w:p>
    <w:p>
      <w:pPr>
        <w:spacing w:after="0" w:line="30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319" w:firstLine="257"/>
        <w:spacing w:after="0" w:line="278" w:lineRule="auto"/>
        <w:rPr>
          <w:sz w:val="20"/>
          <w:szCs w:val="20"/>
          <w:color w:val="auto"/>
        </w:rPr>
      </w:pPr>
      <w:r>
        <w:rPr>
          <w:rFonts w:ascii="Arial" w:cs="Arial" w:eastAsia="Arial" w:hAnsi="Arial"/>
          <w:sz w:val="17"/>
          <w:szCs w:val="17"/>
          <w:b w:val="1"/>
          <w:bCs w:val="1"/>
          <w:i w:val="1"/>
          <w:iCs w:val="1"/>
          <w:color w:val="auto"/>
        </w:rPr>
        <w:t>Because a certain portion of our expenses is incurred in currencies other than the NIS, our results of operations may be harmed by currency fluctuations and inflation.</w:t>
      </w:r>
    </w:p>
    <w:p>
      <w:pPr>
        <w:spacing w:after="0" w:line="62"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Our reporting and functional currency is the NIS, and we pay a substantial portion of our expenses in NIS. The revenues from our arrangements with Ikaria and Cypress Bioscience are payable in U.S. dollars and we expect our revenues from future licensing arrangements to be denominated in U.S. dollars or in Euros. As a result, we are exposed to the currency fluctuation risks relating to the recording of our revenues in NIS. For example, if the NIS strengthens against either the U.S. dollar or the Euro, our reported revenues in NIS may be lower than anticipated. The Israeli rate of inflation has not offset or compounded the effects caused by fluctuations between the NIS and the U.S. dollar or the Euro. To date, we have not engaged in hedging transactions. Although the Israeli rate of inflation has not had a material adverse effect on our financial condition during 2008, 2009, or 2010 to date, we may, in the future, decide to enter into currency hedging transactions to decrease the risk of financial exposure from fluctuations in the exchange rates of the currencies mentioned above in relation to the NIS. These measures, however, may not adequately protect us from material adverse effects.</w:t>
      </w:r>
    </w:p>
    <w:p>
      <w:pPr>
        <w:spacing w:after="0" w:line="68" w:lineRule="exact"/>
        <w:rPr>
          <w:sz w:val="20"/>
          <w:szCs w:val="20"/>
          <w:color w:val="auto"/>
        </w:rPr>
      </w:pPr>
    </w:p>
    <w:p>
      <w:pPr>
        <w:ind w:left="60" w:right="1239" w:firstLine="257"/>
        <w:spacing w:after="0" w:line="259" w:lineRule="auto"/>
        <w:rPr>
          <w:sz w:val="20"/>
          <w:szCs w:val="20"/>
          <w:color w:val="auto"/>
        </w:rPr>
      </w:pPr>
      <w:r>
        <w:rPr>
          <w:rFonts w:ascii="Arial" w:cs="Arial" w:eastAsia="Arial" w:hAnsi="Arial"/>
          <w:sz w:val="17"/>
          <w:szCs w:val="17"/>
          <w:b w:val="1"/>
          <w:bCs w:val="1"/>
          <w:i w:val="1"/>
          <w:iCs w:val="1"/>
          <w:color w:val="auto"/>
        </w:rPr>
        <w:t>We have received Israeli government grants and loans for the operation of a biotechnology incubator and for certain research and development expenditures. The terms of these grants and loans may require us to satisfy specified conditions in order to manufacture products and transfer technologies outside of Israel. We may be required to pay penalties in addition to repayment of the grants and loans. Such grants and loans may be terminated or reduced in the future, which would increase our costs.</w:t>
      </w:r>
    </w:p>
    <w:p>
      <w:pPr>
        <w:spacing w:after="0" w:line="77" w:lineRule="exact"/>
        <w:rPr>
          <w:sz w:val="20"/>
          <w:szCs w:val="20"/>
          <w:color w:val="auto"/>
        </w:rPr>
      </w:pPr>
    </w:p>
    <w:p>
      <w:pPr>
        <w:ind w:left="60" w:right="999" w:firstLine="257"/>
        <w:spacing w:after="0" w:line="270" w:lineRule="auto"/>
        <w:rPr>
          <w:sz w:val="20"/>
          <w:szCs w:val="20"/>
          <w:color w:val="auto"/>
        </w:rPr>
      </w:pPr>
      <w:r>
        <w:rPr>
          <w:rFonts w:ascii="Arial" w:cs="Arial" w:eastAsia="Arial" w:hAnsi="Arial"/>
          <w:sz w:val="16"/>
          <w:szCs w:val="16"/>
          <w:color w:val="auto"/>
        </w:rPr>
        <w:t>Our research and development efforts, including the operation of our biotechnology incubator, have been financed, in part, through grants and loans that we have received from the OCS. Of our 14 current development projects, six have been funded by the OCS, either directly or through our incubator, including BL-1020, BL-1021, BL-1040, BL-4040, BL-5040 and BL-6010. Of the six projects funded by the OCS, five have been funded through our incubator. We therefore must comply with the requirements of the Israeli Law for the Encouragement of Industrial Research and Development, 1984, and related regulations, or the Research Law. As of May 31, 2011, we have received approximately $17.7 million in grants and loans from the OCS, including accrued interest, of which approximately $11.9 million was granted in the form of loans to our biotechnology incubator. Such amounts include loans equal to approximately $7.6 million for projects that have been terminated, which we do not expect that we will be required to repay. When know-how, technology or products are developed using OCS grants, the terms of these grants and the Research Law restrict the transfer of that know-how (as well as know-how that is derived from funded know-how) and the development or manufacture of those products out of Israel without the prior approval of the OCS. Therefore, the discretionary approval of an OCS committee will be required for any transfer to third parties of our therapeutic candidates developed with OCS funding, including through out-licensing arrangements pursuant to which we commercialize our product candidates. There is no assurance that we will receive the required approvals should we wish to transfer this technology or development out of Israel in the future. Furthermore, the OCS committee may impose certain conditions on any arrangement under which we transfer technology or development out of Israel. Transfers of know-how from OCS funded programs, including our biotechnology incubator, even if approved by the OCS, may be subject to restrictions set forth in the Research Law, and may include payments to the OCS, as described more fully under “Item 4. Information on the Company — Business Overview — Government Regulation and Funding — Israeli Government Programs — Office of the Chief Scientist.”</w:t>
      </w:r>
    </w:p>
    <w:p>
      <w:pPr>
        <w:spacing w:after="0" w:line="81"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The transfer abroad of the manufacturing of any OCS-supported product or technology is also subject to various conditions, including the payment of increased royalties equal to, in the aggregate, up to 300% of the total grant amounts received in connection with the product or technology, plus interest, depending on the portion of total manufacturing that is performed outside of Israel. Payment of the increased royalties would constitute the total repayment amount required with respect to the OCS grants received for the development of the products or technology for which the manufacturing is performed outside of Israel. In addition, any decrease in the percentage of manufacture performed in Israel of any product or technology, as originally declared in the application to the OCS with respect to the product or technology, may require us to notify, or to obtain the approval of, the OCS, and may result in increased royalty payments to the OCS of up to 300% of the total grant amounts received in connection with the product or technology, plus interest, depending on</w:t>
      </w: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59"/>
        <w:spacing w:after="0" w:line="265" w:lineRule="auto"/>
        <w:rPr>
          <w:sz w:val="20"/>
          <w:szCs w:val="20"/>
          <w:color w:val="auto"/>
        </w:rPr>
      </w:pPr>
      <w:r>
        <w:rPr>
          <w:rFonts w:ascii="Arial" w:cs="Arial" w:eastAsia="Arial" w:hAnsi="Arial"/>
          <w:sz w:val="17"/>
          <w:szCs w:val="17"/>
          <w:color w:val="auto"/>
        </w:rPr>
        <w:t>the portion of total manufacturing that is performed outside of Israel. These restrictions may impair our ability to sell our technology assets or to outsource or transfer development or manufacturing activities with respect to any product or technology. These restrictions continue to apply even after we have repaid any grants, in whole or in part.</w:t>
      </w:r>
    </w:p>
    <w:p>
      <w:pPr>
        <w:spacing w:after="0" w:line="73" w:lineRule="exact"/>
        <w:rPr>
          <w:sz w:val="20"/>
          <w:szCs w:val="20"/>
          <w:color w:val="auto"/>
        </w:rPr>
      </w:pPr>
    </w:p>
    <w:p>
      <w:pPr>
        <w:ind w:left="60" w:right="1079" w:firstLine="257"/>
        <w:spacing w:after="0" w:line="275" w:lineRule="auto"/>
        <w:rPr>
          <w:sz w:val="20"/>
          <w:szCs w:val="20"/>
          <w:color w:val="auto"/>
        </w:rPr>
      </w:pPr>
      <w:r>
        <w:rPr>
          <w:rFonts w:ascii="Arial" w:cs="Arial" w:eastAsia="Arial" w:hAnsi="Arial"/>
          <w:sz w:val="16"/>
          <w:szCs w:val="16"/>
          <w:color w:val="auto"/>
        </w:rPr>
        <w:t>We cannot be certain that any approval of the OCS will be obtained on terms that are acceptable to us, or at all. Furthermore, if we undertake a transaction involving the transfer to a non-Israeli entity of technology developed with OCS funding pursuant to a merger or similar transaction, the consideration available to our shareholders may be reduced by the amounts we are required to pay to the OCS. If we fail to comply with the conditions imposed by the OCS, including the payment of royalties with respect to grants received, we may be required to refund any payments previously received, together with interest and penalties, and may be subject to criminal penalties. See Item 4 Information on the Company — Business Overview — Government Regulation and Funding — Israeli Government Programs.”</w:t>
      </w:r>
    </w:p>
    <w:p>
      <w:pPr>
        <w:spacing w:after="0" w:line="68" w:lineRule="exact"/>
        <w:rPr>
          <w:sz w:val="20"/>
          <w:szCs w:val="20"/>
          <w:color w:val="auto"/>
        </w:rPr>
      </w:pPr>
    </w:p>
    <w:p>
      <w:pPr>
        <w:ind w:left="60" w:right="1239" w:firstLine="257"/>
        <w:spacing w:after="0" w:line="383" w:lineRule="auto"/>
        <w:rPr>
          <w:sz w:val="20"/>
          <w:szCs w:val="20"/>
          <w:color w:val="auto"/>
        </w:rPr>
      </w:pPr>
      <w:r>
        <w:rPr>
          <w:rFonts w:ascii="Arial" w:cs="Arial" w:eastAsia="Arial" w:hAnsi="Arial"/>
          <w:sz w:val="14"/>
          <w:szCs w:val="14"/>
          <w:b w:val="1"/>
          <w:bCs w:val="1"/>
          <w:i w:val="1"/>
          <w:iCs w:val="1"/>
          <w:color w:val="auto"/>
        </w:rPr>
        <w:t>Provisions of Israeli law may delay, prevent or otherwise impede a merger with, or an acquisition of, our company, which could prevent a change of control, even when the terms of such a transaction are favorable to us and our shareholders.</w:t>
      </w:r>
    </w:p>
    <w:p>
      <w:pPr>
        <w:spacing w:after="0" w:line="1" w:lineRule="exact"/>
        <w:rPr>
          <w:sz w:val="20"/>
          <w:szCs w:val="20"/>
          <w:color w:val="auto"/>
        </w:rPr>
      </w:pPr>
    </w:p>
    <w:p>
      <w:pPr>
        <w:ind w:left="60" w:right="1019" w:firstLine="257"/>
        <w:spacing w:after="0" w:line="291" w:lineRule="auto"/>
        <w:rPr>
          <w:sz w:val="20"/>
          <w:szCs w:val="20"/>
          <w:color w:val="auto"/>
        </w:rPr>
      </w:pPr>
      <w:r>
        <w:rPr>
          <w:rFonts w:ascii="Arial" w:cs="Arial" w:eastAsia="Arial" w:hAnsi="Arial"/>
          <w:sz w:val="15"/>
          <w:szCs w:val="15"/>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a merger may not be consummated unless at least 50 days have passed from the date that a merger proposal was filed by each merging company with the Israel Registrar of Companies and at least 30 days from the date that the shareholders of both merging companies approved the merger. In addition, a majority of each class of securities of the target company must approve a merger. Moreover, a full tender offer can only be completed if the acquirer receives at least 95% of the issued share capital (provided that, pursuant to an amendment to the Israeli Companies Law, effective as of May 15, 2011, a majority of the offerees that do not have a personal interest in such tender offer shall have approved the tender offer except that if the total votes to reject the tender offer represent less than 2% of the company’s issued and outstanding share capital, in the aggregate, approval by a majority of the offerees that do not have a personal interest in such tender offer is not required to complete the tender offer), and the shareholders, including those who indicated their acceptance of the tender offer, may, at any time within six months following the completion of the tender offer, petition the court to alter the consideration for the acquisition (unless the acquirer stipulated in the tender offer that a shareholder that accepts the offer may not seek appraisal rights).</w:t>
      </w:r>
    </w:p>
    <w:p>
      <w:pPr>
        <w:spacing w:after="0" w:line="60" w:lineRule="exact"/>
        <w:rPr>
          <w:sz w:val="20"/>
          <w:szCs w:val="20"/>
          <w:color w:val="auto"/>
        </w:rPr>
      </w:pPr>
    </w:p>
    <w:p>
      <w:pPr>
        <w:ind w:left="60" w:right="1019" w:firstLine="257"/>
        <w:spacing w:after="0" w:line="275"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w:t>
      </w:r>
    </w:p>
    <w:p>
      <w:pPr>
        <w:spacing w:after="0" w:line="68" w:lineRule="exact"/>
        <w:rPr>
          <w:sz w:val="20"/>
          <w:szCs w:val="20"/>
          <w:color w:val="auto"/>
        </w:rPr>
      </w:pPr>
    </w:p>
    <w:p>
      <w:pPr>
        <w:ind w:left="60" w:right="1279" w:firstLine="257"/>
        <w:spacing w:after="0" w:line="265" w:lineRule="auto"/>
        <w:rPr>
          <w:sz w:val="20"/>
          <w:szCs w:val="20"/>
          <w:color w:val="auto"/>
        </w:rPr>
      </w:pPr>
      <w:r>
        <w:rPr>
          <w:rFonts w:ascii="Arial" w:cs="Arial" w:eastAsia="Arial" w:hAnsi="Arial"/>
          <w:sz w:val="17"/>
          <w:szCs w:val="17"/>
          <w:color w:val="auto"/>
        </w:rPr>
        <w:t>These and other similar provisions could delay, prevent or impede an acquisition of us or our merger with another company, even if such an acquisition or merger would be beneficial to us or to our shareholders. See “Item 10. Additional Information — Memorandum and Articles of Association.”</w:t>
      </w:r>
    </w:p>
    <w:p>
      <w:pPr>
        <w:spacing w:after="0" w:line="73" w:lineRule="exact"/>
        <w:rPr>
          <w:sz w:val="20"/>
          <w:szCs w:val="20"/>
          <w:color w:val="auto"/>
        </w:rPr>
      </w:pPr>
    </w:p>
    <w:p>
      <w:pPr>
        <w:ind w:left="60" w:right="1119" w:firstLine="257"/>
        <w:spacing w:after="0" w:line="290" w:lineRule="auto"/>
        <w:rPr>
          <w:sz w:val="20"/>
          <w:szCs w:val="20"/>
          <w:color w:val="auto"/>
        </w:rPr>
      </w:pPr>
      <w:r>
        <w:rPr>
          <w:rFonts w:ascii="Arial" w:cs="Arial" w:eastAsia="Arial" w:hAnsi="Arial"/>
          <w:sz w:val="15"/>
          <w:szCs w:val="15"/>
          <w:color w:val="auto"/>
        </w:rPr>
        <w:t>We have received Israeli government grants and loans for the operation of a biotechnology incubator and for certain research and development expenditures. The terms of these grants and loans may require us to satisfy specified conditions in order to manufacture products and transfer technologies outside of Israel. We may be required to pay penalties in addition to repayment of the grants and loans. Such grants and loans may be terminated or reduced in the future, which would increase our costs. See “Item</w:t>
      </w:r>
    </w:p>
    <w:p>
      <w:pPr>
        <w:spacing w:after="0" w:line="1" w:lineRule="exact"/>
        <w:rPr>
          <w:sz w:val="20"/>
          <w:szCs w:val="20"/>
          <w:color w:val="auto"/>
        </w:rPr>
      </w:pPr>
    </w:p>
    <w:p>
      <w:pPr>
        <w:jc w:val="center"/>
        <w:ind w:left="4360" w:right="1079" w:hanging="4306"/>
        <w:spacing w:after="0" w:line="912" w:lineRule="auto"/>
        <w:tabs>
          <w:tab w:leader="none" w:pos="2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Information on the Company — Business Overview — Government Regulation and Funding — Israeli Government Programs.”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-260350</wp:posOffset>
            </wp:positionV>
            <wp:extent cx="5824855" cy="57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firstLine="257"/>
        <w:spacing w:after="0" w:line="278" w:lineRule="auto"/>
        <w:rPr>
          <w:sz w:val="20"/>
          <w:szCs w:val="20"/>
          <w:color w:val="auto"/>
        </w:rPr>
      </w:pPr>
      <w:r>
        <w:rPr>
          <w:rFonts w:ascii="Arial" w:cs="Arial" w:eastAsia="Arial" w:hAnsi="Arial"/>
          <w:sz w:val="17"/>
          <w:szCs w:val="17"/>
          <w:b w:val="1"/>
          <w:bCs w:val="1"/>
          <w:i w:val="1"/>
          <w:iCs w:val="1"/>
          <w:color w:val="auto"/>
        </w:rPr>
        <w:t>It may be difficult to enforce a U.S. judgment against us and our officers and directors named in this prospectus in Israel or the United States, or to serve process on our officers and directors.</w:t>
      </w:r>
    </w:p>
    <w:p>
      <w:pPr>
        <w:spacing w:after="0" w:line="62" w:lineRule="exact"/>
        <w:rPr>
          <w:sz w:val="20"/>
          <w:szCs w:val="20"/>
          <w:color w:val="auto"/>
        </w:rPr>
      </w:pPr>
    </w:p>
    <w:p>
      <w:pPr>
        <w:ind w:left="60" w:right="999" w:firstLine="257"/>
        <w:spacing w:after="0" w:line="298" w:lineRule="auto"/>
        <w:rPr>
          <w:sz w:val="20"/>
          <w:szCs w:val="20"/>
          <w:color w:val="auto"/>
        </w:rPr>
      </w:pPr>
      <w:r>
        <w:rPr>
          <w:rFonts w:ascii="Arial" w:cs="Arial" w:eastAsia="Arial" w:hAnsi="Arial"/>
          <w:sz w:val="15"/>
          <w:szCs w:val="15"/>
          <w:color w:val="auto"/>
        </w:rPr>
        <w:t>We are incorporated in Israel. Most of our executive officers and all of our directors listed in this registration statement on Form 20-F reside outside of the United States, and all of our assets and most of the assets of our executive officers and directors are located outside of the United States. Therefore, a judgment obtained against us or most of our executive officers and all of our directors in the United States, including one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w:t>
      </w:r>
    </w:p>
    <w:p>
      <w:pPr>
        <w:spacing w:after="0" w:line="53" w:lineRule="exact"/>
        <w:rPr>
          <w:sz w:val="20"/>
          <w:szCs w:val="20"/>
          <w:color w:val="auto"/>
        </w:rPr>
      </w:pPr>
    </w:p>
    <w:p>
      <w:pPr>
        <w:ind w:left="60" w:right="1099" w:firstLine="257"/>
        <w:spacing w:after="0" w:line="27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may differ in some respects from the rights and responsibilities of shareholders of U.S. companies.</w:t>
      </w:r>
    </w:p>
    <w:p>
      <w:pPr>
        <w:spacing w:after="0" w:line="62"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We are incorporated under Israeli law. The rights and responsibilities of the holders of our ordinary shares are governed by our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4. INFORMATION ON THE COMPANY</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History and Development of the Company</w:t>
      </w:r>
    </w:p>
    <w:p>
      <w:pPr>
        <w:spacing w:after="0" w:line="119"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Our legal and commercial name is BioLineRx Ltd. We are a company limited by shares organized under the laws of the State of Israel. Our principal executive offices are located at 19 Hartum Street, Jerusalem 91450, Israel, and our telephone number is +972 (2) 548-9100.</w:t>
      </w:r>
    </w:p>
    <w:p>
      <w:pPr>
        <w:spacing w:after="0" w:line="73" w:lineRule="exact"/>
        <w:rPr>
          <w:sz w:val="20"/>
          <w:szCs w:val="20"/>
          <w:color w:val="auto"/>
        </w:rPr>
      </w:pPr>
    </w:p>
    <w:p>
      <w:pPr>
        <w:ind w:left="60" w:right="1199" w:firstLine="257"/>
        <w:spacing w:after="0" w:line="265" w:lineRule="auto"/>
        <w:rPr>
          <w:sz w:val="20"/>
          <w:szCs w:val="20"/>
          <w:color w:val="auto"/>
        </w:rPr>
      </w:pPr>
      <w:r>
        <w:rPr>
          <w:rFonts w:ascii="Arial" w:cs="Arial" w:eastAsia="Arial" w:hAnsi="Arial"/>
          <w:sz w:val="17"/>
          <w:szCs w:val="17"/>
          <w:color w:val="auto"/>
        </w:rPr>
        <w:t>We were founded in 2003 by leading institutions in the Israeli life sciences industry, including Teva Pharmaceuticals. We completed our initial public offering in Israel in February 2007 and our ordinary shares are traded on the TASE under the symbol “BLRX.”</w:t>
      </w:r>
    </w:p>
    <w:p>
      <w:pPr>
        <w:spacing w:after="0" w:line="73" w:lineRule="exact"/>
        <w:rPr>
          <w:sz w:val="20"/>
          <w:szCs w:val="20"/>
          <w:color w:val="auto"/>
        </w:rPr>
      </w:pPr>
    </w:p>
    <w:p>
      <w:pPr>
        <w:ind w:left="60" w:right="1459" w:firstLine="257"/>
        <w:spacing w:after="0" w:line="265" w:lineRule="auto"/>
        <w:rPr>
          <w:sz w:val="20"/>
          <w:szCs w:val="20"/>
          <w:color w:val="auto"/>
        </w:rPr>
      </w:pPr>
      <w:r>
        <w:rPr>
          <w:rFonts w:ascii="Arial" w:cs="Arial" w:eastAsia="Arial" w:hAnsi="Arial"/>
          <w:sz w:val="17"/>
          <w:szCs w:val="17"/>
          <w:color w:val="auto"/>
        </w:rPr>
        <w:t>Our capital expenditures in for the years ended December 31, 2010, 2009 and 2008 of $0.6 million, $0.7 million and $0.9 million, respectively. Our current capital expenditures involve acquisitions of laboratory equipment, computers and communications equipment.</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Business Overview</w:t>
      </w:r>
    </w:p>
    <w:p>
      <w:pPr>
        <w:spacing w:after="0" w:line="119"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color w:val="auto"/>
        </w:rPr>
        <w:t>We are a clinical stage biopharmaceutical development company dedicated to identifying, in-licensing and developing therapeutic candidates that have advantages over currently available therapies or that address unmet medical needs. Our current development pipeline consists of five clinical stage therapeutic candidates: BL-1020, a new chemical entity, or NCE, that we believe may be the first antipsychotic therapeutic to improve cognitive function in schizophrenia patients; BL-1021, a new chemical entity in development for the treatment of neuropathic pain, or pain that results from damage to nerve fibers; BL-1040, a novel polymer solution for use in the prevention of cardiac remodeling following an acute myocardial infarction, or AMI; BL-5010, a novel formulation for the non-surgical removal of skin lesions; and BL-7040, an oligonucleotide for the treatment of IBD. In addition, we have nine therapeutic candidates in the preclinical stages of development. We generate our pipeline by systematically identifying, rigorously validating and in-licensing therapeutic candidates that we believe exhibit a relatively high probability of therapeutic and commercial success. None of our therapeutic candidates have been approved for marketing and, to date, there have been no commercial sales of any of our therapeutic candidates. Our strategy includes commercializing our therapeutic candidates through out-licensing arrangements with biotechnology and pharmaceutical companies. We also evaluate, on a case by case basis, co-development and similar arrangements and the commercialization of our therapeutic candidates independently.</w:t>
      </w:r>
    </w:p>
    <w:p>
      <w:pPr>
        <w:spacing w:after="0" w:line="60"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color w:val="auto"/>
        </w:rPr>
        <w:t>Our most advanced therapeutic candidate, BL-1020, is in development for schizophrenia, a chronic, severe and disabling brain disorder that affects approximately 1.0% of the U.S. adult population as reported by the National Institute of Mental Health. Schizophrenia patients are typically treated with one of several commercially available antipsychotics, all of which are associated with side effects that reduce patient compliance and do not address the deterioration of cognitive function that affects the daily lives of schizophrenia patients. Despite these drawbacks, the three most commonly used antipsychotics, Risperdal, Zyprexa and Seroquel, reached aggregate sales of approximately $11.8 billion in the United States in 2010, based on the annual reports filed with the SEC or otherwise made publicly available by each of Johnson &amp; Johnson, Eli Lilly and Company and AstraZeneca Pharmaceuticals LP, the companies that market those drugs.</w:t>
      </w:r>
    </w:p>
    <w:p>
      <w:pPr>
        <w:spacing w:after="0" w:line="69"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BL-1020 is a new chemical entity that effectively reduces psychotic symptoms which we believe may also improve cognition. BL-1020 targets the imbalance of two key neurotransmitters implicated in schizophrenia, dopamine and gamma aminobutyric acid, or GABA. We believe that the reduction in psychotic symptoms is attributed to BL-1020’s dopamine antagonism and that BL-1020 may also improve cognition.</w:t>
      </w:r>
    </w:p>
    <w:p>
      <w:pPr>
        <w:spacing w:after="0" w:line="76" w:lineRule="exact"/>
        <w:rPr>
          <w:sz w:val="20"/>
          <w:szCs w:val="20"/>
          <w:color w:val="auto"/>
        </w:rPr>
      </w:pPr>
    </w:p>
    <w:p>
      <w:pPr>
        <w:ind w:left="60" w:right="1059" w:firstLine="257"/>
        <w:spacing w:after="0" w:line="274" w:lineRule="auto"/>
        <w:rPr>
          <w:sz w:val="20"/>
          <w:szCs w:val="20"/>
          <w:color w:val="auto"/>
        </w:rPr>
      </w:pPr>
      <w:r>
        <w:rPr>
          <w:rFonts w:ascii="Arial" w:cs="Arial" w:eastAsia="Arial" w:hAnsi="Arial"/>
          <w:sz w:val="16"/>
          <w:szCs w:val="16"/>
          <w:color w:val="auto"/>
        </w:rPr>
        <w:t>In our 363-patient phase 2b EAGLE (Effective Anti-psychosis via GABA Level Enhancement) study which was completed in July 2009, BL-1020 matched the antipsychotic efficacy of Risperdal, one of the leading approved antipsychotics, without evidence of the metabolic side effects associated with the use of atypical antipsychotics. Most significantly, BL-1020 demonstrated a clinically relevant and statistically significant improvement in cognition. Currently, there is no commercially available antipsychotic that improves cognitive function and this remains an important unmet medical need in the treatment of schizophrenia and other psychiatric and neurological diseases. In June 2011, we commenced a CLARITY clinical trial with respect to BL-1020. The CLARITY trial is designed to be a randomized, double-blind, placebo controlled trial to examine both acute (6 weeks) and long-term (24 weeks) antipsychotic and cognitive</w:t>
      </w:r>
    </w:p>
    <w:p>
      <w:pPr>
        <w:spacing w:after="0" w:line="200" w:lineRule="exact"/>
        <w:rPr>
          <w:sz w:val="20"/>
          <w:szCs w:val="20"/>
          <w:color w:val="auto"/>
        </w:rPr>
      </w:pPr>
    </w:p>
    <w:p>
      <w:pPr>
        <w:spacing w:after="0" w:line="29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spacing w:after="0" w:line="317" w:lineRule="auto"/>
        <w:rPr>
          <w:sz w:val="20"/>
          <w:szCs w:val="20"/>
          <w:color w:val="auto"/>
        </w:rPr>
      </w:pPr>
      <w:r>
        <w:rPr>
          <w:rFonts w:ascii="Arial" w:cs="Arial" w:eastAsia="Arial" w:hAnsi="Arial"/>
          <w:sz w:val="15"/>
          <w:szCs w:val="15"/>
          <w:color w:val="auto"/>
        </w:rPr>
        <w:t>efficacy, safety and tolerability of BL-1020 on patients with acute schizophrenia. In May 2011, we received approval to commence the CLARITY trial in 15 trial sites in Romania. The initiation of the trial in Romania took place on May 25, 2011 and the first patient was treated on June 27, 2011. We also anticipate authorization to perform the trial in 19 additional clinical sites in India.</w:t>
      </w:r>
    </w:p>
    <w:p>
      <w:pPr>
        <w:spacing w:after="0" w:line="37" w:lineRule="exact"/>
        <w:rPr>
          <w:sz w:val="20"/>
          <w:szCs w:val="20"/>
          <w:color w:val="auto"/>
        </w:rPr>
      </w:pPr>
    </w:p>
    <w:p>
      <w:pPr>
        <w:ind w:left="60" w:right="1059" w:firstLine="257"/>
        <w:spacing w:after="0" w:line="296" w:lineRule="auto"/>
        <w:rPr>
          <w:sz w:val="20"/>
          <w:szCs w:val="20"/>
          <w:color w:val="auto"/>
        </w:rPr>
      </w:pPr>
      <w:r>
        <w:rPr>
          <w:rFonts w:ascii="Arial" w:cs="Arial" w:eastAsia="Arial" w:hAnsi="Arial"/>
          <w:sz w:val="15"/>
          <w:szCs w:val="15"/>
          <w:color w:val="auto"/>
        </w:rPr>
        <w:t>In June 2010, we entered into an exclusive, royalty-bearing out-licensing arrangement with Cypress Bioscience with regard to BL-1020, covering the United States, Canada and Mexico, which became effective in August 2010. We received an upfront fee of $30.0 million from Cypress Bioscience upon the effectiveness of the agreement. We are obligated to pay to Bar Ilan Research and Development and Ramot, collectively, a royalty payment equal to 22.5% of the net consideration we receive from the out-licensing of BL-1020. We paid Bar Ilan Research and Development and Ramot $6.75 million, in the aggregate, from the $30.0 million upfront fee. We also paid the OCS $3.0 million as partial repayment of grants previously received for the BL-1020 development program. See “Item 4. Information on the Company — Business Overview — In-Licensing Agreements — BL-1020.”</w:t>
      </w:r>
    </w:p>
    <w:p>
      <w:pPr>
        <w:spacing w:after="0" w:line="54" w:lineRule="exact"/>
        <w:rPr>
          <w:sz w:val="20"/>
          <w:szCs w:val="20"/>
          <w:color w:val="auto"/>
        </w:rPr>
      </w:pPr>
    </w:p>
    <w:p>
      <w:pPr>
        <w:ind w:left="60" w:right="1039" w:firstLine="257"/>
        <w:spacing w:after="0" w:line="290" w:lineRule="auto"/>
        <w:rPr>
          <w:sz w:val="20"/>
          <w:szCs w:val="20"/>
          <w:color w:val="auto"/>
        </w:rPr>
      </w:pPr>
      <w:r>
        <w:rPr>
          <w:rFonts w:ascii="Arial" w:cs="Arial" w:eastAsia="Arial" w:hAnsi="Arial"/>
          <w:sz w:val="15"/>
          <w:szCs w:val="15"/>
          <w:color w:val="auto"/>
        </w:rPr>
        <w:t>In January 2011, Royalty Pharma acquired Cypress Bioscience. After the acquisition, we had a number of discussions with Cypress Bioscience and Royalty Pharma and they indicated to us that as a result of a change in their strategy, they believed it was in the best interest of BL-1020’s future commercial potential to consolidate the worldwide rights with our company. Cypress Bioscience expressed its desire that development of BL-1020 continue in a manner that both optimized Cypress Bioscience’s investment in BL-1020 and provided the best long-term commercialization potential. We believe that reacquiring BL-1020 was the best alternative at that time to ensure the timely development of BL-1020 and represents a significant opportunity for our company. Accordingly, on May 10, 2011, we entered into a rights reacquisition agreement with Cypress Bioscience. Under the terms and conditions of the rights reacquisition agreement, the out-license agreement terminates effective as of May 31, 2011, and we will reacquire all of the rights to develop and commercialize BL-1020. In consideration for the reacquisition of the rights, we agreed to pay Cypress Bioscience a royalty equal to 1% of the future net sales of BL-1020, if any, by us, our affiliates or our sublicensees. Notwithstanding the foregoing, the aggregate royalty payment shall not exceed $80.0 million. In addition, we agreed to pay Cypress Bioscience $10.0 million payable solely from amounts we receive, if any, pursuant to future agreements relating to the further development or commercialization of a product containing BL-1020, either alone or with other therapeutically active ingredients. In connection with the payment, we are required to pay Cypress Bioscience 10% of all payments under any such agreement but in any event, not more than $10.0 million. If any such agreement requires that we incur the costs of certain proposed clinical trials of BL-1020, the payment schedule will be subject to certain deferrals. We have no other outstanding material obligations to Cypress Bioscience under the original out-license agreement, other than standard indemnification obligations.</w:t>
      </w:r>
    </w:p>
    <w:p>
      <w:pPr>
        <w:spacing w:after="0" w:line="58" w:lineRule="exact"/>
        <w:rPr>
          <w:sz w:val="20"/>
          <w:szCs w:val="20"/>
          <w:color w:val="auto"/>
        </w:rPr>
      </w:pPr>
    </w:p>
    <w:p>
      <w:pPr>
        <w:ind w:left="60" w:right="1119" w:firstLine="257"/>
        <w:spacing w:after="0" w:line="273" w:lineRule="auto"/>
        <w:rPr>
          <w:sz w:val="20"/>
          <w:szCs w:val="20"/>
          <w:color w:val="auto"/>
        </w:rPr>
      </w:pPr>
      <w:r>
        <w:rPr>
          <w:rFonts w:ascii="Arial" w:cs="Arial" w:eastAsia="Arial" w:hAnsi="Arial"/>
          <w:sz w:val="16"/>
          <w:szCs w:val="16"/>
          <w:color w:val="auto"/>
        </w:rPr>
        <w:t>Our second lead therapeutic candidate, BL-1040, is a novel resorbable polymer solution for use in the prevention of cardiac remodeling in patients who suffered an AMI. Preventing cardiac remodeling following an AMI may prevent transition to congestive heart failure and/or improve patient survival over the long term. Following an AMI, BL-1040 is administered via intracoronary injection. Upon contact with damaged cardiac tissue, the liquid BL-1040 transitions into a gel within the infarcted cardiac tissue and forms a “scaffold” that supports, retains the shape of, and enhances the mechanical strength of the heart muscle during the recovery and repair phases following an AMI. The data from our preclinical trials indicate that, by supporting the damaged heart tissue, BL-1040 preserves the normal functioning of the heart and the data from our clinical trials indicate that BL-1040 should be safe. After consultation by Ikaria with the FDA and other comparable regulatory agencies, BL-1040 is being developed as a class III medical device under the FDA’s pre-marketing approval, or PMA, regulatory pathway.</w:t>
      </w:r>
    </w:p>
    <w:p>
      <w:pPr>
        <w:spacing w:after="0" w:line="72" w:lineRule="exact"/>
        <w:rPr>
          <w:sz w:val="20"/>
          <w:szCs w:val="20"/>
          <w:color w:val="auto"/>
        </w:rPr>
      </w:pPr>
    </w:p>
    <w:p>
      <w:pPr>
        <w:ind w:left="60" w:right="1159" w:firstLine="257"/>
        <w:spacing w:after="0" w:line="298" w:lineRule="auto"/>
        <w:rPr>
          <w:sz w:val="20"/>
          <w:szCs w:val="20"/>
          <w:color w:val="auto"/>
        </w:rPr>
      </w:pPr>
      <w:r>
        <w:rPr>
          <w:rFonts w:ascii="Arial" w:cs="Arial" w:eastAsia="Arial" w:hAnsi="Arial"/>
          <w:sz w:val="15"/>
          <w:szCs w:val="15"/>
          <w:color w:val="auto"/>
        </w:rPr>
        <w:t>In July 2009, we entered into an out-licensing arrangement with Ikaria with regard to BL-1040. The July 2009 agreement was amended and restated in August 2009, and, under the arrangement, Ikaria is obligated to use commercially reasonable efforts to complete clinical development of, and to commercialize, BL-1040 or a product related thereto. To date, we have received $17.0 million from Ikaria, which was subject to U.S. withholding tax of approximately $1.5 million, and we are entitled to receive up to an additional $265.5 million from Ikaria upon achievement of certain development, regulatory, and commercial milestones. In addition, we are entitled to receive from Ikaria royalties from net sales of any product developed under the</w:t>
      </w:r>
    </w:p>
    <w:p>
      <w:pPr>
        <w:spacing w:after="0" w:line="200" w:lineRule="exact"/>
        <w:rPr>
          <w:sz w:val="20"/>
          <w:szCs w:val="20"/>
          <w:color w:val="auto"/>
        </w:rPr>
      </w:pPr>
    </w:p>
    <w:p>
      <w:pPr>
        <w:spacing w:after="0" w:line="27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19"/>
        <w:spacing w:after="0" w:line="298" w:lineRule="auto"/>
        <w:rPr>
          <w:sz w:val="20"/>
          <w:szCs w:val="20"/>
          <w:color w:val="auto"/>
        </w:rPr>
      </w:pPr>
      <w:r>
        <w:rPr>
          <w:rFonts w:ascii="Arial" w:cs="Arial" w:eastAsia="Arial" w:hAnsi="Arial"/>
          <w:sz w:val="15"/>
          <w:szCs w:val="15"/>
          <w:color w:val="auto"/>
        </w:rPr>
        <w:t>arrangement. We are obligated to pay 28% of all net consideration received under this arrangement to B.G. Negev Technologies, the party from which we in-licensed BL-1020 in 2004. See “Item 4. Information on the Company — Business Overview — In-Licensing Agreements — BL-1040.”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 We have also agreed to indemnify Ramot and certain of its related parties in connection with our use of the technology we in-licensed from B.G. Negev Technologies.</w:t>
      </w:r>
    </w:p>
    <w:p>
      <w:pPr>
        <w:spacing w:after="0" w:line="53" w:lineRule="exact"/>
        <w:rPr>
          <w:sz w:val="20"/>
          <w:szCs w:val="20"/>
          <w:color w:val="auto"/>
        </w:rPr>
      </w:pPr>
    </w:p>
    <w:p>
      <w:pPr>
        <w:ind w:left="60" w:right="1099" w:firstLine="257"/>
        <w:spacing w:after="0" w:line="290" w:lineRule="auto"/>
        <w:rPr>
          <w:sz w:val="20"/>
          <w:szCs w:val="20"/>
          <w:color w:val="auto"/>
        </w:rPr>
      </w:pPr>
      <w:r>
        <w:rPr>
          <w:rFonts w:ascii="Arial" w:cs="Arial" w:eastAsia="Arial" w:hAnsi="Arial"/>
          <w:sz w:val="15"/>
          <w:szCs w:val="15"/>
          <w:color w:val="auto"/>
        </w:rPr>
        <w:t>Our third lead therapeutic candidate, BL 5010, is a novel formulation composed of two acids being developed for the removal of skin lesions in a nonsurgical manner. These two acids have already been approved for use in cosmetics. If approved, BL-5010 would be a convenient alternative to invasive, painful and expensive removal treatments for skin lesions and may allow for histological examination. Because treatment with BL-5010 is non-invasive, we believe BL-5010 poses minimal infection risk, and requires no anesthesia or bandaging. In June 2009, we announced the initiation of a phase 1/2 clinical trial in 60 patients with seborrheic keratosis in Germany and the Netherlands to assess the safety and efficacy of BL-5010 in completely removing the lesion and to assess the cosmetic outcome of the novel treatment. In addition, the study was designed to assess the feasibility of preserving the cellular structure of skin lesions for subsequent histological exams. The study was completed in September 2010, and positive results were announced in December 2010. The results of the trial show that for 96.7% of patients, the treated lesion fell off within 30 days of a single application of BL-5010. The results also showed that BL-5010 has a good safety profile, as no persistent irreversible adverse effects were observed at the treated site. In addition, most of the investigators and patients who participated in the trial reported that they were very satisfied with the cosmetic outcome of the treatment (94.6% of the investigators and 84% of the patients stated that the results were good or excellent 180 days following treatment). None of the patients reported moderate or severe drug-related adverse events. Mild adverse events reported included skin and subcutaneous tissue disorders (n=5, 8.3%) and general and administration site disorders (n=2, 3.3%). Pruritus was the only drug-related adverse event reported by more than two patients (n=4, 6.7%). In addition, histological examination of treated lesions indicate BL-5010’s efficacy in preserving the cellular structure of treated lesions.</w:t>
      </w:r>
    </w:p>
    <w:p>
      <w:pPr>
        <w:spacing w:after="0" w:line="267" w:lineRule="exact"/>
        <w:rPr>
          <w:sz w:val="20"/>
          <w:szCs w:val="20"/>
          <w:color w:val="auto"/>
        </w:rPr>
      </w:pPr>
    </w:p>
    <w:p>
      <w:pPr>
        <w:ind w:left="60" w:right="1079" w:firstLine="257"/>
        <w:spacing w:after="0" w:line="273" w:lineRule="auto"/>
        <w:rPr>
          <w:sz w:val="20"/>
          <w:szCs w:val="20"/>
          <w:color w:val="auto"/>
        </w:rPr>
      </w:pPr>
      <w:r>
        <w:rPr>
          <w:rFonts w:ascii="Arial" w:cs="Arial" w:eastAsia="Arial" w:hAnsi="Arial"/>
          <w:sz w:val="16"/>
          <w:szCs w:val="16"/>
          <w:color w:val="auto"/>
        </w:rPr>
        <w:t>Our fourth lead therapeutic candidate, BL-1021, is a new chemical entity in development for the treatment of neuropathic pain, or pain that results from damage to nerve fibers. The efficacy of BL-1021 has been demonstrated in preclinical studies. BL-1021 showed significant reduction in symptoms of neuropathic pain with reduced side effects in animal models. The BL-1021 molecule was administered orally in such animal studies and was found to be superior to available treatments in efficacy and/or side effect measures. The initiation of clinical trials of BL-1021 in Israel was approved by the institutional review board, or Helsinki Committee, of a major medical institution in Israel in June 2010, and by the Israeli Ministry of Health in October 2010. In June 2011, we commenced a phase 1 clinical trial of BL-1021 in Israel, and commenced treatment of the first patient in the trial. The clinical trial is designed to study the safety and pharmacokinetic profile of BL-1021 in 56 healthy subjects. The subjects will be divided into seven groups, each group receiving either BL-1021 or a placebo.</w:t>
      </w:r>
    </w:p>
    <w:p>
      <w:pPr>
        <w:spacing w:after="0" w:line="72" w:lineRule="exact"/>
        <w:rPr>
          <w:sz w:val="20"/>
          <w:szCs w:val="20"/>
          <w:color w:val="auto"/>
        </w:rPr>
      </w:pPr>
    </w:p>
    <w:p>
      <w:pPr>
        <w:ind w:left="60" w:right="1019" w:firstLine="257"/>
        <w:spacing w:after="0" w:line="282" w:lineRule="auto"/>
        <w:rPr>
          <w:sz w:val="20"/>
          <w:szCs w:val="20"/>
          <w:color w:val="auto"/>
        </w:rPr>
      </w:pPr>
      <w:r>
        <w:rPr>
          <w:rFonts w:ascii="Arial" w:cs="Arial" w:eastAsia="Arial" w:hAnsi="Arial"/>
          <w:sz w:val="16"/>
          <w:szCs w:val="16"/>
          <w:color w:val="auto"/>
        </w:rPr>
        <w:t>Our fifth lead therapeutic candidate, BL-7040, is a novel polymer being developed for the treatment of IBD. The compound has already been the subject of phase 1 safety and pharmacokinetics studies and a phase 2a study examining the efficacy of the compound for the treatment of Myasthenia Gravis, an autoimmune, neurodegenerative disease. BL-7040 showed a high level of efficacy in those trials. We intend to develop the compound for the treatment of IBD and other inflammatory diseases.</w:t>
      </w:r>
    </w:p>
    <w:p>
      <w:pPr>
        <w:spacing w:after="0" w:line="61" w:lineRule="exact"/>
        <w:rPr>
          <w:sz w:val="20"/>
          <w:szCs w:val="20"/>
          <w:color w:val="auto"/>
        </w:rPr>
      </w:pPr>
    </w:p>
    <w:p>
      <w:pPr>
        <w:ind w:left="60" w:right="1079" w:firstLine="257"/>
        <w:spacing w:after="0" w:line="275" w:lineRule="auto"/>
        <w:rPr>
          <w:sz w:val="20"/>
          <w:szCs w:val="20"/>
          <w:color w:val="auto"/>
        </w:rPr>
      </w:pPr>
      <w:r>
        <w:rPr>
          <w:rFonts w:ascii="Arial" w:cs="Arial" w:eastAsia="Arial" w:hAnsi="Arial"/>
          <w:sz w:val="16"/>
          <w:szCs w:val="16"/>
          <w:color w:val="auto"/>
        </w:rPr>
        <w:t>As part of our business strategy, we continue to actively source, rigorously evaluate and in-license selected therapeutic candidates. We establish and maintain close relationships with research institutes, academic institutions and biotechnology companies in Israel and, more recently, in other countries to identify and in-license therapeutic candidates. Before in-licensing, each therapeutic candidate must pass through our thorough screening process that includes our proprietary MedMatrx scoring tool. Our Scientific Advisory Board and disease-specific third-party advisors are active in evaluating each therapeutic candidate. Our approach is consistent with our objective of proceeding only with therapeutic candidates that we believe exhibit a relatively high probability of therapeutic and commercial success. To date, we have screened over</w:t>
      </w: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5"/>
          <w:szCs w:val="15"/>
          <w:color w:val="auto"/>
        </w:rPr>
        <w:t>1,300 compounds, presented more than 60 candidates to our Scientific Advisory Board for consideration, initiated development of</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35 therapeutic candidates and terminated 22 feasibility programs.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Strategy</w:t>
      </w:r>
    </w:p>
    <w:p>
      <w:pPr>
        <w:spacing w:after="0" w:line="119" w:lineRule="exact"/>
        <w:rPr>
          <w:sz w:val="20"/>
          <w:szCs w:val="20"/>
          <w:color w:val="auto"/>
        </w:rPr>
      </w:pPr>
    </w:p>
    <w:p>
      <w:pPr>
        <w:ind w:left="60" w:right="1379" w:firstLine="257"/>
        <w:spacing w:after="0" w:line="306" w:lineRule="auto"/>
        <w:rPr>
          <w:sz w:val="20"/>
          <w:szCs w:val="20"/>
          <w:color w:val="auto"/>
        </w:rPr>
      </w:pPr>
      <w:r>
        <w:rPr>
          <w:rFonts w:ascii="Arial" w:cs="Arial" w:eastAsia="Arial" w:hAnsi="Arial"/>
          <w:sz w:val="15"/>
          <w:szCs w:val="15"/>
          <w:color w:val="auto"/>
        </w:rPr>
        <w:t>Our objective is to be a leader in developing innovative pharmaceutical and biopharmaceutical products. We continuously identify and in-license therapeutic candidates in order to maximize our potential for commercial success. We repeatedly assess compounds by evaluating their efficacy, safety, technological novelty, patent status, market potential, and development and regulatory pathways. Our approach to evaluating, in-licensing and developing therapeutic candidates allows us to:</w:t>
      </w:r>
    </w:p>
    <w:p>
      <w:pPr>
        <w:spacing w:after="0" w:line="46" w:lineRule="exact"/>
        <w:rPr>
          <w:sz w:val="20"/>
          <w:szCs w:val="20"/>
          <w:color w:val="auto"/>
        </w:rPr>
      </w:pPr>
    </w:p>
    <w:p>
      <w:pPr>
        <w:ind w:left="580" w:hanging="30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continually build our pipeline of therapeutic candidates;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advance those therapeutic candidates with the greatest potential;</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quickly identify, and terminate the development of, unattractive therapeutic candidates;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avoid dependency on a small number of therapeutic candidates.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Using this approach, we have successfully advanced five therapeutic candidates, BL-1020, BL-1040, BL-5010, BL-1021 and</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BL-7040, into clinical development. Specific elements of our current strategy include the following:</w:t>
      </w:r>
    </w:p>
    <w:p>
      <w:pPr>
        <w:spacing w:after="0" w:line="96" w:lineRule="exact"/>
        <w:rPr>
          <w:sz w:val="20"/>
          <w:szCs w:val="20"/>
          <w:color w:val="auto"/>
        </w:rPr>
      </w:pPr>
    </w:p>
    <w:p>
      <w:pPr>
        <w:ind w:left="580" w:right="1199" w:hanging="307"/>
        <w:spacing w:after="0" w:line="263" w:lineRule="auto"/>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Facilitate the successful development and commercialization of BL-1040 by Ikaria. </w:t>
      </w:r>
      <w:r>
        <w:rPr>
          <w:rFonts w:ascii="Arial" w:cs="Arial" w:eastAsia="Arial" w:hAnsi="Arial"/>
          <w:sz w:val="17"/>
          <w:szCs w:val="17"/>
          <w:color w:val="auto"/>
        </w:rPr>
        <w:t>We intend to assist our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Ikaria, to develop and commercialize BL-1040. We are currently meeting with Ikaria on a quarterly basis to facilitate the transition of our BL-1040 assets to its organization and intend to lend our assistance and provide our expertise in their development and commercialization efforts as necessary.</w:t>
      </w:r>
    </w:p>
    <w:p>
      <w:pPr>
        <w:spacing w:after="0" w:line="69" w:lineRule="exact"/>
        <w:rPr>
          <w:rFonts w:ascii="Arial" w:cs="Arial" w:eastAsia="Arial" w:hAnsi="Arial"/>
          <w:sz w:val="17"/>
          <w:szCs w:val="17"/>
          <w:color w:val="auto"/>
        </w:rPr>
      </w:pPr>
    </w:p>
    <w:p>
      <w:pPr>
        <w:ind w:left="580" w:right="1239" w:hanging="307"/>
        <w:spacing w:after="0" w:line="281"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additional therapeutic candidates through out-licensing arrangements or, where appropriate, by ourselves. </w:t>
      </w:r>
      <w:r>
        <w:rPr>
          <w:rFonts w:ascii="Arial" w:cs="Arial" w:eastAsia="Arial" w:hAnsi="Arial"/>
          <w:sz w:val="16"/>
          <w:szCs w:val="16"/>
          <w:color w:val="auto"/>
        </w:rPr>
        <w:t>We intend to commercialize many of our products through out-licensing arrangements with third parties who</w:t>
      </w:r>
      <w:r>
        <w:rPr>
          <w:rFonts w:ascii="Arial" w:cs="Arial" w:eastAsia="Arial" w:hAnsi="Arial"/>
          <w:sz w:val="16"/>
          <w:szCs w:val="16"/>
          <w:b w:val="1"/>
          <w:bCs w:val="1"/>
          <w:color w:val="auto"/>
        </w:rPr>
        <w:t xml:space="preserve"> </w:t>
      </w:r>
      <w:r>
        <w:rPr>
          <w:rFonts w:ascii="Arial" w:cs="Arial" w:eastAsia="Arial" w:hAnsi="Arial"/>
          <w:sz w:val="16"/>
          <w:szCs w:val="16"/>
          <w:color w:val="auto"/>
        </w:rPr>
        <w:t>may perform any or all of the following tasks: completing development, securing regulatory approvals, manufacturing and/or marketing. If appropriate, we may enter into co-development and similar arrangements with respect to any therapeutic candidate with third parties or commercialize a therapeutic candidate ourselves.</w:t>
      </w:r>
    </w:p>
    <w:p>
      <w:pPr>
        <w:spacing w:after="0" w:line="54" w:lineRule="exact"/>
        <w:rPr>
          <w:rFonts w:ascii="Arial" w:cs="Arial" w:eastAsia="Arial" w:hAnsi="Arial"/>
          <w:sz w:val="16"/>
          <w:szCs w:val="16"/>
          <w:color w:val="auto"/>
        </w:rPr>
      </w:pPr>
    </w:p>
    <w:p>
      <w:pPr>
        <w:ind w:left="580" w:right="1059" w:hanging="307"/>
        <w:spacing w:after="0" w:line="285"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Design development programs that reach critical decisions quickly. </w:t>
      </w:r>
      <w:r>
        <w:rPr>
          <w:rFonts w:ascii="Arial" w:cs="Arial" w:eastAsia="Arial" w:hAnsi="Arial"/>
          <w:sz w:val="16"/>
          <w:szCs w:val="16"/>
          <w:color w:val="auto"/>
        </w:rPr>
        <w:t>At each step of our screening process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 candidates, a candidate is subjected to rigorous feasibility testing and potential advancement or termination. We believe our feasibility approach reduces costs and increases the probability of commercial success by eliminate less promising candidates quickly before advancing them into more costly preclinical and clinical programs.</w:t>
      </w:r>
    </w:p>
    <w:p>
      <w:pPr>
        <w:spacing w:after="0" w:line="52" w:lineRule="exact"/>
        <w:rPr>
          <w:rFonts w:ascii="Arial" w:cs="Arial" w:eastAsia="Arial" w:hAnsi="Arial"/>
          <w:sz w:val="16"/>
          <w:szCs w:val="16"/>
          <w:color w:val="auto"/>
        </w:rPr>
      </w:pPr>
    </w:p>
    <w:p>
      <w:pPr>
        <w:ind w:left="580" w:right="1079" w:hanging="307"/>
        <w:spacing w:after="0" w:line="281"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Use our expertise and proprietary screening methodology to evaluate in-licensing opportunities. </w:t>
      </w:r>
      <w:r>
        <w:rPr>
          <w:rFonts w:ascii="Arial" w:cs="Arial" w:eastAsia="Arial" w:hAnsi="Arial"/>
          <w:sz w:val="16"/>
          <w:szCs w:val="16"/>
          <w:color w:val="auto"/>
        </w:rPr>
        <w:t>In order to review</w:t>
      </w:r>
      <w:r>
        <w:rPr>
          <w:rFonts w:ascii="Arial" w:cs="Arial" w:eastAsia="Arial" w:hAnsi="Arial"/>
          <w:sz w:val="16"/>
          <w:szCs w:val="16"/>
          <w:b w:val="1"/>
          <w:bCs w:val="1"/>
          <w:color w:val="auto"/>
        </w:rPr>
        <w:t xml:space="preserve"> </w:t>
      </w:r>
      <w:r>
        <w:rPr>
          <w:rFonts w:ascii="Arial" w:cs="Arial" w:eastAsia="Arial" w:hAnsi="Arial"/>
          <w:sz w:val="16"/>
          <w:szCs w:val="16"/>
          <w:color w:val="auto"/>
        </w:rPr>
        <w:t>and select among various candidates efficiently and effectively, we employ a proprietary screening system we developed that includes our proprietary MedMatrx scoring tool. Our Scientific Advisory Board and disease-specific third-party advisors evaluate each candidate. We intend to in-license a sufficient number of therapeutic candidates to allow us to move a new therapeutic candidate into clinical development every 12 to 18 months.</w:t>
      </w:r>
    </w:p>
    <w:p>
      <w:pPr>
        <w:spacing w:after="0" w:line="54" w:lineRule="exact"/>
        <w:rPr>
          <w:rFonts w:ascii="Arial" w:cs="Arial" w:eastAsia="Arial" w:hAnsi="Arial"/>
          <w:sz w:val="16"/>
          <w:szCs w:val="16"/>
          <w:color w:val="auto"/>
        </w:rPr>
      </w:pPr>
    </w:p>
    <w:p>
      <w:pPr>
        <w:ind w:left="580" w:right="1059" w:hanging="307"/>
        <w:spacing w:after="0" w:line="275"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Leverage and expand our relationships with research institutes, academic institutions and biotechnology companies, including the specific strategic relationships that we have developed with Israeli research and academic institutions, to identify and in-license promising therapeutic candidates. </w:t>
      </w:r>
      <w:r>
        <w:rPr>
          <w:rFonts w:ascii="Arial" w:cs="Arial" w:eastAsia="Arial" w:hAnsi="Arial"/>
          <w:sz w:val="16"/>
          <w:szCs w:val="16"/>
          <w:color w:val="auto"/>
        </w:rPr>
        <w:t>To date, we have successfully in-licensed compounds from</w:t>
      </w:r>
      <w:r>
        <w:rPr>
          <w:rFonts w:ascii="Arial" w:cs="Arial" w:eastAsia="Arial" w:hAnsi="Arial"/>
          <w:sz w:val="16"/>
          <w:szCs w:val="16"/>
          <w:b w:val="1"/>
          <w:bCs w:val="1"/>
          <w:color w:val="auto"/>
        </w:rPr>
        <w:t xml:space="preserve"> </w:t>
      </w:r>
      <w:r>
        <w:rPr>
          <w:rFonts w:ascii="Arial" w:cs="Arial" w:eastAsia="Arial" w:hAnsi="Arial"/>
          <w:sz w:val="16"/>
          <w:szCs w:val="16"/>
          <w:color w:val="auto"/>
        </w:rPr>
        <w:t>many major Israeli universities, as well as from many Israeli hospitals, technology incubators and biotechnology companies. We continue to maintain close contacts with university technology transfer offices, research and development authorities, university faculty, and many biotechnology companies to actively seek out early stage compounds. In addition, we actively source and evaluate non-Israeli compounds although we currently do not have any compound in our pipeline that was sourced outside of Israel.</w:t>
      </w:r>
    </w:p>
    <w:p>
      <w:pPr>
        <w:spacing w:after="0" w:line="200" w:lineRule="exact"/>
        <w:rPr>
          <w:sz w:val="20"/>
          <w:szCs w:val="20"/>
          <w:color w:val="auto"/>
        </w:rPr>
      </w:pPr>
    </w:p>
    <w:p>
      <w:pPr>
        <w:spacing w:after="0" w:line="30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Product Pipeline</w:t>
      </w:r>
    </w:p>
    <w:p>
      <w:pPr>
        <w:spacing w:after="0" w:line="119" w:lineRule="exact"/>
        <w:rPr>
          <w:sz w:val="20"/>
          <w:szCs w:val="20"/>
          <w:color w:val="auto"/>
        </w:rPr>
      </w:pPr>
    </w:p>
    <w:p>
      <w:pPr>
        <w:ind w:left="60" w:right="1239" w:firstLine="257"/>
        <w:spacing w:after="0" w:line="278" w:lineRule="auto"/>
        <w:rPr>
          <w:sz w:val="20"/>
          <w:szCs w:val="20"/>
          <w:color w:val="auto"/>
        </w:rPr>
      </w:pPr>
      <w:r>
        <w:rPr>
          <w:rFonts w:ascii="Arial" w:cs="Arial" w:eastAsia="Arial" w:hAnsi="Arial"/>
          <w:sz w:val="17"/>
          <w:szCs w:val="17"/>
          <w:color w:val="auto"/>
        </w:rPr>
        <w:t>The table below summarizes our current pipeline of therapeutic candidates, as well as the target indication and status of each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46990</wp:posOffset>
            </wp:positionV>
            <wp:extent cx="3822700" cy="254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22700" cy="254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Lead Therapeutic Candidates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BL-1020</w:t>
      </w:r>
    </w:p>
    <w:p>
      <w:pPr>
        <w:spacing w:after="0" w:line="11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BL-1020 is an orally administered antipsychotic for the treatment of schizophrenia. We believe that BL-1020 will deliver antipsychotic effectiveness equal to, or exceeding, currently available treatments. Furthermore, we believe BL-1020 may be the first antipsychotic drug that improves cognitive function in schizophrenia patients. Based on our preclinical and clinical trials, we believe that BL-1020 works by blocking the dopamine receptors in the brain and activating the gamma aminobutyric acid, or GABA receptors. We believe that the dopamine antagonism in BL-1020 is responsible for reducing psychotic symptoms. The activation of GABA, or GABAergic activity, of the BL-1020 molecule may also be involved in improving patient cognition. In July 2009, we successfully completed our 363-patient phase 2b EAGLE (Effective Anti-psychosis via GABA Level Enhancement) study. We in-licensed the worldwide, exclusive rights to research, develop and commercialize BL-1020 from Bar Ilan Research and Development and Ramot.</w:t>
      </w:r>
    </w:p>
    <w:p>
      <w:pPr>
        <w:spacing w:after="0" w:line="86" w:lineRule="exact"/>
        <w:rPr>
          <w:sz w:val="20"/>
          <w:szCs w:val="20"/>
          <w:color w:val="auto"/>
        </w:rPr>
      </w:pPr>
    </w:p>
    <w:p>
      <w:pPr>
        <w:ind w:left="60" w:right="1159" w:firstLine="257"/>
        <w:spacing w:after="0" w:line="257" w:lineRule="auto"/>
        <w:rPr>
          <w:sz w:val="20"/>
          <w:szCs w:val="20"/>
          <w:color w:val="auto"/>
        </w:rPr>
      </w:pPr>
      <w:r>
        <w:rPr>
          <w:rFonts w:ascii="Arial" w:cs="Arial" w:eastAsia="Arial" w:hAnsi="Arial"/>
          <w:sz w:val="17"/>
          <w:szCs w:val="17"/>
          <w:color w:val="auto"/>
        </w:rPr>
        <w:t>In June 2011, we commenced a CLARITY clinical trial with respect to BL-1020. The CLARITY trial is designed to be a randomized, double-blind, placebo controlled trial to examine both acute (6 weeks) and long-term (24 weeks) antipsychotic and cognitive efficacy, safety and tolerability of BL-1020 on patients with acute schizophrenia. In May 2011, we received approval to commence the CLARITY trial is 15 trial sites in Romania. The initiation of the trial in Romania took place on May 25, 2011 and the first patient was treated on June 27, 2011. We also anticipate authorization to perform the trial in 19 additional clinical sites in India.</w:t>
      </w:r>
    </w:p>
    <w:p>
      <w:pPr>
        <w:spacing w:after="0" w:line="82"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i w:val="1"/>
          <w:iCs w:val="1"/>
          <w:color w:val="auto"/>
        </w:rPr>
        <w:t>Schizophrenia</w:t>
      </w:r>
      <w:r>
        <w:rPr>
          <w:rFonts w:ascii="Arial" w:cs="Arial" w:eastAsia="Arial" w:hAnsi="Arial"/>
          <w:sz w:val="17"/>
          <w:szCs w:val="17"/>
          <w:color w:val="auto"/>
        </w:rPr>
        <w:t>. Schizophrenia is a chronic, severe, and disabling brain disorder that affects approximately 1% of the U.S. adult</w:t>
      </w:r>
      <w:r>
        <w:rPr>
          <w:rFonts w:ascii="Arial" w:cs="Arial" w:eastAsia="Arial" w:hAnsi="Arial"/>
          <w:sz w:val="17"/>
          <w:szCs w:val="17"/>
          <w:i w:val="1"/>
          <w:iCs w:val="1"/>
          <w:color w:val="auto"/>
        </w:rPr>
        <w:t xml:space="preserve"> </w:t>
      </w:r>
      <w:r>
        <w:rPr>
          <w:rFonts w:ascii="Arial" w:cs="Arial" w:eastAsia="Arial" w:hAnsi="Arial"/>
          <w:sz w:val="17"/>
          <w:szCs w:val="17"/>
          <w:color w:val="auto"/>
        </w:rPr>
        <w:t>population as reported by the National Institute of Mental Health. IMS Health, a leading provider of market intelligence, reports that the market for antipsychotic drugs was less than $500 million in 1991 and increased to $5.0 billion in 2000. According to Datamonitor, a provider of business information to the pharmaceutical and other industries, the market for antipsychotic drugs in 2008 in the United States alone was $13.6 billion, with an additional $4.2 billion in aggregate sales in Japan, France, Germany, Italy, Spain and the United Kingdom. Sales in these seven countries are projected by Datamonitor to stay stable, when aggregated, through 2018.</w:t>
      </w:r>
    </w:p>
    <w:p>
      <w:pPr>
        <w:spacing w:after="0" w:line="200" w:lineRule="exact"/>
        <w:rPr>
          <w:sz w:val="20"/>
          <w:szCs w:val="20"/>
          <w:color w:val="auto"/>
        </w:rPr>
      </w:pPr>
    </w:p>
    <w:p>
      <w:pPr>
        <w:spacing w:after="0" w:line="30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99" w:firstLine="257"/>
        <w:spacing w:after="0" w:line="279" w:lineRule="auto"/>
        <w:rPr>
          <w:sz w:val="20"/>
          <w:szCs w:val="20"/>
          <w:color w:val="auto"/>
        </w:rPr>
      </w:pPr>
      <w:r>
        <w:rPr>
          <w:rFonts w:ascii="Arial" w:cs="Arial" w:eastAsia="Arial" w:hAnsi="Arial"/>
          <w:sz w:val="16"/>
          <w:szCs w:val="16"/>
          <w:color w:val="auto"/>
        </w:rPr>
        <w:t>Schizophrenia is characterized by impairments in the perception or expression of reality, most commonly manifesting as auditory hallucinations, paranoid or bizarre delusions or disorganized speech and thinking. Schizophrenia patients also suffer from significant cognitive dysfunction. This is reflected in difficulty of daily functioning, decreased ability to maintain normal social relationships and impaired job performance. Schizophrenia is a multi-factorial disease that involves an imbalance in two key chemicals that transmit signals between neurons and other cells, known as neurotransmitters: dopamine and GABA.</w:t>
      </w:r>
    </w:p>
    <w:p>
      <w:pPr>
        <w:spacing w:after="0" w:line="63" w:lineRule="exact"/>
        <w:rPr>
          <w:sz w:val="20"/>
          <w:szCs w:val="20"/>
          <w:color w:val="auto"/>
        </w:rPr>
      </w:pPr>
    </w:p>
    <w:p>
      <w:pPr>
        <w:ind w:left="60" w:right="1279" w:firstLine="257"/>
        <w:spacing w:after="0" w:line="275" w:lineRule="auto"/>
        <w:rPr>
          <w:sz w:val="20"/>
          <w:szCs w:val="20"/>
          <w:color w:val="auto"/>
        </w:rPr>
      </w:pPr>
      <w:r>
        <w:rPr>
          <w:rFonts w:ascii="Arial" w:cs="Arial" w:eastAsia="Arial" w:hAnsi="Arial"/>
          <w:sz w:val="16"/>
          <w:szCs w:val="16"/>
          <w:color w:val="auto"/>
        </w:rPr>
        <w:t>Currently available treatments for schizophrenia include two broad classes of antipsychotics: “typical” and “atypical.” Both classes of medications are similarly effective at treating schizophrenia but have varying and severe side effects that limit patient compliance. Atypical antipsychotics are the current standard of care for schizophrenia patients. Typical antipsychotics generally cause debilitating movement disorders known as Extra-Pyramidal Side (EPS) effects. Atypical antipsychotics have fewer motor side effects but may cause increased risks of obesity, diabetes and high blood cholesterol. Both classes of antipsychotics do not adequately address cognitive function, and improvement in cognition represents an unmet medical need for patients of schizophrenia and other psychiatric and neurological diseases.</w:t>
      </w:r>
    </w:p>
    <w:p>
      <w:pPr>
        <w:spacing w:after="0" w:line="68" w:lineRule="exact"/>
        <w:rPr>
          <w:sz w:val="20"/>
          <w:szCs w:val="20"/>
          <w:color w:val="auto"/>
        </w:rPr>
      </w:pPr>
    </w:p>
    <w:p>
      <w:pPr>
        <w:ind w:left="60" w:right="1059" w:firstLine="257"/>
        <w:spacing w:after="0" w:line="273" w:lineRule="auto"/>
        <w:rPr>
          <w:sz w:val="20"/>
          <w:szCs w:val="20"/>
          <w:color w:val="auto"/>
        </w:rPr>
      </w:pPr>
      <w:r>
        <w:rPr>
          <w:rFonts w:ascii="Arial" w:cs="Arial" w:eastAsia="Arial" w:hAnsi="Arial"/>
          <w:sz w:val="16"/>
          <w:szCs w:val="16"/>
          <w:color w:val="auto"/>
        </w:rPr>
        <w:t xml:space="preserve">There are a number of different medications available to treat schizophrenia. The most commonly used atypical antipsychotics available on the market are Risperdal, Zyprexa and Seroquel. Risperdal is marketed by Janssen, a division of Ortho-McNeil-Janssen Pharmaceuticals, Inc., a Johnson &amp; Johnson company. Johnson &amp; Johnson reported annuals sales of Risperdal of $1.5 billion for 2010 in its annual report for the year ended December 31, 2010. Zyprexa is marketed by Lilly USA, LLC, a company of Eli Lilly and Company. Eli Lilly reported annual sales of Zyprexa of $5.0 billion for 2010 in its annual report for the year ended December 31, 2010. Seroquel is marketed by AstraZeneca Pharmaceuticals LP. AstraZeneca reported annual sales of Seroquel of $5.3 billion for 2010 in its annual report for the year ended December 31, 2010. Approximately 10% to 30% of schizophrenia patients do not respond to, or do not tolerate, a particular medication and, accordingly, will often be rotated through a series of medications until medical practitioners identify the best treatment for them, as described in an article by Daniel E. Casey et. al. published in 2003 in the journal </w:t>
      </w:r>
      <w:r>
        <w:rPr>
          <w:rFonts w:ascii="Arial" w:cs="Arial" w:eastAsia="Arial" w:hAnsi="Arial"/>
          <w:sz w:val="16"/>
          <w:szCs w:val="16"/>
          <w:i w:val="1"/>
          <w:iCs w:val="1"/>
          <w:color w:val="auto"/>
        </w:rPr>
        <w:t>Pharmacology</w:t>
      </w:r>
      <w:r>
        <w:rPr>
          <w:rFonts w:ascii="Arial" w:cs="Arial" w:eastAsia="Arial" w:hAnsi="Arial"/>
          <w:sz w:val="16"/>
          <w:szCs w:val="16"/>
          <w:color w:val="auto"/>
        </w:rPr>
        <w:t>.</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Development and Commercialization</w:t>
      </w:r>
    </w:p>
    <w:p>
      <w:pPr>
        <w:spacing w:after="0" w:line="113" w:lineRule="exact"/>
        <w:rPr>
          <w:sz w:val="20"/>
          <w:szCs w:val="20"/>
          <w:color w:val="auto"/>
        </w:rPr>
      </w:pPr>
    </w:p>
    <w:p>
      <w:pPr>
        <w:ind w:left="60" w:right="1059" w:firstLine="257"/>
        <w:spacing w:after="0" w:line="296" w:lineRule="auto"/>
        <w:rPr>
          <w:sz w:val="20"/>
          <w:szCs w:val="20"/>
          <w:color w:val="auto"/>
        </w:rPr>
      </w:pPr>
      <w:r>
        <w:rPr>
          <w:rFonts w:ascii="Arial" w:cs="Arial" w:eastAsia="Arial" w:hAnsi="Arial"/>
          <w:sz w:val="15"/>
          <w:szCs w:val="15"/>
          <w:color w:val="auto"/>
        </w:rPr>
        <w:t>In June 2010, we entered into an exclusive, royalty-bearing out-licensing arrangement with Cypress Bioscience with regard to BL-1020, covering the United States, Canada and Mexico, which became effective in August 2010. We received an upfront fee of $30.0 million from Cypress Bioscience upon the effectiveness of the agreement. We are obligated to pay to Bar Ilan Research and Development and Ramot, collectively, a royalty payment equal to 22.5% of the net consideration we receive from the out-licensing of BL-1020. We paid Bar Ilan Research and Development and Ramot $6.75 million, in the aggregate, from the $30.0 million upfront fee. We also paid the OCS $3.0 million as partial repayment of grants previously received for the BL-1020 development program. See “Item 4. Information on the Company — Business Overview — In-Licensing Agreements — BL-1020.”</w:t>
      </w:r>
    </w:p>
    <w:p>
      <w:pPr>
        <w:spacing w:after="0" w:line="54" w:lineRule="exact"/>
        <w:rPr>
          <w:sz w:val="20"/>
          <w:szCs w:val="20"/>
          <w:color w:val="auto"/>
        </w:rPr>
      </w:pPr>
    </w:p>
    <w:p>
      <w:pPr>
        <w:ind w:left="60" w:right="1039" w:firstLine="257"/>
        <w:spacing w:after="0" w:line="271" w:lineRule="auto"/>
        <w:rPr>
          <w:sz w:val="20"/>
          <w:szCs w:val="20"/>
          <w:color w:val="auto"/>
        </w:rPr>
      </w:pPr>
      <w:r>
        <w:rPr>
          <w:rFonts w:ascii="Arial" w:cs="Arial" w:eastAsia="Arial" w:hAnsi="Arial"/>
          <w:sz w:val="16"/>
          <w:szCs w:val="16"/>
          <w:color w:val="auto"/>
        </w:rPr>
        <w:t>In January 2011, Royalty Pharma acquired Cypress Bioscience. After the acquisition, we had a number of discussions with Cypress Bioscience and Royalty Pharma and they indicated to us that as a result of a change in their strategy, they believed it was in the best interest of BL-1020’s future commercial potential to consolidate the worldwide rights with our company. Cypress Bioscience expressed its desire that development of BL-1020 continue in a manner that both optimized Cypress Bioscience’s investment in BL-1020 and provided the best long-term commercialization potential. We believe that reacquiring BL-1020 was the best alternative at that time to ensure the timely development of BL-1020 and represents a significant opportunity for our company. Accordingly, on May 10, 2011, we entered into a rights reacquisition agreement with Cypress Bioscience. Under the terms and conditions of the rights reacquisition agreement, the out-license agreement terminated effective May 31, 2011, and we reacquired all of the rights to develop and commercialize BL-1020. In consideration for the reacquisition of the rights, we agreed to pay Cypress Bioscience a royalty equal to 1% of the future net sales of BL-1020, if any, by us, our affiliates or our sublicensees. Notwithstanding the foregoing, the aggregate royalty payment shall not exceed $80.0 million. In addition, we agreed to pay Cypress Bioscience $10.0 million payable solely from amounts we receive, if any, pursuant to future agreements relating to the further development or commercialization of a product containing BL-1020, either alone or with other therapeutically active ingredients. In connection with the payment, we are</w:t>
      </w: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jc w:val="both"/>
        <w:ind w:left="60" w:right="1079"/>
        <w:spacing w:after="0" w:line="279" w:lineRule="auto"/>
        <w:rPr>
          <w:sz w:val="20"/>
          <w:szCs w:val="20"/>
          <w:color w:val="auto"/>
        </w:rPr>
      </w:pPr>
      <w:r>
        <w:rPr>
          <w:rFonts w:ascii="Arial" w:cs="Arial" w:eastAsia="Arial" w:hAnsi="Arial"/>
          <w:sz w:val="16"/>
          <w:szCs w:val="16"/>
          <w:color w:val="auto"/>
        </w:rPr>
        <w:t>required to pay Cypress Bioscience 10% of all payments under any such agreement but in any event, not more than $10.0 million. If any such agreement requires that we incur the costs of certain proposed clinical trials of BL-1020, the payment schedule will be subject to certain deferrals. We have no other outstanding material obligations to Cypress Bioscience under the original out-license agreement, other than standard indemnification obligations. We intend to continue to consider potential out-licensing opportunities for BL-1020, as well as the potential to develop and commercialize BL-1020 internally.</w:t>
      </w:r>
    </w:p>
    <w:p>
      <w:pPr>
        <w:spacing w:after="0" w:line="63"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i w:val="1"/>
          <w:iCs w:val="1"/>
          <w:color w:val="auto"/>
        </w:rPr>
        <w:t>Clinical and Preclinical Results</w:t>
      </w:r>
      <w:r>
        <w:rPr>
          <w:rFonts w:ascii="Arial" w:cs="Arial" w:eastAsia="Arial" w:hAnsi="Arial"/>
          <w:sz w:val="16"/>
          <w:szCs w:val="16"/>
          <w:color w:val="auto"/>
        </w:rPr>
        <w:t>. We conducted a phase 2b clinical trial, which we refer to as the EAGLE trial,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assess the efficacy, safety and tolerability of BL-1020 compared to placebo. Risperdal, a commonly prescribed antipsychotic, was used in the trial, at a dose of 2 – 8 mg, as a positive control to validate the study’s results. The EAGLE trial was conducted under an FDA Investigational New Drug (IND) application process at 40 sites in the United States, Europe and India and included patients suffering from acute exacerbation of schizophrenia. In this six-week study, 363 patients were randomized for treatment with a low (10 mg/day) or high (20 – 30mg/day) dose of BL-1020, Risperdal (2 – 8mg/day) or placebo. The study was designed to demonstrate statistically significant superiority of BL-1020 to placebo on the Positive and Negative Symptom Scale (PANSS), the primary efficacy measure. The key secondary efficacy measures included the Clinical Global Impression of Severity (CGI-S) and the Clinical Global Impression of Change (CGI-C), which are recognized measures of severity and improvement in schizophrenia. The secondary efficacy measures also included a Readiness to Discharge Questionnaire (RDQ) and a Strauss Carpenter Level of Functioning Scale. A pre-specified exploratory end point of the study was cognition as measured by the “Brief Assessment of Cognition in Schizophrenia” (BACS) test. The study was completed in July 2009 and we announced the results of the study in September 2009.</w:t>
      </w:r>
    </w:p>
    <w:p>
      <w:pPr>
        <w:spacing w:after="0" w:line="68" w:lineRule="exact"/>
        <w:rPr>
          <w:sz w:val="20"/>
          <w:szCs w:val="20"/>
          <w:color w:val="auto"/>
        </w:rPr>
      </w:pPr>
    </w:p>
    <w:p>
      <w:pPr>
        <w:ind w:left="60" w:right="1159" w:firstLine="257"/>
        <w:spacing w:after="0" w:line="257" w:lineRule="auto"/>
        <w:rPr>
          <w:sz w:val="20"/>
          <w:szCs w:val="20"/>
          <w:color w:val="auto"/>
        </w:rPr>
      </w:pPr>
      <w:r>
        <w:rPr>
          <w:rFonts w:ascii="Arial" w:cs="Arial" w:eastAsia="Arial" w:hAnsi="Arial"/>
          <w:sz w:val="17"/>
          <w:szCs w:val="17"/>
          <w:color w:val="auto"/>
        </w:rPr>
        <w:t>The results show that the BL-1020 high dose group (20 – 30mg/day) experienced a significant improvement in primary and secondary efficacy measures. For the primary efficacy measure, the high dose group (20 – 30mg/day) showed a reduction in PANSS versus placebo (LS mean -23.6 vs. -14.4; p=0.002). The superiority of BL-1020 (20 – 30mg/day) over placebo was also supported by secondary efficacy measures including CGI-S and CGI-C. Furthermore, statistically significant increases in the number of patients rated as “responders” in the BL-1020 (20 – 30mg/day) group compared to placebo on the PANSS, CGI-S, and CGI-C was in line with all other efficacy measures.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summary of the EAGLE trial results for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5250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25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40" w:type="dxa"/>
            <w:vAlign w:val="bottom"/>
          </w:tcPr>
          <w:p>
            <w:pPr>
              <w:ind w:left="740"/>
              <w:spacing w:after="0"/>
              <w:rPr>
                <w:sz w:val="20"/>
                <w:szCs w:val="20"/>
                <w:color w:val="auto"/>
              </w:rPr>
            </w:pPr>
            <w:r>
              <w:rPr>
                <w:rFonts w:ascii="Arial" w:cs="Arial" w:eastAsia="Arial" w:hAnsi="Arial"/>
                <w:sz w:val="14"/>
                <w:szCs w:val="14"/>
                <w:b w:val="1"/>
                <w:bCs w:val="1"/>
                <w:color w:val="auto"/>
              </w:rPr>
              <w:t>Endpoint</w:t>
            </w:r>
          </w:p>
        </w:tc>
        <w:tc>
          <w:tcPr>
            <w:tcW w:w="140" w:type="dxa"/>
            <w:vAlign w:val="bottom"/>
          </w:tcPr>
          <w:p>
            <w:pPr>
              <w:spacing w:after="0"/>
              <w:rPr>
                <w:sz w:val="13"/>
                <w:szCs w:val="13"/>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Placebo</w:t>
            </w:r>
          </w:p>
        </w:tc>
        <w:tc>
          <w:tcPr>
            <w:tcW w:w="16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BL-1020</w:t>
            </w:r>
          </w:p>
        </w:tc>
        <w:tc>
          <w:tcPr>
            <w:tcW w:w="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Risperdal</w:t>
            </w:r>
          </w:p>
        </w:tc>
      </w:tr>
      <w:tr>
        <w:trPr>
          <w:trHeight w:val="164"/>
        </w:trPr>
        <w:tc>
          <w:tcPr>
            <w:tcW w:w="2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 – 30mg)</w:t>
            </w:r>
          </w:p>
        </w:tc>
        <w:tc>
          <w:tcPr>
            <w:tcW w:w="14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r>
      <w:tr>
        <w:trPr>
          <w:trHeight w:val="186"/>
        </w:trPr>
        <w:tc>
          <w:tcPr>
            <w:tcW w:w="2040" w:type="dxa"/>
            <w:vAlign w:val="bottom"/>
          </w:tcPr>
          <w:p>
            <w:pPr>
              <w:spacing w:after="0" w:line="186" w:lineRule="exact"/>
              <w:rPr>
                <w:sz w:val="20"/>
                <w:szCs w:val="20"/>
                <w:color w:val="auto"/>
              </w:rPr>
            </w:pPr>
            <w:r>
              <w:rPr>
                <w:rFonts w:ascii="Arial" w:cs="Arial" w:eastAsia="Arial" w:hAnsi="Arial"/>
                <w:sz w:val="17"/>
                <w:szCs w:val="17"/>
                <w:color w:val="auto"/>
              </w:rPr>
              <w:t>PANSS</w:t>
            </w:r>
          </w:p>
        </w:tc>
        <w:tc>
          <w:tcPr>
            <w:tcW w:w="140" w:type="dxa"/>
            <w:vAlign w:val="bottom"/>
          </w:tcPr>
          <w:p>
            <w:pPr>
              <w:spacing w:after="0"/>
              <w:rPr>
                <w:sz w:val="16"/>
                <w:szCs w:val="16"/>
                <w:color w:val="auto"/>
              </w:rPr>
            </w:pPr>
          </w:p>
        </w:tc>
        <w:tc>
          <w:tcPr>
            <w:tcW w:w="820" w:type="dxa"/>
            <w:vAlign w:val="bottom"/>
          </w:tcPr>
          <w:p>
            <w:pPr>
              <w:jc w:val="center"/>
              <w:spacing w:after="0" w:line="186" w:lineRule="exact"/>
              <w:rPr>
                <w:sz w:val="20"/>
                <w:szCs w:val="20"/>
                <w:color w:val="auto"/>
              </w:rPr>
            </w:pPr>
            <w:r>
              <w:rPr>
                <w:rFonts w:ascii="Arial" w:cs="Arial" w:eastAsia="Arial" w:hAnsi="Arial"/>
                <w:sz w:val="17"/>
                <w:szCs w:val="17"/>
                <w:color w:val="auto"/>
                <w:w w:val="92"/>
              </w:rPr>
              <w:t>-14.4</w:t>
            </w:r>
          </w:p>
        </w:tc>
        <w:tc>
          <w:tcPr>
            <w:tcW w:w="160" w:type="dxa"/>
            <w:vAlign w:val="bottom"/>
          </w:tcPr>
          <w:p>
            <w:pPr>
              <w:spacing w:after="0"/>
              <w:rPr>
                <w:sz w:val="16"/>
                <w:szCs w:val="16"/>
                <w:color w:val="auto"/>
              </w:rPr>
            </w:pPr>
          </w:p>
        </w:tc>
        <w:tc>
          <w:tcPr>
            <w:tcW w:w="1860" w:type="dxa"/>
            <w:vAlign w:val="bottom"/>
          </w:tcPr>
          <w:p>
            <w:pPr>
              <w:jc w:val="center"/>
              <w:spacing w:after="0" w:line="186" w:lineRule="exact"/>
              <w:rPr>
                <w:sz w:val="20"/>
                <w:szCs w:val="20"/>
                <w:color w:val="auto"/>
              </w:rPr>
            </w:pPr>
            <w:r>
              <w:rPr>
                <w:rFonts w:ascii="Arial" w:cs="Arial" w:eastAsia="Arial" w:hAnsi="Arial"/>
                <w:sz w:val="17"/>
                <w:szCs w:val="17"/>
                <w:color w:val="auto"/>
                <w:w w:val="92"/>
              </w:rPr>
              <w:t>-23.6</w:t>
            </w:r>
          </w:p>
        </w:tc>
        <w:tc>
          <w:tcPr>
            <w:tcW w:w="140" w:type="dxa"/>
            <w:vAlign w:val="bottom"/>
          </w:tcPr>
          <w:p>
            <w:pPr>
              <w:spacing w:after="0"/>
              <w:rPr>
                <w:sz w:val="16"/>
                <w:szCs w:val="16"/>
                <w:color w:val="auto"/>
              </w:rPr>
            </w:pPr>
          </w:p>
        </w:tc>
        <w:tc>
          <w:tcPr>
            <w:tcW w:w="1960" w:type="dxa"/>
            <w:vAlign w:val="bottom"/>
          </w:tcPr>
          <w:p>
            <w:pPr>
              <w:jc w:val="center"/>
              <w:spacing w:after="0" w:line="186" w:lineRule="exact"/>
              <w:rPr>
                <w:sz w:val="20"/>
                <w:szCs w:val="20"/>
                <w:color w:val="auto"/>
              </w:rPr>
            </w:pPr>
            <w:r>
              <w:rPr>
                <w:rFonts w:ascii="Arial" w:cs="Arial" w:eastAsia="Arial" w:hAnsi="Arial"/>
                <w:sz w:val="17"/>
                <w:szCs w:val="17"/>
                <w:color w:val="auto"/>
                <w:w w:val="92"/>
              </w:rPr>
              <w:t>-26.2</w:t>
            </w:r>
          </w:p>
        </w:tc>
      </w:tr>
      <w:tr>
        <w:trPr>
          <w:trHeight w:val="20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P=0.002 (vs. placebo)</w:t>
            </w:r>
          </w:p>
        </w:tc>
        <w:tc>
          <w:tcPr>
            <w:tcW w:w="1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P&lt;0.001 (vs. placebo)</w:t>
            </w:r>
          </w:p>
        </w:tc>
      </w:tr>
      <w:tr>
        <w:trPr>
          <w:trHeight w:val="20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1"/>
              </w:rPr>
              <w:t>P=0.39 (vs. Risperdal)</w:t>
            </w: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7"/>
                <w:szCs w:val="17"/>
                <w:color w:val="auto"/>
              </w:rPr>
              <w:t>CGI-S</w:t>
            </w:r>
          </w:p>
        </w:tc>
        <w:tc>
          <w:tcPr>
            <w:tcW w:w="96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-0.68</w:t>
            </w:r>
          </w:p>
        </w:tc>
        <w:tc>
          <w:tcPr>
            <w:tcW w:w="2020" w:type="dxa"/>
            <w:vAlign w:val="bottom"/>
            <w:gridSpan w:val="2"/>
          </w:tcPr>
          <w:p>
            <w:pPr>
              <w:jc w:val="center"/>
              <w:ind w:left="94"/>
              <w:spacing w:after="0"/>
              <w:rPr>
                <w:sz w:val="20"/>
                <w:szCs w:val="20"/>
                <w:color w:val="auto"/>
              </w:rPr>
            </w:pPr>
            <w:r>
              <w:rPr>
                <w:rFonts w:ascii="Arial" w:cs="Arial" w:eastAsia="Arial" w:hAnsi="Arial"/>
                <w:sz w:val="17"/>
                <w:szCs w:val="17"/>
                <w:color w:val="auto"/>
                <w:w w:val="92"/>
              </w:rPr>
              <w:t>-1.27</w:t>
            </w:r>
          </w:p>
        </w:tc>
        <w:tc>
          <w:tcPr>
            <w:tcW w:w="2100" w:type="dxa"/>
            <w:vAlign w:val="bottom"/>
            <w:gridSpan w:val="2"/>
          </w:tcPr>
          <w:p>
            <w:pPr>
              <w:jc w:val="center"/>
              <w:ind w:left="94"/>
              <w:spacing w:after="0"/>
              <w:rPr>
                <w:sz w:val="20"/>
                <w:szCs w:val="20"/>
                <w:color w:val="auto"/>
              </w:rPr>
            </w:pPr>
            <w:r>
              <w:rPr>
                <w:rFonts w:ascii="Arial" w:cs="Arial" w:eastAsia="Arial" w:hAnsi="Arial"/>
                <w:sz w:val="17"/>
                <w:szCs w:val="17"/>
                <w:color w:val="auto"/>
                <w:w w:val="92"/>
              </w:rPr>
              <w:t>-1.35</w:t>
            </w:r>
          </w:p>
        </w:tc>
      </w:tr>
      <w:tr>
        <w:trPr>
          <w:trHeight w:val="20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P&lt;0.001 (vs. placebo)</w:t>
            </w:r>
          </w:p>
        </w:tc>
        <w:tc>
          <w:tcPr>
            <w:tcW w:w="1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P&lt;0.001 (vs. placebo)</w:t>
            </w:r>
          </w:p>
        </w:tc>
      </w:tr>
      <w:tr>
        <w:trPr>
          <w:trHeight w:val="20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P=0.607 (vs. Risperdal)</w:t>
            </w: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7"/>
                <w:szCs w:val="17"/>
                <w:color w:val="auto"/>
                <w:w w:val="99"/>
              </w:rPr>
              <w:t>Strauss Carpenter Level of</w:t>
            </w:r>
          </w:p>
        </w:tc>
        <w:tc>
          <w:tcPr>
            <w:tcW w:w="96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0.20</w:t>
            </w:r>
          </w:p>
        </w:tc>
        <w:tc>
          <w:tcPr>
            <w:tcW w:w="2020" w:type="dxa"/>
            <w:vAlign w:val="bottom"/>
            <w:gridSpan w:val="2"/>
          </w:tcPr>
          <w:p>
            <w:pPr>
              <w:jc w:val="center"/>
              <w:ind w:left="74"/>
              <w:spacing w:after="0"/>
              <w:rPr>
                <w:sz w:val="20"/>
                <w:szCs w:val="20"/>
                <w:color w:val="auto"/>
              </w:rPr>
            </w:pPr>
            <w:r>
              <w:rPr>
                <w:rFonts w:ascii="Arial" w:cs="Arial" w:eastAsia="Arial" w:hAnsi="Arial"/>
                <w:sz w:val="17"/>
                <w:szCs w:val="17"/>
                <w:color w:val="auto"/>
                <w:w w:val="90"/>
              </w:rPr>
              <w:t>1.93</w:t>
            </w:r>
          </w:p>
        </w:tc>
        <w:tc>
          <w:tcPr>
            <w:tcW w:w="2100" w:type="dxa"/>
            <w:vAlign w:val="bottom"/>
            <w:gridSpan w:val="2"/>
          </w:tcPr>
          <w:p>
            <w:pPr>
              <w:jc w:val="center"/>
              <w:ind w:left="74"/>
              <w:spacing w:after="0"/>
              <w:rPr>
                <w:sz w:val="20"/>
                <w:szCs w:val="20"/>
                <w:color w:val="auto"/>
              </w:rPr>
            </w:pPr>
            <w:r>
              <w:rPr>
                <w:rFonts w:ascii="Arial" w:cs="Arial" w:eastAsia="Arial" w:hAnsi="Arial"/>
                <w:sz w:val="17"/>
                <w:szCs w:val="17"/>
                <w:color w:val="auto"/>
                <w:w w:val="90"/>
              </w:rPr>
              <w:t>2.35</w:t>
            </w:r>
          </w:p>
        </w:tc>
      </w:tr>
      <w:tr>
        <w:trPr>
          <w:trHeight w:val="206"/>
        </w:trPr>
        <w:tc>
          <w:tcPr>
            <w:tcW w:w="2040" w:type="dxa"/>
            <w:vAlign w:val="bottom"/>
          </w:tcPr>
          <w:p>
            <w:pPr>
              <w:spacing w:after="0"/>
              <w:rPr>
                <w:sz w:val="20"/>
                <w:szCs w:val="20"/>
                <w:color w:val="auto"/>
              </w:rPr>
            </w:pPr>
            <w:r>
              <w:rPr>
                <w:rFonts w:ascii="Arial" w:cs="Arial" w:eastAsia="Arial" w:hAnsi="Arial"/>
                <w:sz w:val="17"/>
                <w:szCs w:val="17"/>
                <w:color w:val="auto"/>
              </w:rPr>
              <w:t>Functioning Scale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P=0.017 (vs. placebo)</w:t>
            </w:r>
          </w:p>
        </w:tc>
        <w:tc>
          <w:tcPr>
            <w:tcW w:w="1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P=0.003 (vs. placebo)</w:t>
            </w:r>
          </w:p>
        </w:tc>
      </w:tr>
      <w:tr>
        <w:trPr>
          <w:trHeight w:val="20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1"/>
              </w:rPr>
              <w:t>P=0.563 vs. Risperdal</w:t>
            </w: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7"/>
                <w:szCs w:val="17"/>
                <w:color w:val="auto"/>
              </w:rPr>
              <w:t>Clinical Responders</w:t>
            </w:r>
          </w:p>
        </w:tc>
        <w:tc>
          <w:tcPr>
            <w:tcW w:w="960" w:type="dxa"/>
            <w:vAlign w:val="bottom"/>
            <w:gridSpan w:val="2"/>
          </w:tcPr>
          <w:p>
            <w:pPr>
              <w:jc w:val="center"/>
              <w:ind w:left="74"/>
              <w:spacing w:after="0"/>
              <w:rPr>
                <w:sz w:val="20"/>
                <w:szCs w:val="20"/>
                <w:color w:val="auto"/>
              </w:rPr>
            </w:pPr>
            <w:r>
              <w:rPr>
                <w:rFonts w:ascii="Arial" w:cs="Arial" w:eastAsia="Arial" w:hAnsi="Arial"/>
                <w:sz w:val="17"/>
                <w:szCs w:val="17"/>
                <w:color w:val="auto"/>
                <w:w w:val="91"/>
              </w:rPr>
              <w:t>47.3%</w:t>
            </w:r>
          </w:p>
        </w:tc>
        <w:tc>
          <w:tcPr>
            <w:tcW w:w="2020" w:type="dxa"/>
            <w:vAlign w:val="bottom"/>
            <w:gridSpan w:val="2"/>
          </w:tcPr>
          <w:p>
            <w:pPr>
              <w:jc w:val="center"/>
              <w:ind w:left="94"/>
              <w:spacing w:after="0"/>
              <w:rPr>
                <w:sz w:val="20"/>
                <w:szCs w:val="20"/>
                <w:color w:val="auto"/>
              </w:rPr>
            </w:pPr>
            <w:r>
              <w:rPr>
                <w:rFonts w:ascii="Arial" w:cs="Arial" w:eastAsia="Arial" w:hAnsi="Arial"/>
                <w:sz w:val="17"/>
                <w:szCs w:val="17"/>
                <w:color w:val="auto"/>
                <w:w w:val="91"/>
              </w:rPr>
              <w:t>70.8%</w:t>
            </w:r>
          </w:p>
        </w:tc>
        <w:tc>
          <w:tcPr>
            <w:tcW w:w="2100" w:type="dxa"/>
            <w:vAlign w:val="bottom"/>
            <w:gridSpan w:val="2"/>
          </w:tcPr>
          <w:p>
            <w:pPr>
              <w:jc w:val="center"/>
              <w:ind w:left="74"/>
              <w:spacing w:after="0"/>
              <w:rPr>
                <w:sz w:val="20"/>
                <w:szCs w:val="20"/>
                <w:color w:val="auto"/>
              </w:rPr>
            </w:pPr>
            <w:r>
              <w:rPr>
                <w:rFonts w:ascii="Arial" w:cs="Arial" w:eastAsia="Arial" w:hAnsi="Arial"/>
                <w:sz w:val="17"/>
                <w:szCs w:val="17"/>
                <w:color w:val="auto"/>
                <w:w w:val="95"/>
              </w:rPr>
              <w:t>72.5%</w:t>
            </w:r>
          </w:p>
        </w:tc>
      </w:tr>
      <w:tr>
        <w:trPr>
          <w:trHeight w:val="206"/>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P=0.01 (vs. placebo)</w:t>
            </w:r>
          </w:p>
        </w:tc>
        <w:tc>
          <w:tcPr>
            <w:tcW w:w="1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7"/>
                <w:szCs w:val="17"/>
                <w:color w:val="auto"/>
                <w:w w:val="90"/>
              </w:rPr>
              <w:t>P&lt;0.001 (vs. placebo)</w:t>
            </w:r>
          </w:p>
        </w:tc>
      </w:tr>
      <w:tr>
        <w:trPr>
          <w:trHeight w:val="217"/>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7"/>
                <w:szCs w:val="17"/>
                <w:color w:val="auto"/>
                <w:w w:val="90"/>
              </w:rPr>
              <w:t>P= 0.796 vs. Risperdal</w:t>
            </w: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spacing w:after="0" w:line="92" w:lineRule="exact"/>
        <w:rPr>
          <w:sz w:val="20"/>
          <w:szCs w:val="20"/>
          <w:color w:val="auto"/>
        </w:rPr>
      </w:pPr>
    </w:p>
    <w:p>
      <w:pPr>
        <w:ind w:left="60" w:right="1019" w:firstLine="257"/>
        <w:spacing w:after="0" w:line="277" w:lineRule="auto"/>
        <w:rPr>
          <w:sz w:val="20"/>
          <w:szCs w:val="20"/>
          <w:color w:val="auto"/>
        </w:rPr>
      </w:pPr>
      <w:r>
        <w:rPr>
          <w:rFonts w:ascii="Arial" w:cs="Arial" w:eastAsia="Arial" w:hAnsi="Arial"/>
          <w:sz w:val="16"/>
          <w:szCs w:val="16"/>
          <w:color w:val="auto"/>
        </w:rPr>
        <w:t>Cognitive function in the EAGLE trial was assessed by the BACS test. The BACS test comprises the following six components: verbal memory, digit sequencing, token motor task, verbal fluency, symbol coding and the “Tower of London” puzzle. The EAGLE trial results indicate that patients treated for six weeks with the 20 – 30mg dose of BL-1020 exhibited a clinically relevant and statistically significant improvement of 9.27 points in the BACS score as opposed to the placebo control group (6.01 points). In addition, the high dose group of BL-1020 was superior to the Risperdal control group (with 6.2 points improvement). BL-1020 exhibited statistical significance to both the placebo and Risperdal control groups (p=0.027 for both).</w:t>
      </w:r>
    </w:p>
    <w:p>
      <w:pPr>
        <w:spacing w:after="0" w:line="200" w:lineRule="exact"/>
        <w:rPr>
          <w:sz w:val="20"/>
          <w:szCs w:val="20"/>
          <w:color w:val="auto"/>
        </w:rPr>
      </w:pPr>
    </w:p>
    <w:p>
      <w:pPr>
        <w:spacing w:after="0" w:line="28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summary of the EAGLE trial results for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4843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843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700" w:type="dxa"/>
            <w:vAlign w:val="bottom"/>
          </w:tcPr>
          <w:p>
            <w:pPr>
              <w:ind w:left="540"/>
              <w:spacing w:after="0"/>
              <w:rPr>
                <w:sz w:val="20"/>
                <w:szCs w:val="20"/>
                <w:color w:val="auto"/>
              </w:rPr>
            </w:pPr>
            <w:r>
              <w:rPr>
                <w:rFonts w:ascii="Arial" w:cs="Arial" w:eastAsia="Arial" w:hAnsi="Arial"/>
                <w:sz w:val="14"/>
                <w:szCs w:val="14"/>
                <w:b w:val="1"/>
                <w:bCs w:val="1"/>
                <w:color w:val="auto"/>
              </w:rPr>
              <w:t>Parameter</w:t>
            </w: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Placebo</w:t>
            </w:r>
          </w:p>
        </w:tc>
        <w:tc>
          <w:tcPr>
            <w:tcW w:w="140" w:type="dxa"/>
            <w:vAlign w:val="bottom"/>
          </w:tcPr>
          <w:p>
            <w:pPr>
              <w:spacing w:after="0"/>
              <w:rPr>
                <w:sz w:val="14"/>
                <w:szCs w:val="14"/>
                <w:color w:val="auto"/>
              </w:rPr>
            </w:pPr>
          </w:p>
        </w:tc>
        <w:tc>
          <w:tcPr>
            <w:tcW w:w="1620" w:type="dxa"/>
            <w:vAlign w:val="bottom"/>
          </w:tcPr>
          <w:p>
            <w:pPr>
              <w:ind w:left="560"/>
              <w:spacing w:after="0"/>
              <w:rPr>
                <w:sz w:val="20"/>
                <w:szCs w:val="20"/>
                <w:color w:val="auto"/>
              </w:rPr>
            </w:pPr>
            <w:r>
              <w:rPr>
                <w:rFonts w:ascii="Arial" w:cs="Arial" w:eastAsia="Arial" w:hAnsi="Arial"/>
                <w:sz w:val="14"/>
                <w:szCs w:val="14"/>
                <w:b w:val="1"/>
                <w:bCs w:val="1"/>
                <w:color w:val="auto"/>
              </w:rPr>
              <w:t>BL-1020</w:t>
            </w:r>
          </w:p>
        </w:tc>
        <w:tc>
          <w:tcPr>
            <w:tcW w:w="140" w:type="dxa"/>
            <w:vAlign w:val="bottom"/>
          </w:tcPr>
          <w:p>
            <w:pPr>
              <w:spacing w:after="0"/>
              <w:rPr>
                <w:sz w:val="14"/>
                <w:szCs w:val="14"/>
                <w:color w:val="auto"/>
              </w:rPr>
            </w:pPr>
          </w:p>
        </w:tc>
        <w:tc>
          <w:tcPr>
            <w:tcW w:w="1740" w:type="dxa"/>
            <w:vAlign w:val="bottom"/>
          </w:tcPr>
          <w:p>
            <w:pPr>
              <w:ind w:left="600"/>
              <w:spacing w:after="0"/>
              <w:rPr>
                <w:sz w:val="20"/>
                <w:szCs w:val="20"/>
                <w:color w:val="auto"/>
              </w:rPr>
            </w:pPr>
            <w:r>
              <w:rPr>
                <w:rFonts w:ascii="Arial" w:cs="Arial" w:eastAsia="Arial" w:hAnsi="Arial"/>
                <w:sz w:val="14"/>
                <w:szCs w:val="14"/>
                <w:b w:val="1"/>
                <w:bCs w:val="1"/>
                <w:color w:val="auto"/>
              </w:rPr>
              <w:t>Risperdal</w:t>
            </w:r>
          </w:p>
        </w:tc>
      </w:tr>
      <w:tr>
        <w:trPr>
          <w:trHeight w:val="164"/>
        </w:trPr>
        <w:tc>
          <w:tcPr>
            <w:tcW w:w="1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 – 30mg)</w:t>
            </w:r>
          </w:p>
        </w:tc>
        <w:tc>
          <w:tcPr>
            <w:tcW w:w="14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r>
      <w:tr>
        <w:trPr>
          <w:trHeight w:val="186"/>
        </w:trPr>
        <w:tc>
          <w:tcPr>
            <w:tcW w:w="1700" w:type="dxa"/>
            <w:vAlign w:val="bottom"/>
          </w:tcPr>
          <w:p>
            <w:pPr>
              <w:spacing w:after="0" w:line="186" w:lineRule="exact"/>
              <w:rPr>
                <w:sz w:val="20"/>
                <w:szCs w:val="20"/>
                <w:color w:val="auto"/>
              </w:rPr>
            </w:pPr>
            <w:r>
              <w:rPr>
                <w:rFonts w:ascii="Arial" w:cs="Arial" w:eastAsia="Arial" w:hAnsi="Arial"/>
                <w:sz w:val="17"/>
                <w:szCs w:val="17"/>
                <w:color w:val="auto"/>
              </w:rPr>
              <w:t>BACS</w:t>
            </w:r>
          </w:p>
        </w:tc>
        <w:tc>
          <w:tcPr>
            <w:tcW w:w="160" w:type="dxa"/>
            <w:vAlign w:val="bottom"/>
          </w:tcPr>
          <w:p>
            <w:pPr>
              <w:spacing w:after="0"/>
              <w:rPr>
                <w:sz w:val="16"/>
                <w:szCs w:val="16"/>
                <w:color w:val="auto"/>
              </w:rPr>
            </w:pPr>
          </w:p>
        </w:tc>
        <w:tc>
          <w:tcPr>
            <w:tcW w:w="1620" w:type="dxa"/>
            <w:vAlign w:val="bottom"/>
          </w:tcPr>
          <w:p>
            <w:pPr>
              <w:jc w:val="right"/>
              <w:ind w:right="583"/>
              <w:spacing w:after="0" w:line="186" w:lineRule="exact"/>
              <w:rPr>
                <w:sz w:val="20"/>
                <w:szCs w:val="20"/>
                <w:color w:val="auto"/>
              </w:rPr>
            </w:pPr>
            <w:r>
              <w:rPr>
                <w:rFonts w:ascii="Arial" w:cs="Arial" w:eastAsia="Arial" w:hAnsi="Arial"/>
                <w:sz w:val="17"/>
                <w:szCs w:val="17"/>
                <w:color w:val="auto"/>
              </w:rPr>
              <w:t>6.01</w:t>
            </w:r>
          </w:p>
        </w:tc>
        <w:tc>
          <w:tcPr>
            <w:tcW w:w="140" w:type="dxa"/>
            <w:vAlign w:val="bottom"/>
          </w:tcPr>
          <w:p>
            <w:pPr>
              <w:spacing w:after="0"/>
              <w:rPr>
                <w:sz w:val="16"/>
                <w:szCs w:val="16"/>
                <w:color w:val="auto"/>
              </w:rPr>
            </w:pPr>
          </w:p>
        </w:tc>
        <w:tc>
          <w:tcPr>
            <w:tcW w:w="1620" w:type="dxa"/>
            <w:vAlign w:val="bottom"/>
          </w:tcPr>
          <w:p>
            <w:pPr>
              <w:jc w:val="center"/>
              <w:spacing w:after="0" w:line="186" w:lineRule="exact"/>
              <w:rPr>
                <w:sz w:val="20"/>
                <w:szCs w:val="20"/>
                <w:color w:val="auto"/>
              </w:rPr>
            </w:pPr>
            <w:r>
              <w:rPr>
                <w:rFonts w:ascii="Arial" w:cs="Arial" w:eastAsia="Arial" w:hAnsi="Arial"/>
                <w:sz w:val="17"/>
                <w:szCs w:val="17"/>
                <w:color w:val="auto"/>
                <w:w w:val="90"/>
              </w:rPr>
              <w:t>9.27</w:t>
            </w:r>
          </w:p>
        </w:tc>
        <w:tc>
          <w:tcPr>
            <w:tcW w:w="140" w:type="dxa"/>
            <w:vAlign w:val="bottom"/>
          </w:tcPr>
          <w:p>
            <w:pPr>
              <w:spacing w:after="0"/>
              <w:rPr>
                <w:sz w:val="16"/>
                <w:szCs w:val="16"/>
                <w:color w:val="auto"/>
              </w:rPr>
            </w:pPr>
          </w:p>
        </w:tc>
        <w:tc>
          <w:tcPr>
            <w:tcW w:w="1740" w:type="dxa"/>
            <w:vAlign w:val="bottom"/>
          </w:tcPr>
          <w:p>
            <w:pPr>
              <w:jc w:val="right"/>
              <w:ind w:right="680"/>
              <w:spacing w:after="0" w:line="186" w:lineRule="exact"/>
              <w:rPr>
                <w:sz w:val="20"/>
                <w:szCs w:val="20"/>
                <w:color w:val="auto"/>
              </w:rPr>
            </w:pPr>
            <w:r>
              <w:rPr>
                <w:rFonts w:ascii="Arial" w:cs="Arial" w:eastAsia="Arial" w:hAnsi="Arial"/>
                <w:sz w:val="17"/>
                <w:szCs w:val="17"/>
                <w:color w:val="auto"/>
              </w:rPr>
              <w:t>6.2</w:t>
            </w:r>
          </w:p>
        </w:tc>
      </w:tr>
      <w:tr>
        <w:trPr>
          <w:trHeight w:val="206"/>
        </w:trPr>
        <w:tc>
          <w:tcPr>
            <w:tcW w:w="1700" w:type="dxa"/>
            <w:vAlign w:val="bottom"/>
          </w:tcPr>
          <w:p>
            <w:pPr>
              <w:spacing w:after="0"/>
              <w:rPr>
                <w:sz w:val="20"/>
                <w:szCs w:val="20"/>
                <w:color w:val="auto"/>
              </w:rPr>
            </w:pPr>
            <w:r>
              <w:rPr>
                <w:rFonts w:ascii="Arial" w:cs="Arial" w:eastAsia="Arial" w:hAnsi="Arial"/>
                <w:sz w:val="17"/>
                <w:szCs w:val="17"/>
                <w:color w:val="auto"/>
              </w:rPr>
              <w:t>(LS mean, LOCF)</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6"/>
        </w:trPr>
        <w:tc>
          <w:tcPr>
            <w:tcW w:w="1700" w:type="dxa"/>
            <w:vAlign w:val="bottom"/>
          </w:tcPr>
          <w:p>
            <w:pPr>
              <w:spacing w:after="0"/>
              <w:rPr>
                <w:sz w:val="20"/>
                <w:szCs w:val="20"/>
                <w:color w:val="auto"/>
              </w:rPr>
            </w:pPr>
            <w:r>
              <w:rPr>
                <w:rFonts w:ascii="Arial" w:cs="Arial" w:eastAsia="Arial" w:hAnsi="Arial"/>
                <w:sz w:val="17"/>
                <w:szCs w:val="17"/>
                <w:color w:val="auto"/>
              </w:rPr>
              <w:t>P value vs. placebo</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0"/>
              </w:rPr>
              <w:t>P=0.027</w:t>
            </w:r>
          </w:p>
        </w:tc>
        <w:tc>
          <w:tcPr>
            <w:tcW w:w="1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7"/>
              </w:rPr>
              <w:t>P=0.893</w:t>
            </w:r>
          </w:p>
        </w:tc>
      </w:tr>
      <w:tr>
        <w:trPr>
          <w:trHeight w:val="217"/>
        </w:trPr>
        <w:tc>
          <w:tcPr>
            <w:tcW w:w="1700" w:type="dxa"/>
            <w:vAlign w:val="bottom"/>
          </w:tcPr>
          <w:p>
            <w:pPr>
              <w:spacing w:after="0"/>
              <w:rPr>
                <w:sz w:val="20"/>
                <w:szCs w:val="20"/>
                <w:color w:val="auto"/>
              </w:rPr>
            </w:pPr>
            <w:r>
              <w:rPr>
                <w:rFonts w:ascii="Arial" w:cs="Arial" w:eastAsia="Arial" w:hAnsi="Arial"/>
                <w:sz w:val="17"/>
                <w:szCs w:val="17"/>
                <w:color w:val="auto"/>
              </w:rPr>
              <w:t>P value vs. Risperdal</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90"/>
              </w:rPr>
              <w:t>P=0.027</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92" w:lineRule="exact"/>
        <w:rPr>
          <w:sz w:val="20"/>
          <w:szCs w:val="20"/>
          <w:color w:val="auto"/>
        </w:rPr>
      </w:pPr>
    </w:p>
    <w:p>
      <w:pPr>
        <w:ind w:left="60" w:right="1119" w:firstLine="257"/>
        <w:spacing w:after="0" w:line="273" w:lineRule="auto"/>
        <w:rPr>
          <w:sz w:val="20"/>
          <w:szCs w:val="20"/>
          <w:color w:val="auto"/>
        </w:rPr>
      </w:pPr>
      <w:r>
        <w:rPr>
          <w:rFonts w:ascii="Arial" w:cs="Arial" w:eastAsia="Arial" w:hAnsi="Arial"/>
          <w:sz w:val="16"/>
          <w:szCs w:val="16"/>
          <w:color w:val="auto"/>
        </w:rPr>
        <w:t>Analysis of safety did not indicate any increased toxicity associated with BL-1020 treatment in comparison with the placebo. There was no incidence of SAEs (Severe Adverse Events) in the BL-1020 (20 – 30mg/day) group but the Risperdal and placebo groups experienced SAE rates of 3.3% and 6.5%, respectively. Discontinuations due to Adverse Events (AEs) were similar in the BL-1020 (20 – 30mg/day) group (4.5%) and in the placebo group (4.3%) but higher in the Risperdal group (8.8%). There were no statistically significant or clinically relevant AEs of body weight gain, glucose increases, and changes in lipids, all indicating that BL-1020 has no metabolic AE propensity. BL-1020 at its high dose level induced a slight increase in the Extra-Pyramidal Symptoms Rating Scale (ESRS) that did not differ significantly from Risperdal. The incidence of cardiovascular, sexual, psychiatric, autonomic and gastrointestinal AEs was low and was not increased compared to placebo. There were no statistically significant or clinically relevant changes in the measurements of the ECG, laboratory or vital signs.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summary of the EAGLE trial results for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5002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220" w:type="dxa"/>
            <w:vAlign w:val="bottom"/>
          </w:tcPr>
          <w:p>
            <w:pPr>
              <w:ind w:left="1300"/>
              <w:spacing w:after="0"/>
              <w:rPr>
                <w:sz w:val="20"/>
                <w:szCs w:val="20"/>
                <w:color w:val="auto"/>
              </w:rPr>
            </w:pPr>
            <w:r>
              <w:rPr>
                <w:rFonts w:ascii="Arial" w:cs="Arial" w:eastAsia="Arial" w:hAnsi="Arial"/>
                <w:sz w:val="14"/>
                <w:szCs w:val="14"/>
                <w:b w:val="1"/>
                <w:bCs w:val="1"/>
                <w:color w:val="auto"/>
              </w:rPr>
              <w:t>Parameter</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1"/>
              </w:rPr>
              <w:t>Placebo</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BL-1020</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Risperdal</w:t>
            </w:r>
          </w:p>
        </w:tc>
      </w:tr>
      <w:tr>
        <w:trPr>
          <w:trHeight w:val="164"/>
        </w:trPr>
        <w:tc>
          <w:tcPr>
            <w:tcW w:w="3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 – 30mg)</w:t>
            </w:r>
          </w:p>
        </w:tc>
        <w:tc>
          <w:tcPr>
            <w:tcW w:w="1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86"/>
        </w:trPr>
        <w:tc>
          <w:tcPr>
            <w:tcW w:w="3220" w:type="dxa"/>
            <w:vAlign w:val="bottom"/>
          </w:tcPr>
          <w:p>
            <w:pPr>
              <w:spacing w:after="0" w:line="186" w:lineRule="exact"/>
              <w:rPr>
                <w:sz w:val="20"/>
                <w:szCs w:val="20"/>
                <w:color w:val="auto"/>
              </w:rPr>
            </w:pPr>
            <w:r>
              <w:rPr>
                <w:rFonts w:ascii="Arial" w:cs="Arial" w:eastAsia="Arial" w:hAnsi="Arial"/>
                <w:sz w:val="17"/>
                <w:szCs w:val="17"/>
                <w:color w:val="auto"/>
              </w:rPr>
              <w:t>Severe Adverse Events</w:t>
            </w:r>
          </w:p>
        </w:tc>
        <w:tc>
          <w:tcPr>
            <w:tcW w:w="160" w:type="dxa"/>
            <w:vAlign w:val="bottom"/>
          </w:tcPr>
          <w:p>
            <w:pPr>
              <w:spacing w:after="0"/>
              <w:rPr>
                <w:sz w:val="16"/>
                <w:szCs w:val="16"/>
                <w:color w:val="auto"/>
              </w:rPr>
            </w:pPr>
          </w:p>
        </w:tc>
        <w:tc>
          <w:tcPr>
            <w:tcW w:w="1100" w:type="dxa"/>
            <w:vAlign w:val="bottom"/>
          </w:tcPr>
          <w:p>
            <w:pPr>
              <w:jc w:val="center"/>
              <w:spacing w:after="0" w:line="186" w:lineRule="exact"/>
              <w:rPr>
                <w:sz w:val="20"/>
                <w:szCs w:val="20"/>
                <w:color w:val="auto"/>
              </w:rPr>
            </w:pPr>
            <w:r>
              <w:rPr>
                <w:rFonts w:ascii="Arial" w:cs="Arial" w:eastAsia="Arial" w:hAnsi="Arial"/>
                <w:sz w:val="17"/>
                <w:szCs w:val="17"/>
                <w:color w:val="auto"/>
                <w:w w:val="84"/>
              </w:rPr>
              <w:t>6.5</w:t>
            </w:r>
          </w:p>
        </w:tc>
        <w:tc>
          <w:tcPr>
            <w:tcW w:w="160" w:type="dxa"/>
            <w:vAlign w:val="bottom"/>
          </w:tcPr>
          <w:p>
            <w:pPr>
              <w:spacing w:after="0"/>
              <w:rPr>
                <w:sz w:val="16"/>
                <w:szCs w:val="16"/>
                <w:color w:val="auto"/>
              </w:rPr>
            </w:pPr>
          </w:p>
        </w:tc>
        <w:tc>
          <w:tcPr>
            <w:tcW w:w="1100" w:type="dxa"/>
            <w:vAlign w:val="bottom"/>
          </w:tcPr>
          <w:p>
            <w:pPr>
              <w:jc w:val="center"/>
              <w:spacing w:after="0" w:line="186" w:lineRule="exact"/>
              <w:rPr>
                <w:sz w:val="20"/>
                <w:szCs w:val="20"/>
                <w:color w:val="auto"/>
              </w:rPr>
            </w:pPr>
            <w:r>
              <w:rPr>
                <w:rFonts w:ascii="Arial" w:cs="Arial" w:eastAsia="Arial" w:hAnsi="Arial"/>
                <w:sz w:val="17"/>
                <w:szCs w:val="17"/>
                <w:color w:val="auto"/>
                <w:w w:val="84"/>
              </w:rPr>
              <w:t>0</w:t>
            </w:r>
          </w:p>
        </w:tc>
        <w:tc>
          <w:tcPr>
            <w:tcW w:w="160" w:type="dxa"/>
            <w:vAlign w:val="bottom"/>
          </w:tcPr>
          <w:p>
            <w:pPr>
              <w:spacing w:after="0"/>
              <w:rPr>
                <w:sz w:val="16"/>
                <w:szCs w:val="16"/>
                <w:color w:val="auto"/>
              </w:rPr>
            </w:pPr>
          </w:p>
        </w:tc>
        <w:tc>
          <w:tcPr>
            <w:tcW w:w="1220" w:type="dxa"/>
            <w:vAlign w:val="bottom"/>
          </w:tcPr>
          <w:p>
            <w:pPr>
              <w:jc w:val="center"/>
              <w:spacing w:after="0" w:line="186" w:lineRule="exact"/>
              <w:rPr>
                <w:sz w:val="20"/>
                <w:szCs w:val="20"/>
                <w:color w:val="auto"/>
              </w:rPr>
            </w:pPr>
            <w:r>
              <w:rPr>
                <w:rFonts w:ascii="Arial" w:cs="Arial" w:eastAsia="Arial" w:hAnsi="Arial"/>
                <w:sz w:val="17"/>
                <w:szCs w:val="17"/>
                <w:color w:val="auto"/>
                <w:w w:val="84"/>
              </w:rPr>
              <w:t>3.3</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(SAE, % patients)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Discontinuation due to Adverse Events</w:t>
            </w:r>
          </w:p>
        </w:tc>
        <w:tc>
          <w:tcPr>
            <w:tcW w:w="126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4.3</w:t>
            </w:r>
          </w:p>
        </w:tc>
        <w:tc>
          <w:tcPr>
            <w:tcW w:w="126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4.5</w:t>
            </w:r>
          </w:p>
        </w:tc>
        <w:tc>
          <w:tcPr>
            <w:tcW w:w="138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8.8</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(AE, %)</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ESRS</w:t>
            </w:r>
          </w:p>
        </w:tc>
        <w:tc>
          <w:tcPr>
            <w:tcW w:w="126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1.6</w:t>
            </w:r>
          </w:p>
        </w:tc>
        <w:tc>
          <w:tcPr>
            <w:tcW w:w="1260" w:type="dxa"/>
            <w:vAlign w:val="bottom"/>
            <w:gridSpan w:val="2"/>
          </w:tcPr>
          <w:p>
            <w:pPr>
              <w:jc w:val="center"/>
              <w:ind w:left="74"/>
              <w:spacing w:after="0"/>
              <w:rPr>
                <w:sz w:val="20"/>
                <w:szCs w:val="20"/>
                <w:color w:val="auto"/>
              </w:rPr>
            </w:pPr>
            <w:r>
              <w:rPr>
                <w:rFonts w:ascii="Arial" w:cs="Arial" w:eastAsia="Arial" w:hAnsi="Arial"/>
                <w:sz w:val="17"/>
                <w:szCs w:val="17"/>
                <w:color w:val="auto"/>
                <w:w w:val="90"/>
              </w:rPr>
              <w:t>10.8</w:t>
            </w:r>
          </w:p>
        </w:tc>
        <w:tc>
          <w:tcPr>
            <w:tcW w:w="1380" w:type="dxa"/>
            <w:vAlign w:val="bottom"/>
            <w:gridSpan w:val="2"/>
          </w:tcPr>
          <w:p>
            <w:pPr>
              <w:jc w:val="center"/>
              <w:ind w:left="74"/>
              <w:spacing w:after="0"/>
              <w:rPr>
                <w:sz w:val="20"/>
                <w:szCs w:val="20"/>
                <w:color w:val="auto"/>
              </w:rPr>
            </w:pPr>
            <w:r>
              <w:rPr>
                <w:rFonts w:ascii="Arial" w:cs="Arial" w:eastAsia="Arial" w:hAnsi="Arial"/>
                <w:sz w:val="17"/>
                <w:szCs w:val="17"/>
                <w:color w:val="auto"/>
                <w:w w:val="90"/>
              </w:rPr>
              <w:t>10.8</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Metabolic – weight gain</w:t>
            </w:r>
          </w:p>
        </w:tc>
        <w:tc>
          <w:tcPr>
            <w:tcW w:w="126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3.6</w:t>
            </w:r>
          </w:p>
        </w:tc>
        <w:tc>
          <w:tcPr>
            <w:tcW w:w="126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4.9</w:t>
            </w:r>
          </w:p>
        </w:tc>
        <w:tc>
          <w:tcPr>
            <w:tcW w:w="1380" w:type="dxa"/>
            <w:vAlign w:val="bottom"/>
            <w:gridSpan w:val="2"/>
          </w:tcPr>
          <w:p>
            <w:pPr>
              <w:jc w:val="center"/>
              <w:ind w:left="94"/>
              <w:spacing w:after="0"/>
              <w:rPr>
                <w:sz w:val="20"/>
                <w:szCs w:val="20"/>
                <w:color w:val="auto"/>
              </w:rPr>
            </w:pPr>
            <w:r>
              <w:rPr>
                <w:rFonts w:ascii="Arial" w:cs="Arial" w:eastAsia="Arial" w:hAnsi="Arial"/>
                <w:sz w:val="17"/>
                <w:szCs w:val="17"/>
                <w:color w:val="auto"/>
                <w:w w:val="84"/>
              </w:rPr>
              <w:t>7.3</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 notable gain)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7"/>
                <w:szCs w:val="17"/>
                <w:color w:val="auto"/>
              </w:rPr>
              <w:t>Metabolic – cholesterol</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No change</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No change</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No change</w:t>
            </w:r>
          </w:p>
        </w:tc>
      </w:tr>
    </w:tbl>
    <w:p>
      <w:pPr>
        <w:spacing w:after="0" w:line="92" w:lineRule="exact"/>
        <w:rPr>
          <w:sz w:val="20"/>
          <w:szCs w:val="20"/>
          <w:color w:val="auto"/>
        </w:rPr>
      </w:pPr>
    </w:p>
    <w:p>
      <w:pPr>
        <w:ind w:left="60" w:right="1019" w:firstLine="257"/>
        <w:spacing w:after="0" w:line="257" w:lineRule="auto"/>
        <w:rPr>
          <w:sz w:val="20"/>
          <w:szCs w:val="20"/>
          <w:color w:val="auto"/>
        </w:rPr>
      </w:pPr>
      <w:r>
        <w:rPr>
          <w:rFonts w:ascii="Arial" w:cs="Arial" w:eastAsia="Arial" w:hAnsi="Arial"/>
          <w:sz w:val="17"/>
          <w:szCs w:val="17"/>
          <w:color w:val="auto"/>
        </w:rPr>
        <w:t>In January 2010, we announced the results of a six-week extension trial of BL-1020. In the extension trial, 75 patients that completed the phase 2b EAGLE clinical trial were randomized as follows: patients that were treated with either BL-1020 or Risperdal in the phase 2b EAGLE clinical trial continued their treatment and patients that were treated with placebo in the phase 2b EAGLE clinical trial were re-randomized to one of the BL-1020 groups. Patients in the extension trial maintained the levels of improvement in PANSS and CGI identified in the phase 2b EAGLE clinical trial. In addition, patients showed additional improvement in cognition with the extension trial and there were no clinically relevant changes in the measurements of ECG, laboratory or vital signs (BP, HR, Temp.).</w:t>
      </w:r>
    </w:p>
    <w:p>
      <w:pPr>
        <w:spacing w:after="0" w:line="78" w:lineRule="exact"/>
        <w:rPr>
          <w:sz w:val="20"/>
          <w:szCs w:val="20"/>
          <w:color w:val="auto"/>
        </w:rPr>
      </w:pPr>
    </w:p>
    <w:p>
      <w:pPr>
        <w:ind w:left="60" w:right="1039" w:firstLine="257"/>
        <w:spacing w:after="0" w:line="255" w:lineRule="auto"/>
        <w:rPr>
          <w:sz w:val="20"/>
          <w:szCs w:val="20"/>
          <w:color w:val="auto"/>
        </w:rPr>
      </w:pPr>
      <w:r>
        <w:rPr>
          <w:rFonts w:ascii="Arial" w:cs="Arial" w:eastAsia="Arial" w:hAnsi="Arial"/>
          <w:sz w:val="17"/>
          <w:szCs w:val="17"/>
          <w:color w:val="auto"/>
        </w:rPr>
        <w:t>In February 2009, we announced the results of our open label, six-week phase 2a trial of BL-1020 in Romania. The study was designed to determine the safety and maximum tolerated dose of BL-1020 in schizophrenia patients and was conducted on 36 chronically ill hospitalized patients. Only four patients dropped out of the trial, which we believe is a relatively low dropout rate. Patients were initially treated with 20mg of BL-1020 and received increasing dosages over the first seven days in order to meet the maximum dose of 40mg. Patients that were treated with BL-1020 experienced a statistically significant improvement from baseline in the PANSS and Clinical Global Impression of Severity and Improvement (CGI-S; CGI-I). This improvement was seen as early as seven days after the onset of treatment. There was a statistically significant (p&lt;0.001) improvement on the PANSS total (baseline+84.9; day 42=63.8), and the positive (baseline+22.3; day 42=15.1), negative (baseline=20.9; day 42=16.6) and general psychopathology subscales</w:t>
      </w:r>
    </w:p>
    <w:p>
      <w:pPr>
        <w:spacing w:after="0" w:line="200" w:lineRule="exact"/>
        <w:rPr>
          <w:sz w:val="20"/>
          <w:szCs w:val="20"/>
          <w:color w:val="auto"/>
        </w:rPr>
      </w:pPr>
    </w:p>
    <w:p>
      <w:pPr>
        <w:spacing w:after="0" w:line="31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19"/>
        <w:spacing w:after="0" w:line="282" w:lineRule="auto"/>
        <w:rPr>
          <w:sz w:val="20"/>
          <w:szCs w:val="20"/>
          <w:color w:val="auto"/>
        </w:rPr>
      </w:pPr>
      <w:r>
        <w:rPr>
          <w:rFonts w:ascii="Arial" w:cs="Arial" w:eastAsia="Arial" w:hAnsi="Arial"/>
          <w:sz w:val="16"/>
          <w:szCs w:val="16"/>
          <w:color w:val="auto"/>
        </w:rPr>
        <w:t>(baseline=42.4; day 42=32.1). More than 80% of the patients showed a statistically significant improvement as reflected by the CGI-S and CGI-I. No severe or unexpected adverse effects occurred in the trial. There was no significant increase in extra-pyramidal symptoms at the end of the trial, and no clinically relevant change in weight. There were no notable findings on ECG, laboratory values or vital signs. All adverse events were characterized as minimal and not treatment limiting.</w:t>
      </w:r>
    </w:p>
    <w:p>
      <w:pPr>
        <w:spacing w:after="0" w:line="61" w:lineRule="exact"/>
        <w:rPr>
          <w:sz w:val="20"/>
          <w:szCs w:val="20"/>
          <w:color w:val="auto"/>
        </w:rPr>
      </w:pPr>
    </w:p>
    <w:p>
      <w:pPr>
        <w:ind w:left="60" w:right="1019" w:firstLine="257"/>
        <w:spacing w:after="0" w:line="272" w:lineRule="auto"/>
        <w:rPr>
          <w:sz w:val="20"/>
          <w:szCs w:val="20"/>
          <w:color w:val="auto"/>
        </w:rPr>
      </w:pPr>
      <w:r>
        <w:rPr>
          <w:rFonts w:ascii="Arial" w:cs="Arial" w:eastAsia="Arial" w:hAnsi="Arial"/>
          <w:sz w:val="16"/>
          <w:szCs w:val="16"/>
          <w:color w:val="auto"/>
        </w:rPr>
        <w:t>In July 2007, we completed a phase 1b clinical trial which examined the ability of BL-1020 to bind dopamine receptors in the brain. The level of dopamine receptors binding in the brain is directly related to antipsychotic efficacy. This study was conducted pursuant to an FDA IND application process and an application to conduct clinical trials in Sweden that was submitted to the Swedish Ministry of Health. The study investigated the ability of BL-1020 to bind dopamine receptors in the human brain and provided additional safety and tolerability data. The study was a single-center, randomized, open label study performed on three dosage groups, each with four healthy volunteers who received a single dose of either 10mg, 15mg or 20mg of BL-1020. We assessed receptor occupancy using positron emission tomography, or a PET scan, that is able to register the activity of various parts of the brain following the administration of a labeled dopamine binder. The data derived from the study demonstrated a dose dependent increase in dopamine binding with computer modeling showing receptor occupancy of between 80% and 90% at the 20mg dose upon repeated administrations. The antipsychotic efficacy of dopamine blockers is presumed to occur at dopamine binding levels of 65% or more. BL-1020 did not produce any significant changes in the subjects’ electrocardiogram test results, vital signs, clinical chemistry levels or hematology levels.</w:t>
      </w:r>
    </w:p>
    <w:p>
      <w:pPr>
        <w:spacing w:after="0" w:line="70" w:lineRule="exact"/>
        <w:rPr>
          <w:sz w:val="20"/>
          <w:szCs w:val="20"/>
          <w:color w:val="auto"/>
        </w:rPr>
      </w:pPr>
    </w:p>
    <w:p>
      <w:pPr>
        <w:ind w:left="60" w:right="1119" w:firstLine="257"/>
        <w:spacing w:after="0" w:line="259" w:lineRule="auto"/>
        <w:rPr>
          <w:sz w:val="20"/>
          <w:szCs w:val="20"/>
          <w:color w:val="auto"/>
        </w:rPr>
      </w:pPr>
      <w:r>
        <w:rPr>
          <w:rFonts w:ascii="Arial" w:cs="Arial" w:eastAsia="Arial" w:hAnsi="Arial"/>
          <w:sz w:val="17"/>
          <w:szCs w:val="17"/>
          <w:color w:val="auto"/>
        </w:rPr>
        <w:t>In October 2006, we completed a phase 1 clinical trial conducted under the supervision of the Israel Ministry of Health. The study was a single dose escalating, double blind, placebo controlled trial. Six dosage groups of BL-1020 were tested, 2.5mg, 5mg, 10mg, 15mg, 20mg and 25mg. Each group consisted of eight volunteers with two receiving a placebo and six receiving BL-1020. The study subjects exhibited no cardiac, neurological or psychological side effects. We believe that the findings are indicative of the safety and tolerability of BL-1020.</w:t>
      </w:r>
    </w:p>
    <w:p>
      <w:pPr>
        <w:spacing w:after="0" w:line="77" w:lineRule="exact"/>
        <w:rPr>
          <w:sz w:val="20"/>
          <w:szCs w:val="20"/>
          <w:color w:val="auto"/>
        </w:rPr>
      </w:pPr>
    </w:p>
    <w:p>
      <w:pPr>
        <w:ind w:left="60" w:right="1259" w:firstLine="257"/>
        <w:spacing w:after="0" w:line="261" w:lineRule="auto"/>
        <w:rPr>
          <w:sz w:val="20"/>
          <w:szCs w:val="20"/>
          <w:color w:val="auto"/>
        </w:rPr>
      </w:pPr>
      <w:r>
        <w:rPr>
          <w:rFonts w:ascii="Arial" w:cs="Arial" w:eastAsia="Arial" w:hAnsi="Arial"/>
          <w:sz w:val="17"/>
          <w:szCs w:val="17"/>
          <w:color w:val="auto"/>
        </w:rPr>
        <w:t>Extensive preclinical testing indicated that BL-1020 successfully demonstrated antipsychotic efficacy in animal models of schizophrenia and did not cause Extra-Pyramidal Side Effects at the therapeutic levels. Preclinical studies also demonstrated the potential for BL-1020 to improve cognition and provided support for our belief that the GABAergic effects of the compound resulted in cognitive improvement.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BL-1040</w:t>
      </w:r>
    </w:p>
    <w:p>
      <w:pPr>
        <w:spacing w:after="0" w:line="113"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BL-1040 is a novel resorbable polymer solution being developed to prevent the cardiac remodeling that may occur in patients that suffered an AMI. AMIs result from an occlusion in the coronary artery and affects the left ventricle of the heart, or the LV. Patients with severe injury to the LV may be at risk for developing harmful changes in the size, shape and function of the LV, or cardiac remodeling, that may lead to congestive heart failure (CHF). In the clinical trial, BL-1040 is administered via the coronary artery and flows into the damaged heart muscle. The liquid BL-1040 transforms into a gel within the infarcted cardiac tissue and forms a “scaffold” that supports, retains the shape of, and enhances the mechanical strength of the heart muscle during recovery and repair, which we believe prevents the pathological enlargement of the ventricle following an AMI. By supporting the damaged heart tissue during the natural healing process, we expect that BL-1040 will prevent the progressive ventricle enlargement that often follows AMIs. After discussions between Ikaria and each of the FDA and European regulatory agencies, it has been determined that BL-1040 should be developed as a medical device, specifically under the PMA pathway in the United States. There can be no assurance, however, that the FDA or comparable foreign agencies will not determine that BL-1040 needs to be assessed as a drug instead of a medical device.</w:t>
      </w:r>
    </w:p>
    <w:p>
      <w:pPr>
        <w:spacing w:after="0" w:line="70" w:lineRule="exact"/>
        <w:rPr>
          <w:sz w:val="20"/>
          <w:szCs w:val="20"/>
          <w:color w:val="auto"/>
        </w:rPr>
      </w:pPr>
    </w:p>
    <w:p>
      <w:pPr>
        <w:ind w:left="60" w:right="1139" w:firstLine="257"/>
        <w:spacing w:after="0" w:line="259" w:lineRule="auto"/>
        <w:rPr>
          <w:sz w:val="20"/>
          <w:szCs w:val="20"/>
          <w:color w:val="auto"/>
        </w:rPr>
      </w:pPr>
      <w:r>
        <w:rPr>
          <w:rFonts w:ascii="Arial" w:cs="Arial" w:eastAsia="Arial" w:hAnsi="Arial"/>
          <w:sz w:val="17"/>
          <w:szCs w:val="17"/>
          <w:color w:val="auto"/>
        </w:rPr>
        <w:t>BL-1040 is being developed to treat patients that suffered an AMI and are at a high risk to develop significant cardiac remodeling. Based on our review of data regarding the incidence of myocardial infarctions in the United States, we believe that in 2009, approximately 400,000 people in the United States will have been at risk of significant cardiac remodeling after an AMI. Prevention of cardiac remodeling may prevent transition to congestive heart failure and/or improve patient survival over the long term.</w:t>
      </w: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We believe that BL-1040 is a novel, safe and non-surgical treatment for patients who suffered heart attacks and are at risk for cardiac remodeling and CHF. We believe that the transformation of BL-1040 into a gel is a result of the polymer chains’ interaction with elevated levels of calcium ions present at the injury site. We believe that as the heart heals, there is a natural decrease in the calcium concentration causing the BL-1040 to transform back to liquid form and then be excreted naturally from the body within six weeks of injection. The data from our preclinical trials indicate that treatment with BL-1040 preserves the normal functioning of the heart.</w:t>
      </w:r>
    </w:p>
    <w:p>
      <w:pPr>
        <w:spacing w:after="0" w:line="82"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We obtained a worldwide, exclusive license for BL-1040 from B.G. Negev Technologies to research, develop, market and sell BL-1040 and are required to pay B.G. Negev Technologies 28% of the revenues we receive as consideration in connection with any sublicensing, co-marketing or co-promotion, or a permitted assignment, of BL-1040, which includes the revenues we have received, and expect to receive, under our out-licensing agreement with Ikaria. See “Item 4. Information on the</w:t>
      </w:r>
    </w:p>
    <w:p>
      <w:pPr>
        <w:ind w:left="60" w:right="1139"/>
        <w:spacing w:after="0" w:line="255" w:lineRule="auto"/>
        <w:rPr>
          <w:sz w:val="20"/>
          <w:szCs w:val="20"/>
          <w:color w:val="auto"/>
        </w:rPr>
      </w:pPr>
      <w:r>
        <w:rPr>
          <w:rFonts w:ascii="Arial" w:cs="Arial" w:eastAsia="Arial" w:hAnsi="Arial"/>
          <w:sz w:val="17"/>
          <w:szCs w:val="17"/>
          <w:color w:val="auto"/>
        </w:rPr>
        <w:t>Company — Business Overview — In-Licensing Agreements — BL-1040.”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 We have also agreed to indemnify Ramot and certain of its related parties in connection with our use of the technology we in-licensed from B.G. Negev Technologies.</w:t>
      </w:r>
    </w:p>
    <w:p>
      <w:pPr>
        <w:spacing w:after="0" w:line="83" w:lineRule="exact"/>
        <w:rPr>
          <w:sz w:val="20"/>
          <w:szCs w:val="20"/>
          <w:color w:val="auto"/>
        </w:rPr>
      </w:pPr>
    </w:p>
    <w:p>
      <w:pPr>
        <w:ind w:left="60" w:right="1099" w:firstLine="257"/>
        <w:spacing w:after="0" w:line="291" w:lineRule="auto"/>
        <w:rPr>
          <w:sz w:val="20"/>
          <w:szCs w:val="20"/>
          <w:color w:val="auto"/>
        </w:rPr>
      </w:pPr>
      <w:r>
        <w:rPr>
          <w:rFonts w:ascii="Arial" w:cs="Arial" w:eastAsia="Arial" w:hAnsi="Arial"/>
          <w:sz w:val="15"/>
          <w:szCs w:val="15"/>
          <w:i w:val="1"/>
          <w:iCs w:val="1"/>
          <w:color w:val="auto"/>
        </w:rPr>
        <w:t xml:space="preserve">Acute Myocardial Infarction. </w:t>
      </w:r>
      <w:r>
        <w:rPr>
          <w:rFonts w:ascii="Arial" w:cs="Arial" w:eastAsia="Arial" w:hAnsi="Arial"/>
          <w:sz w:val="15"/>
          <w:szCs w:val="15"/>
          <w:color w:val="auto"/>
        </w:rPr>
        <w:t>AMI is a leading cause of mortality and morbidity among both men and women. Statistical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estimates from the American Heart Association indicate that approximately 1.0 million cases of nonfatal myocardial infarction are reported each year in the United States alone. AMI is caused by a severe narrowing of coronary arteries, known as atherosclerotic occlusion, often exacerbated by the formation of clots. The narrowing and/or blockage in the coronary artery disrupts the blood supply to cardiac tissue, resulting in extensive cell death that constitutes the AMI. As a result, the affected region of the heart muscle is generally replaced by scar tissue over a six-to eight-week period. The scarred region often dilates progressively in the days and months following an AMI, leading to abnormalities in heart chamber shape, size and functional capacity as described in an article by Paul W.M. Fedak published in 2005 in the journal </w:t>
      </w:r>
      <w:r>
        <w:rPr>
          <w:rFonts w:ascii="Arial" w:cs="Arial" w:eastAsia="Arial" w:hAnsi="Arial"/>
          <w:sz w:val="15"/>
          <w:szCs w:val="15"/>
          <w:i w:val="1"/>
          <w:iCs w:val="1"/>
          <w:color w:val="auto"/>
        </w:rPr>
        <w:t>Cardiovascular Pathology</w:t>
      </w:r>
      <w:r>
        <w:rPr>
          <w:rFonts w:ascii="Arial" w:cs="Arial" w:eastAsia="Arial" w:hAnsi="Arial"/>
          <w:sz w:val="15"/>
          <w:szCs w:val="15"/>
          <w:color w:val="auto"/>
        </w:rPr>
        <w:t>. Those surviving the acute phase of an AMI (i.e., the first 30 days) are at greater risk for sudden death due to arrhythmias and progressive congestive heart failure. There are a number of different approaches to prevent cardiac remodeling that have been, or currently are, the subject of preclinical and clinical trials. Certain medications, including ACE inhibitors and beta-blockers have been shown to reduce cardiac remodeling. Despite the wide use of these medications, based on our review of data regarding patients with large anterior infarcts, at least 20% of those patients may progress to heart failure due to cardiac remodeling and a subsequent reduction in ejection fraction, or the fraction of blood pumped out of a ventricle with each heart beat.</w:t>
      </w:r>
    </w:p>
    <w:p>
      <w:pPr>
        <w:spacing w:after="0" w:line="265"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i w:val="1"/>
          <w:iCs w:val="1"/>
          <w:color w:val="auto"/>
        </w:rPr>
        <w:t xml:space="preserve">Development and Commercialization Arrangement. </w:t>
      </w:r>
      <w:r>
        <w:rPr>
          <w:rFonts w:ascii="Arial" w:cs="Arial" w:eastAsia="Arial" w:hAnsi="Arial"/>
          <w:sz w:val="15"/>
          <w:szCs w:val="15"/>
          <w:color w:val="auto"/>
        </w:rPr>
        <w:t>In July 2009, we entered into a licensing arrangement with Ikaria which</w:t>
      </w:r>
      <w:r>
        <w:rPr>
          <w:rFonts w:ascii="Arial" w:cs="Arial" w:eastAsia="Arial" w:hAnsi="Arial"/>
          <w:sz w:val="15"/>
          <w:szCs w:val="15"/>
          <w:i w:val="1"/>
          <w:iCs w:val="1"/>
          <w:color w:val="auto"/>
        </w:rPr>
        <w:t xml:space="preserve"> </w:t>
      </w:r>
      <w:r>
        <w:rPr>
          <w:rFonts w:ascii="Arial" w:cs="Arial" w:eastAsia="Arial" w:hAnsi="Arial"/>
          <w:sz w:val="15"/>
          <w:szCs w:val="15"/>
          <w:color w:val="auto"/>
        </w:rPr>
        <w:t>was amended and restated in August 2009. Under the amended and restated license and commercialization agreement, we granted Ikaria an exclusive, worldwide license to develop, manufacture and commercialize BL-1040 for use in the prevention, mitigation and treatment of injury to the myocardial tissue of the heart. Ikaria is obligated to use commercially reasonable efforts to complete clinical development of, and to commercialize, BL-1040 or a product related thereto. We were responsible for the costs of the completed phase 1/2 trial. Ikaria is responsible for the costs associated with conducting all other development and regulatory activities of BL-1040, including those costs relating to the completion of its clinical development, the conduct and funding of its commercialization and the prosecution and maintenance of patents. We have received $17.0 million from Ikaria, subject to U.S. withholding tax of approximately $1.5 million, and we are entitled to receive up to an additional $265.5 million from Ikaria upon achievement of certain development, regulatory, and commercial milestones. In addition, we are entitled to receive from Ikaria royalties from net sales of any product developed under the agreement ranging from 11% to 15%, depending on net sales levels achieved by Ikaria, and its affiliates and sublicensees. However, if Ikaria is required to obtain a license from a third party in order to exercise its rights under the agreement with Ikaria, the royalty we receive on net sales may be less than 11%.</w:t>
      </w:r>
    </w:p>
    <w:p>
      <w:pPr>
        <w:spacing w:after="0" w:line="200" w:lineRule="exact"/>
        <w:rPr>
          <w:sz w:val="20"/>
          <w:szCs w:val="20"/>
          <w:color w:val="auto"/>
        </w:rPr>
      </w:pPr>
    </w:p>
    <w:p>
      <w:pPr>
        <w:spacing w:after="0" w:line="284"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71" w:lineRule="auto"/>
        <w:rPr>
          <w:sz w:val="20"/>
          <w:szCs w:val="20"/>
          <w:color w:val="auto"/>
        </w:rPr>
      </w:pPr>
      <w:r>
        <w:rPr>
          <w:rFonts w:ascii="Arial" w:cs="Arial" w:eastAsia="Arial" w:hAnsi="Arial"/>
          <w:sz w:val="16"/>
          <w:szCs w:val="16"/>
          <w:i w:val="1"/>
          <w:iCs w:val="1"/>
          <w:color w:val="auto"/>
        </w:rPr>
        <w:t xml:space="preserve">Clinical and Preclinical Results. </w:t>
      </w:r>
      <w:r>
        <w:rPr>
          <w:rFonts w:ascii="Arial" w:cs="Arial" w:eastAsia="Arial" w:hAnsi="Arial"/>
          <w:sz w:val="16"/>
          <w:szCs w:val="16"/>
          <w:color w:val="auto"/>
        </w:rPr>
        <w:t>We commenced a pilot phase 1/2 multi-center open label study of BL-1040 in March 2009.</w:t>
      </w:r>
      <w:r>
        <w:rPr>
          <w:rFonts w:ascii="Arial" w:cs="Arial" w:eastAsia="Arial" w:hAnsi="Arial"/>
          <w:sz w:val="16"/>
          <w:szCs w:val="16"/>
          <w:i w:val="1"/>
          <w:iCs w:val="1"/>
          <w:color w:val="auto"/>
        </w:rPr>
        <w:t xml:space="preserve"> </w:t>
      </w:r>
      <w:r>
        <w:rPr>
          <w:rFonts w:ascii="Arial" w:cs="Arial" w:eastAsia="Arial" w:hAnsi="Arial"/>
          <w:sz w:val="16"/>
          <w:szCs w:val="16"/>
          <w:color w:val="auto"/>
        </w:rPr>
        <w:t>The phase 1/2 study was designed to assess the safety and feasibility of BL-1040 in up to 30 patients. The trial was conducted in nine sites in Germany and Belgium. The trial was completed in January 2010. In the trial, 27 patients were successfully treated with BL-1040 with no device-related clinically significant complications, arrhythmia, elevations in cardiac enzymes or occlusions. On February 24, 2010, we received the final assessment of the Independent Safety Monitoring Board, or ISMB. The ISMB’s conclusions, relating to the 27 patients who participated in the study and completed a six-month follow-up period, indicated that the treatment is safe and that it would be appropriate to continue clinical development of the device. The FDA must approve an investigational drug exemption (IDE) for BL-1040 before human clinical trials of BL-1040 can be conducted in the United States. Ikaria reports that it plans to conduct two clinical trials, the first of which it expects to commence in 2011. The first, a pivotal clinical trial, which Ikaria anticipates commencing in the second half of 2011, is expected to be designed to evaluate the safety and effectiveness of BL-1040 for the prevention of ventricular remodeling and CHF when administered following an AMI. The trial is expected to be a placebo-controlled double-blind trial including approximately 270-patients. According to Ikaria, these patients will be treated with BL-1040 following an AMI and will then be monitored for six months. The second is a pivotal clinical trial which Ikaria expects will commence after the first pivotal clinical trial.</w:t>
      </w:r>
    </w:p>
    <w:p>
      <w:pPr>
        <w:spacing w:after="0" w:line="76" w:lineRule="exact"/>
        <w:rPr>
          <w:sz w:val="20"/>
          <w:szCs w:val="20"/>
          <w:color w:val="auto"/>
        </w:rPr>
      </w:pPr>
    </w:p>
    <w:p>
      <w:pPr>
        <w:ind w:left="60" w:right="1139" w:firstLine="257"/>
        <w:spacing w:after="0" w:line="277" w:lineRule="auto"/>
        <w:rPr>
          <w:sz w:val="20"/>
          <w:szCs w:val="20"/>
          <w:color w:val="auto"/>
        </w:rPr>
      </w:pPr>
      <w:r>
        <w:rPr>
          <w:rFonts w:ascii="Arial" w:cs="Arial" w:eastAsia="Arial" w:hAnsi="Arial"/>
          <w:sz w:val="16"/>
          <w:szCs w:val="16"/>
          <w:color w:val="auto"/>
        </w:rPr>
        <w:t>Prior to initiating the phase 1/2 study, we evaluated BL-1040 in preclinical safety, biocompatibility, and efficacy studies conducted in accordance with FDA recommendations. The safety and biocompatibility studies demonstrated that the anticipated human dosages are not expected to produce significant local or systemic toxicity. Preclinical efficacy studies in rat, dog and pig models of AMI showed that BL-1040 administered immediately following an AMI and up to seven days after the AMI provides long-term protection to the heart tissue by preventing progressive LV dilation. Our preclinical dog studies have also indicated that BL-1040 may improve survival rates following a significant AMI.</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BL-5010</w:t>
      </w:r>
    </w:p>
    <w:p>
      <w:pPr>
        <w:spacing w:after="0" w:line="113" w:lineRule="exact"/>
        <w:rPr>
          <w:sz w:val="20"/>
          <w:szCs w:val="20"/>
          <w:color w:val="auto"/>
        </w:rPr>
      </w:pPr>
    </w:p>
    <w:p>
      <w:pPr>
        <w:ind w:left="60" w:right="999" w:firstLine="257"/>
        <w:spacing w:after="0" w:line="295" w:lineRule="auto"/>
        <w:rPr>
          <w:sz w:val="20"/>
          <w:szCs w:val="20"/>
          <w:color w:val="auto"/>
        </w:rPr>
      </w:pPr>
      <w:r>
        <w:rPr>
          <w:rFonts w:ascii="Arial" w:cs="Arial" w:eastAsia="Arial" w:hAnsi="Arial"/>
          <w:sz w:val="15"/>
          <w:szCs w:val="15"/>
          <w:color w:val="auto"/>
        </w:rPr>
        <w:t>BL-5010 is a novel formulation composed of two organic acids being developed for the removal of skin lesions in a nonsurgical manner. Other formulations of the components of BL-5010 have already been approved for use in cosmetics. If approved, BL-5010 would be a convenient alternative to invasive, painful and expensive removal treatments for skin lesions and may allow for histological examination. Because treatment with BL-5010 is non-invasive, we believe BL-5010 poses minimal infection risk, and requires no anesthesia or bandaging. BL-5010 is applied topically on a skin lesion with a wood applicator for a few minutes and causes the lesion to dry out gradually and shed from the skin within a few weeks. We in-licensed the exclusive, worldwide rights to develop, market and sell BL-5010 from IPC in November 2007. We are currently evaluating the most advantageous ways to progress with this therapeutic candidate from a regulatory, clinical and business perspective.</w:t>
      </w:r>
    </w:p>
    <w:p>
      <w:pPr>
        <w:spacing w:after="0" w:line="53" w:lineRule="exact"/>
        <w:rPr>
          <w:sz w:val="20"/>
          <w:szCs w:val="20"/>
          <w:color w:val="auto"/>
        </w:rPr>
      </w:pPr>
    </w:p>
    <w:p>
      <w:pPr>
        <w:ind w:left="60" w:right="999" w:firstLine="257"/>
        <w:spacing w:after="0" w:line="296" w:lineRule="auto"/>
        <w:rPr>
          <w:sz w:val="20"/>
          <w:szCs w:val="20"/>
          <w:color w:val="auto"/>
        </w:rPr>
      </w:pPr>
      <w:r>
        <w:rPr>
          <w:rFonts w:ascii="Arial" w:cs="Arial" w:eastAsia="Arial" w:hAnsi="Arial"/>
          <w:sz w:val="15"/>
          <w:szCs w:val="15"/>
          <w:i w:val="1"/>
          <w:iCs w:val="1"/>
          <w:color w:val="auto"/>
        </w:rPr>
        <w:t>Skin Lesions</w:t>
      </w:r>
      <w:r>
        <w:rPr>
          <w:rFonts w:ascii="Arial" w:cs="Arial" w:eastAsia="Arial" w:hAnsi="Arial"/>
          <w:sz w:val="15"/>
          <w:szCs w:val="15"/>
          <w:color w:val="auto"/>
        </w:rPr>
        <w:t>. Clinically diagnosed benign skin lesions, or a growth or patch of skin that does not resemble the area surrounding</w:t>
      </w:r>
      <w:r>
        <w:rPr>
          <w:rFonts w:ascii="Arial" w:cs="Arial" w:eastAsia="Arial" w:hAnsi="Arial"/>
          <w:sz w:val="15"/>
          <w:szCs w:val="15"/>
          <w:i w:val="1"/>
          <w:iCs w:val="1"/>
          <w:color w:val="auto"/>
        </w:rPr>
        <w:t xml:space="preserve"> </w:t>
      </w:r>
      <w:r>
        <w:rPr>
          <w:rFonts w:ascii="Arial" w:cs="Arial" w:eastAsia="Arial" w:hAnsi="Arial"/>
          <w:sz w:val="15"/>
          <w:szCs w:val="15"/>
          <w:color w:val="auto"/>
        </w:rPr>
        <w:t>it, are very common and often constitute a cosmetic and functional annoyance. Moles and warts are examples of skin lesions. Currently, skin lesions are removed using either cryotherapy (liquid nitrogen), electro-coagulation (electrical burning), laser treatments or through surgery. Cryotherapy, electro-coagulation and laser treatments do not preserve the lesions’ cellular structure and are used for removing benign superficial lesions. These methods are often associated with pain and inflammation that can last for several months. Surgery is used when histological examination of skin lesions is required. Surgery has to be conducted under sterile conditions and requires anesthesia. Furthermore, the cosmetic outcome of surgical removal is generally undesirable.</w:t>
      </w:r>
    </w:p>
    <w:p>
      <w:pPr>
        <w:spacing w:after="0" w:line="54" w:lineRule="exact"/>
        <w:rPr>
          <w:sz w:val="20"/>
          <w:szCs w:val="20"/>
          <w:color w:val="auto"/>
        </w:rPr>
      </w:pPr>
    </w:p>
    <w:p>
      <w:pPr>
        <w:ind w:left="60" w:right="1039" w:firstLine="257"/>
        <w:spacing w:after="0" w:line="275" w:lineRule="auto"/>
        <w:rPr>
          <w:sz w:val="20"/>
          <w:szCs w:val="20"/>
          <w:color w:val="auto"/>
        </w:rPr>
      </w:pPr>
      <w:r>
        <w:rPr>
          <w:rFonts w:ascii="Arial" w:cs="Arial" w:eastAsia="Arial" w:hAnsi="Arial"/>
          <w:sz w:val="16"/>
          <w:szCs w:val="16"/>
          <w:i w:val="1"/>
          <w:iCs w:val="1"/>
          <w:color w:val="auto"/>
        </w:rPr>
        <w:t>Clinical Trial</w:t>
      </w:r>
      <w:r>
        <w:rPr>
          <w:rFonts w:ascii="Arial" w:cs="Arial" w:eastAsia="Arial" w:hAnsi="Arial"/>
          <w:sz w:val="16"/>
          <w:szCs w:val="16"/>
          <w:color w:val="auto"/>
        </w:rPr>
        <w:t>. In June 2009, we announced the initiation of a phase 1/2 clinical trial in 60 patients with seborrheic keratosis in</w:t>
      </w:r>
      <w:r>
        <w:rPr>
          <w:rFonts w:ascii="Arial" w:cs="Arial" w:eastAsia="Arial" w:hAnsi="Arial"/>
          <w:sz w:val="16"/>
          <w:szCs w:val="16"/>
          <w:i w:val="1"/>
          <w:iCs w:val="1"/>
          <w:color w:val="auto"/>
        </w:rPr>
        <w:t xml:space="preserve"> </w:t>
      </w:r>
      <w:r>
        <w:rPr>
          <w:rFonts w:ascii="Arial" w:cs="Arial" w:eastAsia="Arial" w:hAnsi="Arial"/>
          <w:sz w:val="16"/>
          <w:szCs w:val="16"/>
          <w:color w:val="auto"/>
        </w:rPr>
        <w:t>Germany and the Netherlands to assess the safety and efficacy of BL-5010 in completely removing the lesion and to assess the cosmetic outcome of the novel treatment. In addition, the study was designed to assess the feasibility of preserving the cellular structure of skin lesions for subsequent histological exams. The study was completed in September 2010, and positive results were announced in December, 2010. The results of the trial show that for 96.7% of patients, the treated lesion fell off within 30 days of a single application of BL-5010. The results also showed that BL-5010 has a good safety profile, as no persistent irreversible adverse effects were observed at the treated site. None of the patients reported</w:t>
      </w:r>
    </w:p>
    <w:p>
      <w:pPr>
        <w:spacing w:after="0" w:line="200" w:lineRule="exact"/>
        <w:rPr>
          <w:sz w:val="20"/>
          <w:szCs w:val="20"/>
          <w:color w:val="auto"/>
        </w:rPr>
      </w:pPr>
    </w:p>
    <w:p>
      <w:pPr>
        <w:spacing w:after="0" w:line="30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spacing w:after="0" w:line="277" w:lineRule="auto"/>
        <w:rPr>
          <w:sz w:val="20"/>
          <w:szCs w:val="20"/>
          <w:color w:val="auto"/>
        </w:rPr>
      </w:pPr>
      <w:r>
        <w:rPr>
          <w:rFonts w:ascii="Arial" w:cs="Arial" w:eastAsia="Arial" w:hAnsi="Arial"/>
          <w:sz w:val="16"/>
          <w:szCs w:val="16"/>
          <w:color w:val="auto"/>
        </w:rPr>
        <w:t>moderate or severe drug-related adverse events. Mild adverse events reported included skin and subcutaneous tissue disorders (n=5, 8.3%) and general and administration site disorders (n=2, 3.3%). Pruritus was the only drug-related adverse event reported by more than two patients (n=4, 6.7%). In addition, most of the investigators and patients who participated in the trial reported that they were very satisfied with the cosmetic outcome of the treatment (94.6% of the investigators and 84% of the patients stated that the results were good or excellent 180 days following treatment). In addition, histological examination of treated lesions indicate BL-5010’s efficacy in preserving the cellular structure of treated lesions.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BL-1021</w:t>
      </w:r>
    </w:p>
    <w:p>
      <w:pPr>
        <w:spacing w:after="0" w:line="113" w:lineRule="exact"/>
        <w:rPr>
          <w:sz w:val="20"/>
          <w:szCs w:val="20"/>
          <w:color w:val="auto"/>
        </w:rPr>
      </w:pPr>
    </w:p>
    <w:p>
      <w:pPr>
        <w:ind w:left="60" w:right="1319" w:firstLine="257"/>
        <w:spacing w:after="0" w:line="261" w:lineRule="auto"/>
        <w:rPr>
          <w:sz w:val="20"/>
          <w:szCs w:val="20"/>
          <w:color w:val="auto"/>
        </w:rPr>
      </w:pPr>
      <w:r>
        <w:rPr>
          <w:rFonts w:ascii="Arial" w:cs="Arial" w:eastAsia="Arial" w:hAnsi="Arial"/>
          <w:sz w:val="17"/>
          <w:szCs w:val="17"/>
          <w:color w:val="auto"/>
        </w:rPr>
        <w:t xml:space="preserve">BL-1021 is a new chemical entity in development for the treatment of neuropathic pain, or pain that results from damage to nerve fibers. Multiple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studies have the safety and efficacy of BL-1021. We licensed exclusive, worldwide rights to research, develop and commercialize BL-1021 from Bar Ilan Research and Development and Ramot.</w:t>
      </w:r>
    </w:p>
    <w:p>
      <w:pPr>
        <w:spacing w:after="0" w:line="76" w:lineRule="exact"/>
        <w:rPr>
          <w:sz w:val="20"/>
          <w:szCs w:val="20"/>
          <w:color w:val="auto"/>
        </w:rPr>
      </w:pPr>
    </w:p>
    <w:p>
      <w:pPr>
        <w:ind w:left="60" w:right="1039" w:firstLine="257"/>
        <w:spacing w:after="0" w:line="255" w:lineRule="auto"/>
        <w:rPr>
          <w:sz w:val="20"/>
          <w:szCs w:val="20"/>
          <w:color w:val="auto"/>
        </w:rPr>
      </w:pPr>
      <w:r>
        <w:rPr>
          <w:rFonts w:ascii="Arial" w:cs="Arial" w:eastAsia="Arial" w:hAnsi="Arial"/>
          <w:sz w:val="17"/>
          <w:szCs w:val="17"/>
          <w:i w:val="1"/>
          <w:iCs w:val="1"/>
          <w:color w:val="auto"/>
        </w:rPr>
        <w:t>Neuropathic Pain</w:t>
      </w:r>
      <w:r>
        <w:rPr>
          <w:rFonts w:ascii="Arial" w:cs="Arial" w:eastAsia="Arial" w:hAnsi="Arial"/>
          <w:sz w:val="17"/>
          <w:szCs w:val="17"/>
          <w:color w:val="auto"/>
        </w:rPr>
        <w:t>. Neuropathic pain is a complex, chronic state of pain that results from dysfunctional or injured nerve fibers.</w:t>
      </w:r>
      <w:r>
        <w:rPr>
          <w:rFonts w:ascii="Arial" w:cs="Arial" w:eastAsia="Arial" w:hAnsi="Arial"/>
          <w:sz w:val="17"/>
          <w:szCs w:val="17"/>
          <w:i w:val="1"/>
          <w:iCs w:val="1"/>
          <w:color w:val="auto"/>
        </w:rPr>
        <w:t xml:space="preserve"> </w:t>
      </w:r>
      <w:r>
        <w:rPr>
          <w:rFonts w:ascii="Arial" w:cs="Arial" w:eastAsia="Arial" w:hAnsi="Arial"/>
          <w:sz w:val="17"/>
          <w:szCs w:val="17"/>
          <w:color w:val="auto"/>
        </w:rPr>
        <w:t>Over time, the body establishes recurring “pain signaling cycles” that persist for a long time after the healing of the nerve injury that first caused the pain. Neuropathic pain is associated with various conditions, including shingles and diabetes, and, according to a 2008 DataMonitor report, neuropathic pain affects 1% to 3% of the population. According to a 2011 DataMonitor report, the market for neuropathic pain treatments was $2.4 billion (in the seven major markets — the United States, Japan, France, Germany, Italy, Spain, and the United Kingdom) and is expected to reach $4.1 billion in 2018. Neuropathic pain may cause extreme discomfort for extended periods of time. Patients describe the symptoms as burning, stabbing, electric shock or itching sensations. Medical professionals treat neuropathic pain with a variety of medications, including the antidepressants amitriptyline and duloxetine and the anti-seizure medicine gabapentin. However, these medications have significant side effects and are not always effective.</w:t>
      </w:r>
    </w:p>
    <w:p>
      <w:pPr>
        <w:spacing w:after="0" w:line="84" w:lineRule="exact"/>
        <w:rPr>
          <w:sz w:val="20"/>
          <w:szCs w:val="20"/>
          <w:color w:val="auto"/>
        </w:rPr>
      </w:pPr>
    </w:p>
    <w:p>
      <w:pPr>
        <w:ind w:left="60" w:right="1199" w:firstLine="257"/>
        <w:spacing w:after="0" w:line="317" w:lineRule="auto"/>
        <w:rPr>
          <w:sz w:val="20"/>
          <w:szCs w:val="20"/>
          <w:color w:val="auto"/>
        </w:rPr>
      </w:pPr>
      <w:r>
        <w:rPr>
          <w:rFonts w:ascii="Arial" w:cs="Arial" w:eastAsia="Arial" w:hAnsi="Arial"/>
          <w:sz w:val="15"/>
          <w:szCs w:val="15"/>
          <w:i w:val="1"/>
          <w:iCs w:val="1"/>
          <w:color w:val="auto"/>
        </w:rPr>
        <w:t>Preclinical Results</w:t>
      </w:r>
      <w:r>
        <w:rPr>
          <w:rFonts w:ascii="Arial" w:cs="Arial" w:eastAsia="Arial" w:hAnsi="Arial"/>
          <w:sz w:val="15"/>
          <w:szCs w:val="15"/>
          <w:color w:val="auto"/>
        </w:rPr>
        <w:t>. The efficacy of BL-1021 has been demonstrated in preclinical studies. BL-1021 showed significant</w:t>
      </w:r>
      <w:r>
        <w:rPr>
          <w:rFonts w:ascii="Arial" w:cs="Arial" w:eastAsia="Arial" w:hAnsi="Arial"/>
          <w:sz w:val="15"/>
          <w:szCs w:val="15"/>
          <w:i w:val="1"/>
          <w:iCs w:val="1"/>
          <w:color w:val="auto"/>
        </w:rPr>
        <w:t xml:space="preserve"> </w:t>
      </w:r>
      <w:r>
        <w:rPr>
          <w:rFonts w:ascii="Arial" w:cs="Arial" w:eastAsia="Arial" w:hAnsi="Arial"/>
          <w:sz w:val="15"/>
          <w:szCs w:val="15"/>
          <w:color w:val="auto"/>
        </w:rPr>
        <w:t>reduction in symptoms of neuropathic pain with reduced side effects in animal models. The BL-1021 molecule was administered orally in such animal studies and was found to be superior to available treatments in efficacy and/or side effect measures.</w:t>
      </w:r>
    </w:p>
    <w:p>
      <w:pPr>
        <w:spacing w:after="0" w:line="37" w:lineRule="exact"/>
        <w:rPr>
          <w:sz w:val="20"/>
          <w:szCs w:val="20"/>
          <w:color w:val="auto"/>
        </w:rPr>
      </w:pPr>
    </w:p>
    <w:p>
      <w:pPr>
        <w:ind w:left="60" w:right="1019" w:firstLine="257"/>
        <w:spacing w:after="0" w:line="259" w:lineRule="auto"/>
        <w:rPr>
          <w:sz w:val="20"/>
          <w:szCs w:val="20"/>
          <w:color w:val="auto"/>
        </w:rPr>
      </w:pPr>
      <w:r>
        <w:rPr>
          <w:rFonts w:ascii="Arial" w:cs="Arial" w:eastAsia="Arial" w:hAnsi="Arial"/>
          <w:sz w:val="17"/>
          <w:szCs w:val="17"/>
          <w:color w:val="auto"/>
        </w:rPr>
        <w:t>The initiation of clinical trials of BL-1021 in Israel was approved by the institutional review board, or Helsinki Committee, of a major medical institution in Israel in June 2010, and by the Israeli Ministry of Health in October 2010. In June 2011, we commenced a phase 1 clinical trial of BL-1021 in Israel, and commenced treatment of the first patient in the trial. The clinical trial is designed to study the safety and pharmacokinetic profile of BL-1021 in 56 healthy subjects. The subjects will be divided into seven groups, each group receiving either BL-1021 or a placebo.</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BL-7040</w:t>
      </w:r>
    </w:p>
    <w:p>
      <w:pPr>
        <w:spacing w:after="0" w:line="113"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color w:val="auto"/>
        </w:rPr>
        <w:t>BL-7040 is a novel polymer which we intend to develop for the treatment of IBD. It is an orally-available, synthetic oligonucleotide consisting of a sequence of nucleic acids, the building blocks of genetic material such as DNA, with unique dual activity. It has a specific agonist effect on a receptor involved in the immune system and inflammatory reactions called Toll-Like Receptor 9 (TLR-9). It also acts as a specific suppressor of acetylcholinesterase, a key enzyme involved in neurological pathways. This combined activity gives BL-7040 a unique combination of both neurological and anti-inflammatory properties and, accordingly, the potential to be used in disease states involving both inflammatory and neurodegenerative elements, such as IBD. In addition, BL-7040 has an indirect effect on the production of key pro-inflammatory compounds called cytokines as well as anti-inflammatory properties via modulation of macrophages.</w:t>
      </w:r>
    </w:p>
    <w:p>
      <w:pPr>
        <w:spacing w:after="0" w:line="69" w:lineRule="exact"/>
        <w:rPr>
          <w:sz w:val="20"/>
          <w:szCs w:val="20"/>
          <w:color w:val="auto"/>
        </w:rPr>
      </w:pPr>
    </w:p>
    <w:p>
      <w:pPr>
        <w:ind w:left="60" w:right="999" w:firstLine="257"/>
        <w:spacing w:after="0" w:line="282" w:lineRule="auto"/>
        <w:rPr>
          <w:sz w:val="20"/>
          <w:szCs w:val="20"/>
          <w:color w:val="auto"/>
        </w:rPr>
      </w:pPr>
      <w:r>
        <w:rPr>
          <w:rFonts w:ascii="Arial" w:cs="Arial" w:eastAsia="Arial" w:hAnsi="Arial"/>
          <w:sz w:val="16"/>
          <w:szCs w:val="16"/>
          <w:color w:val="auto"/>
        </w:rPr>
        <w:t>We in-licensed the exclusive, worldwide rights to develop, and/or sell BL-7040 from Yissum in June 2011. Yissum had previously out-licensed the compound to Ester Neurosciences who performed phase 1 safety and pharmacokinetics studies and a phase 2a study examining the efficacy of the compound for the treatment of Myasthenia Gravis, an autoimmune, neurodegenerative disease. We intend to develop the compound for the treatment of IBD and other inflammatory diseases.</w:t>
      </w:r>
    </w:p>
    <w:p>
      <w:pPr>
        <w:spacing w:after="0" w:line="200" w:lineRule="exact"/>
        <w:rPr>
          <w:sz w:val="20"/>
          <w:szCs w:val="20"/>
          <w:color w:val="auto"/>
        </w:rPr>
      </w:pPr>
    </w:p>
    <w:p>
      <w:pPr>
        <w:spacing w:after="0" w:line="28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i w:val="1"/>
          <w:iCs w:val="1"/>
          <w:color w:val="auto"/>
        </w:rPr>
        <w:t xml:space="preserve">Inflammatory Bowel Disease. </w:t>
      </w:r>
      <w:r>
        <w:rPr>
          <w:rFonts w:ascii="Arial" w:cs="Arial" w:eastAsia="Arial" w:hAnsi="Arial"/>
          <w:sz w:val="15"/>
          <w:szCs w:val="15"/>
          <w:color w:val="auto"/>
        </w:rPr>
        <w:t>IBD, including Crohn's disease and ulcerative colitis, is a chronic inflammatory gastrointestinal</w:t>
      </w:r>
      <w:r>
        <w:rPr>
          <w:rFonts w:ascii="Arial" w:cs="Arial" w:eastAsia="Arial" w:hAnsi="Arial"/>
          <w:sz w:val="15"/>
          <w:szCs w:val="15"/>
          <w:i w:val="1"/>
          <w:iCs w:val="1"/>
          <w:color w:val="auto"/>
        </w:rPr>
        <w:t xml:space="preserve"> </w:t>
      </w:r>
      <w:r>
        <w:rPr>
          <w:rFonts w:ascii="Arial" w:cs="Arial" w:eastAsia="Arial" w:hAnsi="Arial"/>
          <w:sz w:val="15"/>
          <w:szCs w:val="15"/>
          <w:color w:val="auto"/>
        </w:rPr>
        <w:t>disease characterized by chronic abdominal pain, discomfort, bloating and alteration of bowel habits. According to Datamonitor, in 2009 there were estimated to be 890,000 people with Crohn's disease, over half of them in the United States, and there are estimated to be 1.4 million cases of ulcerative colitis in the seven major markets. There are few specific treatment options available to treat IBD and many of the treatments are either insufficiently effective, very expensive or have serious side effects. Approved treatments include steroids, which treat inflammation, and immunomodulators, which have an effect on the immune system. Biologics, which are therapeutics that are created by biologic processes rather than chemical synthesis, especially anti-TNFs (tumor necrosis factors which are actively involved in the inflammatory process), have become critical induction and maintenance agents. Remicade (infliximab), a treatment marketed by Janssen Biotech, Inc., a Johnson &amp; Johnson company, Merck &amp; Co. and Mitsubishi Tanabe Pharma, is the first approved anti-TNF for the treatment of IBD and is considered the gold standard of treatment. However, it is administered by IV, has a black box warning for serious infections and cancer and, like other biologics, is very expensive. Another approved treatment for IBD is Humira (adalimumab), which is self-administered by sub-cutaneous injection, giving it an advantage over treatments with other forms of administration. Humira is marketed by Abbot Laboratories and Eisai Co. Sales of existing drugs to treat IBD are estimated by Datamonitor to be $3.5 billion annually in the seven major markets.</w:t>
      </w:r>
    </w:p>
    <w:p>
      <w:pPr>
        <w:spacing w:after="0" w:line="56"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i w:val="1"/>
          <w:iCs w:val="1"/>
          <w:color w:val="auto"/>
        </w:rPr>
        <w:t xml:space="preserve">Clinical and Preclinical Results. </w:t>
      </w:r>
      <w:r>
        <w:rPr>
          <w:rFonts w:ascii="Arial" w:cs="Arial" w:eastAsia="Arial" w:hAnsi="Arial"/>
          <w:sz w:val="16"/>
          <w:szCs w:val="16"/>
          <w:color w:val="auto"/>
        </w:rPr>
        <w:t>We plan to enter a phase 2 study of BL-7040 to evaluate the effectiveness of BL-7040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IBD during 2012. The phase 2a study conducted by Ester Neurosciences was a multi-national, multi-center, cross-over, double-blind study to compare the efficacy of three doses of BL-7040 (10, 20 and 40 mg). A total of 31 patients with a clinical diagnosis of Myasthenia Gravis (MG) according to the MG Foundation of America (MGFA) classification were enrolled in the study. The efficacy of the three doses of BL-7040 given orally once daily for one week was evaluated using changes in the Quantitative Myasthenia Gravis Test (QMG), a grading system used in the comparative analysis of therapeutic interventions for MG, between baseline and end of treatment. The improvements observed in patients at the end of each week for each dose level of BL-7040 were clinically and statistically significant compared to the baseline for that week. All three doses resulted in an improvement in the severity of the MG symptoms and appear superior to Mestinon, the current first line treatment for MG, with no adverse events reported.</w:t>
      </w:r>
    </w:p>
    <w:p>
      <w:pPr>
        <w:spacing w:after="0" w:line="68"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The phase 1b study conducted by Ester Neurosciences was an open label study to evaluate the safety and efficacy of escalating doses of BL-7040 administered orally to patients with MG. A total of 16 patients participated in the study. During the first day of treatment, each patient received 10 mcg/kg, 50 mcg/kg and 150 mcg/kg. During days two through four, patients received a daily dose of 500 mcg/kg. All of the patients completed the treatment and no major adverse events related to the study drug were reported.</w:t>
      </w:r>
    </w:p>
    <w:p>
      <w:pPr>
        <w:spacing w:after="0" w:line="77" w:lineRule="exact"/>
        <w:rPr>
          <w:sz w:val="20"/>
          <w:szCs w:val="20"/>
          <w:color w:val="auto"/>
        </w:rPr>
      </w:pPr>
    </w:p>
    <w:p>
      <w:pPr>
        <w:ind w:left="60" w:right="1079" w:firstLine="257"/>
        <w:spacing w:after="0" w:line="279" w:lineRule="auto"/>
        <w:rPr>
          <w:sz w:val="20"/>
          <w:szCs w:val="20"/>
          <w:color w:val="auto"/>
        </w:rPr>
      </w:pPr>
      <w:r>
        <w:rPr>
          <w:rFonts w:ascii="Arial" w:cs="Arial" w:eastAsia="Arial" w:hAnsi="Arial"/>
          <w:sz w:val="16"/>
          <w:szCs w:val="16"/>
          <w:color w:val="auto"/>
        </w:rPr>
        <w:t>Prior to initiating the clinical trials, BL-7040 was evaluated in preclinical safety and efficacy studies. Safety data available includes: acute single dose in mice, single and repeated dose in rats, repeated dose in monkeys by oral and IV administration, genetic toxicity and safety pharmacology studies. BL-7040 was found to have no mutagenic or clastogenic potential. BL-7040 was also found to have no toxic effects in any of the studies conducted at a dose range of 150mg/kg to 1,000mg/kg body weight/day by oral gavage or 500 mcg/kg-200 mg/kg body weight/day by IV administration in rodents and monkeys.</w:t>
      </w:r>
    </w:p>
    <w:p>
      <w:pPr>
        <w:spacing w:after="0" w:line="63" w:lineRule="exact"/>
        <w:rPr>
          <w:sz w:val="20"/>
          <w:szCs w:val="20"/>
          <w:color w:val="auto"/>
        </w:rPr>
      </w:pPr>
    </w:p>
    <w:p>
      <w:pPr>
        <w:ind w:left="60" w:right="999" w:firstLine="257"/>
        <w:spacing w:after="0" w:line="290" w:lineRule="auto"/>
        <w:rPr>
          <w:sz w:val="20"/>
          <w:szCs w:val="20"/>
          <w:color w:val="auto"/>
        </w:rPr>
      </w:pPr>
      <w:r>
        <w:rPr>
          <w:rFonts w:ascii="Arial" w:cs="Arial" w:eastAsia="Arial" w:hAnsi="Arial"/>
          <w:sz w:val="15"/>
          <w:szCs w:val="15"/>
          <w:color w:val="auto"/>
        </w:rPr>
        <w:t>BL-7040 was evaluated in numerous TNBS (2,4,6-trinitrobenzenesulfonic acid)-induced mice studies, a well-validated model with many macroscopic and histological similarities to IBD in humans. It was found that BL-7040's therapeutic effect was similar to dexamethasone, a common routine steroidal treatment for human colitis, and there was a statistically significantly decrease in the severity of the colitis (a decrease of about 80%). Other studies have demonstrated the specific agonistic effect of BL-7040 on TLR-</w:t>
      </w:r>
    </w:p>
    <w:p>
      <w:pPr>
        <w:spacing w:after="0" w:line="1" w:lineRule="exact"/>
        <w:rPr>
          <w:sz w:val="20"/>
          <w:szCs w:val="20"/>
          <w:color w:val="auto"/>
        </w:rPr>
      </w:pPr>
    </w:p>
    <w:p>
      <w:pPr>
        <w:ind w:left="60" w:right="999" w:hanging="6"/>
        <w:spacing w:after="0" w:line="296" w:lineRule="auto"/>
        <w:tabs>
          <w:tab w:leader="none" w:pos="2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effect was measured through the secretion of key cytokines, such as MIP-2 from peritoneal macrophages (PM) derived from wild type mice (C57BL6) and from various KO (knock-out) mice (TLR-9 and MyD88 with C57BL6 background).</w:t>
      </w: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Therapeutic Candidates in Preclinical Development</w:t>
      </w:r>
    </w:p>
    <w:p>
      <w:pPr>
        <w:spacing w:after="0" w:line="113" w:lineRule="exact"/>
        <w:rPr>
          <w:sz w:val="20"/>
          <w:szCs w:val="20"/>
          <w:color w:val="auto"/>
        </w:rPr>
      </w:pPr>
    </w:p>
    <w:p>
      <w:pPr>
        <w:ind w:left="60" w:right="1159" w:firstLine="257"/>
        <w:spacing w:after="0" w:line="270" w:lineRule="auto"/>
        <w:rPr>
          <w:sz w:val="20"/>
          <w:szCs w:val="20"/>
          <w:color w:val="auto"/>
        </w:rPr>
      </w:pPr>
      <w:r>
        <w:rPr>
          <w:rFonts w:ascii="Arial" w:cs="Arial" w:eastAsia="Arial" w:hAnsi="Arial"/>
          <w:sz w:val="17"/>
          <w:szCs w:val="17"/>
          <w:color w:val="auto"/>
        </w:rPr>
        <w:t>The table below sets forth the development status of our preclinical stage therapeutic candidates and the indications for which they are being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835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355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920" w:type="dxa"/>
            <w:vAlign w:val="bottom"/>
          </w:tcPr>
          <w:p>
            <w:pPr>
              <w:spacing w:after="0" w:line="142" w:lineRule="exact"/>
              <w:rPr>
                <w:sz w:val="20"/>
                <w:szCs w:val="20"/>
                <w:color w:val="auto"/>
              </w:rPr>
            </w:pPr>
            <w:r>
              <w:rPr>
                <w:rFonts w:ascii="Arial" w:cs="Arial" w:eastAsia="Arial" w:hAnsi="Arial"/>
                <w:sz w:val="14"/>
                <w:szCs w:val="14"/>
                <w:b w:val="1"/>
                <w:bCs w:val="1"/>
                <w:color w:val="auto"/>
              </w:rPr>
              <w:t>Therapeutic</w:t>
            </w:r>
          </w:p>
        </w:tc>
        <w:tc>
          <w:tcPr>
            <w:tcW w:w="160" w:type="dxa"/>
            <w:vAlign w:val="bottom"/>
          </w:tcPr>
          <w:p>
            <w:pPr>
              <w:spacing w:after="0"/>
              <w:rPr>
                <w:sz w:val="12"/>
                <w:szCs w:val="12"/>
                <w:color w:val="auto"/>
              </w:rPr>
            </w:pPr>
          </w:p>
        </w:tc>
        <w:tc>
          <w:tcPr>
            <w:tcW w:w="82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3"/>
              </w:rPr>
              <w:t>Description</w:t>
            </w:r>
          </w:p>
        </w:tc>
        <w:tc>
          <w:tcPr>
            <w:tcW w:w="160" w:type="dxa"/>
            <w:vAlign w:val="bottom"/>
          </w:tcPr>
          <w:p>
            <w:pPr>
              <w:spacing w:after="0"/>
              <w:rPr>
                <w:sz w:val="12"/>
                <w:szCs w:val="12"/>
                <w:color w:val="auto"/>
              </w:rPr>
            </w:pPr>
          </w:p>
        </w:tc>
        <w:tc>
          <w:tcPr>
            <w:tcW w:w="2160" w:type="dxa"/>
            <w:vAlign w:val="bottom"/>
          </w:tcPr>
          <w:p>
            <w:pPr>
              <w:ind w:left="780"/>
              <w:spacing w:after="0" w:line="142" w:lineRule="exact"/>
              <w:rPr>
                <w:sz w:val="20"/>
                <w:szCs w:val="20"/>
                <w:color w:val="auto"/>
              </w:rPr>
            </w:pPr>
            <w:r>
              <w:rPr>
                <w:rFonts w:ascii="Arial" w:cs="Arial" w:eastAsia="Arial" w:hAnsi="Arial"/>
                <w:sz w:val="14"/>
                <w:szCs w:val="14"/>
                <w:b w:val="1"/>
                <w:bCs w:val="1"/>
                <w:color w:val="auto"/>
              </w:rPr>
              <w:t>Indication</w:t>
            </w:r>
          </w:p>
        </w:tc>
        <w:tc>
          <w:tcPr>
            <w:tcW w:w="160" w:type="dxa"/>
            <w:vAlign w:val="bottom"/>
          </w:tcPr>
          <w:p>
            <w:pPr>
              <w:spacing w:after="0"/>
              <w:rPr>
                <w:sz w:val="12"/>
                <w:szCs w:val="12"/>
                <w:color w:val="auto"/>
              </w:rPr>
            </w:pPr>
          </w:p>
        </w:tc>
        <w:tc>
          <w:tcPr>
            <w:tcW w:w="8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Status</w:t>
            </w:r>
          </w:p>
        </w:tc>
        <w:tc>
          <w:tcPr>
            <w:tcW w:w="140" w:type="dxa"/>
            <w:vAlign w:val="bottom"/>
          </w:tcPr>
          <w:p>
            <w:pPr>
              <w:spacing w:after="0"/>
              <w:rPr>
                <w:sz w:val="12"/>
                <w:szCs w:val="12"/>
                <w:color w:val="auto"/>
              </w:rPr>
            </w:pPr>
          </w:p>
        </w:tc>
        <w:tc>
          <w:tcPr>
            <w:tcW w:w="2480" w:type="dxa"/>
            <w:vAlign w:val="bottom"/>
          </w:tcPr>
          <w:p>
            <w:pPr>
              <w:ind w:left="660"/>
              <w:spacing w:after="0" w:line="142" w:lineRule="exact"/>
              <w:rPr>
                <w:sz w:val="20"/>
                <w:szCs w:val="20"/>
                <w:color w:val="auto"/>
              </w:rPr>
            </w:pPr>
            <w:r>
              <w:rPr>
                <w:rFonts w:ascii="Arial" w:cs="Arial" w:eastAsia="Arial" w:hAnsi="Arial"/>
                <w:sz w:val="14"/>
                <w:szCs w:val="14"/>
                <w:b w:val="1"/>
                <w:bCs w:val="1"/>
                <w:color w:val="auto"/>
              </w:rPr>
              <w:t>In-Licensing Source</w:t>
            </w:r>
          </w:p>
        </w:tc>
      </w:tr>
      <w:tr>
        <w:trPr>
          <w:trHeight w:val="164"/>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Candidate</w:t>
            </w: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r>
      <w:tr>
        <w:trPr>
          <w:trHeight w:val="186"/>
        </w:trPr>
        <w:tc>
          <w:tcPr>
            <w:tcW w:w="920" w:type="dxa"/>
            <w:vAlign w:val="bottom"/>
          </w:tcPr>
          <w:p>
            <w:pPr>
              <w:spacing w:after="0" w:line="186" w:lineRule="exact"/>
              <w:rPr>
                <w:sz w:val="20"/>
                <w:szCs w:val="20"/>
                <w:color w:val="auto"/>
              </w:rPr>
            </w:pPr>
            <w:r>
              <w:rPr>
                <w:rFonts w:ascii="Arial" w:cs="Arial" w:eastAsia="Arial" w:hAnsi="Arial"/>
                <w:sz w:val="17"/>
                <w:szCs w:val="17"/>
                <w:color w:val="auto"/>
              </w:rPr>
              <w:t>BL-4040</w:t>
            </w:r>
          </w:p>
        </w:tc>
        <w:tc>
          <w:tcPr>
            <w:tcW w:w="160" w:type="dxa"/>
            <w:vAlign w:val="bottom"/>
          </w:tcPr>
          <w:p>
            <w:pPr>
              <w:spacing w:after="0"/>
              <w:rPr>
                <w:sz w:val="16"/>
                <w:szCs w:val="16"/>
                <w:color w:val="auto"/>
              </w:rPr>
            </w:pPr>
          </w:p>
        </w:tc>
        <w:tc>
          <w:tcPr>
            <w:tcW w:w="820" w:type="dxa"/>
            <w:vAlign w:val="bottom"/>
          </w:tcPr>
          <w:p>
            <w:pPr>
              <w:spacing w:after="0" w:line="186" w:lineRule="exact"/>
              <w:rPr>
                <w:sz w:val="20"/>
                <w:szCs w:val="20"/>
                <w:color w:val="auto"/>
              </w:rPr>
            </w:pPr>
            <w:r>
              <w:rPr>
                <w:rFonts w:ascii="Arial" w:cs="Arial" w:eastAsia="Arial" w:hAnsi="Arial"/>
                <w:sz w:val="17"/>
                <w:szCs w:val="17"/>
                <w:color w:val="auto"/>
              </w:rPr>
              <w:t>Protein</w:t>
            </w:r>
          </w:p>
        </w:tc>
        <w:tc>
          <w:tcPr>
            <w:tcW w:w="160" w:type="dxa"/>
            <w:vAlign w:val="bottom"/>
          </w:tcPr>
          <w:p>
            <w:pPr>
              <w:spacing w:after="0"/>
              <w:rPr>
                <w:sz w:val="16"/>
                <w:szCs w:val="16"/>
                <w:color w:val="auto"/>
              </w:rPr>
            </w:pPr>
          </w:p>
        </w:tc>
        <w:tc>
          <w:tcPr>
            <w:tcW w:w="2160" w:type="dxa"/>
            <w:vAlign w:val="bottom"/>
          </w:tcPr>
          <w:p>
            <w:pPr>
              <w:spacing w:after="0" w:line="186" w:lineRule="exact"/>
              <w:rPr>
                <w:sz w:val="20"/>
                <w:szCs w:val="20"/>
                <w:color w:val="auto"/>
              </w:rPr>
            </w:pPr>
            <w:r>
              <w:rPr>
                <w:rFonts w:ascii="Arial" w:cs="Arial" w:eastAsia="Arial" w:hAnsi="Arial"/>
                <w:sz w:val="17"/>
                <w:szCs w:val="17"/>
                <w:color w:val="auto"/>
              </w:rPr>
              <w:t>Acute kidney injury</w:t>
            </w:r>
          </w:p>
        </w:tc>
        <w:tc>
          <w:tcPr>
            <w:tcW w:w="160" w:type="dxa"/>
            <w:vAlign w:val="bottom"/>
          </w:tcPr>
          <w:p>
            <w:pPr>
              <w:spacing w:after="0"/>
              <w:rPr>
                <w:sz w:val="16"/>
                <w:szCs w:val="16"/>
                <w:color w:val="auto"/>
              </w:rPr>
            </w:pPr>
          </w:p>
        </w:tc>
        <w:tc>
          <w:tcPr>
            <w:tcW w:w="820" w:type="dxa"/>
            <w:vAlign w:val="bottom"/>
          </w:tcPr>
          <w:p>
            <w:pPr>
              <w:spacing w:after="0" w:line="186" w:lineRule="exact"/>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6"/>
                <w:szCs w:val="16"/>
                <w:color w:val="auto"/>
              </w:rPr>
            </w:pPr>
          </w:p>
        </w:tc>
        <w:tc>
          <w:tcPr>
            <w:tcW w:w="2480" w:type="dxa"/>
            <w:vAlign w:val="bottom"/>
          </w:tcPr>
          <w:p>
            <w:pPr>
              <w:ind w:left="20"/>
              <w:spacing w:after="0" w:line="186" w:lineRule="exact"/>
              <w:rPr>
                <w:sz w:val="20"/>
                <w:szCs w:val="20"/>
                <w:color w:val="auto"/>
              </w:rPr>
            </w:pPr>
            <w:r>
              <w:rPr>
                <w:rFonts w:ascii="Arial" w:cs="Arial" w:eastAsia="Arial" w:hAnsi="Arial"/>
                <w:sz w:val="17"/>
                <w:szCs w:val="17"/>
                <w:color w:val="auto"/>
              </w:rPr>
              <w:t>Gene Vector Technologies Ltd.</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BL-5040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Protein</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Inflammatory diseases, like</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Yissum Ltd.</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colitis and Crohn’s disease</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BL-6010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Small</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Type 2 diabetes</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Bar Ilan Research and</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molecule</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Development</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BL-6020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Small</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Cancer Cachexia</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Santhera Pharmaceuticals</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molecule</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BL-6030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Small</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Bacterial Infection</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Yissum Ltd.</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molecule</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BL-6040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Small</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Rheumatoid Arthritis</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Yissum Ltd.</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molecule</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BL-7010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Polymer</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Celiac Disease</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Gestion Univalor, Limited</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Partnership</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BL-7020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Protein</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Psoriasis</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w w:val="95"/>
              </w:rPr>
              <w:t>Tel Aviv Sourasky Medical Center</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and BioRap Technologies Ltd.</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BL-7030</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Small</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Cancer</w:t>
            </w:r>
          </w:p>
        </w:tc>
        <w:tc>
          <w:tcPr>
            <w:tcW w:w="1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Preclinical</w:t>
            </w:r>
          </w:p>
        </w:tc>
        <w:tc>
          <w:tcPr>
            <w:tcW w:w="140" w:type="dxa"/>
            <w:vAlign w:val="bottom"/>
          </w:tcPr>
          <w:p>
            <w:pPr>
              <w:spacing w:after="0"/>
              <w:rPr>
                <w:sz w:val="17"/>
                <w:szCs w:val="17"/>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Algen Biopharmaceuticals Inc.</w:t>
            </w:r>
          </w:p>
        </w:tc>
      </w:tr>
      <w:tr>
        <w:trPr>
          <w:trHeight w:val="217"/>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molecule</w:t>
            </w: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rPr>
              <w:t>studies</w:t>
            </w:r>
          </w:p>
        </w:tc>
        <w:tc>
          <w:tcPr>
            <w:tcW w:w="14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(licensee of Yissum Ltd.)</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Product Development Approach</w:t>
      </w:r>
    </w:p>
    <w:p>
      <w:pPr>
        <w:spacing w:after="0" w:line="119" w:lineRule="exact"/>
        <w:rPr>
          <w:sz w:val="20"/>
          <w:szCs w:val="20"/>
          <w:color w:val="auto"/>
        </w:rPr>
      </w:pPr>
    </w:p>
    <w:p>
      <w:pPr>
        <w:ind w:left="60" w:right="1019" w:firstLine="257"/>
        <w:spacing w:after="0" w:line="257" w:lineRule="auto"/>
        <w:rPr>
          <w:sz w:val="20"/>
          <w:szCs w:val="20"/>
          <w:color w:val="auto"/>
        </w:rPr>
      </w:pPr>
      <w:r>
        <w:rPr>
          <w:rFonts w:ascii="Arial" w:cs="Arial" w:eastAsia="Arial" w:hAnsi="Arial"/>
          <w:sz w:val="17"/>
          <w:szCs w:val="17"/>
          <w:color w:val="auto"/>
        </w:rPr>
        <w:t>We seek to develop a pipeline of promising therapeutic candidates that exhibit distinct advantages over currently available therapies or address unmet medical needs. Our resources are focused on advancing our therapeutic candidates through development and toward commercialization. Our current drug development pipeline consists of 14 therapeutic candidates with an additional 14 therapeutic candidates in our EDP pipeline, a program primarily funded by one of our shareholders to support a portion of our early feasibility work on therapeutic candidates. See “Item 4. Information on the Company — Business Overview — Early Development Program Agreement.”</w:t>
      </w:r>
    </w:p>
    <w:p>
      <w:pPr>
        <w:spacing w:after="0" w:line="82" w:lineRule="exact"/>
        <w:rPr>
          <w:sz w:val="20"/>
          <w:szCs w:val="20"/>
          <w:color w:val="auto"/>
        </w:rPr>
      </w:pPr>
    </w:p>
    <w:p>
      <w:pPr>
        <w:ind w:left="60" w:right="1119" w:firstLine="257"/>
        <w:spacing w:after="0" w:line="256" w:lineRule="auto"/>
        <w:rPr>
          <w:sz w:val="20"/>
          <w:szCs w:val="20"/>
          <w:color w:val="auto"/>
        </w:rPr>
      </w:pPr>
      <w:r>
        <w:rPr>
          <w:rFonts w:ascii="Arial" w:cs="Arial" w:eastAsia="Arial" w:hAnsi="Arial"/>
          <w:sz w:val="17"/>
          <w:szCs w:val="17"/>
          <w:color w:val="auto"/>
        </w:rPr>
        <w:t>We have established relationships with various universities, academic and research institutions and biotechnology companies that permit us to identify and select compounds at a very early stage of development. Initially, we focused on Israeli institutions as the primary source of our therapeutic candidates. In Israel, we established close relationships with the Technion — the Israel Institute of Technology, Ben Gurion University of the Negev, Hebrew University of Jerusalem, Tel Aviv University, Bar Ilan University and the Weizmann Institute. More recently, we have begun to source therapeutic candidate opportunities worldwide. Although our focus since inception has been on identifying development stage therapeutic candidates, we have begun evaluating pre-clinical and clinical candidates in order to introduce therapeutic candidates with a greater potential for clinical success to our pipeline.</w:t>
      </w:r>
    </w:p>
    <w:p>
      <w:pPr>
        <w:spacing w:after="0" w:line="81" w:lineRule="exact"/>
        <w:rPr>
          <w:sz w:val="20"/>
          <w:szCs w:val="20"/>
          <w:color w:val="auto"/>
        </w:rPr>
      </w:pPr>
    </w:p>
    <w:p>
      <w:pPr>
        <w:ind w:left="60" w:right="1039" w:firstLine="257"/>
        <w:spacing w:after="0" w:line="301" w:lineRule="auto"/>
        <w:rPr>
          <w:sz w:val="20"/>
          <w:szCs w:val="20"/>
          <w:color w:val="auto"/>
        </w:rPr>
      </w:pPr>
      <w:r>
        <w:rPr>
          <w:rFonts w:ascii="Arial" w:cs="Arial" w:eastAsia="Arial" w:hAnsi="Arial"/>
          <w:sz w:val="15"/>
          <w:szCs w:val="15"/>
          <w:color w:val="auto"/>
        </w:rPr>
        <w:t>Once we identify a candidate, it enters our internal evaluation system and undergoes our rigorous selection process. We employ internal research efforts to evaluate candidates. In addition, we evaluate certain candidates through our proprietary scorecard system, MedMatrx. MedMatrx consists of a set of questions and metrics that enable us to ensure that we conduct a thorough and consistent analysis of the scientific and commercial issues that we believe must be evaluated in order for a candidate to be considered for in-licensing. We evaluate each compound’s potential for success by looking at the candidate’s efficacy, safety, total</w:t>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79"/>
        <w:spacing w:after="0" w:line="294" w:lineRule="auto"/>
        <w:rPr>
          <w:sz w:val="20"/>
          <w:szCs w:val="20"/>
          <w:color w:val="auto"/>
        </w:rPr>
      </w:pPr>
      <w:r>
        <w:rPr>
          <w:rFonts w:ascii="Arial" w:cs="Arial" w:eastAsia="Arial" w:hAnsi="Arial"/>
          <w:sz w:val="15"/>
          <w:szCs w:val="15"/>
          <w:color w:val="auto"/>
        </w:rPr>
        <w:t>estimated development costs, technological novelty, patent status, market need and approvability. Following evaluation and diligence, each therapeutic candidate is evaluated by our Scientific Advisory Board and by disease-specific advisors for external scientific review. Following a Scientific Advisory Board meeting, the compound is referred to either the EDP or more advanced feasibility testing. Candidates that have successfully progressed through our EDP will generally be subject to a shorter feasibility period once the compound is introduced to our pipeline as fewer studies will be required. At each step of the process, a therapeutic candidate is subjected to critical evaluation and potential termination. Our approach is consistent with our objective of proceeding only with therapeutic candidates that we believe exhibit a relatively high probability of therapeutic and commercial success. To date, we estimate we have screened over 1,300 compounds, and we have introduced more than 60 candidates to our Scientific Advisory Board for consideration, initiated development of 35 therapeutic candidates and terminated 22 feasibility programs.</w:t>
      </w:r>
    </w:p>
    <w:p>
      <w:pPr>
        <w:spacing w:after="0" w:line="54" w:lineRule="exact"/>
        <w:rPr>
          <w:sz w:val="20"/>
          <w:szCs w:val="20"/>
          <w:color w:val="auto"/>
        </w:rPr>
      </w:pPr>
    </w:p>
    <w:p>
      <w:pPr>
        <w:ind w:left="60" w:right="1239" w:firstLine="257"/>
        <w:spacing w:after="0" w:line="259" w:lineRule="auto"/>
        <w:rPr>
          <w:sz w:val="20"/>
          <w:szCs w:val="20"/>
          <w:color w:val="auto"/>
        </w:rPr>
      </w:pPr>
      <w:r>
        <w:rPr>
          <w:rFonts w:ascii="Arial" w:cs="Arial" w:eastAsia="Arial" w:hAnsi="Arial"/>
          <w:sz w:val="17"/>
          <w:szCs w:val="17"/>
          <w:color w:val="auto"/>
        </w:rPr>
        <w:t>Once we approve a development-stage compound, we in-license the candidate and any related technology and our drug development team and project managers identify, define and oversee the necessary steps to development and commercialization. The initial feasibility phase of development is critical to our approach. We design experiments that challenge the identified weaknesses of a compound, verify initial data by utilizing third-party contract research organizations and test the compound in models that more accurately mimic human disease.</w:t>
      </w:r>
    </w:p>
    <w:p>
      <w:pPr>
        <w:spacing w:after="0" w:line="77" w:lineRule="exact"/>
        <w:rPr>
          <w:sz w:val="20"/>
          <w:szCs w:val="20"/>
          <w:color w:val="auto"/>
        </w:rPr>
      </w:pPr>
    </w:p>
    <w:p>
      <w:pPr>
        <w:ind w:left="60" w:right="1039" w:firstLine="257"/>
        <w:spacing w:after="0" w:line="293" w:lineRule="auto"/>
        <w:rPr>
          <w:sz w:val="20"/>
          <w:szCs w:val="20"/>
          <w:color w:val="auto"/>
        </w:rPr>
      </w:pPr>
      <w:r>
        <w:rPr>
          <w:rFonts w:ascii="Arial" w:cs="Arial" w:eastAsia="Arial" w:hAnsi="Arial"/>
          <w:sz w:val="15"/>
          <w:szCs w:val="15"/>
          <w:color w:val="auto"/>
        </w:rPr>
        <w:t>Our development approach focuses on identifying and following what we believe will be successful pathways to commercialization. Our team has the expertise to move our candidates through all phases of preclinical and clinical development. Our staff includes professionals with extensive experience in drug development, chemistry, manufacturing and controls, or CMC, preclinical experimentation, clinical development, regulatory affairs and business development. We perform all of our development activities in our good laboratory practices, or GLP, grade chemistry laboratory or outsource these activities to contract research organizations, or CROs, that meet applicable regulatory standards. Following the generation of sufficient preclinical data, applications to regulatory authorities for the initiation of clinical trials are submitted. Phase 1 and 2 clinical trials are then conducted to demonstrate clinical proof of safety and efficacy. Following this stage of development we seek either to sub-license the therapeutic candidate to a pharmaceutical partner or, in certain circumstances, we may elect to complete development by ourselves. To the extent we in-license later stage compounds, we may eliminate certain of these development efforts.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Out-Licensing Agreement with Ikaria</w:t>
      </w:r>
    </w:p>
    <w:p>
      <w:pPr>
        <w:spacing w:after="0" w:line="119" w:lineRule="exact"/>
        <w:rPr>
          <w:sz w:val="20"/>
          <w:szCs w:val="20"/>
          <w:color w:val="auto"/>
        </w:rPr>
      </w:pPr>
    </w:p>
    <w:p>
      <w:pPr>
        <w:ind w:left="60" w:right="999" w:firstLine="257"/>
        <w:spacing w:after="0" w:line="256" w:lineRule="auto"/>
        <w:rPr>
          <w:sz w:val="20"/>
          <w:szCs w:val="20"/>
          <w:color w:val="auto"/>
        </w:rPr>
      </w:pPr>
      <w:r>
        <w:rPr>
          <w:rFonts w:ascii="Arial" w:cs="Arial" w:eastAsia="Arial" w:hAnsi="Arial"/>
          <w:sz w:val="17"/>
          <w:szCs w:val="17"/>
          <w:color w:val="auto"/>
        </w:rPr>
        <w:t>In July 2009, we entered into a licensing arrangement with Ikaria which was amended and restated in August 2009. Under the amended and restated license and commercialization agreement, we granted Ikaria an exclusive, worldwide license to develop, manufacture and commercialize BL-1040 for use in the prevention, mitigation and treatment of injury to the myocardial tissue of the heart. Ikaria is obligated to use commercially reasonable efforts to complete clinical development of, and to commercialize, BL-1040 or a product related thereto. We were responsible for the costs of the completed phase 1/2 studies. Ikaria is responsible for the costs associated with conducting all other development and regulatory activities of BL-1040, including those costs relating to the completion of its clinical development, the conduct and funding of its commercialization and the prosecution and maintenance of patents.</w:t>
      </w:r>
    </w:p>
    <w:p>
      <w:pPr>
        <w:spacing w:after="0" w:line="81" w:lineRule="exact"/>
        <w:rPr>
          <w:sz w:val="20"/>
          <w:szCs w:val="20"/>
          <w:color w:val="auto"/>
        </w:rPr>
      </w:pPr>
    </w:p>
    <w:p>
      <w:pPr>
        <w:ind w:left="60" w:right="999" w:firstLine="257"/>
        <w:spacing w:after="0" w:line="292" w:lineRule="auto"/>
        <w:rPr>
          <w:sz w:val="20"/>
          <w:szCs w:val="20"/>
          <w:color w:val="auto"/>
        </w:rPr>
      </w:pPr>
      <w:r>
        <w:rPr>
          <w:rFonts w:ascii="Arial" w:cs="Arial" w:eastAsia="Arial" w:hAnsi="Arial"/>
          <w:sz w:val="15"/>
          <w:szCs w:val="15"/>
          <w:color w:val="auto"/>
        </w:rPr>
        <w:t>Pursuant to the agreement, Ikaria paid us an initial up-front payment equal to $7.0 million on the effective date of the agreement and in April 2010 paid us a milestone payment of $10.0 million, subject to U.S. withholding tax of $1.5 million. We have filed a tax return with the U.S. Internal Revenue Service requesting a $1.5 million refund representing the withholding tax paid. We are entitled to receive up to an additional $265.5 million from Ikaria upon achievement of certain development, regulatory, and commercial milestones. In addition, we are entitled to receive from Ikaria royalties from net sales of any product developed under the agreement ranging from 11% to 15%, depending on net sales levels achieved by Ikaria or its sublicensees, as applicable. However, if Ikaria is required to obtain a license from a third party in order to exercise its rights under the agreement with Ikaria, the royalty we receive on net sales may be less than 11%. We must pay 28% of all net consideration we receive from Ikaria to B.G. Negev Technologies, the institution from whom we initially in-licensed the development rights to BL-1040. See “Item 4. Information on the Company — Business Overview — In-Licensing Agreements — BL-1040.” Certain payments we have received from Ikaria have been subject to a 15% withholding tax in the United States, and certain payments</w:t>
      </w: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spacing w:after="0" w:line="256" w:lineRule="auto"/>
        <w:rPr>
          <w:sz w:val="20"/>
          <w:szCs w:val="20"/>
          <w:color w:val="auto"/>
        </w:rPr>
      </w:pPr>
      <w:r>
        <w:rPr>
          <w:rFonts w:ascii="Arial" w:cs="Arial" w:eastAsia="Arial" w:hAnsi="Arial"/>
          <w:sz w:val="17"/>
          <w:szCs w:val="17"/>
          <w:color w:val="auto"/>
        </w:rPr>
        <w:t>we may receive in the future, if at all, may also be subject to a 15% withholding tax in the United States. We believe that we may be able to get a refund of withholding taxes paid in connection with future payments from the U.S. government but there can be no assurance that we will be able to get such a refund. In addition, we may be able to use U.S. taxes withheld from future payments as credits against Israeli corporate income tax, when we have income, if at all, but there can be no assurance that we will be able to realize the credits. Royalty payments to B.G. Negev Technologies are made net of the withholding taxes.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w:t>
      </w:r>
    </w:p>
    <w:p>
      <w:pPr>
        <w:spacing w:after="0" w:line="81" w:lineRule="exact"/>
        <w:rPr>
          <w:sz w:val="20"/>
          <w:szCs w:val="20"/>
          <w:color w:val="auto"/>
        </w:rPr>
      </w:pPr>
    </w:p>
    <w:p>
      <w:pPr>
        <w:ind w:left="60" w:right="1019" w:firstLine="257"/>
        <w:spacing w:after="0" w:line="259" w:lineRule="auto"/>
        <w:rPr>
          <w:sz w:val="20"/>
          <w:szCs w:val="20"/>
          <w:color w:val="auto"/>
        </w:rPr>
      </w:pPr>
      <w:r>
        <w:rPr>
          <w:rFonts w:ascii="Arial" w:cs="Arial" w:eastAsia="Arial" w:hAnsi="Arial"/>
          <w:sz w:val="17"/>
          <w:szCs w:val="17"/>
          <w:color w:val="auto"/>
        </w:rPr>
        <w:t>Ikaria has the right to sub-license BL-1040 in arms’-length transactions consistent with the terms and conditions of the license and commercialization agreement. If Ikaria receives an upfront payment under a sublicense, Ikaria is required to pay us 10% of such payment. We have the option to manufacture at least 20% of BL-1040 products pursuant to the terms of a supply agreement to be negotiated in good faith, provided this option is exercised six months prior to the date Ikaria intends to file for regulatory approval for BL-1040 in the United States.</w:t>
      </w:r>
    </w:p>
    <w:p>
      <w:pPr>
        <w:spacing w:after="0" w:line="77" w:lineRule="exact"/>
        <w:rPr>
          <w:sz w:val="20"/>
          <w:szCs w:val="20"/>
          <w:color w:val="auto"/>
        </w:rPr>
      </w:pPr>
    </w:p>
    <w:p>
      <w:pPr>
        <w:ind w:left="60" w:right="1059" w:firstLine="257"/>
        <w:spacing w:after="0" w:line="265" w:lineRule="auto"/>
        <w:rPr>
          <w:sz w:val="20"/>
          <w:szCs w:val="20"/>
          <w:color w:val="auto"/>
        </w:rPr>
      </w:pPr>
      <w:r>
        <w:rPr>
          <w:rFonts w:ascii="Arial" w:cs="Arial" w:eastAsia="Arial" w:hAnsi="Arial"/>
          <w:sz w:val="17"/>
          <w:szCs w:val="17"/>
          <w:color w:val="auto"/>
        </w:rPr>
        <w:t>Ikaria bears the costs of the worldwide prosecution and maintenance of the patents for BL-1040. We have the right to intervene and maintain our patents in any country where Ikaria declines to file or prosecute those patents, or if it does not take actions necessary to avoid abandonment of those patents.</w:t>
      </w:r>
    </w:p>
    <w:p>
      <w:pPr>
        <w:spacing w:after="0" w:line="73" w:lineRule="exact"/>
        <w:rPr>
          <w:sz w:val="20"/>
          <w:szCs w:val="20"/>
          <w:color w:val="auto"/>
        </w:rPr>
      </w:pPr>
    </w:p>
    <w:p>
      <w:pPr>
        <w:ind w:left="60" w:right="1139" w:firstLine="257"/>
        <w:spacing w:after="0" w:line="257" w:lineRule="auto"/>
        <w:rPr>
          <w:sz w:val="20"/>
          <w:szCs w:val="20"/>
          <w:color w:val="auto"/>
        </w:rPr>
      </w:pPr>
      <w:r>
        <w:rPr>
          <w:rFonts w:ascii="Arial" w:cs="Arial" w:eastAsia="Arial" w:hAnsi="Arial"/>
          <w:sz w:val="17"/>
          <w:szCs w:val="17"/>
          <w:color w:val="auto"/>
        </w:rPr>
        <w:t>Our agreement with Ikaria expires on a product-by-product basis and a country-by-country basis on the date royalties are no longer payable in connection with the product in a given country. Either party may terminate the agreement by providing 90 days’ written notice of a material breach of the agreement by the other party if the breaching party does not cure the breach during that time. In addition, Ikaria may terminate the agreement upon 60 days’ prior written notice if Ikaria determines, in its sole judgment, that the results of the development program under the agreement do not warrant further development of products under the agreement.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In-Licensing Agreements</w:t>
      </w:r>
    </w:p>
    <w:p>
      <w:pPr>
        <w:spacing w:after="0" w:line="119" w:lineRule="exact"/>
        <w:rPr>
          <w:sz w:val="20"/>
          <w:szCs w:val="20"/>
          <w:color w:val="auto"/>
        </w:rPr>
      </w:pPr>
    </w:p>
    <w:p>
      <w:pPr>
        <w:ind w:left="60" w:right="1139" w:firstLine="257"/>
        <w:spacing w:after="0" w:line="274" w:lineRule="auto"/>
        <w:rPr>
          <w:sz w:val="20"/>
          <w:szCs w:val="20"/>
          <w:color w:val="auto"/>
        </w:rPr>
      </w:pPr>
      <w:r>
        <w:rPr>
          <w:rFonts w:ascii="Arial" w:cs="Arial" w:eastAsia="Arial" w:hAnsi="Arial"/>
          <w:sz w:val="16"/>
          <w:szCs w:val="16"/>
          <w:color w:val="auto"/>
        </w:rPr>
        <w:t>We have in-licensed and intend to continue to in-license development, production and marketing rights from selected research and academic institutions in order to capitalize on the capabilities and technology developed by these entities. We also seek to obtain technologies that complement and expand our existing technology base by entering into license agreements with pharmaceutical and biotechnology companies. When entering into in-license agreements, we generally seek to obtain unrestricted sublicense rights consistent with our primarily partner-driven strategy. We are generally obligated under these agreements to diligently pursue product development, make development milestone payments, pay royalties on any product sales and make payments upon the grant of sublicense rights. We generally insist on the right to terminate any in-license for convenience upon prior written notice to the licensor.</w:t>
      </w:r>
    </w:p>
    <w:p>
      <w:pPr>
        <w:spacing w:after="0" w:line="69" w:lineRule="exact"/>
        <w:rPr>
          <w:sz w:val="20"/>
          <w:szCs w:val="20"/>
          <w:color w:val="auto"/>
        </w:rPr>
      </w:pPr>
    </w:p>
    <w:p>
      <w:pPr>
        <w:ind w:left="60" w:right="1059" w:firstLine="257"/>
        <w:spacing w:after="0" w:line="265" w:lineRule="auto"/>
        <w:rPr>
          <w:sz w:val="20"/>
          <w:szCs w:val="20"/>
          <w:color w:val="auto"/>
        </w:rPr>
      </w:pPr>
      <w:r>
        <w:rPr>
          <w:rFonts w:ascii="Arial" w:cs="Arial" w:eastAsia="Arial" w:hAnsi="Arial"/>
          <w:sz w:val="17"/>
          <w:szCs w:val="17"/>
          <w:color w:val="auto"/>
        </w:rPr>
        <w:t>The scope of payments we are required to make under our in-licensing agreements is comprised of various components that are paid commensurate with the progressive development and commercialization of our drug products. In general, we do not agree to make any upfront payments as part of our in-licensing arrangements.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in-licensing agreements generally provide for the following types of payments:</w:t>
      </w:r>
    </w:p>
    <w:p>
      <w:pPr>
        <w:spacing w:after="0" w:line="107" w:lineRule="exact"/>
        <w:rPr>
          <w:sz w:val="20"/>
          <w:szCs w:val="20"/>
          <w:color w:val="auto"/>
        </w:rPr>
      </w:pPr>
    </w:p>
    <w:p>
      <w:pPr>
        <w:ind w:left="580" w:right="999" w:hanging="307"/>
        <w:spacing w:after="0" w:line="269"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Revenue sharing payments</w:t>
      </w:r>
      <w:r>
        <w:rPr>
          <w:rFonts w:ascii="Arial" w:cs="Arial" w:eastAsia="Arial" w:hAnsi="Arial"/>
          <w:sz w:val="17"/>
          <w:szCs w:val="17"/>
          <w:color w:val="auto"/>
        </w:rPr>
        <w:t>. These are payments to be made to licensors with respect to revenue we receive from sub-licensing to third parties for further development and commercialization of our drug products. These payments are generally fixed at a percentage of the total revenues we earn from these sub-licenses.</w:t>
      </w:r>
    </w:p>
    <w:p>
      <w:pPr>
        <w:spacing w:after="0" w:line="63" w:lineRule="exact"/>
        <w:rPr>
          <w:rFonts w:ascii="Arial" w:cs="Arial" w:eastAsia="Arial" w:hAnsi="Arial"/>
          <w:sz w:val="17"/>
          <w:szCs w:val="17"/>
          <w:color w:val="auto"/>
        </w:rPr>
      </w:pPr>
    </w:p>
    <w:p>
      <w:pPr>
        <w:ind w:left="580" w:right="999" w:hanging="307"/>
        <w:spacing w:after="0" w:line="286"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Phase 2 payments</w:t>
      </w:r>
      <w:r>
        <w:rPr>
          <w:rFonts w:ascii="Arial" w:cs="Arial" w:eastAsia="Arial" w:hAnsi="Arial"/>
          <w:sz w:val="17"/>
          <w:szCs w:val="17"/>
          <w:color w:val="auto"/>
        </w:rPr>
        <w:t>. These payments are generally linked to the successful achievement of milestones at the phase 2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trials stage with respect to a licensed therapeutic candidate, if applicable.</w:t>
      </w: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77" w:lineRule="exact"/>
        <w:rPr>
          <w:sz w:val="20"/>
          <w:szCs w:val="20"/>
          <w:color w:val="auto"/>
        </w:rPr>
      </w:pPr>
    </w:p>
    <w:p>
      <w:pPr>
        <w:ind w:left="580" w:right="1159" w:hanging="307"/>
        <w:spacing w:after="0" w:line="269"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Advanced phase payments</w:t>
      </w:r>
      <w:r>
        <w:rPr>
          <w:rFonts w:ascii="Arial" w:cs="Arial" w:eastAsia="Arial" w:hAnsi="Arial"/>
          <w:sz w:val="17"/>
          <w:szCs w:val="17"/>
          <w:color w:val="auto"/>
        </w:rPr>
        <w:t>. Certain of our in-licensing agreements provide for additional payments for the achievement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milestones that enable the commencement of phase 3 clinical trials and the successful completion of phase 3 clinical trials.</w:t>
      </w:r>
    </w:p>
    <w:p>
      <w:pPr>
        <w:spacing w:after="0" w:line="63" w:lineRule="exact"/>
        <w:rPr>
          <w:rFonts w:ascii="Arial" w:cs="Arial" w:eastAsia="Arial" w:hAnsi="Arial"/>
          <w:sz w:val="17"/>
          <w:szCs w:val="17"/>
          <w:color w:val="auto"/>
        </w:rPr>
      </w:pPr>
    </w:p>
    <w:p>
      <w:pPr>
        <w:ind w:left="580" w:right="1099" w:hanging="307"/>
        <w:spacing w:after="0" w:line="286"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NDA payments</w:t>
      </w:r>
      <w:r>
        <w:rPr>
          <w:rFonts w:ascii="Arial" w:cs="Arial" w:eastAsia="Arial" w:hAnsi="Arial"/>
          <w:sz w:val="17"/>
          <w:szCs w:val="17"/>
          <w:color w:val="auto"/>
        </w:rPr>
        <w:t>. Certain of our in-licensing agreements provide for additional payments upon obtaining approvals to new</w:t>
      </w:r>
      <w:r>
        <w:rPr>
          <w:rFonts w:ascii="Arial" w:cs="Arial" w:eastAsia="Arial" w:hAnsi="Arial"/>
          <w:sz w:val="17"/>
          <w:szCs w:val="17"/>
          <w:b w:val="1"/>
          <w:bCs w:val="1"/>
          <w:color w:val="auto"/>
        </w:rPr>
        <w:t xml:space="preserve"> </w:t>
      </w:r>
      <w:r>
        <w:rPr>
          <w:rFonts w:ascii="Arial" w:cs="Arial" w:eastAsia="Arial" w:hAnsi="Arial"/>
          <w:sz w:val="17"/>
          <w:szCs w:val="17"/>
          <w:color w:val="auto"/>
        </w:rPr>
        <w:t>drug applications, or NDAs, for drug development.</w:t>
      </w:r>
    </w:p>
    <w:p>
      <w:pPr>
        <w:spacing w:after="0" w:line="48" w:lineRule="exact"/>
        <w:rPr>
          <w:rFonts w:ascii="Arial" w:cs="Arial" w:eastAsia="Arial" w:hAnsi="Arial"/>
          <w:sz w:val="17"/>
          <w:szCs w:val="17"/>
          <w:color w:val="auto"/>
        </w:rPr>
      </w:pPr>
    </w:p>
    <w:p>
      <w:pPr>
        <w:ind w:left="580" w:right="999" w:hanging="307"/>
        <w:spacing w:after="0" w:line="278"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Royalty payments</w:t>
      </w:r>
      <w:r>
        <w:rPr>
          <w:rFonts w:ascii="Arial" w:cs="Arial" w:eastAsia="Arial" w:hAnsi="Arial"/>
          <w:sz w:val="16"/>
          <w:szCs w:val="16"/>
          <w:color w:val="auto"/>
        </w:rPr>
        <w:t>. To the extent we elect to complete the development, licensing and marketing of a therapeutic</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 we are generally required to pay our licensors royalties on the sales of the end drug product. These royalty payments are generally based on the net revenue from these sales. In certain instances, the rate of the royalty payments decrease upon the expiration of the drug’s underlying patent and its transition into a generic drug. Certain of our agreements provide that if a licensed drug product is developed and sold through a different corporate entity, the licensors may elect to receive shares in such company instead of a portion of the royalties.</w:t>
      </w:r>
    </w:p>
    <w:p>
      <w:pPr>
        <w:spacing w:after="0" w:line="59" w:lineRule="exact"/>
        <w:rPr>
          <w:rFonts w:ascii="Arial" w:cs="Arial" w:eastAsia="Arial" w:hAnsi="Arial"/>
          <w:sz w:val="16"/>
          <w:szCs w:val="16"/>
          <w:color w:val="auto"/>
        </w:rPr>
      </w:pPr>
    </w:p>
    <w:p>
      <w:pPr>
        <w:ind w:left="580" w:right="1219" w:hanging="307"/>
        <w:spacing w:after="0" w:line="285"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Additional payments</w:t>
      </w:r>
      <w:r>
        <w:rPr>
          <w:rFonts w:ascii="Arial" w:cs="Arial" w:eastAsia="Arial" w:hAnsi="Arial"/>
          <w:sz w:val="16"/>
          <w:szCs w:val="16"/>
          <w:color w:val="auto"/>
        </w:rPr>
        <w:t>. In addition to the above payments, certain of our in-license agreements provide for a one-time or</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 payment that is not linked to milestones. Periodic payments may be paid until the commercialization of the product, either by direct sales or sub-licenses to third parties. Other agreements provide for the continuation of these payments even following the commercialization of the licensed drug product.</w:t>
      </w:r>
    </w:p>
    <w:p>
      <w:pPr>
        <w:spacing w:after="0" w:line="58" w:lineRule="exact"/>
        <w:rPr>
          <w:sz w:val="20"/>
          <w:szCs w:val="20"/>
          <w:color w:val="auto"/>
        </w:rPr>
      </w:pPr>
    </w:p>
    <w:p>
      <w:pPr>
        <w:ind w:left="60" w:right="1319" w:firstLine="257"/>
        <w:spacing w:after="0" w:line="261" w:lineRule="auto"/>
        <w:rPr>
          <w:sz w:val="20"/>
          <w:szCs w:val="20"/>
          <w:color w:val="auto"/>
        </w:rPr>
      </w:pPr>
      <w:r>
        <w:rPr>
          <w:rFonts w:ascii="Arial" w:cs="Arial" w:eastAsia="Arial" w:hAnsi="Arial"/>
          <w:sz w:val="17"/>
          <w:szCs w:val="17"/>
          <w:color w:val="auto"/>
        </w:rPr>
        <w:t>The royalty and revenue sharing rates we agree to pay in our in-licensing agreements vary from case to case but range from 20% to 29% of the consideration we receive from sublicensing the applicable therapeutic candidate. In some instances we are required to pay a substantially lower percentage, generally less than 5%, if we elect to commercialize the subject therapeutic candidate independently.</w:t>
      </w:r>
    </w:p>
    <w:p>
      <w:pPr>
        <w:spacing w:after="0" w:line="76" w:lineRule="exact"/>
        <w:rPr>
          <w:sz w:val="20"/>
          <w:szCs w:val="20"/>
          <w:color w:val="auto"/>
        </w:rPr>
      </w:pPr>
    </w:p>
    <w:p>
      <w:pPr>
        <w:ind w:left="60" w:right="1159" w:firstLine="257"/>
        <w:spacing w:after="0" w:line="289" w:lineRule="auto"/>
        <w:rPr>
          <w:sz w:val="20"/>
          <w:szCs w:val="20"/>
          <w:color w:val="auto"/>
        </w:rPr>
      </w:pPr>
      <w:r>
        <w:rPr>
          <w:rFonts w:ascii="Arial" w:cs="Arial" w:eastAsia="Arial" w:hAnsi="Arial"/>
          <w:sz w:val="16"/>
          <w:szCs w:val="16"/>
          <w:color w:val="auto"/>
        </w:rPr>
        <w:t>The following are descriptions of our in-licensing agreements associated with our therapeutic candidates under clinical development. In addition to the in-licensing agreements discussed herein, we have entered into other in-licensing arrangements in connection with our therapeutic candidates in the advanced preclinical, feasibility and EDP stages.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BL-1020 and BL-1021</w:t>
      </w:r>
    </w:p>
    <w:p>
      <w:pPr>
        <w:spacing w:after="0" w:line="113" w:lineRule="exact"/>
        <w:rPr>
          <w:sz w:val="20"/>
          <w:szCs w:val="20"/>
          <w:color w:val="auto"/>
        </w:rPr>
      </w:pPr>
    </w:p>
    <w:p>
      <w:pPr>
        <w:ind w:left="60" w:right="1099" w:firstLine="257"/>
        <w:spacing w:after="0" w:line="256" w:lineRule="auto"/>
        <w:rPr>
          <w:sz w:val="20"/>
          <w:szCs w:val="20"/>
          <w:color w:val="auto"/>
        </w:rPr>
      </w:pPr>
      <w:r>
        <w:rPr>
          <w:rFonts w:ascii="Arial" w:cs="Arial" w:eastAsia="Arial" w:hAnsi="Arial"/>
          <w:sz w:val="17"/>
          <w:szCs w:val="17"/>
          <w:color w:val="auto"/>
        </w:rPr>
        <w:t>In April 2004, we in-licensed the rights to BL-1020 under a research and license agreement with Bar Ilan Research and Development and Ramot. Under the research and license agreement, the licensors granted us an exclusive, worldwide, sub-licensable license to develop, manufacture, market and sell certain technology relating to conjugated anti-psychotic drugs and the uses of the technology relating thereto. In addition to BL-1020, this agreement allows us to develop two other earlier stage therapeutic candidates, BL-1021 for the treatment of neuropathic pain and a second candidate for which development has been terminated. Under the research and license agreement, we agreed to fund further research in respect of the licensed technology during a specified research period, subject to certain exceptions. In addition, we have the right to grant sublicenses for the licensed technology, subject to certain restrictions.</w:t>
      </w:r>
    </w:p>
    <w:p>
      <w:pPr>
        <w:spacing w:after="0" w:line="81" w:lineRule="exact"/>
        <w:rPr>
          <w:sz w:val="20"/>
          <w:szCs w:val="20"/>
          <w:color w:val="auto"/>
        </w:rPr>
      </w:pPr>
    </w:p>
    <w:p>
      <w:pPr>
        <w:ind w:left="60" w:right="999" w:firstLine="257"/>
        <w:spacing w:after="0" w:line="295" w:lineRule="auto"/>
        <w:rPr>
          <w:sz w:val="20"/>
          <w:szCs w:val="20"/>
          <w:color w:val="auto"/>
        </w:rPr>
      </w:pPr>
      <w:r>
        <w:rPr>
          <w:rFonts w:ascii="Arial" w:cs="Arial" w:eastAsia="Arial" w:hAnsi="Arial"/>
          <w:sz w:val="15"/>
          <w:szCs w:val="15"/>
          <w:color w:val="auto"/>
        </w:rPr>
        <w:t>Under the research and license agreement, we are obligated to use commercially reasonable efforts to develop, commercialize and market the licensed technology. We pay an annual license fee of $25,000 and are required to make low, single digit royalty payments on the net sales of the licensed technology, subject to certain limitations. To date, we have paid $175,000 under the in-license agreement in connection with our obligations to make annual payments. Our royalty payment obligations are payable on a product-by-product and country-by-country basis, for the longer of 15 years from the date of first commercial sale in such country, the last expiration of any patent in such country, and the expiration of the licensed product’s “orphan drug” status in such country. If we sublicense our rights under the research and license agreement, we are required to pay the licensors a low, double digit royalty payment based on any amounts we receive from any third-party sublicensees, subject to certain limitations.</w:t>
      </w:r>
    </w:p>
    <w:p>
      <w:pPr>
        <w:spacing w:after="0" w:line="53"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We are required to consult the licensors regarding the preparation, filing and prosecution of all patent applications, and the maintenance of all patents included within the licensed patent rights. We have the right to take action in the prosecution, prevention, or termination of any patent infringement of the licensed technology. We are responsible for the expenses of any patent infringement suit that we bring, including the expenses incurred by the licensors in connection with the prosecution of such suits or the settlement thereof.</w:t>
      </w: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spacing w:after="0" w:line="311" w:lineRule="auto"/>
        <w:rPr>
          <w:sz w:val="20"/>
          <w:szCs w:val="20"/>
          <w:color w:val="auto"/>
        </w:rPr>
      </w:pPr>
      <w:r>
        <w:rPr>
          <w:rFonts w:ascii="Arial" w:cs="Arial" w:eastAsia="Arial" w:hAnsi="Arial"/>
          <w:sz w:val="16"/>
          <w:szCs w:val="16"/>
          <w:color w:val="auto"/>
        </w:rPr>
        <w:t>We are entitled to reimbursement from any sums recovered in such suit for all costs and expenses involved in its prosecution. After such reimbursement, we and the licensors are each entitled to a certain percentage of any remaining sums.</w:t>
      </w:r>
    </w:p>
    <w:p>
      <w:pPr>
        <w:spacing w:after="0" w:line="38" w:lineRule="exact"/>
        <w:rPr>
          <w:sz w:val="20"/>
          <w:szCs w:val="20"/>
          <w:color w:val="auto"/>
        </w:rPr>
      </w:pPr>
    </w:p>
    <w:p>
      <w:pPr>
        <w:ind w:left="60" w:right="1139" w:firstLine="257"/>
        <w:spacing w:after="0" w:line="293" w:lineRule="auto"/>
        <w:rPr>
          <w:sz w:val="20"/>
          <w:szCs w:val="20"/>
          <w:color w:val="auto"/>
        </w:rPr>
      </w:pPr>
      <w:r>
        <w:rPr>
          <w:rFonts w:ascii="Arial" w:cs="Arial" w:eastAsia="Arial" w:hAnsi="Arial"/>
          <w:sz w:val="15"/>
          <w:szCs w:val="15"/>
          <w:color w:val="auto"/>
        </w:rPr>
        <w:t>The research and license agreement remains in effect until the expiration of all of our royalty and sublicense revenue obligations to licensors, determined on a product-by-product and country-by-country basis, unless we terminate the license agreement earlier. We may terminate the license agreement by providing 60 days’ prior written notice to Ramot. If we materially breach any of our obligations under the agreement and fail to cure such breach within 30 days after receiving written notice of the material breach from Ramot, Ramot may terminate the agreement immediately. If either Bar Ilan Research and Development or Ramot materially breach their respective obligations under the agreement and fail to cure such breach within 30 days after receiving written notice of the material breach from us, we may terminate the agreement immediately. With respect to any termination for material breach, if the breach is not susceptible to cure within the stated period and the breaching party uses diligent, good faith efforts to cure such breach, the stated period will be extended by an additional 30 days. In addition, we and Ramot may terminate the agreement upon notice to the other upon the occurrence of certain bankruptcy events.</w:t>
      </w:r>
    </w:p>
    <w:p>
      <w:pPr>
        <w:spacing w:after="0" w:line="55" w:lineRule="exact"/>
        <w:rPr>
          <w:sz w:val="20"/>
          <w:szCs w:val="20"/>
          <w:color w:val="auto"/>
        </w:rPr>
      </w:pPr>
    </w:p>
    <w:p>
      <w:pPr>
        <w:ind w:left="60" w:right="1019" w:firstLine="257"/>
        <w:spacing w:after="0" w:line="261" w:lineRule="auto"/>
        <w:rPr>
          <w:sz w:val="20"/>
          <w:szCs w:val="20"/>
          <w:color w:val="auto"/>
        </w:rPr>
      </w:pPr>
      <w:r>
        <w:rPr>
          <w:rFonts w:ascii="Arial" w:cs="Arial" w:eastAsia="Arial" w:hAnsi="Arial"/>
          <w:sz w:val="17"/>
          <w:szCs w:val="17"/>
          <w:color w:val="auto"/>
        </w:rPr>
        <w:t>Termination of the agreement will result in a loss of all of our rights to the licensed technology, which will revert to the licensors. In addition, any sublicense of the licensed technology will terminate provided that, upon termination, at the request of the sublicensee, licensors are required to enter into a license agreement with the sublicensee on substantially the same terms as those contained in the sublicense agreement.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BL-1040</w:t>
      </w:r>
    </w:p>
    <w:p>
      <w:pPr>
        <w:spacing w:after="0" w:line="113" w:lineRule="exact"/>
        <w:rPr>
          <w:sz w:val="20"/>
          <w:szCs w:val="20"/>
          <w:color w:val="auto"/>
        </w:rPr>
      </w:pPr>
    </w:p>
    <w:p>
      <w:pPr>
        <w:ind w:left="60" w:right="1039" w:firstLine="257"/>
        <w:spacing w:after="0" w:line="271" w:lineRule="auto"/>
        <w:rPr>
          <w:sz w:val="20"/>
          <w:szCs w:val="20"/>
          <w:color w:val="auto"/>
        </w:rPr>
      </w:pPr>
      <w:r>
        <w:rPr>
          <w:rFonts w:ascii="Arial" w:cs="Arial" w:eastAsia="Arial" w:hAnsi="Arial"/>
          <w:sz w:val="16"/>
          <w:szCs w:val="16"/>
          <w:color w:val="auto"/>
        </w:rPr>
        <w:t>In January 2005, we in-licensed the rights to BL-1040 under a license agreement with B.G. Negev Technologies. Under the agreement, B.G. Negev Technologies granted us an exclusive, worldwide, sublicensable license to develop, manufacture, market and sell certain technology relating to injectable alginate biomaterials and the uses thereof. Upon execution of the agreement, we were obligated to make an initial payment and to make annual payments equal to $30,000, subject to certain conditions. To date we have paid $700,000 under the BL-1040 in-license agreement, to cover the initial fee and annual fees. We are obligated to make a low, single digit royalty payment on net sales, subject to certain limitations if we manufacture and sell products developed under the agreement on our own. We also have the right to grant sublicenses for the licensed technology and are required to pay B.G. Negev Technologies a royalty payment of 28% of the net revenues (after giving effect to withholding taxes and other deductions) we receive as consideration in connection with any sublicensing, co-marketing or co-promotion, or a permitted assignment, of BL-1040, which includes those under our licensing agreement with Ikaria. We have agreed to pay Ramot a portion of the payments we make to B.G. Negev Technologies in connection with the in-license arrangement to satisfy contractual obligations between B.G. Negev Technologies and Ramot with respect to certain intellectual property rights to the licensed technology. We have also agreed to indemnify Ramot and certain of its related parties in connection with our use of the technology we in-licensed from B.G. Negev Technologies.</w:t>
      </w:r>
    </w:p>
    <w:p>
      <w:pPr>
        <w:spacing w:after="0" w:line="76"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color w:val="auto"/>
        </w:rPr>
        <w:t>Under the license agreement, we are obligated to use commercially reasonable efforts to develop the licensed technology in accordance with a specified development plan. We have paid to B.G. Negev Technologies initial payments and are required to pay an annual license fee, subject to certain exceptions. In addition, we are required to make a one-time milestone payment upon the achievement of specified milestones. We are required to make certain royalty payments on the net sales of the licensed technology, subject to certain limitations. Our royalty payment obligations are payable on a product-by-product and country-by-country basis, for the period that a valid patent on the licensed technology remains in force in such country, subject to certain exceptions for abandonment.</w:t>
      </w:r>
    </w:p>
    <w:p>
      <w:pPr>
        <w:spacing w:after="0" w:line="78" w:lineRule="exact"/>
        <w:rPr>
          <w:sz w:val="20"/>
          <w:szCs w:val="20"/>
          <w:color w:val="auto"/>
        </w:rPr>
      </w:pPr>
    </w:p>
    <w:p>
      <w:pPr>
        <w:ind w:left="60" w:right="1079" w:firstLine="257"/>
        <w:spacing w:after="0" w:line="298" w:lineRule="auto"/>
        <w:rPr>
          <w:sz w:val="20"/>
          <w:szCs w:val="20"/>
          <w:color w:val="auto"/>
        </w:rPr>
      </w:pPr>
      <w:r>
        <w:rPr>
          <w:rFonts w:ascii="Arial" w:cs="Arial" w:eastAsia="Arial" w:hAnsi="Arial"/>
          <w:sz w:val="15"/>
          <w:szCs w:val="15"/>
          <w:color w:val="auto"/>
        </w:rPr>
        <w:t>The license agreement remains in effect until the expiration of all of our royalty and sublicense revenue obligations to B.G. Negev Technologies, determined on a product-by-product and country-by-country basis. We may terminate the license agreement for any reason on 60 days’ prior written notice to B.G. Negev Technologies. Either party may terminate the agreement for material breach by the other party if the breaching party is unable to cure the breach within 60 days after receiving written notice of the breach from the non-breaching party. With respect to any termination for material breach, if the breach is not susceptible to cure within the stated period and the breaching party uses diligent, good faith efforts to cure such breach, the stated</w:t>
      </w:r>
    </w:p>
    <w:p>
      <w:pPr>
        <w:spacing w:after="0" w:line="200" w:lineRule="exact"/>
        <w:rPr>
          <w:sz w:val="20"/>
          <w:szCs w:val="20"/>
          <w:color w:val="auto"/>
        </w:rPr>
      </w:pPr>
    </w:p>
    <w:p>
      <w:pPr>
        <w:spacing w:after="0" w:line="29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359"/>
        <w:spacing w:after="0" w:line="278" w:lineRule="auto"/>
        <w:rPr>
          <w:sz w:val="20"/>
          <w:szCs w:val="20"/>
          <w:color w:val="auto"/>
        </w:rPr>
      </w:pPr>
      <w:r>
        <w:rPr>
          <w:rFonts w:ascii="Arial" w:cs="Arial" w:eastAsia="Arial" w:hAnsi="Arial"/>
          <w:sz w:val="17"/>
          <w:szCs w:val="17"/>
          <w:color w:val="auto"/>
        </w:rPr>
        <w:t>period will be extended by an additional 30 days. In addition, either party may terminate the agreement upon the occurrence of certain bankruptcy events.</w:t>
      </w:r>
    </w:p>
    <w:p>
      <w:pPr>
        <w:spacing w:after="0" w:line="62" w:lineRule="exact"/>
        <w:rPr>
          <w:sz w:val="20"/>
          <w:szCs w:val="20"/>
          <w:color w:val="auto"/>
        </w:rPr>
      </w:pPr>
    </w:p>
    <w:p>
      <w:pPr>
        <w:ind w:left="60" w:right="1019" w:firstLine="257"/>
        <w:spacing w:after="0" w:line="261" w:lineRule="auto"/>
        <w:rPr>
          <w:sz w:val="20"/>
          <w:szCs w:val="20"/>
          <w:color w:val="auto"/>
        </w:rPr>
      </w:pPr>
      <w:r>
        <w:rPr>
          <w:rFonts w:ascii="Arial" w:cs="Arial" w:eastAsia="Arial" w:hAnsi="Arial"/>
          <w:sz w:val="17"/>
          <w:szCs w:val="17"/>
          <w:color w:val="auto"/>
        </w:rPr>
        <w:t>Termination of the agreement will result in a loss of all of our rights to the licensed technology, which will revert to B.G. Negev Technologies. In addition, any sublicense of the licensed technology will terminate provided that, upon termination, at the request of the sublicensee, B.G. Negev Technologies is required to enter into a license agreement with the sublicensee on substantially the same terms as those contained in the sublicense agreement.</w:t>
      </w:r>
    </w:p>
    <w:p>
      <w:pPr>
        <w:spacing w:after="0" w:line="76" w:lineRule="exact"/>
        <w:rPr>
          <w:sz w:val="20"/>
          <w:szCs w:val="20"/>
          <w:color w:val="auto"/>
        </w:rPr>
      </w:pPr>
    </w:p>
    <w:p>
      <w:pPr>
        <w:ind w:left="60" w:right="999" w:firstLine="257"/>
        <w:spacing w:after="0" w:line="256" w:lineRule="auto"/>
        <w:rPr>
          <w:sz w:val="20"/>
          <w:szCs w:val="20"/>
          <w:color w:val="auto"/>
        </w:rPr>
      </w:pPr>
      <w:r>
        <w:rPr>
          <w:rFonts w:ascii="Arial" w:cs="Arial" w:eastAsia="Arial" w:hAnsi="Arial"/>
          <w:sz w:val="17"/>
          <w:szCs w:val="17"/>
          <w:color w:val="auto"/>
        </w:rPr>
        <w:t>We have the first right to prepare, file, prosecute and maintain any patent applications and patents, in respect of the licensed technology and any part thereof, at our expense. We are required to consult with B.G. Negev Technologies regarding patent prosecution and patent maintenance. In addition, we have the right to take action in the prosecution, prevention, or termination of any patent infringement of the licensed technology. We are responsible for the expenses of any patent infringement suit that we bring, including the expenses incurred by B.G. Negev Technologies in connection with such suits. We are entitled to reimbursement from any sums recovered in such suit or in the settlement thereof for all costs and expenses involved in the prosecution of any such suit. After such reimbursement, if any funds remain, we and B.G. Negev Technologies are each entitled to a certain percentage of any remaining sums.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BL-5010</w:t>
      </w:r>
    </w:p>
    <w:p>
      <w:pPr>
        <w:spacing w:after="0" w:line="113" w:lineRule="exact"/>
        <w:rPr>
          <w:sz w:val="20"/>
          <w:szCs w:val="20"/>
          <w:color w:val="auto"/>
        </w:rPr>
      </w:pPr>
    </w:p>
    <w:p>
      <w:pPr>
        <w:ind w:left="60" w:right="1059" w:firstLine="257"/>
        <w:spacing w:after="0" w:line="292" w:lineRule="auto"/>
        <w:rPr>
          <w:sz w:val="20"/>
          <w:szCs w:val="20"/>
          <w:color w:val="auto"/>
        </w:rPr>
      </w:pPr>
      <w:r>
        <w:rPr>
          <w:rFonts w:ascii="Arial" w:cs="Arial" w:eastAsia="Arial" w:hAnsi="Arial"/>
          <w:sz w:val="15"/>
          <w:szCs w:val="15"/>
          <w:color w:val="auto"/>
        </w:rPr>
        <w:t>In November 2007, we in-licensed the rights to develop and commercialize BL-5010 under a license agreement with IPC. Under the agreement, IPC granted us an exclusive, worldwide, sublicensable license to develop, manufacture, market and sell certain technology relating to an acid-based formulation for the non-surgical removal of skin lesions and the uses thereof. We are obligated to use commercially reasonable efforts to develop the licensed technology in accordance with a specified development plan, including meeting certain specified diligence goals. We are required to pay to IPC a license fee, which we have paid, equal to $400,000 in the aggregate, subject to certain specifications. We are also required to make low, single digit royalty payments on the net sales of the licensed technology if we manufacture and sell it on our own, subject to certain limitations. Our royalty payment obligations are payable on a product-by-product and country-by-country basis, until the last to expire of any patent included within the licensed technology in such country. We also have the right to grant sublicenses for the licensed technology and are required to pay IPC a royalty payment in the low, double digits based on the revenues we receive as consideration in connection with any sublicensing, development, manufacture, marketing, distribution or sale of the licensed technology.</w:t>
      </w:r>
    </w:p>
    <w:p>
      <w:pPr>
        <w:spacing w:after="0" w:line="58" w:lineRule="exact"/>
        <w:rPr>
          <w:sz w:val="20"/>
          <w:szCs w:val="20"/>
          <w:color w:val="auto"/>
        </w:rPr>
      </w:pPr>
    </w:p>
    <w:p>
      <w:pPr>
        <w:ind w:left="60" w:right="1039" w:firstLine="257"/>
        <w:spacing w:after="0" w:line="293" w:lineRule="auto"/>
        <w:rPr>
          <w:sz w:val="20"/>
          <w:szCs w:val="20"/>
          <w:color w:val="auto"/>
        </w:rPr>
      </w:pPr>
      <w:r>
        <w:rPr>
          <w:rFonts w:ascii="Arial" w:cs="Arial" w:eastAsia="Arial" w:hAnsi="Arial"/>
          <w:sz w:val="15"/>
          <w:szCs w:val="15"/>
          <w:color w:val="auto"/>
        </w:rPr>
        <w:t>The license agreement remains in effect until the expiration of all of our license, royalty and sublicense revenue obligations to IPC, determined on a product-by-product and country-by-country basis, unless we terminate the license agreement earlier. We may terminate the license agreement for any reason on 30 days’ prior written notice. If we terminate the agreement without cause, we may be required to fund the completion of certain clinical trials of the licensed technology in an amount not to exceed $600,000. We may also terminate the license agreement upon 60 days’ prior written notice to IPC for scientific, regulatory or medical reasons which, as determined by our Scientific Advisory Board, would prevent us from continuing the development of the licensed technology pursuant to the development plan. Either party may terminate the agreement for material breach if the breach is not cured within 30 days after written notice from the non-breaching party. If the breach is not susceptible to cure within the stated period and the breaching party uses diligent, good faith efforts to cure such breach, the stated period will be extended by an additional 30 days. In addition, either party may terminate the agreement upon the occurrence of certain bankruptcy events.</w:t>
      </w:r>
    </w:p>
    <w:p>
      <w:pPr>
        <w:spacing w:after="0" w:line="55" w:lineRule="exact"/>
        <w:rPr>
          <w:sz w:val="20"/>
          <w:szCs w:val="20"/>
          <w:color w:val="auto"/>
        </w:rPr>
      </w:pPr>
    </w:p>
    <w:p>
      <w:pPr>
        <w:ind w:left="60" w:right="1019" w:firstLine="257"/>
        <w:spacing w:after="0" w:line="261" w:lineRule="auto"/>
        <w:rPr>
          <w:sz w:val="20"/>
          <w:szCs w:val="20"/>
          <w:color w:val="auto"/>
        </w:rPr>
      </w:pPr>
      <w:r>
        <w:rPr>
          <w:rFonts w:ascii="Arial" w:cs="Arial" w:eastAsia="Arial" w:hAnsi="Arial"/>
          <w:sz w:val="17"/>
          <w:szCs w:val="17"/>
          <w:color w:val="auto"/>
        </w:rPr>
        <w:t>Termination of the agreement will result in a loss of all of our rights to the licensed technology, which will revert to IPC. In addition, any sublicense of the licensed technology will terminate provided that, upon termination, at the request of the sublicensee, IPC is required to enter into a license agreement with the sublicensee on substantially the same terms as those contained in the sublicense agreement.</w:t>
      </w:r>
    </w:p>
    <w:p>
      <w:pPr>
        <w:spacing w:after="0" w:line="76" w:lineRule="exact"/>
        <w:rPr>
          <w:sz w:val="20"/>
          <w:szCs w:val="20"/>
          <w:color w:val="auto"/>
        </w:rPr>
      </w:pPr>
    </w:p>
    <w:p>
      <w:pPr>
        <w:ind w:left="60" w:right="1279" w:firstLine="257"/>
        <w:spacing w:after="0" w:line="261" w:lineRule="auto"/>
        <w:rPr>
          <w:sz w:val="20"/>
          <w:szCs w:val="20"/>
          <w:color w:val="auto"/>
        </w:rPr>
      </w:pPr>
      <w:r>
        <w:rPr>
          <w:rFonts w:ascii="Arial" w:cs="Arial" w:eastAsia="Arial" w:hAnsi="Arial"/>
          <w:sz w:val="17"/>
          <w:szCs w:val="17"/>
          <w:color w:val="auto"/>
        </w:rPr>
        <w:t>We have the first right to prepare, file, prosecute and maintain any patent applications and patents, in respect of the licensed technology and any part thereof, at our expense, provided that such patent applications and patents are registered in the name of IPC. We are required to make all future payments necessary to prosecute and maintain all patent applications and/or patents in respect of the licensed technology. We are</w:t>
      </w: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99"/>
        <w:spacing w:after="0" w:line="277" w:lineRule="auto"/>
        <w:rPr>
          <w:sz w:val="20"/>
          <w:szCs w:val="20"/>
          <w:color w:val="auto"/>
        </w:rPr>
      </w:pPr>
      <w:r>
        <w:rPr>
          <w:rFonts w:ascii="Arial" w:cs="Arial" w:eastAsia="Arial" w:hAnsi="Arial"/>
          <w:sz w:val="16"/>
          <w:szCs w:val="16"/>
          <w:color w:val="auto"/>
        </w:rPr>
        <w:t>required to consult with IPC regarding the preparation, filing and prosecution of all patent applications, and the maintenance of all patents included within the licensed patents. In addition, we have the right to take action in the prosecution, prevention, or termination of any patent infringement of the licensed patents. We are responsible for the expenses of any patent infringement suit that we bring, including the expenses incurred by IPC in connection with such suits. We are entitled to reimbursement from any sums recovered in such suit for all costs and expenses involved in the prosecution of any such suit. After such reimbursement, we and IPC are each entitled to a certain percentage of any remaining sums.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BL-7040</w:t>
      </w:r>
    </w:p>
    <w:p>
      <w:pPr>
        <w:spacing w:after="0" w:line="113"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In June 2011, we in-licensed the rights to BL-7040 under a license agreement with Yissum. Under the agreement, Yissum granted us an exclusive, worldwide, sublicensable license to develop, have developed, manufacture, have manufactured, use, market, distribute, export, import and/or sell products and/or processes that comprise, contain or incorporate certain technology relating to a novel oligonucleotide. Notwithstanding the exclusive license, Yissum and the Hebrew University of Jerusalem retained the right to make non-commercial, academic use of the technology at the Hebrew University, including academic research sponsored by third parties that does not conflict or interfere with the license. In addition, Yissum may grant licenses to third party academic or research institutions for non-commercial, academic research and teaching purposes provided that any results from such efforts shall be the sole property of Yissum and exclusively licensed to us under the agreement. Under the license agreement, we are responsible for, and are required to exert, reasonable commercial efforts to carry out the development, regulatory, manufacturing and marketing work necessary to develop and commercialize products under the agreement in accordance with a specified development plan.</w:t>
      </w:r>
    </w:p>
    <w:p>
      <w:pPr>
        <w:spacing w:after="0" w:line="73" w:lineRule="exact"/>
        <w:rPr>
          <w:sz w:val="20"/>
          <w:szCs w:val="20"/>
          <w:color w:val="auto"/>
        </w:rPr>
      </w:pPr>
    </w:p>
    <w:p>
      <w:pPr>
        <w:ind w:left="60" w:right="1059" w:firstLine="257"/>
        <w:spacing w:after="0" w:line="290" w:lineRule="auto"/>
        <w:rPr>
          <w:sz w:val="20"/>
          <w:szCs w:val="20"/>
          <w:color w:val="auto"/>
        </w:rPr>
      </w:pPr>
      <w:r>
        <w:rPr>
          <w:rFonts w:ascii="Arial" w:cs="Arial" w:eastAsia="Arial" w:hAnsi="Arial"/>
          <w:sz w:val="15"/>
          <w:szCs w:val="15"/>
          <w:color w:val="auto"/>
        </w:rPr>
        <w:t>Upon execution of the agreement, we were obligated to make a $30,000 initial payment to Yissum for all previous documented expenses and costs directly incurred by Yissum relating to the registration and maintenance of the licensed patents. We are obligated under the agreement to make a license fee payable as follows: $150,000 upon completion of the dosing of the last patient to be enrolled in the first phase II clinical trial with respect to a product under the agreement; and $450,000 upon enrollment of the first patient in a phase III clinical trial of a product under the agreement. We are obligated to make a 4.5% royalty payment on net sales of products, subject to certain limitations, if we manufacture and sell products developed under the agreement on our own. These royalties are reduced to 2% with respect to sales in any country after the expiration in such country of the last to expire patent with a valid claim. If we grant sublicenses of our rights in the licensed technology, we are required to pay Yissum a royalty payment of either 28% or 29.5% of the consideration we receive in connection with the grant of a sublicense or option to obtain a sublicense, subject to certain criteria. In any event, however, the consideration that we are required to actually pay to Yissum as a result of royalties or other sales related consideration that we receive from sublicenses shall not be less than 3.5% of the net sales which form the basis for computation of the royalties paid to us by such sublicensees. In addition, if we sublicense or assign the rights to the licensed technology and/or development results under the agreement to a company-owned entity established for the sole purpose of commercializing and developing the licensed technology and the development results, Yissum may elect to receive 12.5% of the entity’s ordinary shares and reduced royalties and sublicense fees equal to 1.875% and 12.5%, respectively.</w:t>
      </w:r>
    </w:p>
    <w:p>
      <w:pPr>
        <w:spacing w:after="0" w:line="64" w:lineRule="exact"/>
        <w:rPr>
          <w:sz w:val="20"/>
          <w:szCs w:val="20"/>
          <w:color w:val="auto"/>
        </w:rPr>
      </w:pPr>
    </w:p>
    <w:p>
      <w:pPr>
        <w:ind w:left="60" w:right="1579" w:firstLine="257"/>
        <w:spacing w:after="0" w:line="311" w:lineRule="auto"/>
        <w:rPr>
          <w:sz w:val="20"/>
          <w:szCs w:val="20"/>
          <w:color w:val="auto"/>
        </w:rPr>
      </w:pPr>
      <w:r>
        <w:rPr>
          <w:rFonts w:ascii="Arial" w:cs="Arial" w:eastAsia="Arial" w:hAnsi="Arial"/>
          <w:sz w:val="16"/>
          <w:szCs w:val="16"/>
          <w:color w:val="auto"/>
        </w:rPr>
        <w:t>In addition, we are required to, upon the completion of the development of any product under the agreement, if any, use commercially reasonable efforts to maximize net sales of the product on a regular and consistent basis.</w:t>
      </w:r>
    </w:p>
    <w:p>
      <w:pPr>
        <w:spacing w:after="0" w:line="38"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Royalties are payable under the agreement beginning upon the first commercial sale of a product under the agreement and expires on a country-by-country basis on the occurrence of the later of (a) the expiration in such country of the last-to-expire patent with a valid claim and (b) the elapse of 15 years from the date of the first commercial sale of a product under the agreement in the country. Either we or Yissum may terminate the agreement immediately upon written notice to the other relating to bankruptcy and insolvency matters, upon 60 days’ written notice of a material breach, if such breach is not capable of but is not cured, and upon 90 days with notice of a non-material breach, is such breach is not cured. Notwithstanding the foregoing, a party is entitled to an extra 30 days to cure a breach if the breach is not capable of cure during the stated period if the breaching party uses diligent good faith efforts to cure the breach. In addition, Yissum may terminate the agreement (a) immediately if an attachment is made over our assets and/or execution proceedings are taken</w:t>
      </w:r>
    </w:p>
    <w:p>
      <w:pPr>
        <w:spacing w:after="0" w:line="200" w:lineRule="exact"/>
        <w:rPr>
          <w:sz w:val="20"/>
          <w:szCs w:val="20"/>
          <w:color w:val="auto"/>
        </w:rPr>
      </w:pPr>
    </w:p>
    <w:p>
      <w:pPr>
        <w:spacing w:after="0" w:line="30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39"/>
        <w:spacing w:after="0" w:line="289" w:lineRule="auto"/>
        <w:rPr>
          <w:sz w:val="20"/>
          <w:szCs w:val="20"/>
          <w:color w:val="auto"/>
        </w:rPr>
      </w:pPr>
      <w:r>
        <w:rPr>
          <w:rFonts w:ascii="Arial" w:cs="Arial" w:eastAsia="Arial" w:hAnsi="Arial"/>
          <w:sz w:val="16"/>
          <w:szCs w:val="16"/>
          <w:color w:val="auto"/>
        </w:rPr>
        <w:t>against us and are not set aside within 60 days of the date of attachment or proceedings, as applicable and (b) if we fail to pay, in full, the research fee under a related sponsored research agreement upon 30 days’ notice, subject to certain exceptions. We may terminate the license agreement for any reason on 30 days’ prior written notice to Yissum.</w:t>
      </w:r>
    </w:p>
    <w:p>
      <w:pPr>
        <w:spacing w:after="0" w:line="56" w:lineRule="exact"/>
        <w:rPr>
          <w:sz w:val="20"/>
          <w:szCs w:val="20"/>
          <w:color w:val="auto"/>
        </w:rPr>
      </w:pPr>
    </w:p>
    <w:p>
      <w:pPr>
        <w:ind w:left="60" w:right="979" w:firstLine="257"/>
        <w:spacing w:after="0" w:line="255" w:lineRule="auto"/>
        <w:rPr>
          <w:sz w:val="20"/>
          <w:szCs w:val="20"/>
          <w:color w:val="auto"/>
        </w:rPr>
      </w:pPr>
      <w:r>
        <w:rPr>
          <w:rFonts w:ascii="Arial" w:cs="Arial" w:eastAsia="Arial" w:hAnsi="Arial"/>
          <w:sz w:val="17"/>
          <w:szCs w:val="17"/>
          <w:color w:val="auto"/>
        </w:rPr>
        <w:t>Termination of the agreement will result in the termination of the license and, accordingly, the licensed technology and all rights included therein shall revert to Yissum. All sublicenses under the agreement are required to provide that, upon termination of the license, in whole or in part, that is, with respect to any country, the sublicense shall terminate; provided that as long as the sublicensee is not in breach of the sublicense agreement at such time to the extent that we would have the right to terminate the sublicense, Yissum shall be required to effect one of the two following acts: either (a) enter into a new agreement with the sublicensee upon substantially the same terms as the sublicense as long as the terms are amended such that Yissum is not subject to any obligation or liability which are not included in, or in greater scope than, Yissum’s obligations or liabilities under the license agreement; or (b) require the sublicensee to enter into a new license agreement on substantially the same terms and conditions as those contained in the license agreement.</w:t>
      </w:r>
    </w:p>
    <w:p>
      <w:pPr>
        <w:spacing w:after="0" w:line="86" w:lineRule="exact"/>
        <w:rPr>
          <w:sz w:val="20"/>
          <w:szCs w:val="20"/>
          <w:color w:val="auto"/>
        </w:rPr>
      </w:pPr>
    </w:p>
    <w:p>
      <w:pPr>
        <w:ind w:left="60" w:right="1019" w:firstLine="257"/>
        <w:spacing w:after="0" w:line="272" w:lineRule="auto"/>
        <w:rPr>
          <w:sz w:val="20"/>
          <w:szCs w:val="20"/>
          <w:color w:val="auto"/>
        </w:rPr>
      </w:pPr>
      <w:r>
        <w:rPr>
          <w:rFonts w:ascii="Arial" w:cs="Arial" w:eastAsia="Arial" w:hAnsi="Arial"/>
          <w:sz w:val="16"/>
          <w:szCs w:val="16"/>
          <w:color w:val="auto"/>
        </w:rPr>
        <w:t>We have the first right to prepare, file, prosecute and maintain any patent applications and patents in respect of the licensed technology and any part thereof, at our expense, subject to certain conditions. We are required to file each licensed patent application at least in the United States, Europe and Japan. We are also required to take action, in reasonable commercial circumstances and after consultation with patent counsel, in the prosecution, prevention or termination of any infringement of patents licensed under the agreement. We are responsible for the expenses of any patent infringement suit that we bring, including the expenses incurred by Yissum in connection with such suits. We are entitled to reimbursement from any awards or settlements recovered in such suit or in the settlement thereof for all costs and expenses involved in the prosecution of any such suit. If we elect not to pursue any action in connection with infringement and Yissum in good faith disagrees with us that it is in the mutual best interest of both parties not to pursue any such action, then, at our election, we may either allow Yissum to pursue such actions, at Yissum’s expense, or pay Yissum the royalties that Yissum would otherwise receive from us attributable to lost sales resulting from such alleged infringement.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Intellectual Property</w:t>
      </w:r>
    </w:p>
    <w:p>
      <w:pPr>
        <w:spacing w:after="0" w:line="119" w:lineRule="exact"/>
        <w:rPr>
          <w:sz w:val="20"/>
          <w:szCs w:val="20"/>
          <w:color w:val="auto"/>
        </w:rPr>
      </w:pPr>
    </w:p>
    <w:p>
      <w:pPr>
        <w:ind w:left="60" w:right="1019" w:firstLine="257"/>
        <w:spacing w:after="0" w:line="257" w:lineRule="auto"/>
        <w:rPr>
          <w:sz w:val="20"/>
          <w:szCs w:val="20"/>
          <w:color w:val="auto"/>
        </w:rPr>
      </w:pPr>
      <w:r>
        <w:rPr>
          <w:rFonts w:ascii="Arial" w:cs="Arial" w:eastAsia="Arial" w:hAnsi="Arial"/>
          <w:sz w:val="17"/>
          <w:szCs w:val="17"/>
          <w:color w:val="auto"/>
        </w:rPr>
        <w:t>Our success depends in part on our ability to obtain and maintain proprietary protection for our therapeutic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to develop and maintain our proprietary position.</w:t>
      </w:r>
    </w:p>
    <w:p>
      <w:pPr>
        <w:spacing w:after="0" w:line="82" w:lineRule="exact"/>
        <w:rPr>
          <w:sz w:val="20"/>
          <w:szCs w:val="20"/>
          <w:color w:val="auto"/>
        </w:rPr>
      </w:pPr>
    </w:p>
    <w:p>
      <w:pPr>
        <w:ind w:left="60" w:right="1259" w:firstLine="257"/>
        <w:spacing w:after="0" w:line="296" w:lineRule="auto"/>
        <w:rPr>
          <w:sz w:val="20"/>
          <w:szCs w:val="20"/>
          <w:color w:val="auto"/>
        </w:rPr>
      </w:pPr>
      <w:r>
        <w:rPr>
          <w:rFonts w:ascii="Arial" w:cs="Arial" w:eastAsia="Arial" w:hAnsi="Arial"/>
          <w:sz w:val="15"/>
          <w:szCs w:val="15"/>
          <w:i w:val="1"/>
          <w:iCs w:val="1"/>
          <w:color w:val="auto"/>
        </w:rPr>
        <w:t>Patents</w:t>
      </w:r>
      <w:r>
        <w:rPr>
          <w:rFonts w:ascii="Arial" w:cs="Arial" w:eastAsia="Arial" w:hAnsi="Arial"/>
          <w:sz w:val="15"/>
          <w:szCs w:val="15"/>
          <w:color w:val="auto"/>
        </w:rPr>
        <w:t>. As of June 30, 2011, we owned or exclusively licensed for uses within our field of business 15 patent families that,</w:t>
      </w:r>
      <w:r>
        <w:rPr>
          <w:rFonts w:ascii="Arial" w:cs="Arial" w:eastAsia="Arial" w:hAnsi="Arial"/>
          <w:sz w:val="15"/>
          <w:szCs w:val="15"/>
          <w:i w:val="1"/>
          <w:iCs w:val="1"/>
          <w:color w:val="auto"/>
        </w:rPr>
        <w:t xml:space="preserve"> </w:t>
      </w:r>
      <w:r>
        <w:rPr>
          <w:rFonts w:ascii="Arial" w:cs="Arial" w:eastAsia="Arial" w:hAnsi="Arial"/>
          <w:sz w:val="15"/>
          <w:szCs w:val="15"/>
          <w:color w:val="auto"/>
        </w:rPr>
        <w:t>collectively contain over 21 issued patents and over 67 patent applications relating to our five clinical candidates. We are also pursuing patent protection for other drug candidates in our pipeline. Patents related to our therapeutic candidates may provide future competitive advantages by providing exclusivity related to the composition of matter, formulation, and method of administration of the applicable compounds and could materially improve the value of our therapeutic candidates. The patent positions for our five leading therapeutic candidates are described below and include both patents and applications we own or exclusively license. We vigorously defend our intellectual property to preserve our rights and gain the benefit of our investment.</w:t>
      </w:r>
    </w:p>
    <w:p>
      <w:pPr>
        <w:spacing w:after="0" w:line="54" w:lineRule="exact"/>
        <w:rPr>
          <w:sz w:val="20"/>
          <w:szCs w:val="20"/>
          <w:color w:val="auto"/>
        </w:rPr>
      </w:pPr>
    </w:p>
    <w:p>
      <w:pPr>
        <w:ind w:left="580" w:right="999" w:hanging="307"/>
        <w:spacing w:after="0" w:line="279"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 respect to BL-1020, we have an exclusive license to three patent families that relate to the molecule that is the active ingredient of our proprietary anti-psychotic drug, pharmaceutical compositions and methods of use, such as in the treatment of schizophrenia. Patents and patent applications corresponding to the international patent applications have been granted or are pending in the United States, Israel, Europe, Australia, Japan, Canada, China, India, South Korea and Mexico. The patents and any patents to issue in the future based on pending patent applications in</w:t>
      </w:r>
    </w:p>
    <w:p>
      <w:pPr>
        <w:spacing w:after="0" w:line="200" w:lineRule="exact"/>
        <w:rPr>
          <w:sz w:val="20"/>
          <w:szCs w:val="20"/>
          <w:color w:val="auto"/>
        </w:rPr>
      </w:pPr>
    </w:p>
    <w:p>
      <w:pPr>
        <w:spacing w:after="0" w:line="30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580" w:right="1239"/>
        <w:spacing w:after="0" w:line="265" w:lineRule="auto"/>
        <w:rPr>
          <w:sz w:val="20"/>
          <w:szCs w:val="20"/>
          <w:color w:val="auto"/>
        </w:rPr>
      </w:pPr>
      <w:r>
        <w:rPr>
          <w:rFonts w:ascii="Arial" w:cs="Arial" w:eastAsia="Arial" w:hAnsi="Arial"/>
          <w:sz w:val="17"/>
          <w:szCs w:val="17"/>
          <w:color w:val="auto"/>
        </w:rPr>
        <w:t>these families will expire, without extension, beginning in 2022. We have an exclusive license to two patent families claiming the use of BL-1020 for improving cognitive functions and claiming a novel crystalline form of BL-1020. When and if granted, these patents will be valid until 2030, at least.</w:t>
      </w:r>
    </w:p>
    <w:p>
      <w:pPr>
        <w:spacing w:after="0" w:line="73" w:lineRule="exact"/>
        <w:rPr>
          <w:sz w:val="20"/>
          <w:szCs w:val="20"/>
          <w:color w:val="auto"/>
        </w:rPr>
      </w:pPr>
    </w:p>
    <w:p>
      <w:pPr>
        <w:ind w:left="580" w:right="1079" w:hanging="307"/>
        <w:spacing w:after="0" w:line="301"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 respect to BL-1040, we have an exclusive license to a patent family directed to the BL-1040 composition, methods of production and methods of use, such as uses for the treatment of myocardial infarction. Patents and patent applications corresponding to the international patent application have been granted or are pending in the United States, Israel, Europe, Japan, Canada, Australia, Mexico, China, South Korea and India. The issued patents and any patents to issue in the future based on pending patent applications in these families will expire, without an extension, in 2024.</w:t>
      </w:r>
    </w:p>
    <w:p>
      <w:pPr>
        <w:spacing w:after="0" w:line="50" w:lineRule="exact"/>
        <w:rPr>
          <w:rFonts w:ascii="Arial" w:cs="Arial" w:eastAsia="Arial" w:hAnsi="Arial"/>
          <w:sz w:val="15"/>
          <w:szCs w:val="15"/>
          <w:color w:val="auto"/>
        </w:rPr>
      </w:pPr>
    </w:p>
    <w:p>
      <w:pPr>
        <w:ind w:left="580" w:right="1119" w:hanging="307"/>
        <w:spacing w:after="0" w:line="306"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 respect to BL-5010, we have an exclusive license to a patent family directed to the BL-5010 composition or methods of its use, such as the treatment of skin lesions. Patents and patent applications corresponding to the international patent application have been granted or are pending in the United States, Israel and Europe. The issued patents and any patents to issue in the future based on pending patent applications in these families will expire beginning in the end of 2021.</w:t>
      </w:r>
    </w:p>
    <w:p>
      <w:pPr>
        <w:spacing w:after="0" w:line="46" w:lineRule="exact"/>
        <w:rPr>
          <w:rFonts w:ascii="Arial" w:cs="Arial" w:eastAsia="Arial" w:hAnsi="Arial"/>
          <w:sz w:val="15"/>
          <w:szCs w:val="15"/>
          <w:color w:val="auto"/>
        </w:rPr>
      </w:pPr>
    </w:p>
    <w:p>
      <w:pPr>
        <w:ind w:left="580" w:right="999" w:hanging="307"/>
        <w:spacing w:after="0" w:line="255"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 respect to BL-1021, we have an exclusive license to a patent family that relates to the molecule that is the active ingredient of our proprietary drug. Patents and patent applications corresponding to the international patent application have been granted or are pending in the United States, Israel, Europe, Australia, Japan, Canada, China, India, South Korea and Mexico. The patents and any patents to issue in the future based on pending patent applications in this family will expire, without extension, beginning in 2022. We also have an exclusive license to a patent family claiming the use of BL-1021 for the treatment of pain. Patents and patent applications corresponding to the international patent application are pending in the United States, Israel, Europe, Australia, Japan, Canada, China, India, South Korea and Mexico. The patents and any patents to issue in the future based on pending patent applications in this family will expire, without extension, beginning in 2027.</w:t>
      </w:r>
    </w:p>
    <w:p>
      <w:pPr>
        <w:spacing w:after="0" w:line="85" w:lineRule="exact"/>
        <w:rPr>
          <w:rFonts w:ascii="Arial" w:cs="Arial" w:eastAsia="Arial" w:hAnsi="Arial"/>
          <w:sz w:val="17"/>
          <w:szCs w:val="17"/>
          <w:color w:val="auto"/>
        </w:rPr>
      </w:pPr>
    </w:p>
    <w:p>
      <w:pPr>
        <w:ind w:left="580" w:right="999" w:hanging="307"/>
        <w:spacing w:after="0" w:line="274"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BL-7040, we have an exclusive license to a patent family that relates to the molecule that is the active ingredient of our proprietary drug. Patents and patent applications corresponding to the international patent application have been granted or are pending in the United States, Israel, Europe, Japan, Canada, New Zealand and India. The patents and any patents to issue in the future based on pending patent applications in this family will expire, without extension, beginning in 2021. We also have an exclusive license to a patent family claiming the use of BL-7040 for the treatment of inflammation. Patents and patent applications corresponding to the international patent application have been granted or are pending in the United States, Europe and Japan. The patents and any patents to issue in the future based on pending patent applications in this family will expire, without extension, beginning in 2023.</w:t>
      </w:r>
    </w:p>
    <w:p>
      <w:pPr>
        <w:spacing w:after="0" w:line="69" w:lineRule="exact"/>
        <w:rPr>
          <w:sz w:val="20"/>
          <w:szCs w:val="20"/>
          <w:color w:val="auto"/>
        </w:rPr>
      </w:pPr>
    </w:p>
    <w:p>
      <w:pPr>
        <w:ind w:left="60" w:right="999" w:firstLine="257"/>
        <w:spacing w:after="0" w:line="293" w:lineRule="auto"/>
        <w:rPr>
          <w:sz w:val="20"/>
          <w:szCs w:val="20"/>
          <w:color w:val="auto"/>
        </w:rPr>
      </w:pPr>
      <w:r>
        <w:rPr>
          <w:rFonts w:ascii="Arial" w:cs="Arial" w:eastAsia="Arial" w:hAnsi="Arial"/>
          <w:sz w:val="15"/>
          <w:szCs w:val="15"/>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narrowed, circumvented or found to be invalid or unenforceable, which could limit our ability to stop competitors from marketing related products or the length of term of patent protection that we may have for our products. Neither we nor our licensors can be certain that we were the first to invent the inventions claimed in our owned or licensed patents or patent applications. In addition, our competitors may independently develop similar technologies or duplicate any technology developed by us, and the rights granted under any issued patents may not provide us with any meaningful competitive advantages against these competitors. Furthermore, because of the extensive time required for development, testing and regulatory</w:t>
      </w: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spacing w:after="0" w:line="311" w:lineRule="auto"/>
        <w:rPr>
          <w:sz w:val="20"/>
          <w:szCs w:val="20"/>
          <w:color w:val="auto"/>
        </w:rPr>
      </w:pPr>
      <w:r>
        <w:rPr>
          <w:rFonts w:ascii="Arial" w:cs="Arial" w:eastAsia="Arial" w:hAnsi="Arial"/>
          <w:sz w:val="16"/>
          <w:szCs w:val="16"/>
          <w:color w:val="auto"/>
        </w:rPr>
        <w:t>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38" w:lineRule="exact"/>
        <w:rPr>
          <w:sz w:val="20"/>
          <w:szCs w:val="20"/>
          <w:color w:val="auto"/>
        </w:rPr>
      </w:pPr>
    </w:p>
    <w:p>
      <w:pPr>
        <w:ind w:left="60" w:right="1059" w:firstLine="257"/>
        <w:spacing w:after="0" w:line="296" w:lineRule="auto"/>
        <w:rPr>
          <w:sz w:val="20"/>
          <w:szCs w:val="20"/>
          <w:color w:val="auto"/>
        </w:rPr>
      </w:pPr>
      <w:r>
        <w:rPr>
          <w:rFonts w:ascii="Arial" w:cs="Arial" w:eastAsia="Arial" w:hAnsi="Arial"/>
          <w:sz w:val="15"/>
          <w:szCs w:val="15"/>
          <w:b w:val="1"/>
          <w:bCs w:val="1"/>
          <w:i w:val="1"/>
          <w:iCs w:val="1"/>
          <w:color w:val="auto"/>
        </w:rPr>
        <w:t xml:space="preserve">Trade Secrets. </w:t>
      </w:r>
      <w:r>
        <w:rPr>
          <w:rFonts w:ascii="Arial" w:cs="Arial" w:eastAsia="Arial" w:hAnsi="Arial"/>
          <w:sz w:val="15"/>
          <w:szCs w:val="15"/>
          <w:color w:val="auto"/>
        </w:rPr>
        <w:t>We may rely, in some circumstances, on trade secrets to protect our technology. However, trade secrets can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difficult to protect. We seek to protect our proprietary technology and processes, in part, by confidentiality agreements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Scientific Advisory Board</w:t>
      </w:r>
    </w:p>
    <w:p>
      <w:pPr>
        <w:spacing w:after="0" w:line="119" w:lineRule="exact"/>
        <w:rPr>
          <w:sz w:val="20"/>
          <w:szCs w:val="20"/>
          <w:color w:val="auto"/>
        </w:rPr>
      </w:pPr>
    </w:p>
    <w:p>
      <w:pPr>
        <w:ind w:left="60" w:right="1019" w:firstLine="257"/>
        <w:spacing w:after="0" w:line="282" w:lineRule="auto"/>
        <w:rPr>
          <w:sz w:val="20"/>
          <w:szCs w:val="20"/>
          <w:color w:val="auto"/>
        </w:rPr>
      </w:pPr>
      <w:r>
        <w:rPr>
          <w:rFonts w:ascii="Arial" w:cs="Arial" w:eastAsia="Arial" w:hAnsi="Arial"/>
          <w:sz w:val="16"/>
          <w:szCs w:val="16"/>
          <w:color w:val="auto"/>
        </w:rPr>
        <w:t>Our Scientific Advisory Board, which consists of a number of leading scientists and physicians, plays an active role in the evaluation of in-licensing opportunities, the development of our pipeline, and in the rejection of in-licensing opportunities that do not meet our licensing criteria. We also seek advice from our Scientific Advisory Board on scientific and medical matters generally. Our Scientific Advisory Board meets approximately every six weeks to, among other things:</w:t>
      </w:r>
    </w:p>
    <w:p>
      <w:pPr>
        <w:spacing w:after="0" w:line="61" w:lineRule="exact"/>
        <w:rPr>
          <w:sz w:val="20"/>
          <w:szCs w:val="20"/>
          <w:color w:val="auto"/>
        </w:rPr>
      </w:pPr>
    </w:p>
    <w:p>
      <w:pPr>
        <w:ind w:left="580" w:hanging="307"/>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screen all potential in-licensing and current therapeutic candidates;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oversee our research and development programs;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address specific scientific and technical issues relevant to our business.</w:t>
      </w:r>
    </w:p>
    <w:p>
      <w:pPr>
        <w:spacing w:after="0" w:line="200" w:lineRule="exact"/>
        <w:rPr>
          <w:sz w:val="20"/>
          <w:szCs w:val="20"/>
          <w:color w:val="auto"/>
        </w:rPr>
      </w:pPr>
    </w:p>
    <w:p>
      <w:pPr>
        <w:spacing w:after="0" w:line="3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for our Scientific Advisory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9333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3331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7220" w:type="dxa"/>
            <w:vAlign w:val="bottom"/>
            <w:gridSpan w:val="2"/>
          </w:tcPr>
          <w:p>
            <w:pPr>
              <w:ind w:left="1500"/>
              <w:spacing w:after="0"/>
              <w:rPr>
                <w:sz w:val="20"/>
                <w:szCs w:val="20"/>
                <w:color w:val="auto"/>
              </w:rPr>
            </w:pPr>
            <w:r>
              <w:rPr>
                <w:rFonts w:ascii="Arial" w:cs="Arial" w:eastAsia="Arial" w:hAnsi="Arial"/>
                <w:sz w:val="14"/>
                <w:szCs w:val="14"/>
                <w:b w:val="1"/>
                <w:bCs w:val="1"/>
                <w:color w:val="auto"/>
              </w:rPr>
              <w:t>Position/Institutional Affiliation</w:t>
            </w:r>
          </w:p>
        </w:tc>
      </w:tr>
      <w:tr>
        <w:trPr>
          <w:trHeight w:val="186"/>
        </w:trPr>
        <w:tc>
          <w:tcPr>
            <w:tcW w:w="2780" w:type="dxa"/>
            <w:vAlign w:val="bottom"/>
            <w:tcBorders>
              <w:top w:val="single" w:sz="8" w:color="auto"/>
            </w:tcBorders>
            <w:gridSpan w:val="2"/>
          </w:tcPr>
          <w:p>
            <w:pPr>
              <w:spacing w:after="0" w:line="186" w:lineRule="exact"/>
              <w:rPr>
                <w:sz w:val="20"/>
                <w:szCs w:val="20"/>
                <w:color w:val="auto"/>
              </w:rPr>
            </w:pPr>
            <w:r>
              <w:rPr>
                <w:rFonts w:ascii="Arial" w:cs="Arial" w:eastAsia="Arial" w:hAnsi="Arial"/>
                <w:sz w:val="17"/>
                <w:szCs w:val="17"/>
                <w:color w:val="auto"/>
              </w:rPr>
              <w:t>J. Aaron Ciechanover, M.D., Ph.D.</w:t>
            </w:r>
          </w:p>
        </w:tc>
        <w:tc>
          <w:tcPr>
            <w:tcW w:w="160" w:type="dxa"/>
            <w:vAlign w:val="bottom"/>
          </w:tcPr>
          <w:p>
            <w:pPr>
              <w:spacing w:after="0"/>
              <w:rPr>
                <w:sz w:val="16"/>
                <w:szCs w:val="16"/>
                <w:color w:val="auto"/>
              </w:rPr>
            </w:pPr>
          </w:p>
        </w:tc>
        <w:tc>
          <w:tcPr>
            <w:tcW w:w="488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w w:val="94"/>
              </w:rPr>
              <w:t>Professor Ciechanover is a Nobel Prize laureate in Chemistry (2004)</w:t>
            </w:r>
          </w:p>
        </w:tc>
        <w:tc>
          <w:tcPr>
            <w:tcW w:w="2340" w:type="dxa"/>
            <w:vAlign w:val="bottom"/>
          </w:tcPr>
          <w:p>
            <w:pPr>
              <w:spacing w:after="0"/>
              <w:rPr>
                <w:sz w:val="16"/>
                <w:szCs w:val="16"/>
                <w:color w:val="auto"/>
              </w:rPr>
            </w:pP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and a recipient of the Israel Prize (2000) in Biological Research and</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the prestigious Lasker Award (2000). Professor Ciechanover is the</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Director of the Rappaport Family Institute for Research in the medical</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sciences and is a professor of biochemistry at the Technion — Israel</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Institute of Technology.</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Aliza Eshkol, Ph.D.</w:t>
            </w: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Dr. Eshkol is Vice President for Scientific Affairs, Serono International</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SA, Geneva, Switzerland.</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David Ladkani, M.D.</w:t>
            </w: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Dr. Ladkani is the Chief Scientific Officer, Global Products Division,</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of Teva. Dr. Ladkani has received the prestigious Rothschild Award for</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innovation, and is widely published in the field of multiple sclerosis</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treatments.</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Yaakov Naparstek, M.D.</w:t>
            </w: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Professor Naparstek is the Chairman of Medicine of Hadassah</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University Hospital. His main research interests are in the field of</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autoimmunity, systemic lupus erythematosus and autoimmune</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arthritis.</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Moshe Phillip, M.D.</w:t>
            </w: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Professor Phillip has been our Vice President of Medical Affairs and</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Senior Clinical Advisor and a member of our Scientific Advisory</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Board since 2004. Professor Phillip is the Director of the Institute for</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Endocrinology and Diabetes of the Israel National Center for</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Childhood Diabetes at Schneider Children’s Medical Center of Israel</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and the Vice Dean for Research and Development at the Sackler</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School of Medical Education at Tel Aviv University.</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Itamar Shalit, M.D.</w:t>
            </w: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Professor Shalit is the Director of the Pediatric Infectious Disease Unit</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at the Schneider Children’s Medical Center in Israel. Dr. Shalit is the</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author of over 70 publications in scientific journals and chapters in</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textbooks and currently serves as the Chairman of the Israeli Society</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for Infectious Diseases.</w:t>
            </w:r>
          </w:p>
        </w:tc>
      </w:tr>
      <w:tr>
        <w:trPr>
          <w:trHeight w:val="206"/>
        </w:trPr>
        <w:tc>
          <w:tcPr>
            <w:tcW w:w="2780" w:type="dxa"/>
            <w:vAlign w:val="bottom"/>
            <w:gridSpan w:val="2"/>
          </w:tcPr>
          <w:p>
            <w:pPr>
              <w:spacing w:after="0"/>
              <w:rPr>
                <w:sz w:val="20"/>
                <w:szCs w:val="20"/>
                <w:color w:val="auto"/>
              </w:rPr>
            </w:pPr>
            <w:r>
              <w:rPr>
                <w:rFonts w:ascii="Arial" w:cs="Arial" w:eastAsia="Arial" w:hAnsi="Arial"/>
                <w:sz w:val="17"/>
                <w:szCs w:val="17"/>
                <w:color w:val="auto"/>
              </w:rPr>
              <w:t>Yosef Yarden, Ph.D.</w:t>
            </w: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Professor Yarden is the Dean of the Feinberg Graduate School of the</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Weizmann Institute of Science. He serves on numerous national and</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international boards and the scientific advisory committees of several</w:t>
            </w:r>
          </w:p>
        </w:tc>
      </w:tr>
      <w:tr>
        <w:trPr>
          <w:trHeight w:val="206"/>
        </w:trPr>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organizations, both academic and commercial, including serving as a</w:t>
            </w:r>
          </w:p>
        </w:tc>
      </w:tr>
      <w:tr>
        <w:trPr>
          <w:trHeight w:val="217"/>
        </w:trPr>
        <w:tc>
          <w:tcPr>
            <w:tcW w:w="1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Council Member of the European Association for Cancer Research.</w:t>
            </w:r>
          </w:p>
        </w:tc>
      </w:tr>
      <w:tr>
        <w:trPr>
          <w:trHeight w:val="733"/>
        </w:trPr>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40" w:type="dxa"/>
            <w:vAlign w:val="bottom"/>
            <w:gridSpan w:val="2"/>
          </w:tcPr>
          <w:p>
            <w:pPr>
              <w:jc w:val="right"/>
              <w:ind w:right="3215"/>
              <w:spacing w:after="0"/>
              <w:rPr>
                <w:sz w:val="20"/>
                <w:szCs w:val="20"/>
                <w:color w:val="auto"/>
              </w:rPr>
            </w:pPr>
            <w:r>
              <w:rPr>
                <w:rFonts w:ascii="Arial" w:cs="Arial" w:eastAsia="Arial" w:hAnsi="Arial"/>
                <w:sz w:val="17"/>
                <w:szCs w:val="17"/>
                <w:color w:val="auto"/>
              </w:rPr>
              <w:t>51</w:t>
            </w:r>
          </w:p>
        </w:tc>
        <w:tc>
          <w:tcPr>
            <w:tcW w:w="234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8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88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57785"/>
                    </a:xfrm>
                    <a:prstGeom prst="rect">
                      <a:avLst/>
                    </a:prstGeom>
                    <a:noFill/>
                  </pic:spPr>
                </pic:pic>
              </a:graphicData>
            </a:graphic>
          </wp:anchor>
        </w:drawing>
      </w:r>
    </w:p>
    <w:p>
      <w:pPr>
        <w:sectPr>
          <w:pgSz w:w="11900" w:h="16838" w:orient="portrait"/>
          <w:cols w:equalWidth="0" w:num="1">
            <w:col w:w="10160"/>
          </w:cols>
          <w:pgMar w:left="360" w:top="760" w:right="137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Manufacturing</w:t>
      </w:r>
    </w:p>
    <w:p>
      <w:pPr>
        <w:spacing w:after="0" w:line="119" w:lineRule="exact"/>
        <w:rPr>
          <w:sz w:val="20"/>
          <w:szCs w:val="20"/>
          <w:color w:val="auto"/>
        </w:rPr>
      </w:pPr>
    </w:p>
    <w:p>
      <w:pPr>
        <w:ind w:left="60" w:right="999" w:firstLine="257"/>
        <w:spacing w:after="0" w:line="298" w:lineRule="auto"/>
        <w:rPr>
          <w:sz w:val="20"/>
          <w:szCs w:val="20"/>
          <w:color w:val="auto"/>
        </w:rPr>
      </w:pPr>
      <w:r>
        <w:rPr>
          <w:rFonts w:ascii="Arial" w:cs="Arial" w:eastAsia="Arial" w:hAnsi="Arial"/>
          <w:sz w:val="15"/>
          <w:szCs w:val="15"/>
          <w:color w:val="auto"/>
        </w:rPr>
        <w:t>Our laboratories, which are located in our headquarters in Jerusalem, Israel, are compliant with both current good manufacturing practices, or cGMP, and Good Laboratory Practices, or GLP, and allow us to manufacture therapeutic supplies for our current clinical trials. See “Item 4. Information on the Company — Property, Plant and Equipment.” If we decide to perform any phase 3 clinical trial with respect to, or commercialize, any therapeutic candidate on our own, we anticipate that we will rely on third parties to produce the therapeutic supplies. We have limited personnel with experience in drug or medical device manufacturing and we lack the resources and capabilities to manufacture any of our therapeutic candidates on a commercial scale.</w:t>
      </w:r>
    </w:p>
    <w:p>
      <w:pPr>
        <w:spacing w:after="0" w:line="53" w:lineRule="exact"/>
        <w:rPr>
          <w:sz w:val="20"/>
          <w:szCs w:val="20"/>
          <w:color w:val="auto"/>
        </w:rPr>
      </w:pPr>
    </w:p>
    <w:p>
      <w:pPr>
        <w:ind w:left="60" w:right="1019" w:firstLine="257"/>
        <w:spacing w:after="0" w:line="255" w:lineRule="auto"/>
        <w:rPr>
          <w:sz w:val="20"/>
          <w:szCs w:val="20"/>
          <w:color w:val="auto"/>
        </w:rPr>
      </w:pPr>
      <w:r>
        <w:rPr>
          <w:rFonts w:ascii="Arial" w:cs="Arial" w:eastAsia="Arial" w:hAnsi="Arial"/>
          <w:sz w:val="17"/>
          <w:szCs w:val="17"/>
          <w:color w:val="auto"/>
        </w:rPr>
        <w:t>Under our out-licensing agreement with Ikaria with regard to BL-1040, we have the option to manufacture at least 20% of BL-1040 products pursuant to the terms of a supply agreement to be negotiated in good faith with Ikaria. See “Item 4. Information on the Company — Business Overview — Material Agreements — Ikaria Agreement.” There can be no assurance that our therapeutic candidates, if approved, can be manufactured in sufficient commercial quantities, in compliance with regulatory requirements and at an acceptable cost. We and our contract manufacturers are, and will be, subject to extensive governmental regulation in connection with the manufacture of any pharmaceutical products or medical devices. We and our contract manufacturers must ensure that all of the processes, methods and equipment are compliant with cGMP, for drugs or QSR for devices on an ongoing basis, mandated by the FDA and other regulatory authorities, and conduct extensive audits of vendors, contract laboratories and suppliers.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Contract Research Organizations</w:t>
      </w:r>
    </w:p>
    <w:p>
      <w:pPr>
        <w:spacing w:after="0" w:line="119" w:lineRule="exact"/>
        <w:rPr>
          <w:sz w:val="20"/>
          <w:szCs w:val="20"/>
          <w:color w:val="auto"/>
        </w:rPr>
      </w:pPr>
    </w:p>
    <w:p>
      <w:pPr>
        <w:ind w:left="60" w:right="1199" w:firstLine="257"/>
        <w:spacing w:after="0" w:line="261" w:lineRule="auto"/>
        <w:rPr>
          <w:sz w:val="20"/>
          <w:szCs w:val="20"/>
          <w:color w:val="auto"/>
        </w:rPr>
      </w:pPr>
      <w:r>
        <w:rPr>
          <w:rFonts w:ascii="Arial" w:cs="Arial" w:eastAsia="Arial" w:hAnsi="Arial"/>
          <w:sz w:val="17"/>
          <w:szCs w:val="17"/>
          <w:color w:val="auto"/>
        </w:rPr>
        <w:t>We outsource certain preclinical and clinical development activities to contract research organizations, or CROs, which meet FDA or European Medicines Agency regulatory standards. We create and implement the drug development plans and, during the preclinical and clinical phases of development, manage the CROs according to the specific requirements of the therapeutic candidate under development.</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Competition</w:t>
      </w:r>
    </w:p>
    <w:p>
      <w:pPr>
        <w:spacing w:after="0" w:line="119" w:lineRule="exact"/>
        <w:rPr>
          <w:sz w:val="20"/>
          <w:szCs w:val="20"/>
          <w:color w:val="auto"/>
        </w:rPr>
      </w:pPr>
    </w:p>
    <w:p>
      <w:pPr>
        <w:ind w:left="60" w:right="1019" w:firstLine="257"/>
        <w:spacing w:after="0" w:line="274" w:lineRule="auto"/>
        <w:rPr>
          <w:sz w:val="20"/>
          <w:szCs w:val="20"/>
          <w:color w:val="auto"/>
        </w:rPr>
      </w:pPr>
      <w:r>
        <w:rPr>
          <w:rFonts w:ascii="Arial" w:cs="Arial" w:eastAsia="Arial" w:hAnsi="Arial"/>
          <w:sz w:val="16"/>
          <w:szCs w:val="16"/>
          <w:color w:val="auto"/>
        </w:rPr>
        <w:t>The pharmaceutical, medical device and biotechnology industries are intensely competitive. Several of our therapeutic candidates, if commercialized, would compete with existing drugs and therapies. In addition, there are many pharmaceutical companies, biotechnology companies, medical device companies public and private universities, government agencies and research organizations actively engaged in research and development of products targeting the same markets as our therapeutic candidates. Many of these organizations have substantially greater financial, technical, manufacturing and marketing resources than we have. Our competitors may also be able to use alternative technologies that do not infringe upon our patents to formulate the active materials in our therapeutic candidates. They may, therefore, bring to market products that are able to compete with our candidates, or other products that we may develop in the future.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BL-1020</w:t>
      </w:r>
    </w:p>
    <w:p>
      <w:pPr>
        <w:spacing w:after="0" w:line="113" w:lineRule="exact"/>
        <w:rPr>
          <w:sz w:val="20"/>
          <w:szCs w:val="20"/>
          <w:color w:val="auto"/>
        </w:rPr>
      </w:pPr>
    </w:p>
    <w:p>
      <w:pPr>
        <w:ind w:left="60" w:right="1099" w:firstLine="257"/>
        <w:spacing w:after="0" w:line="257" w:lineRule="auto"/>
        <w:rPr>
          <w:sz w:val="20"/>
          <w:szCs w:val="20"/>
          <w:color w:val="auto"/>
        </w:rPr>
      </w:pPr>
      <w:r>
        <w:rPr>
          <w:rFonts w:ascii="Arial" w:cs="Arial" w:eastAsia="Arial" w:hAnsi="Arial"/>
          <w:sz w:val="17"/>
          <w:szCs w:val="17"/>
          <w:color w:val="auto"/>
        </w:rPr>
        <w:t>If approved, BL-1020 will compete with currently marketed atypical anti-psychotics from Johnson &amp; Johnson, Eli Lilly and Company, AstraZeneca, Bristol-Myers Squibb/Otsuka Pharmaceutical Co., Ltd., Pfizer Inc. and others, as well as with generic brands of typical and atypical anti-psychotics. We are also aware of a number of potentially competitive compounds under development including: Cariprazine, which is being developed by Forest Laboratories, Inc.; Bifeprunox, which is being developed by Solvay Pharmaceuticals, Inc., and Lurasidone, which is being developed by Dainippon Sumitomo Pharma Co., Ltd. None of these anti-psychotics are indicated to improve cognition.</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BL-1040</w:t>
      </w:r>
    </w:p>
    <w:p>
      <w:pPr>
        <w:spacing w:after="0" w:line="113" w:lineRule="exact"/>
        <w:rPr>
          <w:sz w:val="20"/>
          <w:szCs w:val="20"/>
          <w:color w:val="auto"/>
        </w:rPr>
      </w:pPr>
    </w:p>
    <w:p>
      <w:pPr>
        <w:ind w:left="60" w:right="1099" w:firstLine="257"/>
        <w:spacing w:after="0" w:line="299" w:lineRule="auto"/>
        <w:rPr>
          <w:sz w:val="20"/>
          <w:szCs w:val="20"/>
          <w:color w:val="auto"/>
        </w:rPr>
      </w:pPr>
      <w:r>
        <w:rPr>
          <w:rFonts w:ascii="Arial" w:cs="Arial" w:eastAsia="Arial" w:hAnsi="Arial"/>
          <w:sz w:val="15"/>
          <w:szCs w:val="15"/>
          <w:color w:val="auto"/>
        </w:rPr>
        <w:t>We are not aware of any marketed products for the prevention of cardiac remodeling following an AMI that, like BL-1040, are injectable and form a protective scaffold that supports the heart muscle during recovery and repair. BL-1040 faces competition from a number of therapies currently in development that treat cardiac remodeling in different ways. Other treatments for cardiac</w:t>
      </w:r>
    </w:p>
    <w:p>
      <w:pPr>
        <w:ind w:left="60" w:right="1839"/>
        <w:spacing w:after="0" w:line="239" w:lineRule="auto"/>
        <w:rPr>
          <w:sz w:val="20"/>
          <w:szCs w:val="20"/>
          <w:color w:val="auto"/>
        </w:rPr>
      </w:pPr>
      <w:r>
        <w:rPr>
          <w:rFonts w:ascii="Arial" w:cs="Arial" w:eastAsia="Arial" w:hAnsi="Arial"/>
          <w:sz w:val="17"/>
          <w:szCs w:val="17"/>
          <w:color w:val="auto"/>
        </w:rPr>
        <w:t>remodeling include BioHeart, Inc.’s MyoCell® implantation procedure, Paracor Medical, Inc.’s HeartNet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Acorn Cardiovascular, Inc.’s CorCap</w:t>
      </w:r>
      <w:r>
        <w:rPr>
          <w:rFonts w:ascii="Arial" w:cs="Arial" w:eastAsia="Arial" w:hAnsi="Arial"/>
          <w:sz w:val="28"/>
          <w:szCs w:val="28"/>
          <w:color w:val="auto"/>
          <w:vertAlign w:val="superscript"/>
        </w:rPr>
        <w:t>TM</w:t>
      </w:r>
    </w:p>
    <w:p>
      <w:pPr>
        <w:spacing w:after="0" w:line="39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1" w:lineRule="exact"/>
        <w:rPr>
          <w:sz w:val="20"/>
          <w:szCs w:val="20"/>
          <w:color w:val="auto"/>
        </w:rPr>
      </w:pPr>
    </w:p>
    <w:p>
      <w:pPr>
        <w:ind w:left="60" w:right="1099"/>
        <w:spacing w:after="0" w:line="228" w:lineRule="auto"/>
        <w:rPr>
          <w:sz w:val="20"/>
          <w:szCs w:val="20"/>
          <w:color w:val="auto"/>
        </w:rPr>
      </w:pPr>
      <w:r>
        <w:rPr>
          <w:rFonts w:ascii="Arial" w:cs="Arial" w:eastAsia="Arial" w:hAnsi="Arial"/>
          <w:sz w:val="16"/>
          <w:szCs w:val="16"/>
          <w:color w:val="auto"/>
        </w:rPr>
        <w:t>device. These devices are indicated for different patient populations than BL-1040 and require surgery. For example, CorCap</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indicated for patients suffering from congestive heart failure (CHF) and requires surgery to apply the device.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BL-5010</w:t>
      </w:r>
    </w:p>
    <w:p>
      <w:pPr>
        <w:spacing w:after="0" w:line="113" w:lineRule="exact"/>
        <w:rPr>
          <w:sz w:val="20"/>
          <w:szCs w:val="20"/>
          <w:color w:val="auto"/>
        </w:rPr>
      </w:pPr>
    </w:p>
    <w:p>
      <w:pPr>
        <w:ind w:left="60" w:right="1239" w:firstLine="257"/>
        <w:spacing w:after="0" w:line="301" w:lineRule="auto"/>
        <w:rPr>
          <w:sz w:val="20"/>
          <w:szCs w:val="20"/>
          <w:color w:val="auto"/>
        </w:rPr>
      </w:pPr>
      <w:r>
        <w:rPr>
          <w:rFonts w:ascii="Arial" w:cs="Arial" w:eastAsia="Arial" w:hAnsi="Arial"/>
          <w:sz w:val="15"/>
          <w:szCs w:val="15"/>
          <w:color w:val="auto"/>
        </w:rPr>
        <w:t>There are a variety of approved destructive and non-destructive treatments for skin lesions. Surgery is currently the most common approved non-destructive treatment for skin lesions but is invasive and painful, and generally results in cosmetically undesirable outcomes. Destructive treatments are associated with pain. Metvix® is a non-destructive, non-surgical, cream-based treatment for skin lesions developed by Galderma Pharma SA which involves exposure of the skin lesion to red light after the application of the cream. It has been approved in many countries. BL-5010 does not require the use of any equipment.</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BL-1021</w:t>
      </w:r>
    </w:p>
    <w:p>
      <w:pPr>
        <w:spacing w:after="0" w:line="113" w:lineRule="exact"/>
        <w:rPr>
          <w:sz w:val="20"/>
          <w:szCs w:val="20"/>
          <w:color w:val="auto"/>
        </w:rPr>
      </w:pPr>
    </w:p>
    <w:p>
      <w:pPr>
        <w:ind w:left="60" w:right="1119" w:firstLine="257"/>
        <w:spacing w:after="0" w:line="274" w:lineRule="auto"/>
        <w:rPr>
          <w:sz w:val="20"/>
          <w:szCs w:val="20"/>
          <w:color w:val="auto"/>
        </w:rPr>
      </w:pPr>
      <w:r>
        <w:rPr>
          <w:rFonts w:ascii="Arial" w:cs="Arial" w:eastAsia="Arial" w:hAnsi="Arial"/>
          <w:sz w:val="16"/>
          <w:szCs w:val="16"/>
          <w:color w:val="auto"/>
        </w:rPr>
        <w:t>If approved, BL-1021 will compete with currently marketed anticonvulsants, antidepressants and narcotic analgesics. The neuropathic pain market leaders are anticonvulsants, such as Lyrica (Pregabalin, Pfizer) and the generic Gabapentin, together with off-label brands. Additional market leaders are Cymbalta (duloxetine; Eli Lilly/Shionogi), Lidoderm (5% lidocaine patch; Endo/Grünenthal), and Qutenza (8% capsaicin patch; NeurogesX/Astellas). We are also aware of a number of potentially competitive compounds under development including Nucynta ER (Tapentadol ER; Grünenthal/Johnson &amp; Johnson), DM-1796 (Gabapentin GR; Depomed/Abbott), Horizant (Gabapentin enacarbil; XenoPort/GlaxoSmithKline) and Ralfinamide (Newron). None of these compounds is considered revolutionary in terms of fulfilling all the critical clinical factors such as high efficacy, improved dosing regimen and improvement of related side effects.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BL-7040</w:t>
      </w:r>
    </w:p>
    <w:p>
      <w:pPr>
        <w:spacing w:after="0" w:line="113" w:lineRule="exact"/>
        <w:rPr>
          <w:sz w:val="20"/>
          <w:szCs w:val="20"/>
          <w:color w:val="auto"/>
        </w:rPr>
      </w:pPr>
    </w:p>
    <w:p>
      <w:pPr>
        <w:ind w:left="60" w:right="999" w:firstLine="257"/>
        <w:spacing w:after="0" w:line="295" w:lineRule="auto"/>
        <w:rPr>
          <w:sz w:val="20"/>
          <w:szCs w:val="20"/>
          <w:color w:val="auto"/>
        </w:rPr>
      </w:pPr>
      <w:r>
        <w:rPr>
          <w:rFonts w:ascii="Arial" w:cs="Arial" w:eastAsia="Arial" w:hAnsi="Arial"/>
          <w:sz w:val="15"/>
          <w:szCs w:val="15"/>
          <w:color w:val="auto"/>
        </w:rPr>
        <w:t>If approved, BL-7040 will compete with currently marketed steroids, immunomodulators and anti-TNFs (tumor necrosis factors). The IBD market leaders are anti-TNFs such as Remicade (infliximab, Janssen Biotech, Inc., a Johnson &amp; Johnson company, Merck &amp; Co. and Mitsubishi Tanabe Pharma) and Humira (adalimumab, Abbott Laboratories and Eisai Co.), in addition to generic brands of mesalazine, a 5-aminosalicylate. Additional market leaders are Cimzia (certolizumab, UCB, Inc.), an anti-TNF, and Tysabri (natalizumab, Biogen Inc.), an integrin inhibitor. We are also aware of a number of potentially competitive compounds under development including Simponi (golimumab, Janssen Biotech, Inc., Merck &amp; Co. and Mitsubishi Tanabe Pharma), a TNF inhibitor, and Budesonide MMX (Cosmo Pharmaceuticals, Ferring Pharmaceuticals and Santarus, Inc.). There is no other compound available for the treatment of IBD with a similar mode of action on both the inflammatory and neurological pathways.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Insurance</w:t>
      </w:r>
    </w:p>
    <w:p>
      <w:pPr>
        <w:spacing w:after="0" w:line="119" w:lineRule="exact"/>
        <w:rPr>
          <w:sz w:val="20"/>
          <w:szCs w:val="20"/>
          <w:color w:val="auto"/>
        </w:rPr>
      </w:pPr>
    </w:p>
    <w:p>
      <w:pPr>
        <w:ind w:left="60" w:right="1219" w:firstLine="257"/>
        <w:spacing w:after="0" w:line="255" w:lineRule="auto"/>
        <w:rPr>
          <w:sz w:val="20"/>
          <w:szCs w:val="20"/>
          <w:color w:val="auto"/>
        </w:rPr>
      </w:pPr>
      <w:r>
        <w:rPr>
          <w:rFonts w:ascii="Arial" w:cs="Arial" w:eastAsia="Arial" w:hAnsi="Arial"/>
          <w:sz w:val="17"/>
          <w:szCs w:val="17"/>
          <w:color w:val="auto"/>
        </w:rPr>
        <w:t>We maintain insurance programs for our offices and laboratory in Israel and our office in the United States. Our Israeli insurance program covers approximately $3.7 million of equipment, stock and lease improvements against risk of fire, lightning, natural perils and burglary and $1.5 million of consequential damages. We also maintain a $10.0 million employer liability insurance policy and $5.0 million of third party liability. We maintain an all-risk policy that provides coverage of approximately $1.5 million for electronic equipment and boiler and machinery insurance for laboratory refrigerators. For our U.S. office, we maintain a workers compensation policy with $1.0 million employers liability coverage, property insurance and a $2.0 million comprehensive general liability policy, a $1.0 million auto liability policy and a $1.0 million umbrella policy, all of which are necessary for our compliance with the requirements under our lease agreement. We also maintain a $15.0 million directors and officers liability insurance policy.</w:t>
      </w:r>
    </w:p>
    <w:p>
      <w:pPr>
        <w:spacing w:after="0" w:line="86" w:lineRule="exact"/>
        <w:rPr>
          <w:sz w:val="20"/>
          <w:szCs w:val="20"/>
          <w:color w:val="auto"/>
        </w:rPr>
      </w:pPr>
    </w:p>
    <w:p>
      <w:pPr>
        <w:jc w:val="both"/>
        <w:ind w:left="60" w:right="1059" w:firstLine="257"/>
        <w:spacing w:after="0" w:line="265" w:lineRule="auto"/>
        <w:rPr>
          <w:sz w:val="20"/>
          <w:szCs w:val="20"/>
          <w:color w:val="auto"/>
        </w:rPr>
      </w:pPr>
      <w:r>
        <w:rPr>
          <w:rFonts w:ascii="Arial" w:cs="Arial" w:eastAsia="Arial" w:hAnsi="Arial"/>
          <w:sz w:val="17"/>
          <w:szCs w:val="17"/>
          <w:color w:val="auto"/>
        </w:rPr>
        <w:t>We procure cargo marine coverage when we ship substances for our clinical studies. Such insurance is custom-fit to the special requirements of the applicable shipment, such as temperature and/or climate sensitivity. If required, we insure the substances to the extent they are stored in central depots and at clinical sites.</w:t>
      </w:r>
    </w:p>
    <w:p>
      <w:pPr>
        <w:spacing w:after="0" w:line="73" w:lineRule="exact"/>
        <w:rPr>
          <w:sz w:val="20"/>
          <w:szCs w:val="20"/>
          <w:color w:val="auto"/>
        </w:rPr>
      </w:pPr>
    </w:p>
    <w:p>
      <w:pPr>
        <w:ind w:left="60" w:right="1039" w:firstLine="257"/>
        <w:spacing w:after="0" w:line="265" w:lineRule="auto"/>
        <w:rPr>
          <w:sz w:val="20"/>
          <w:szCs w:val="20"/>
          <w:color w:val="auto"/>
        </w:rPr>
      </w:pPr>
      <w:r>
        <w:rPr>
          <w:rFonts w:ascii="Arial" w:cs="Arial" w:eastAsia="Arial" w:hAnsi="Arial"/>
          <w:sz w:val="17"/>
          <w:szCs w:val="17"/>
          <w:color w:val="auto"/>
        </w:rPr>
        <w:t>We believe that the amounts of our insurance policies are adequate and customary for a business of our kind. However, because of the nature of our business, we cannot assure you that we will be able to maintain insurance on a commercially reasonable basis or at all, or that any future claims will not exceed our insurance coverage.</w:t>
      </w:r>
    </w:p>
    <w:p>
      <w:pPr>
        <w:spacing w:after="0" w:line="200" w:lineRule="exact"/>
        <w:rPr>
          <w:sz w:val="20"/>
          <w:szCs w:val="20"/>
          <w:color w:val="auto"/>
        </w:rPr>
      </w:pPr>
    </w:p>
    <w:p>
      <w:pPr>
        <w:spacing w:after="0" w:line="31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Environmental Matters</w:t>
      </w:r>
    </w:p>
    <w:p>
      <w:pPr>
        <w:spacing w:after="0" w:line="119" w:lineRule="exact"/>
        <w:rPr>
          <w:sz w:val="20"/>
          <w:szCs w:val="20"/>
          <w:color w:val="auto"/>
        </w:rPr>
      </w:pPr>
    </w:p>
    <w:p>
      <w:pPr>
        <w:ind w:left="60" w:right="1019" w:firstLine="257"/>
        <w:spacing w:after="0" w:line="255" w:lineRule="auto"/>
        <w:rPr>
          <w:sz w:val="20"/>
          <w:szCs w:val="20"/>
          <w:color w:val="auto"/>
        </w:rPr>
      </w:pPr>
      <w:r>
        <w:rPr>
          <w:rFonts w:ascii="Arial" w:cs="Arial" w:eastAsia="Arial" w:hAnsi="Arial"/>
          <w:sz w:val="17"/>
          <w:szCs w:val="17"/>
          <w:color w:val="auto"/>
        </w:rPr>
        <w:t>We are subject to various environmental, health and safety laws and regulations, including those governing air emissions, water and wastewater discharges, noise emissions, the use, management and disposal of hazardous, radioactive and biological materials and wastes and the cleanup of contaminated sites.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The operation of our facilities, however, entails risks in these areas. Significant expenditures could be required in the future if we are required to comply with new or more stringent environmental or health and safety laws, regulations or requirements. See “Item 4. Information on the Company — Business Overview — Government Regulation — Israel Ministry of Environment — Toxin Permit.”</w:t>
      </w:r>
    </w:p>
    <w:p>
      <w:pPr>
        <w:spacing w:after="0" w:line="200" w:lineRule="exact"/>
        <w:rPr>
          <w:sz w:val="20"/>
          <w:szCs w:val="20"/>
          <w:color w:val="auto"/>
        </w:rPr>
      </w:pPr>
    </w:p>
    <w:p>
      <w:pPr>
        <w:spacing w:after="0" w:line="32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GOVERNMENT REGULATION AND FUNDING</w:t>
      </w:r>
    </w:p>
    <w:p>
      <w:pPr>
        <w:spacing w:after="0" w:line="119"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We operate in a highly controlled regulatory environment. Stringent regulations establish requirements relating to analytical, toxicological and clinical standards and protocols in respect of the testing of pharmaceuticals and medical devices. Regulations also cover research, development, manufacturing and reporting procedures, both pre- and post-approval. In many markets, especially in Europe, marketing and pricing strategies are subject to national legislation or administrative practices that include requirements to demonstrate not only the quality, safety and efficacy of a new product, but also its cost-effectiveness relating to other treatment options. Failure to comply with regulations can result in stringent sanctions, including product recalls, withdrawal of approvals, seizure of products and criminal prosecution.</w:t>
      </w:r>
    </w:p>
    <w:p>
      <w:pPr>
        <w:spacing w:after="0" w:line="78"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color w:val="auto"/>
        </w:rPr>
        <w:t>Before obtaining regulatory approvals for the commercial sale of our therapeutic candidates, we or our licensees must demonstrate through preclinical studies and clinical trials that our therapeutic candidates are safe and effective. Historically, the results from preclinical studies and early clinical trials often have not accurately predicted results of later clinical trials. In addition, a number of pharmaceutical products have shown promising results in clinical trials but subsequently failed to establish sufficient safety and efficacy results to obtain necessary regulatory approvals. We have incurred and will continue to incur substantial expense for, and devote a significant amount of time to, preclinical studies and clinical trials. Many factors can delay the commencement and rate of completion of clinical trials, including the inability to recruit patients at the expected rate, the inability to follow patients adequately after treatment, the failure to manufacture sufficient quantities of materials used for clinical trials, and the emergence of unforeseen safety issues and governmental and regulatory delays. If a therapeutic candidate fails to demonstrate safety and efficacy in clinical trials, this failure may delay development of other therapeutic candidates and hinder our ability to conduct related preclinical studies and clinical trials. Additionally, as a result of these failures, we may also be unable to find additional licensees or obtain additional financing.</w:t>
      </w:r>
    </w:p>
    <w:p>
      <w:pPr>
        <w:spacing w:after="0" w:line="70" w:lineRule="exact"/>
        <w:rPr>
          <w:sz w:val="20"/>
          <w:szCs w:val="20"/>
          <w:color w:val="auto"/>
        </w:rPr>
      </w:pPr>
    </w:p>
    <w:p>
      <w:pPr>
        <w:ind w:left="60" w:right="999" w:firstLine="257"/>
        <w:spacing w:after="0" w:line="275" w:lineRule="auto"/>
        <w:rPr>
          <w:sz w:val="20"/>
          <w:szCs w:val="20"/>
          <w:color w:val="auto"/>
        </w:rPr>
      </w:pPr>
      <w:r>
        <w:rPr>
          <w:rFonts w:ascii="Arial" w:cs="Arial" w:eastAsia="Arial" w:hAnsi="Arial"/>
          <w:sz w:val="16"/>
          <w:szCs w:val="16"/>
          <w:color w:val="auto"/>
        </w:rPr>
        <w:t>Governmental authorities in all major markets require that a new pharmaceutical product or medical device be approved or exempted from approval before it is marketed, and have established high standards for technical appraisal, which can result in an expensive and lengthy approval process. The time to obtain approval varies by country. In the past, it generally took from six months to four years from the application date, depending upon the quality of the results produced, the degree of control exercised by the regulatory authority, the efficiency of the review procedure and the nature of the product. Some products are never approved. In recent years, there has been a trend towards shorter regulatory review times in the United States as well as certain European countries, despite increased regulation and higher quality, safety and efficacy standards.</w:t>
      </w:r>
    </w:p>
    <w:p>
      <w:pPr>
        <w:spacing w:after="0" w:line="68" w:lineRule="exact"/>
        <w:rPr>
          <w:sz w:val="20"/>
          <w:szCs w:val="20"/>
          <w:color w:val="auto"/>
        </w:rPr>
      </w:pPr>
    </w:p>
    <w:p>
      <w:pPr>
        <w:ind w:left="60" w:right="999" w:firstLine="257"/>
        <w:spacing w:after="0" w:line="296" w:lineRule="auto"/>
        <w:rPr>
          <w:sz w:val="20"/>
          <w:szCs w:val="20"/>
          <w:color w:val="auto"/>
        </w:rPr>
      </w:pPr>
      <w:r>
        <w:rPr>
          <w:rFonts w:ascii="Arial" w:cs="Arial" w:eastAsia="Arial" w:hAnsi="Arial"/>
          <w:sz w:val="15"/>
          <w:szCs w:val="15"/>
          <w:color w:val="auto"/>
        </w:rPr>
        <w:t>Historically, different requirements by different countries’ regulatory authorities have influenced the submission of applications. However, the past 10 years have shown a gradual trend toward harmonization of drug and medical device approval standards, starting in individual territories in Europe and then in the European Union as a whole, in Japan, and in the United States under the aegis of the International Conference on Harmonization, or ICH. In many cases, compliance with ICH standards can help avoid duplication of non-clinical and clinical trials and enable companies to use the same basis for submissions to each of the respective regulatory authorities. The adoption of the Common Technical Document format by the ICH has greatly facilitated use of a single regulatory submission for seeking approval in the ICH regions and certain other countries such as Canada and Australia.</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U.S., E.U. and Israeli regulatory process follows below.</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United States</w:t>
      </w:r>
    </w:p>
    <w:p>
      <w:pPr>
        <w:spacing w:after="0" w:line="119" w:lineRule="exact"/>
        <w:rPr>
          <w:sz w:val="20"/>
          <w:szCs w:val="20"/>
          <w:color w:val="auto"/>
        </w:rPr>
      </w:pPr>
    </w:p>
    <w:p>
      <w:pPr>
        <w:ind w:left="60" w:right="1059" w:firstLine="257"/>
        <w:spacing w:after="0" w:line="277" w:lineRule="auto"/>
        <w:rPr>
          <w:sz w:val="20"/>
          <w:szCs w:val="20"/>
          <w:color w:val="auto"/>
        </w:rPr>
      </w:pPr>
      <w:r>
        <w:rPr>
          <w:rFonts w:ascii="Arial" w:cs="Arial" w:eastAsia="Arial" w:hAnsi="Arial"/>
          <w:sz w:val="16"/>
          <w:szCs w:val="16"/>
          <w:color w:val="auto"/>
        </w:rPr>
        <w:t>In the United States, drugs are subject to rigorous regulation by the FDA. The U.S. Federal Food, Drug and Cosmetic Act, or FDCA, and other federal and state statutes and regulations govern, among other things, the research, development, testing, manufacture, storage, record-keeping, packaging, labeling, adverse event reporting, advertising, promotion, marketing, distribution and import and export of pharmaceutical products. Failure to comply with applicable regulatory requirements may subject us to a variety of administrative or judicially imposed sanctions and/or prevent us from obtaining or maintaining required approvals or to market drugs. Failure to comply with the applicable U.S. requirements may subject us to</w:t>
      </w:r>
    </w:p>
    <w:p>
      <w:pPr>
        <w:spacing w:after="0" w:line="200" w:lineRule="exact"/>
        <w:rPr>
          <w:sz w:val="20"/>
          <w:szCs w:val="20"/>
          <w:color w:val="auto"/>
        </w:rPr>
      </w:pPr>
    </w:p>
    <w:p>
      <w:pPr>
        <w:spacing w:after="0" w:line="30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419"/>
        <w:spacing w:after="0" w:line="347" w:lineRule="auto"/>
        <w:rPr>
          <w:sz w:val="20"/>
          <w:szCs w:val="20"/>
          <w:color w:val="auto"/>
        </w:rPr>
      </w:pPr>
      <w:r>
        <w:rPr>
          <w:rFonts w:ascii="Arial" w:cs="Arial" w:eastAsia="Arial" w:hAnsi="Arial"/>
          <w:sz w:val="15"/>
          <w:szCs w:val="15"/>
          <w:color w:val="auto"/>
        </w:rPr>
        <w:t>stringent administrative or judicial sanctions, such as agency refusal to approve pending applications, warning letters, product recalls, product seizures, total or partial suspension of production or distribution, injunctions or criminal prosecution.</w:t>
      </w:r>
    </w:p>
    <w:p>
      <w:pPr>
        <w:spacing w:after="0" w:line="16" w:lineRule="exact"/>
        <w:rPr>
          <w:sz w:val="20"/>
          <w:szCs w:val="20"/>
          <w:color w:val="auto"/>
        </w:rPr>
      </w:pPr>
    </w:p>
    <w:p>
      <w:pPr>
        <w:ind w:left="60" w:right="1059" w:firstLine="257"/>
        <w:spacing w:after="0" w:line="278" w:lineRule="auto"/>
        <w:rPr>
          <w:sz w:val="20"/>
          <w:szCs w:val="20"/>
          <w:color w:val="auto"/>
        </w:rPr>
      </w:pPr>
      <w:r>
        <w:rPr>
          <w:rFonts w:ascii="Arial" w:cs="Arial" w:eastAsia="Arial" w:hAnsi="Arial"/>
          <w:sz w:val="17"/>
          <w:szCs w:val="17"/>
          <w:color w:val="auto"/>
        </w:rPr>
        <w:t>Unless a drug is exempt from the new drug application process, the steps required before a drug may be marketed in the United States include:</w:t>
      </w:r>
    </w:p>
    <w:p>
      <w:pPr>
        <w:spacing w:after="0" w:line="62" w:lineRule="exact"/>
        <w:rPr>
          <w:sz w:val="20"/>
          <w:szCs w:val="20"/>
          <w:color w:val="auto"/>
        </w:rPr>
      </w:pPr>
    </w:p>
    <w:p>
      <w:pPr>
        <w:ind w:left="580" w:hanging="307"/>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preclinical laboratory tests, animal studies and formulation studies;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submission to the FDA of a request for an investigational new drug, or IND, to conduct human clinical testing;</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adequate and well controlled clinical trials to determine the safety and efficacy of the drug for each indication;</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submission to the FDA of a new drug application, or NDA;</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potential public hearing of an outside advisory committee to discuss the application;</w:t>
      </w:r>
    </w:p>
    <w:p>
      <w:pPr>
        <w:spacing w:after="0" w:line="113" w:lineRule="exact"/>
        <w:rPr>
          <w:rFonts w:ascii="Arial" w:cs="Arial" w:eastAsia="Arial" w:hAnsi="Arial"/>
          <w:sz w:val="17"/>
          <w:szCs w:val="17"/>
          <w:color w:val="auto"/>
        </w:rPr>
      </w:pPr>
    </w:p>
    <w:p>
      <w:pPr>
        <w:ind w:left="580" w:right="1139" w:hanging="307"/>
        <w:spacing w:after="0" w:line="278"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manufactured; and</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11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Preclinical studies include laboratory evaluation of product chemistry, toxicity and formulation, as well as animal studies. For studies conducted in the United States, and certain studies carried out outside the United States, we submit the results of the preclinical studies, together with manufacturing information and analytical results, to the FDA as part of an IND, which must become effective before we may commence human clinical trials. An IND will automatically become effective 30 days after receipt by the FDA, unless before that time the FDA raises concerns or questions about issues such as the conduct of the trials as outlined in the IND. In such a case, the IND sponsor and the FDA must resolve any outstanding FDA concerns or questions before clinical trials can proceed. Submission of an IND does not always result in the FDA allowing clinical trials to commence and the FDA may halt a clinical trial if unexpected safety issues surface or the study is not being conducted in compliance with applicable requirements.</w:t>
      </w:r>
    </w:p>
    <w:p>
      <w:pPr>
        <w:spacing w:after="0" w:line="86" w:lineRule="exact"/>
        <w:rPr>
          <w:sz w:val="20"/>
          <w:szCs w:val="20"/>
          <w:color w:val="auto"/>
        </w:rPr>
      </w:pPr>
    </w:p>
    <w:p>
      <w:pPr>
        <w:ind w:left="60" w:right="999" w:firstLine="257"/>
        <w:spacing w:after="0" w:line="277" w:lineRule="auto"/>
        <w:rPr>
          <w:sz w:val="20"/>
          <w:szCs w:val="20"/>
          <w:color w:val="auto"/>
        </w:rPr>
      </w:pPr>
      <w:r>
        <w:rPr>
          <w:rFonts w:ascii="Arial" w:cs="Arial" w:eastAsia="Arial" w:hAnsi="Arial"/>
          <w:sz w:val="16"/>
          <w:szCs w:val="16"/>
          <w:color w:val="auto"/>
        </w:rPr>
        <w:t>The FDA may refuse to accept an IND for review if applicable regulatory requirements are not met. Moreover, the FDA may delay or prevent the start of clinical trials if the manufacturing of the test drugs fails to meet cGMP requirements or the clinical trials are not adequately designed. Such government regulation may delay or prevent the study and marketing of potential products for a considerable time period and may impose costly procedures upon a manufacturer’s activities. In addition, the FDA may, at any time, impose a clinical hold on ongoing clinical trials. If the FDA imposes a clinical hold, clinical trials cannot continue without FDA authorization and then only under terms authorized by the FDA.</w:t>
      </w:r>
    </w:p>
    <w:p>
      <w:pPr>
        <w:spacing w:after="0" w:line="64" w:lineRule="exact"/>
        <w:rPr>
          <w:sz w:val="20"/>
          <w:szCs w:val="20"/>
          <w:color w:val="auto"/>
        </w:rPr>
      </w:pPr>
    </w:p>
    <w:p>
      <w:pPr>
        <w:ind w:left="60" w:right="1019" w:firstLine="257"/>
        <w:spacing w:after="0" w:line="282" w:lineRule="auto"/>
        <w:rPr>
          <w:sz w:val="20"/>
          <w:szCs w:val="20"/>
          <w:color w:val="auto"/>
        </w:rPr>
      </w:pPr>
      <w:r>
        <w:rPr>
          <w:rFonts w:ascii="Arial" w:cs="Arial" w:eastAsia="Arial" w:hAnsi="Arial"/>
          <w:sz w:val="16"/>
          <w:szCs w:val="16"/>
          <w:color w:val="auto"/>
        </w:rPr>
        <w:t>Success in early-stage clinical trials does not assure success in later-stage clinical trials. Results obtained from clinical activities are not always conclusive and may be susceptible to varying interpretations that could delay, limit or prevent regulatory approval. Even if a therapeutic candidate receives regulatory approval, later discovery of previously unknown problems with a product may result in restrictions on the product or even withdrawal of marketing approval for the product.</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Clinical Trials</w:t>
      </w:r>
    </w:p>
    <w:p>
      <w:pPr>
        <w:spacing w:after="0" w:line="113" w:lineRule="exact"/>
        <w:rPr>
          <w:sz w:val="20"/>
          <w:szCs w:val="20"/>
          <w:color w:val="auto"/>
        </w:rPr>
      </w:pPr>
    </w:p>
    <w:p>
      <w:pPr>
        <w:ind w:left="60" w:right="1179" w:firstLine="257"/>
        <w:spacing w:after="0" w:line="289" w:lineRule="auto"/>
        <w:rPr>
          <w:sz w:val="20"/>
          <w:szCs w:val="20"/>
          <w:color w:val="auto"/>
        </w:rPr>
      </w:pPr>
      <w:r>
        <w:rPr>
          <w:rFonts w:ascii="Arial" w:cs="Arial" w:eastAsia="Arial" w:hAnsi="Arial"/>
          <w:sz w:val="16"/>
          <w:szCs w:val="16"/>
          <w:color w:val="auto"/>
        </w:rPr>
        <w:t>Clinical trials involve the administration of the investigational drug to people under the supervision of qualified investigators. We conduct clinical trials under protocols detailing the trial objectives, the parameters to be used in monitoring safety, and the effectiveness criteria to be evaluated. We must submit each protocol to the FDA as part of the IND.</w:t>
      </w:r>
    </w:p>
    <w:p>
      <w:pPr>
        <w:spacing w:after="0" w:line="56"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We conduct clinical trials typically in three sequential phases, but the phases may overlap or be combined. An institutional review board, or IRB, must review and approve each trial before it can begin. Phase 1 includes the initial administration of a tested drug to a small number of humans. These trials are closely monitored and may be conducted in patients, but are usually conducted in healthy volunteer subjects. These trials are designed to determine the metabolic and pharmacologic actions of the drug in humans and the</w:t>
      </w: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spacing w:after="0" w:line="291" w:lineRule="auto"/>
        <w:rPr>
          <w:sz w:val="20"/>
          <w:szCs w:val="20"/>
          <w:color w:val="auto"/>
        </w:rPr>
      </w:pPr>
      <w:r>
        <w:rPr>
          <w:rFonts w:ascii="Arial" w:cs="Arial" w:eastAsia="Arial" w:hAnsi="Arial"/>
          <w:sz w:val="15"/>
          <w:szCs w:val="15"/>
          <w:color w:val="auto"/>
        </w:rPr>
        <w:t>side effects associated with increasing doses as well as, if possible, to gain early evidence on effectiveness. Phase 2 usually involves trials in a limited patient population to evaluate dosage tolerance and appropriate dosage, identify possible adverse effects and safety risks and preliminarily evaluate the efficacy of the drug for specific indications. Phase 3 trials are large trials used to further evaluate clinical efficacy and test further for safety by using the drug in its final form in an expanded patient population. There can be no assurance that we or our licensees will successfully complete phase 1, phase 2 or phase 3 testing with respect to any therapeutic candidate within any specified period of time, if at all. Furthermore, clinical trials may be suspended at any time on various grounds, including a finding that the subjects or patients are being exposed to an unacceptable health risk. We and our licensees perform preclinical and clinical testing outside of the United States. The acceptability of the results of our preclinical and clinical testing by the FDA will be dependent upon adherence to applicable U.S. and foreign standards and requirements, including good laboratory practices, or GLP, Good Clinical Practices, or GCP, and the Declaration of Helsinki for protection of human subjects. Additionally, the FDA may require at least one pivotal clinical study to be conducted in the United States, in order to take into account medical practice and ethnic diversity in the United States.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NDAs and BLAs</w:t>
      </w:r>
    </w:p>
    <w:p>
      <w:pPr>
        <w:spacing w:after="0" w:line="113" w:lineRule="exact"/>
        <w:rPr>
          <w:sz w:val="20"/>
          <w:szCs w:val="20"/>
          <w:color w:val="auto"/>
        </w:rPr>
      </w:pPr>
    </w:p>
    <w:p>
      <w:pPr>
        <w:ind w:left="60" w:right="1019" w:firstLine="257"/>
        <w:spacing w:after="0" w:line="270" w:lineRule="auto"/>
        <w:rPr>
          <w:sz w:val="20"/>
          <w:szCs w:val="20"/>
          <w:color w:val="auto"/>
        </w:rPr>
      </w:pPr>
      <w:r>
        <w:rPr>
          <w:rFonts w:ascii="Arial" w:cs="Arial" w:eastAsia="Arial" w:hAnsi="Arial"/>
          <w:sz w:val="16"/>
          <w:szCs w:val="16"/>
          <w:color w:val="auto"/>
        </w:rPr>
        <w:t>After successful completion of the required clinical testing, a New Drug Application, or NDA, or in the case of certain biological products a Biological Product Application, or BLA, is prepared and submitted to the FDA. FDA approval of the NDA or BLA is required before product marketing may begin in the United States. The NDA/BLA must include the preclinical and clinical testing results and a compilation of detailed information relating to the product’s pharmacology, toxicology, chemistry, manufacture and manufacturing controls. In certain cases, an application for marketing approval may include information regarding the safety and efficacy of a proposed drug that comes from trials not conducted by, or for, the applicant and for which trials the applicant has not obtained a specific right to reference. Such an application, known as a 505(b)(2) NDA, is permitted for new drug products that incorporate previously approved active ingredients, even if the proposed new drug incorporates an approved active ingredient in a novel formulation or for a new indication. A 505(b)(2) type application is not available for drugs subject to BLAs. As interpreted by the FDA, Section 505(b)(2) also permits the FDA to rely for such approvals on literature or on a finding by the FDA of safety and/or efficacy for a previously approved drug product. Under this interpretation, a 505(b)(2) NDA for changes to a previously approved drug product may rely on the FDA’s finding of safety and efficacy of the previously approved product coupled with new clinical data and information needed by the FDA to support the change. NDAs submitted under 505(b)(2) are potentially subject to patent and non-patent exclusivity provisions which can block effective approval of the 505(b)(2) application until the applicable exclusivities have expired, which in the case of patents may be several years. The cost of preparing and submitting an NDA may be substantial. Under U.S. federal law, the submission of NDAs, including 505(b)(2) NDAs, is generally subject to substantial application user fees, and the manufacturer and/or sponsor under an NDA approved by the FDA is also subject to annual product and establishment user fees. These fees are typically increased annually. Currently, there are no fees assessed for an Abbreviated New Drug Application, or ANDA.</w:t>
      </w:r>
    </w:p>
    <w:p>
      <w:pPr>
        <w:spacing w:after="0" w:line="81" w:lineRule="exact"/>
        <w:rPr>
          <w:sz w:val="20"/>
          <w:szCs w:val="20"/>
          <w:color w:val="auto"/>
        </w:rPr>
      </w:pPr>
    </w:p>
    <w:p>
      <w:pPr>
        <w:ind w:left="60" w:right="1079" w:firstLine="257"/>
        <w:spacing w:after="0" w:line="255"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FDA threshold determination that the NDA is sufficiently complete to permit substantive review. Once the submission is accepted for filing, the FDA begins an in-depth review of the NDA. Under U.S. federal law, the FDA has agreed to certain performance goals in the review of NDAs. Most such applications for non-priority drug products are to be reviewed within 10 months. The review process may be significantly extended by FDA requests for additional information or clarification. The FDA may also refer applications to an advisory committee, typically a panel that includes clinicians and other experts, for review, evaluation and a recommendation as to whether the application should be approved. This often, but not exclusively, occurs for novel drug products or drug products that present difficult questions of safety or efficacy. The FDA is not bound by the recommendation of an advisory committee.</w:t>
      </w:r>
    </w:p>
    <w:p>
      <w:pPr>
        <w:spacing w:after="0" w:line="86" w:lineRule="exact"/>
        <w:rPr>
          <w:sz w:val="20"/>
          <w:szCs w:val="20"/>
          <w:color w:val="auto"/>
        </w:rPr>
      </w:pPr>
    </w:p>
    <w:p>
      <w:pPr>
        <w:ind w:left="60" w:right="1039" w:firstLine="257"/>
        <w:spacing w:after="0" w:line="259"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manufactured. The FDA will not approve the application unless the FDA determines that the product is manufactured in substantial compliance with GMPs. If the FDA determines that the NDA or BLA is supported by adequate data and information, the FDA may issue an approval letter, or, in some cases, when the FDA desires some additional data or information an approvable letter. An approvable letter generally contains a</w:t>
      </w: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spacing w:after="0" w:line="256" w:lineRule="auto"/>
        <w:rPr>
          <w:sz w:val="20"/>
          <w:szCs w:val="20"/>
          <w:color w:val="auto"/>
        </w:rPr>
      </w:pPr>
      <w:r>
        <w:rPr>
          <w:rFonts w:ascii="Arial" w:cs="Arial" w:eastAsia="Arial" w:hAnsi="Arial"/>
          <w:sz w:val="17"/>
          <w:szCs w:val="17"/>
          <w:color w:val="auto"/>
        </w:rPr>
        <w:t>statement of specific conditions that must be met to secure final approval of the application. Upon compliance with the conditions stated in the approvable letter, the FDA will typically issue an approval letter. An approval letter authorizes commercial marketing of the drug with specific prescribing information for specific indications. As a condition of approval, the FDA may require additional trials or post-approval testing and surveillance to monitor the drug’s safety or efficacy, the adoption of risk evaluation and mitigation strategies, and may impose other conditions, including labeling and marketing restrictions on the use of the drug, which can materially affect its potential market and profitability. Once granted, product approvals may be withdrawn if compliance with regulatory standards for manufacturing and quality control are not maintained or if additional safety problems are identified following initial marketing.</w:t>
      </w:r>
    </w:p>
    <w:p>
      <w:pPr>
        <w:spacing w:after="0" w:line="81"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If the FDA’s evaluation of the NDA or BLA submission or manufacturing processes and facilities is not favorable, the FDA may refuse to approve the NDA or BLA and may issue a not approvable letter. The not approvable letter outlines major deficiencies in the submission and often requires substantial additional testing or information for the FDA to reconsider the application. Even with submission of this additional information, the FDA ultimately may decide that the application does not satisfy the regulatory criteria for approval.</w:t>
      </w:r>
    </w:p>
    <w:p>
      <w:pPr>
        <w:spacing w:after="0" w:line="77"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The Pediatric Research Equity Act, or PREA, requires NDAs (or NDA supplements) for a new active ingredient, new indication, new dosage form, new dosing regimen or new route of administration to contain results assessing the safety and efficacy for the claimed indication in all relevant pediatric subpopulations. Data to support dosing and administration also must be provided for each pediatric subpopulation for which the drug is safe and effective. The FDA may grant deferrals for the submission of results or full or partial waivers from the PREA requirements (for example, if the product is ready for approval in adults before pediatric studies are complete, if additional safety data is needed, among others).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Postmarketing Requirements</w:t>
      </w:r>
    </w:p>
    <w:p>
      <w:pPr>
        <w:spacing w:after="0" w:line="113"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color w:val="auto"/>
        </w:rPr>
        <w:t>Once an NDA or BLA is approved, the drug sponsor will be subject to certain post-approval requirements, including requirements for adverse event reporting, submission of periodic reports, manufacturing, labeling, packaging, advertising, promotion, distribution, record-keeping and other requirements. For example, the approval may be subject to limitations on the uses for which the product may be marketed or conditions of approval, or contain requirements for costly post-marketing testing and surveillance to monitor the safety or efficacy of the product or require the adoption of risk evaluation and mitigation strategies. In addition, the FDA requires the reporting of any adverse effects observed after the approval or marketing of a therapeutic candidate and such events could result in limitations on the use of such approved product or its withdrawal from the marketplace. Also, some types of changes to the approved product, such as manufacturing changes and labeling claims, are subject to further FDA review and approval. Additionally, the FDA strictly regulates the promotional claims that may be made about prescription drug products. In particular, the FDA requires substantiation of any claims of superiority of one product over another including, in many cases, requirements that such claims be proven by adequate and well controlled head-to-head clinical trials. To the extent that market acceptance of our therapeutic candidates may depend on their superiority over existing products, any restriction on our ability to advertise or otherwise promote claims of superiority, or any requirements to conduct additional expensive clinical trials to provide proof of such claims, could negatively affect the sales of our therapeutic candidates and our costs.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Generic Competition</w:t>
      </w:r>
    </w:p>
    <w:p>
      <w:pPr>
        <w:spacing w:after="0" w:line="113" w:lineRule="exact"/>
        <w:rPr>
          <w:sz w:val="20"/>
          <w:szCs w:val="20"/>
          <w:color w:val="auto"/>
        </w:rPr>
      </w:pPr>
    </w:p>
    <w:p>
      <w:pPr>
        <w:ind w:left="60" w:right="1019" w:firstLine="257"/>
        <w:spacing w:after="0" w:line="277" w:lineRule="auto"/>
        <w:rPr>
          <w:sz w:val="20"/>
          <w:szCs w:val="20"/>
          <w:color w:val="auto"/>
        </w:rPr>
      </w:pPr>
      <w:r>
        <w:rPr>
          <w:rFonts w:ascii="Arial" w:cs="Arial" w:eastAsia="Arial" w:hAnsi="Arial"/>
          <w:sz w:val="16"/>
          <w:szCs w:val="16"/>
          <w:color w:val="auto"/>
        </w:rPr>
        <w:t>Once an NDA, including a 505(b)(2) NDA, is approved, the product covered thereby becomes a “listed drug” which can, in turn, be cited by potential competitors in support of approval of an ANDA, which relies on bioequivalence studies that compare the generic drug to a reference listed drug to support approval. Currently, ANDAs are not eligible for drugs covered by BLAs. Specifically, a generic drug that is the subject of an ANDA must be bioequivalent and have the same active ingredient(s), route of administration, dosage form, and strength, as well as the same labeling, with certain exceptions, as the listed drug. If the FDA deems that any of these requirements are not met, additional results may be necessary to seek approval.</w:t>
      </w:r>
    </w:p>
    <w:p>
      <w:pPr>
        <w:spacing w:after="0" w:line="64" w:lineRule="exact"/>
        <w:rPr>
          <w:sz w:val="20"/>
          <w:szCs w:val="20"/>
          <w:color w:val="auto"/>
        </w:rPr>
      </w:pPr>
    </w:p>
    <w:p>
      <w:pPr>
        <w:ind w:left="60" w:right="1119" w:firstLine="257"/>
        <w:spacing w:after="0" w:line="261" w:lineRule="auto"/>
        <w:rPr>
          <w:sz w:val="20"/>
          <w:szCs w:val="20"/>
          <w:color w:val="auto"/>
        </w:rPr>
      </w:pPr>
      <w:r>
        <w:rPr>
          <w:rFonts w:ascii="Arial" w:cs="Arial" w:eastAsia="Arial" w:hAnsi="Arial"/>
          <w:sz w:val="17"/>
          <w:szCs w:val="17"/>
          <w:color w:val="auto"/>
        </w:rPr>
        <w:t>ANDA applicants do not have to conduct extensive clinical trials to prove the safety or efficacy of the drug product. Rather, they are required to show that their drug is pharmaceutically equivalent to the innovator’s drug and also conduct “bioequivalence” testing to show that the rate and extent by which the ANDA applicant’s drug is absorbed does not differ significantly from the innovator product. Bioequivalence</w:t>
      </w:r>
    </w:p>
    <w:p>
      <w:pPr>
        <w:spacing w:after="0" w:line="200" w:lineRule="exact"/>
        <w:rPr>
          <w:sz w:val="20"/>
          <w:szCs w:val="20"/>
          <w:color w:val="auto"/>
        </w:rPr>
      </w:pPr>
    </w:p>
    <w:p>
      <w:pPr>
        <w:spacing w:after="0" w:line="30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spacing w:after="0" w:line="317" w:lineRule="auto"/>
        <w:rPr>
          <w:sz w:val="20"/>
          <w:szCs w:val="20"/>
          <w:color w:val="auto"/>
        </w:rPr>
      </w:pPr>
      <w:r>
        <w:rPr>
          <w:rFonts w:ascii="Arial" w:cs="Arial" w:eastAsia="Arial" w:hAnsi="Arial"/>
          <w:sz w:val="15"/>
          <w:szCs w:val="15"/>
          <w:color w:val="auto"/>
        </w:rPr>
        <w:t>tests are typically in vivo studies in humans but they are smaller and less costly than the types of phase 3 trials required to obtain initial approval of a new drug. Drugs approved in this way are commonly referred to as “generic equivalents” to the listed drug, are listed as such by the FDA, and can often be substituted by pharmacists under prescriptions written for the original listed drug.</w:t>
      </w:r>
    </w:p>
    <w:p>
      <w:pPr>
        <w:spacing w:after="0" w:line="37" w:lineRule="exact"/>
        <w:rPr>
          <w:sz w:val="20"/>
          <w:szCs w:val="20"/>
          <w:color w:val="auto"/>
        </w:rPr>
      </w:pPr>
    </w:p>
    <w:p>
      <w:pPr>
        <w:ind w:left="60" w:right="1059" w:firstLine="257"/>
        <w:spacing w:after="0" w:line="279" w:lineRule="auto"/>
        <w:rPr>
          <w:sz w:val="20"/>
          <w:szCs w:val="20"/>
          <w:color w:val="auto"/>
        </w:rPr>
      </w:pPr>
      <w:r>
        <w:rPr>
          <w:rFonts w:ascii="Arial" w:cs="Arial" w:eastAsia="Arial" w:hAnsi="Arial"/>
          <w:sz w:val="16"/>
          <w:szCs w:val="16"/>
          <w:color w:val="auto"/>
        </w:rPr>
        <w:t>With respect to NDAs, U.S. federal law provides for a period of three years of non-patent market exclusivity following the approval of a listed drug that contains previously approved active ingredients but is approved in a new dosage, dosage form, route of administration or combination, or for a new use, the approval of which was required to be supported by new clinical trials, other than bioavailability studies, conducted by or for the sponsor. During this three-year period the FDA cannot grant effective approval of an ANDA or a 505(b)(2) NDA for the same conditions of approval under which the NDA was approved.</w:t>
      </w:r>
    </w:p>
    <w:p>
      <w:pPr>
        <w:spacing w:after="0" w:line="63" w:lineRule="exact"/>
        <w:rPr>
          <w:sz w:val="20"/>
          <w:szCs w:val="20"/>
          <w:color w:val="auto"/>
        </w:rPr>
      </w:pPr>
    </w:p>
    <w:p>
      <w:pPr>
        <w:ind w:left="60" w:right="1039" w:firstLine="257"/>
        <w:spacing w:after="0" w:line="287" w:lineRule="auto"/>
        <w:rPr>
          <w:sz w:val="20"/>
          <w:szCs w:val="20"/>
          <w:color w:val="auto"/>
        </w:rPr>
      </w:pPr>
      <w:r>
        <w:rPr>
          <w:rFonts w:ascii="Arial" w:cs="Arial" w:eastAsia="Arial" w:hAnsi="Arial"/>
          <w:sz w:val="15"/>
          <w:szCs w:val="15"/>
          <w:color w:val="auto"/>
        </w:rPr>
        <w:t>U.S. federal law also provides a period of five years following approval of a new chemical entity that is a drug containing no previously approved active ingredients, during which ANDAs for generic versions of such drugs, as well as 505(b)(2) NDAs, cannot be submitted unless the submission contains a certification that the listed patent is invalid or will not be infringed, in which case the submission may be made four years following the original product approval. If an ANDA or 505(b)(2) NDA applicant certifies that it believes one or more listed patents is invalid or not infringed, it is required to provide notice of its filing to the NDA sponsor and the patent holder. If the patent holder or exclusive patent licensee then initiates a suit for patent infringement against the ANDA or 505(b)(2) NDA sponsor within 45 days of receipt of the notice, the FDA cannot grant effective approval of the ANDA or 505(b)(2) NDA until either 30 months have passed or there has been a court decision holding that the patents in question are invalid or not infringed. If an infringement action is not brought within 45 days, the ANDA or 505(b)(2) NDA applicant may bring a declaratory judgment action to determine patent issues prior to marketing. If the ANDA or 505(b)(2) NDA applicant certifies as to the date on which the listed patents will expire, then the FDA cannot grant effective approval of the ANDA or 505(b)</w:t>
      </w:r>
    </w:p>
    <w:p>
      <w:pPr>
        <w:spacing w:after="0" w:line="6" w:lineRule="exact"/>
        <w:rPr>
          <w:sz w:val="20"/>
          <w:szCs w:val="20"/>
          <w:color w:val="auto"/>
        </w:rPr>
      </w:pPr>
    </w:p>
    <w:p>
      <w:pPr>
        <w:ind w:left="60" w:right="1099" w:hanging="6"/>
        <w:spacing w:after="0" w:line="275" w:lineRule="auto"/>
        <w:tabs>
          <w:tab w:leader="none" w:pos="3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NDA until those patents expire. The first ANDA(s) submitting substantially complete application(s) certifying that listed patents for a particular product are invalid or not infringed may qualify for a period of 180 days of marketing exclusivity, starting from the date of the first commercial marketing of the drug by the applicant, during which subsequently submitted ANDAs cannot be granted effective approval. The first ANDA applicant can forfeit its exclusivity under certain circumstances; for example, if it fails to market its product or meet other regulatory requirements within specified time periods.</w:t>
      </w:r>
    </w:p>
    <w:p>
      <w:pPr>
        <w:spacing w:after="0" w:line="67"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From time to time, including presently, legislation is drafted and introduced in the U.S. Congress that could significantly change the statutory provisions governing the approval, manufacturing and marketing of drug products. In addition, FDA regulations and guidance are often revised or reinterpreted by the agency in ways that may significantly affect our business and our therapeutic candidates. It is impossible to predict whether legislative changes will be enacted, or FDA regulations, guidance or interpretations changed, or what the impact of such changes, if any, may be.</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FDA Approval or Clearance of Medical Devices</w:t>
      </w:r>
    </w:p>
    <w:p>
      <w:pPr>
        <w:spacing w:after="0" w:line="113" w:lineRule="exact"/>
        <w:rPr>
          <w:sz w:val="20"/>
          <w:szCs w:val="20"/>
          <w:color w:val="auto"/>
        </w:rPr>
      </w:pPr>
    </w:p>
    <w:p>
      <w:pPr>
        <w:ind w:left="60" w:right="1419" w:firstLine="257"/>
        <w:spacing w:after="0" w:line="311" w:lineRule="auto"/>
        <w:rPr>
          <w:sz w:val="20"/>
          <w:szCs w:val="20"/>
          <w:color w:val="auto"/>
        </w:rPr>
      </w:pPr>
      <w:r>
        <w:rPr>
          <w:rFonts w:ascii="Arial" w:cs="Arial" w:eastAsia="Arial" w:hAnsi="Arial"/>
          <w:sz w:val="16"/>
          <w:szCs w:val="16"/>
          <w:color w:val="auto"/>
        </w:rPr>
        <w:t>In the United States, medical devices are subject to varying degrees of regulatory control and are classified in one of three classes depending on the controls the FDA determines necessary to reasonably ensure their safety and efficacy:</w:t>
      </w:r>
    </w:p>
    <w:p>
      <w:pPr>
        <w:spacing w:after="0" w:line="38" w:lineRule="exact"/>
        <w:rPr>
          <w:sz w:val="20"/>
          <w:szCs w:val="20"/>
          <w:color w:val="auto"/>
        </w:rPr>
      </w:pPr>
    </w:p>
    <w:p>
      <w:pPr>
        <w:ind w:left="580" w:hanging="307"/>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Class I: general controls, such as labeling and adherence to Quality System Regulations, or QSRs;</w:t>
      </w:r>
    </w:p>
    <w:p>
      <w:pPr>
        <w:spacing w:after="0" w:line="113" w:lineRule="exact"/>
        <w:rPr>
          <w:rFonts w:ascii="Arial" w:cs="Arial" w:eastAsia="Arial" w:hAnsi="Arial"/>
          <w:sz w:val="17"/>
          <w:szCs w:val="17"/>
          <w:color w:val="auto"/>
        </w:rPr>
      </w:pPr>
    </w:p>
    <w:p>
      <w:pPr>
        <w:ind w:left="580" w:right="1319" w:hanging="307"/>
        <w:spacing w:after="0" w:line="278"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Class II: general controls, pre-market notification (510(k)), and specific controls such as performance standards, patient registries, and postmarket surveillance; and</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Class III: general controls and approval of a PMA.</w:t>
      </w:r>
    </w:p>
    <w:p>
      <w:pPr>
        <w:spacing w:after="0" w:line="113" w:lineRule="exact"/>
        <w:rPr>
          <w:sz w:val="20"/>
          <w:szCs w:val="20"/>
          <w:color w:val="auto"/>
        </w:rPr>
      </w:pPr>
    </w:p>
    <w:p>
      <w:pPr>
        <w:ind w:left="60" w:right="1139" w:firstLine="257"/>
        <w:spacing w:after="0" w:line="298" w:lineRule="auto"/>
        <w:rPr>
          <w:sz w:val="20"/>
          <w:szCs w:val="20"/>
          <w:color w:val="auto"/>
        </w:rPr>
      </w:pPr>
      <w:r>
        <w:rPr>
          <w:rFonts w:ascii="Arial" w:cs="Arial" w:eastAsia="Arial" w:hAnsi="Arial"/>
          <w:sz w:val="15"/>
          <w:szCs w:val="15"/>
          <w:color w:val="auto"/>
        </w:rPr>
        <w:t>A PMA application must provide a demonstration of safety and effectiveness, which generally requires extensive preclinical and clinical trial data. Information about the device and its components, device design, manufacturing and labeling, among other information, must also be included in the PMA. As part of the PMA review, the FDA will typically inspect the manufacturer’s facilities for compliance with QSR requirements, which govern testing, control, documentation and other aspects of quality assurance with respect to manufacturing. During the review period, an FDA advisory committee, typically a panel of clinicians, is likely to be convened to review the application and recommend to the FDA whether, or upon what conditions,</w:t>
      </w:r>
    </w:p>
    <w:p>
      <w:pPr>
        <w:spacing w:after="0" w:line="200" w:lineRule="exact"/>
        <w:rPr>
          <w:sz w:val="20"/>
          <w:szCs w:val="20"/>
          <w:color w:val="auto"/>
        </w:rPr>
      </w:pPr>
    </w:p>
    <w:p>
      <w:pPr>
        <w:spacing w:after="0" w:line="29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19"/>
        <w:spacing w:after="0" w:line="255" w:lineRule="auto"/>
        <w:rPr>
          <w:sz w:val="20"/>
          <w:szCs w:val="20"/>
          <w:color w:val="auto"/>
        </w:rPr>
      </w:pPr>
      <w:r>
        <w:rPr>
          <w:rFonts w:ascii="Arial" w:cs="Arial" w:eastAsia="Arial" w:hAnsi="Arial"/>
          <w:sz w:val="17"/>
          <w:szCs w:val="17"/>
          <w:color w:val="auto"/>
        </w:rPr>
        <w:t>the device should be approved. The FDA is not bound by the advisory panel decision, but the FDA often follows the panel’s recommendation. If the FDA finds the information satisfactory, it will approve the PMA. The PMA can include post-approval conditions including, among other things, restrictions on labeling, promotion, sale and distribution, or requirements to do additional clinical studies post-approval. Even after approval of a PMA, a new PMA or PMA supplement is required to authorize certain modifications to the device, its labeling or its manufacturing process. Supplements to a PMA often require the submission of the same type of information required for an original PMA, except that the supplement is generally limited to that information needed to support the proposed change from the product covered by the original PMA. During the review of a PMA, the FDA may request more information or additional studies and may decide that the indications for which we seek approval or clearance should be limited.</w:t>
      </w:r>
    </w:p>
    <w:p>
      <w:pPr>
        <w:spacing w:after="0" w:line="86" w:lineRule="exact"/>
        <w:rPr>
          <w:sz w:val="20"/>
          <w:szCs w:val="20"/>
          <w:color w:val="auto"/>
        </w:rPr>
      </w:pPr>
    </w:p>
    <w:p>
      <w:pPr>
        <w:ind w:left="60" w:right="1059" w:firstLine="257"/>
        <w:spacing w:after="0" w:line="292" w:lineRule="auto"/>
        <w:rPr>
          <w:sz w:val="20"/>
          <w:szCs w:val="20"/>
          <w:color w:val="auto"/>
        </w:rPr>
      </w:pPr>
      <w:r>
        <w:rPr>
          <w:rFonts w:ascii="Arial" w:cs="Arial" w:eastAsia="Arial" w:hAnsi="Arial"/>
          <w:sz w:val="15"/>
          <w:szCs w:val="15"/>
          <w:color w:val="auto"/>
        </w:rPr>
        <w:t>If human clinical trials of a medical device are required and the device presents a significant risk, the sponsor of the trial must file an investigational device exemption, or IDE, application prior to commencing human clinical trials. The IDE application must be supported by data, typically including the results of animal and/or laboratory testing. If the IDE application is approved by the FDA and one or more institutional review boards,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institutional review boards without separate approval from the FDA. Submission of an IDE does not give assurance that the FDA will approve the IDE and, if it is approved, the FDA may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indication or the rights, safety or welfare of human subjects. The trial also must comply with the FDA’s IDE regulations and informed consent must be obtained from each subject.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European Economic Area</w:t>
      </w:r>
    </w:p>
    <w:p>
      <w:pPr>
        <w:spacing w:after="0" w:line="119" w:lineRule="exact"/>
        <w:rPr>
          <w:sz w:val="20"/>
          <w:szCs w:val="20"/>
          <w:color w:val="auto"/>
        </w:rPr>
      </w:pPr>
    </w:p>
    <w:p>
      <w:pPr>
        <w:ind w:left="60" w:right="999" w:firstLine="257"/>
        <w:spacing w:after="0" w:line="298" w:lineRule="auto"/>
        <w:rPr>
          <w:sz w:val="20"/>
          <w:szCs w:val="20"/>
          <w:color w:val="auto"/>
        </w:rPr>
      </w:pPr>
      <w:r>
        <w:rPr>
          <w:rFonts w:ascii="Arial" w:cs="Arial" w:eastAsia="Arial" w:hAnsi="Arial"/>
          <w:sz w:val="15"/>
          <w:szCs w:val="15"/>
          <w:color w:val="auto"/>
        </w:rPr>
        <w:t>A medicinal product may only be placed on the market in the European Economic Area, or EEA, composed of the 27 EU member states, plus Norway, Iceland and Lichtenstein, when a marketing authorization has been issued by the competent authority of a member state pursuant to Directive 2001/83/EC (as recently amended by Directive 2004/27/EC), or an authorization has been granted under the centralized procedure in accordance with Regulation (EC) No. 726/2004 or its predecessor, Regulation 2309/93. There are essentially three community procedures created under prevailing European pharmaceutical legislation that, if successfully completed, allow an applicant to place a medicinal product on the market in the EEA.</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Centralized Procedure</w:t>
      </w:r>
    </w:p>
    <w:p>
      <w:pPr>
        <w:spacing w:after="0" w:line="113" w:lineRule="exact"/>
        <w:rPr>
          <w:sz w:val="20"/>
          <w:szCs w:val="20"/>
          <w:color w:val="auto"/>
        </w:rPr>
      </w:pPr>
    </w:p>
    <w:p>
      <w:pPr>
        <w:ind w:left="60" w:right="1019" w:firstLine="257"/>
        <w:spacing w:after="0" w:line="290" w:lineRule="auto"/>
        <w:rPr>
          <w:sz w:val="20"/>
          <w:szCs w:val="20"/>
          <w:color w:val="auto"/>
        </w:rPr>
      </w:pPr>
      <w:r>
        <w:rPr>
          <w:rFonts w:ascii="Arial" w:cs="Arial" w:eastAsia="Arial" w:hAnsi="Arial"/>
          <w:sz w:val="15"/>
          <w:szCs w:val="15"/>
          <w:color w:val="auto"/>
        </w:rPr>
        <w:t>Regulation 726/2004/EC now governs the centralized procedure when a marketing authorization is granted by the European Commission, acting in its capacity as the European Licensing Authority on the advice of the European Medicines Agency, or EMEA. That authorization is valid throughout the entire community and directly or (as to Norway, Iceland and Liechtenstein) indirectly allows the applicant to place the product on the market in all member states of the EEA. The EMEA is the administrative body responsible for coordinating the existing scientific resources available in the member states for evaluation, supervision and pharmacovigilance of medicinal products. Certain medicinal products, as described in the Annex to Regulation 726/2004, must be authorized centrally. These are products that are developed by means of a biotechnological process in accordance with Paragraph 1 to the Annex to the Regulation. Medicinal products for human use containing a new active substance for which the therapeutic indication is the treatment of acquired immune deficiency syndrome, or AIDS, cancer, neurodegenerative disorder or diabetes must also be authorized centrally. Starting on May 20, 2008, the mandatory centralized procedure was extended to autoimmune diseases and other immune dysfunctions and viral diseases. Finally, all medicinal products that are designated as orphan medicinal products pursuant to Regulation 141/2000 must be authorized under the centralized procedure. An applicant may also opt for assessment through the centralized procedure if it can show that the medicinal product constitutes a significant therapeutic, scientific or technical innovation or that the granting of authorization centrally is in the interests of patients at the community level. For each application submitted to the EMEA for scientific assessment, the EMEA is required to ensure that the opinion of the Committee for Medicinal Products for Human Use, or CHMP, is given within 210 days after receipt of a valid application. If</w:t>
      </w:r>
    </w:p>
    <w:p>
      <w:pPr>
        <w:spacing w:after="0" w:line="200" w:lineRule="exact"/>
        <w:rPr>
          <w:sz w:val="20"/>
          <w:szCs w:val="20"/>
          <w:color w:val="auto"/>
        </w:rPr>
      </w:pPr>
    </w:p>
    <w:p>
      <w:pPr>
        <w:spacing w:after="0" w:line="28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19"/>
        <w:spacing w:after="0" w:line="259" w:lineRule="auto"/>
        <w:rPr>
          <w:sz w:val="20"/>
          <w:szCs w:val="20"/>
          <w:color w:val="auto"/>
        </w:rPr>
      </w:pPr>
      <w:r>
        <w:rPr>
          <w:rFonts w:ascii="Arial" w:cs="Arial" w:eastAsia="Arial" w:hAnsi="Arial"/>
          <w:sz w:val="17"/>
          <w:szCs w:val="17"/>
          <w:color w:val="auto"/>
        </w:rPr>
        <w:t>the opinion is positive, the EMEA is required to send the opinion to the European Commission, which is responsible for preparing the decision granting a marketing authorization. If the initial opinion of the CHMP is negative, the applicant is afforded an opportunity to seek a re-examination of the opinion. The CHMP is required to re-examine its opinion within 60 days following receipt of the request by the applicant. A refusal of a centralized marketing authorization constitutes a prohibition on placing the given medicinal product on the market in the community.</w:t>
      </w:r>
    </w:p>
    <w:p>
      <w:pPr>
        <w:spacing w:after="0" w:line="77" w:lineRule="exact"/>
        <w:rPr>
          <w:sz w:val="20"/>
          <w:szCs w:val="20"/>
          <w:color w:val="auto"/>
        </w:rPr>
      </w:pPr>
    </w:p>
    <w:p>
      <w:pPr>
        <w:ind w:left="60" w:right="1059" w:firstLine="257"/>
        <w:spacing w:after="0" w:line="272" w:lineRule="auto"/>
        <w:rPr>
          <w:sz w:val="20"/>
          <w:szCs w:val="20"/>
          <w:color w:val="auto"/>
        </w:rPr>
      </w:pPr>
      <w:r>
        <w:rPr>
          <w:rFonts w:ascii="Arial" w:cs="Arial" w:eastAsia="Arial" w:hAnsi="Arial"/>
          <w:sz w:val="16"/>
          <w:szCs w:val="16"/>
          <w:i w:val="1"/>
          <w:iCs w:val="1"/>
          <w:color w:val="auto"/>
        </w:rPr>
        <w:t xml:space="preserve">Mutual Recognition and Decentralized Procedures. </w:t>
      </w:r>
      <w:r>
        <w:rPr>
          <w:rFonts w:ascii="Arial" w:cs="Arial" w:eastAsia="Arial" w:hAnsi="Arial"/>
          <w:sz w:val="16"/>
          <w:szCs w:val="16"/>
          <w:color w:val="auto"/>
        </w:rPr>
        <w:t>With the exception of products that are authorized centrally, the competent</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of the member states are responsible for granting marketing authorizations for medicinal products placed on their markets. If the applicant for a marketing authorization intends to market the same medicinal product in more than one member state, the applicant may seek an authorization progressively in the community under the mutual recognition or decentralized procedure. Mutual recognition is used if the medicinal product has already been authorized in a member state. In this case, the holder of this marketing authorization requests the member state where the authorization has been granted to act as reference member state by preparing an updated assessment report that is then used to facilitate mutual recognition of the existing authorization in the other member states in which approval is sought (the so-called concerned member state(s)). The reference member state must prepare an updated assessment report within 90 days of receipt of a valid application. This report together with the approved Summary of Product Characteristics, or SmPC (which sets out the conditions of use of the product), and a labeling and package leaflet are sent to the concerned member states for their consideration. The concerned member states are required to approve the assessment report, the SmPC and the labeling and package leaflet within 90 days of receipt of these documents. The total procedural time is 180 days.</w:t>
      </w:r>
    </w:p>
    <w:p>
      <w:pPr>
        <w:spacing w:after="0" w:line="68" w:lineRule="exact"/>
        <w:rPr>
          <w:sz w:val="20"/>
          <w:szCs w:val="20"/>
          <w:color w:val="auto"/>
        </w:rPr>
      </w:pPr>
    </w:p>
    <w:p>
      <w:pPr>
        <w:ind w:left="60" w:right="1059" w:firstLine="257"/>
        <w:spacing w:after="0" w:line="275" w:lineRule="auto"/>
        <w:rPr>
          <w:sz w:val="20"/>
          <w:szCs w:val="20"/>
          <w:color w:val="auto"/>
        </w:rPr>
      </w:pPr>
      <w:r>
        <w:rPr>
          <w:rFonts w:ascii="Arial" w:cs="Arial" w:eastAsia="Arial" w:hAnsi="Arial"/>
          <w:sz w:val="16"/>
          <w:szCs w:val="16"/>
          <w:color w:val="auto"/>
        </w:rPr>
        <w:t>The decentralized procedure is used in cases where the medicinal product has not received a marketing authorization in the EU at the time of application. The applicant requests a member state of its choice to act as reference member state to prepare an assessment report that is then used to facilitate agreement with the concerned member states and the grant of a national marketing authorization in all of these member states. In this procedure, the reference member state must prepare, for consideration by the concerned member states, the draft assessment report, a draft SmPC and a draft of the labeling and package leaflet within 120 days after receipt of a valid application. As in the case of mutual recognition, the concerned member states are required to approve these documents within 90 days of their receipt.</w:t>
      </w:r>
    </w:p>
    <w:p>
      <w:pPr>
        <w:spacing w:after="0" w:line="68" w:lineRule="exact"/>
        <w:rPr>
          <w:sz w:val="20"/>
          <w:szCs w:val="20"/>
          <w:color w:val="auto"/>
        </w:rPr>
      </w:pPr>
    </w:p>
    <w:p>
      <w:pPr>
        <w:ind w:left="60" w:right="1079" w:firstLine="257"/>
        <w:spacing w:after="0" w:line="275" w:lineRule="auto"/>
        <w:rPr>
          <w:sz w:val="20"/>
          <w:szCs w:val="20"/>
          <w:color w:val="auto"/>
        </w:rPr>
      </w:pPr>
      <w:r>
        <w:rPr>
          <w:rFonts w:ascii="Arial" w:cs="Arial" w:eastAsia="Arial" w:hAnsi="Arial"/>
          <w:sz w:val="16"/>
          <w:szCs w:val="16"/>
          <w:color w:val="auto"/>
        </w:rPr>
        <w:t>For both mutual recognition and decentralized procedures, if a concerned member state objects to the grant of a marketing authorization on the grounds of a potential serious risk to public health, it may raise a reasoned objection with the reference member state. The points of disagreement are in the first instance referred to the Co-ordination Group on Mutual Recognition and Decentralized Procedures, or CMD, to reach an agreement within 60 days of the communication of the points of disagreement. If member states fail to reach an agreement, then the matter is referred to the EMEA and CHMP for arbitration. The CHMP is required to deliver a reasoned opinion within 60 days of the date on which the matter is referred. The scientific opinion adopted by the CHMP forms the basis for a binding European Commission decision.</w:t>
      </w:r>
    </w:p>
    <w:p>
      <w:pPr>
        <w:spacing w:after="0" w:line="68" w:lineRule="exact"/>
        <w:rPr>
          <w:sz w:val="20"/>
          <w:szCs w:val="20"/>
          <w:color w:val="auto"/>
        </w:rPr>
      </w:pPr>
    </w:p>
    <w:p>
      <w:pPr>
        <w:ind w:left="60" w:right="1079" w:firstLine="257"/>
        <w:spacing w:after="0" w:line="272" w:lineRule="auto"/>
        <w:rPr>
          <w:sz w:val="20"/>
          <w:szCs w:val="20"/>
          <w:color w:val="auto"/>
        </w:rPr>
      </w:pPr>
      <w:r>
        <w:rPr>
          <w:rFonts w:ascii="Arial" w:cs="Arial" w:eastAsia="Arial" w:hAnsi="Arial"/>
          <w:sz w:val="16"/>
          <w:szCs w:val="16"/>
          <w:color w:val="auto"/>
        </w:rPr>
        <w:t>Irrespective of whether the medicinal product is assessed centrally, de-centrally or through a process of mutual recognition, the medicinal product must be manufactured in accordance with the principles of good manufacturing practice as set out in Directive 2003/94/EC and Volume 4 of the rules governing medicinal products in the European community. Moreover, community law requires the clinical results in support of clinical safety and efficacy to be based upon clinical trials conducted in the European community in compliance with the requirements of Directive 2001/20/EC, which implements good clinical practice in the conduct of clinical trials on medicinal products for human use. Clinical trials conducted outside the European community and used to support applications for marketing within the EU must have been conducted in a way consistent with the principles set out in Directive 2001/20/EC. The conduct of a clinical trial in the EU requires, pursuant to Directive 2001/20/EC, authorization by the relevant national competent authority where a trial takes place, and an ethics committee to have issued a favorable opinion in relation to the arrangements for the trial. It also requires that the sponsor of the trial, or a person authorized to act on his behalf in relation to the trial, be established in the community.</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are various types of applications for marketing authorizations:</w:t>
      </w:r>
    </w:p>
    <w:p>
      <w:pPr>
        <w:spacing w:after="0" w:line="113" w:lineRule="exact"/>
        <w:rPr>
          <w:sz w:val="20"/>
          <w:szCs w:val="20"/>
          <w:color w:val="auto"/>
        </w:rPr>
      </w:pPr>
    </w:p>
    <w:p>
      <w:pPr>
        <w:ind w:left="60" w:right="1039" w:firstLine="257"/>
        <w:spacing w:after="0" w:line="274" w:lineRule="auto"/>
        <w:rPr>
          <w:sz w:val="20"/>
          <w:szCs w:val="20"/>
          <w:color w:val="auto"/>
        </w:rPr>
      </w:pPr>
      <w:r>
        <w:rPr>
          <w:rFonts w:ascii="Arial" w:cs="Arial" w:eastAsia="Arial" w:hAnsi="Arial"/>
          <w:sz w:val="16"/>
          <w:szCs w:val="16"/>
          <w:i w:val="1"/>
          <w:iCs w:val="1"/>
          <w:color w:val="auto"/>
        </w:rPr>
        <w:t xml:space="preserve">Full Applications. </w:t>
      </w:r>
      <w:r>
        <w:rPr>
          <w:rFonts w:ascii="Arial" w:cs="Arial" w:eastAsia="Arial" w:hAnsi="Arial"/>
          <w:sz w:val="16"/>
          <w:szCs w:val="16"/>
          <w:color w:val="auto"/>
        </w:rPr>
        <w:t>A full application is one that is made under any of the community procedures described above and “stands</w:t>
      </w:r>
      <w:r>
        <w:rPr>
          <w:rFonts w:ascii="Arial" w:cs="Arial" w:eastAsia="Arial" w:hAnsi="Arial"/>
          <w:sz w:val="16"/>
          <w:szCs w:val="16"/>
          <w:i w:val="1"/>
          <w:iCs w:val="1"/>
          <w:color w:val="auto"/>
        </w:rPr>
        <w:t xml:space="preserve"> </w:t>
      </w:r>
      <w:r>
        <w:rPr>
          <w:rFonts w:ascii="Arial" w:cs="Arial" w:eastAsia="Arial" w:hAnsi="Arial"/>
          <w:sz w:val="16"/>
          <w:szCs w:val="16"/>
          <w:color w:val="auto"/>
        </w:rPr>
        <w:t>alone” in the sense that it contains all of the particulars and information required by Article 8(3) of Directive 2001/83 (as amended) to allow the competent authority to assess the quality, safety and efficacy of the product and in particular the balance between benefit and risk. Article 8(3)(l) in particular refers to the need to present the results of the applicant’s research on (1) pharmaceutical (physical-chemical, biological or microbiological) tests, (2) preclinical (toxicological and pharmacological) studies and (3) clinical trials in humans. The nature of these tests, studies and trials is explained in more detail in Annex I to Directive 2001/83/EC. Full applications would be required for products containing new active substances not previously approved by the competent authority, but may also be made for other products.</w:t>
      </w:r>
    </w:p>
    <w:p>
      <w:pPr>
        <w:spacing w:after="0" w:line="69"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i w:val="1"/>
          <w:iCs w:val="1"/>
          <w:color w:val="auto"/>
        </w:rPr>
        <w:t xml:space="preserve">Abridged Applications. </w:t>
      </w:r>
      <w:r>
        <w:rPr>
          <w:rFonts w:ascii="Arial" w:cs="Arial" w:eastAsia="Arial" w:hAnsi="Arial"/>
          <w:sz w:val="17"/>
          <w:szCs w:val="17"/>
          <w:color w:val="auto"/>
        </w:rPr>
        <w:t>Article 10 of Directive 2001/83/EC contains exemptions from the requirement that the applicant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the results of its own preclinical and clinical research. There are three regulatory routes for an applicant to seek an exemption from providing such results, namely (1) cross-referral to an innovator’s results without consent of the innovator, (2) well established use according to published literature and (3) consent to refer to an existing dossier of research results filed by a previous applicant.</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Cross-referral to Innovator’s Data</w:t>
      </w:r>
    </w:p>
    <w:p>
      <w:pPr>
        <w:spacing w:after="0" w:line="113" w:lineRule="exact"/>
        <w:rPr>
          <w:sz w:val="20"/>
          <w:szCs w:val="20"/>
          <w:color w:val="auto"/>
        </w:rPr>
      </w:pPr>
    </w:p>
    <w:p>
      <w:pPr>
        <w:ind w:left="60" w:right="1139" w:firstLine="257"/>
        <w:spacing w:after="0" w:line="256" w:lineRule="auto"/>
        <w:rPr>
          <w:sz w:val="20"/>
          <w:szCs w:val="20"/>
          <w:color w:val="auto"/>
        </w:rPr>
      </w:pPr>
      <w:r>
        <w:rPr>
          <w:rFonts w:ascii="Arial" w:cs="Arial" w:eastAsia="Arial" w:hAnsi="Arial"/>
          <w:sz w:val="17"/>
          <w:szCs w:val="17"/>
          <w:color w:val="auto"/>
        </w:rPr>
        <w:t>Articles 10(1) and 10(2)(b) of Directive 2001/83/EC provide the legal basis for an applicant to seek a marketing authorization on the basis that its product is a generic medicinal product (a copy) of a reference medicinal product that has already been authorized, in accordance with community provisions. A reference product is, in principle, an original product granted an authorization on the basis of a full dossier of particulars and information. This is the main exemption used by generic manufacturers for obtaining a marketing authorization for a copy product. The generic applicant is not required to provide the results of preclinical studies and of clinical trials if its product meets the definition of a generic medicinal product and the applicable regulatory results protection period for the results submitted by the innovator has expired. A generic medicinal product is defined as a medicinal product:</w:t>
      </w:r>
    </w:p>
    <w:p>
      <w:pPr>
        <w:spacing w:after="0" w:line="81" w:lineRule="exact"/>
        <w:rPr>
          <w:sz w:val="20"/>
          <w:szCs w:val="20"/>
          <w:color w:val="auto"/>
        </w:rPr>
      </w:pPr>
    </w:p>
    <w:p>
      <w:pPr>
        <w:ind w:left="580" w:hanging="307"/>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having the same qualitative and quantitative composition in active substance as the reference medicinal product;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having the same pharmaceutical form as the reference medicinal product;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whose bioequivalence with the reference medicinal product has been demonstrated by appropriate bioavailability studies.</w:t>
      </w:r>
    </w:p>
    <w:p>
      <w:pPr>
        <w:spacing w:after="0" w:line="136" w:lineRule="exact"/>
        <w:rPr>
          <w:sz w:val="20"/>
          <w:szCs w:val="20"/>
          <w:color w:val="auto"/>
        </w:rPr>
      </w:pPr>
    </w:p>
    <w:p>
      <w:pPr>
        <w:ind w:left="60" w:right="1019" w:firstLine="257"/>
        <w:spacing w:after="0" w:line="271" w:lineRule="auto"/>
        <w:rPr>
          <w:sz w:val="20"/>
          <w:szCs w:val="20"/>
          <w:color w:val="auto"/>
        </w:rPr>
      </w:pPr>
      <w:r>
        <w:rPr>
          <w:rFonts w:ascii="Arial" w:cs="Arial" w:eastAsia="Arial" w:hAnsi="Arial"/>
          <w:sz w:val="16"/>
          <w:szCs w:val="16"/>
          <w:color w:val="auto"/>
        </w:rPr>
        <w:t>Applications in respect of a generic medicinal product cannot be made before the expiry of the protection period. Where the reference product was granted a national marketing authorization pursuant to an application made before October 30, 2005, the protection period is either six years or 10 years, depending upon the election of the particular member state concerned. Where the reference product was granted a marketing authorization centrally, pursuant to an application made before November 20, 2005, the protection period is 10 years. For applications made after these dates, Regulation 726/2004 and amendments to Directive 2001/83/EC provide for a harmonized protection period regardless of the approval route utilized. The harmonized protection period is in total 10 years, including eight years of research data protection and two years of marketing protection. The effect is that the originator’s results can be the subject of a cross-referral application after eight years, but any resulting authorization cannot be exploited for a further two years. The rationale of this procedure is not that the competent authority does not have before it relevant tests and trials upon which to assess the efficacy and safety of the generic product, but that the relevant particulars can, if the research data protection period has expired, be found on the originator’s file and used for assessment of the generic medicinal product. The 10-year protection period can be extended to 11 years where, in the first eight years post-authorization, the holder of the authorization obtains approval for a new indication assessed as offering a significant clinical benefit in comparison with existing products.</w:t>
      </w: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firstLine="257"/>
        <w:spacing w:after="0" w:line="261" w:lineRule="auto"/>
        <w:rPr>
          <w:sz w:val="20"/>
          <w:szCs w:val="20"/>
          <w:color w:val="auto"/>
        </w:rPr>
      </w:pPr>
      <w:r>
        <w:rPr>
          <w:rFonts w:ascii="Arial" w:cs="Arial" w:eastAsia="Arial" w:hAnsi="Arial"/>
          <w:sz w:val="17"/>
          <w:szCs w:val="17"/>
          <w:color w:val="auto"/>
        </w:rPr>
        <w:t>If the copy product does not meet the definition of a generic medicinal product or if certain types of changes occur in the active substance(s) or in the therapeutic indications, strength, pharmaceutical form or route of administration in relation to the reference medicinal product, Article 10(3) of Directive 2001/83/EC provides that the results of the appropriate preclinical studies or clinical trials must be provided by the applicant.</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Well-established Medicinal Use</w:t>
      </w:r>
    </w:p>
    <w:p>
      <w:pPr>
        <w:spacing w:after="0" w:line="113"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color w:val="auto"/>
        </w:rPr>
        <w:t>Under Article 10a of Directive 2001/83/EC, an applicant may, in substitution for the results of its own preclinical and clinical research, present detailed references to published literature demonstrating that the active substance(s) of a product have a well-established medicinal use within the community with recognized efficacy and an acceptable level of safety. The applicant is entitled to refer to a variety of different types of literature, including reports of clinical trials with the same active substance(s) and epidemiological studies that indicate that the constituent or constituents of the product have an acceptable safety/efficacy profile for a particular indication. However, use of the published literature exemption is restricted by stating that in no circumstances will constituents be treated as having a well-established use if they have been used for less than 10 years from the first systematic and documented use of the substance as a medicinal product in the community. Even after 10 years’ systematic use, the threshold for well established medicinal use might not be met. European pharmaceutical law requires the competent authorities to consider the period over which a substance has been used, the amount of patient use of the substance, the degree of scientific interest in the use of the substance (as reflected in the scientific literature) and the coherence (consistency) of all the scientific assessments made in the literature. For this reason, different substances may reach the threshold for well-established use after different periods, but the minimum period is 10 years. If the applicant seeks approval of an entirely new therapeutic use compared with that to which the published literature refers, additional preclinical and/or clinical results would have to be provided.</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Informed Consent</w:t>
      </w:r>
    </w:p>
    <w:p>
      <w:pPr>
        <w:spacing w:after="0" w:line="113" w:lineRule="exact"/>
        <w:rPr>
          <w:sz w:val="20"/>
          <w:szCs w:val="20"/>
          <w:color w:val="auto"/>
        </w:rPr>
      </w:pPr>
    </w:p>
    <w:p>
      <w:pPr>
        <w:ind w:left="60" w:right="999" w:firstLine="257"/>
        <w:spacing w:after="0" w:line="282" w:lineRule="auto"/>
        <w:rPr>
          <w:sz w:val="20"/>
          <w:szCs w:val="20"/>
          <w:color w:val="auto"/>
        </w:rPr>
      </w:pPr>
      <w:r>
        <w:rPr>
          <w:rFonts w:ascii="Arial" w:cs="Arial" w:eastAsia="Arial" w:hAnsi="Arial"/>
          <w:sz w:val="16"/>
          <w:szCs w:val="16"/>
          <w:color w:val="auto"/>
        </w:rPr>
        <w:t>Under Article 10c of Directive 2001/83/EC, following the grant of a marketing authorization the holder of such authorization may consent to a competent authority utilizing the pharmaceutical, preclinical and clinical documentation that it submitted to obtain approval for a medicinal product to assess a subsequent application relating to a medicinal product possessing the same qualitative and quantitative composition with respect to the active substances and the same pharmaceutical form.</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Law Relating to Pediatric Research</w:t>
      </w:r>
    </w:p>
    <w:p>
      <w:pPr>
        <w:spacing w:after="0" w:line="113" w:lineRule="exact"/>
        <w:rPr>
          <w:sz w:val="20"/>
          <w:szCs w:val="20"/>
          <w:color w:val="auto"/>
        </w:rPr>
      </w:pPr>
    </w:p>
    <w:p>
      <w:pPr>
        <w:ind w:left="60" w:right="1019" w:firstLine="257"/>
        <w:spacing w:after="0" w:line="270" w:lineRule="auto"/>
        <w:rPr>
          <w:sz w:val="20"/>
          <w:szCs w:val="20"/>
          <w:color w:val="auto"/>
        </w:rPr>
      </w:pPr>
      <w:r>
        <w:rPr>
          <w:rFonts w:ascii="Arial" w:cs="Arial" w:eastAsia="Arial" w:hAnsi="Arial"/>
          <w:sz w:val="16"/>
          <w:szCs w:val="16"/>
          <w:color w:val="auto"/>
        </w:rPr>
        <w:t>Regulation (EC) 1901/2006 (as amended by Regulation (EC) 1902/2006) was adopted on December 12, 2006. This Regulation governs the development of medicinal products for human use in order to meet the specific therapeutic needs of the pediatric population. It requires any application for marketing authorization made after July 26, 2008 in respect of a product not authorized in the European Community on January 26, 2007 (the time the Regulation entered into force), to include studies in children conducted in accordance with a pediatric investigation plan agreed to by the relevant European authorities, unless the product is subject to an agreed waiver or deferral. Waivers can be granted in certain circumstances where pediatric studies are not required or desirable. Deferrals can be granted in certain circumstances where the initiation or completion of pediatric studies should be deferred until appropriate studies in adults have been performed. Moreover, this regulation imposes the same obligation from January 26, 2009 on an applicant seeking approval of a new indication, pharmaceutical form or route of administration for a product already authorized and still protected by a supplementary protection certificate granted under Regulation (EEC) 1768/92 or by a patent that qualifies for the granting of such a supplementary protection certificate. The pediatric Regulation 1901/2006 also provides, subject to certain conditions, a reward for performing such pediatric studies, regardless of whether the pediatric results provided resulted in the grant of a pediatric indication. This reward comes in the form of an extension of six months to the supplementary protection certificate granted in respect of the product, unless the product is subject to orphan drug designation, in which case the 10-year market exclusivity period for such orphan products is extended to 12 years. Where the product is no longer covered by a patent or supplementary protection certificate, the applicant may make a separate application for a Pediatric Use Marketing Authorization, which, on approval, will provide 10 years’ regulatory results and marketing protection for the pediatric results.</w:t>
      </w:r>
    </w:p>
    <w:p>
      <w:pPr>
        <w:spacing w:after="0" w:line="200" w:lineRule="exact"/>
        <w:rPr>
          <w:sz w:val="20"/>
          <w:szCs w:val="20"/>
          <w:color w:val="auto"/>
        </w:rPr>
      </w:pPr>
    </w:p>
    <w:p>
      <w:pPr>
        <w:spacing w:after="0" w:line="30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Post-authorization Obligations</w:t>
      </w:r>
    </w:p>
    <w:p>
      <w:pPr>
        <w:spacing w:after="0" w:line="113"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color w:val="auto"/>
        </w:rPr>
        <w:t>An authorization to market a medicinal product in the EU carries with it an obligation to comply with many post-authorization regulations relating to the marketing and other activities of authorization holders. These include requirements relating to adverse event reporting and other pharmacovigilance requirements, advertising, packaging and labeling, patient package leaflets, distribution and wholesale dealing. The regulations frequently operate within a criminal law framework and failure to comply with the requirements may not only affect the authorization, but also can lead to financial and other sanctions levied on the company in question and responsible officers.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Approval of Medical Devices</w:t>
      </w:r>
    </w:p>
    <w:p>
      <w:pPr>
        <w:spacing w:after="0" w:line="113" w:lineRule="exact"/>
        <w:rPr>
          <w:sz w:val="20"/>
          <w:szCs w:val="20"/>
          <w:color w:val="auto"/>
        </w:rPr>
      </w:pPr>
    </w:p>
    <w:p>
      <w:pPr>
        <w:ind w:left="60" w:right="1059" w:firstLine="257"/>
        <w:spacing w:after="0" w:line="273" w:lineRule="auto"/>
        <w:rPr>
          <w:sz w:val="20"/>
          <w:szCs w:val="20"/>
          <w:color w:val="auto"/>
        </w:rPr>
      </w:pPr>
      <w:r>
        <w:rPr>
          <w:rFonts w:ascii="Arial" w:cs="Arial" w:eastAsia="Arial" w:hAnsi="Arial"/>
          <w:sz w:val="16"/>
          <w:szCs w:val="16"/>
          <w:color w:val="auto"/>
        </w:rPr>
        <w:t>In the 25 member states of the European Union there is a consolidated system for the authorization of medical devices. The European Union requires that manufacturers of medical devices obtain the right to affix the CE mark to their products, which shows that the device has a Certificat de Conformité, before selling them in European Union member countries.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which vary according to the nature of the device. Compliance with the Medical Device Directive, as certified by a recognized European Notified Body, permits the manufacturer to affix the CE mark on its products and commercially distribute those products throughout the European Union without further conformance tests being required in other member states.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Israel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Israel Ministry of the Environment — Toxin Permit</w:t>
      </w:r>
    </w:p>
    <w:p>
      <w:pPr>
        <w:spacing w:after="0" w:line="113" w:lineRule="exact"/>
        <w:rPr>
          <w:sz w:val="20"/>
          <w:szCs w:val="20"/>
          <w:color w:val="auto"/>
        </w:rPr>
      </w:pPr>
    </w:p>
    <w:p>
      <w:pPr>
        <w:jc w:val="both"/>
        <w:ind w:left="60" w:right="1019" w:firstLine="257"/>
        <w:spacing w:after="0" w:line="289" w:lineRule="auto"/>
        <w:rPr>
          <w:sz w:val="20"/>
          <w:szCs w:val="20"/>
          <w:color w:val="auto"/>
        </w:rPr>
      </w:pPr>
      <w:r>
        <w:rPr>
          <w:rFonts w:ascii="Arial" w:cs="Arial" w:eastAsia="Arial" w:hAnsi="Arial"/>
          <w:sz w:val="16"/>
          <w:szCs w:val="16"/>
          <w:color w:val="auto"/>
        </w:rPr>
        <w:t>In accordance with the Israeli Dangerous Substance Law — 1993, the Ministry of the Environment is required to grant a permit in order to use toxic materials. Because we utilize toxic materials in the course of operation of our laboratories, we were required to apply for a permit to use these materials. Our current toxin permit will remain in effect until January 2012.</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Clinical Testing in Israel</w:t>
      </w:r>
    </w:p>
    <w:p>
      <w:pPr>
        <w:spacing w:after="0" w:line="113"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color w:val="auto"/>
        </w:rPr>
        <w:t>In order to conduct clinical testing on humans in Israel, special authorization must first be obtained from the ethics committee and general manager of the institution in which the clinical studies are scheduled to be conducted, as required under the Guidelines for Clinical Trials in Human Subjects implemented pursuant to the Israeli Public Health Regulations (Clinical Trials in Human Subjects), as amended from time to time, and other applicable legislation. In certain circumstances, these regulations may also require authorization from the Israeli Ministry of Health, and in the case of genetic trials, special fertility trials and similar trials, an additional authorization of the overseeing institutional ethics committee. The institutional ethics committee must, among other things, evaluate the anticipated benefits that are likely to be derived from the project to determine if it justifies the risks and inconvenience to be inflicted on the human subjects, and the committee must ensure that adequate protection exists for the rights and safety of the participants as well as the accuracy of the information gathered in the course of the clinical testing. Since we intend to perform a portion of the clinical studies on certain of our therapeutic candidates in Israel, we will be required to obtain authorization from the ethics committee and general manager of each institution in which we intend to conduct our clinical trials, and to the extent required, the Israeli Ministry of Health.</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Other Countries</w:t>
      </w:r>
    </w:p>
    <w:p>
      <w:pPr>
        <w:spacing w:after="0" w:line="119" w:lineRule="exact"/>
        <w:rPr>
          <w:sz w:val="20"/>
          <w:szCs w:val="20"/>
          <w:color w:val="auto"/>
        </w:rPr>
      </w:pPr>
    </w:p>
    <w:p>
      <w:pPr>
        <w:ind w:left="60" w:right="1079" w:firstLine="257"/>
        <w:spacing w:after="0" w:line="277" w:lineRule="auto"/>
        <w:rPr>
          <w:sz w:val="20"/>
          <w:szCs w:val="20"/>
          <w:color w:val="auto"/>
        </w:rPr>
      </w:pPr>
      <w:r>
        <w:rPr>
          <w:rFonts w:ascii="Arial" w:cs="Arial" w:eastAsia="Arial" w:hAnsi="Arial"/>
          <w:sz w:val="16"/>
          <w:szCs w:val="16"/>
          <w:color w:val="auto"/>
        </w:rPr>
        <w:t>In addition to regulations in the United States, the European Union and Israel, we are subject to a variety of other regulations governing clinical trials and commercial sales and distribution of drugs in other countries. Whether or not our products receive approval from the FDA, approval of such products must be obtained by the comparable regulatory authorities of countries other than the United States before we can commence clinical trials or marketing of the product in those countries. The approval process varies from country to country, and the time may be longer or shorter than that required for FDA approval. The requirements governing the conduct of clinical trials and product licensing vary greatly from country to country.</w:t>
      </w:r>
    </w:p>
    <w:p>
      <w:pPr>
        <w:spacing w:after="0" w:line="200" w:lineRule="exact"/>
        <w:rPr>
          <w:sz w:val="20"/>
          <w:szCs w:val="20"/>
          <w:color w:val="auto"/>
        </w:rPr>
      </w:pPr>
    </w:p>
    <w:p>
      <w:pPr>
        <w:spacing w:after="0" w:line="28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Related Matters</w:t>
      </w:r>
    </w:p>
    <w:p>
      <w:pPr>
        <w:spacing w:after="0" w:line="119" w:lineRule="exact"/>
        <w:rPr>
          <w:sz w:val="20"/>
          <w:szCs w:val="20"/>
          <w:color w:val="auto"/>
        </w:rPr>
      </w:pPr>
    </w:p>
    <w:p>
      <w:pPr>
        <w:ind w:left="60" w:right="1059" w:firstLine="257"/>
        <w:spacing w:after="0" w:line="257" w:lineRule="auto"/>
        <w:rPr>
          <w:sz w:val="20"/>
          <w:szCs w:val="20"/>
          <w:color w:val="auto"/>
        </w:rPr>
      </w:pPr>
      <w:r>
        <w:rPr>
          <w:rFonts w:ascii="Arial" w:cs="Arial" w:eastAsia="Arial" w:hAnsi="Arial"/>
          <w:sz w:val="17"/>
          <w:szCs w:val="17"/>
          <w:color w:val="auto"/>
        </w:rPr>
        <w:t>From time to time, legislation is drafted, introduced and passed in governmental bodies that could significantly change the statutory provisions governing the approval, manufacturing and marketing of products regulated by the FDA or EMEA and other applicable regulatory bodies to which we are subject. In addition, regulations and guidance are often revised or reinterpreted by the national agency in ways that may significantly affect our business and our therapeutic candidates. It is impossible to predict whether such legislative changes will be enacted, whether FDA or EMEA regulations, guidance or interpretations will change, or what the impact of such changes, if any, may be. We may need to adapt our business and therapeutic candidates and products to changes that occur in the future.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Israeli Government Programs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Israel Office of the Chief Scientist</w:t>
      </w:r>
    </w:p>
    <w:p>
      <w:pPr>
        <w:spacing w:after="0" w:line="113"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i w:val="1"/>
          <w:iCs w:val="1"/>
          <w:color w:val="auto"/>
        </w:rPr>
        <w:t>Research and Development Grants</w:t>
      </w:r>
      <w:r>
        <w:rPr>
          <w:rFonts w:ascii="Arial" w:cs="Arial" w:eastAsia="Arial" w:hAnsi="Arial"/>
          <w:sz w:val="16"/>
          <w:szCs w:val="16"/>
          <w:color w:val="auto"/>
        </w:rPr>
        <w:t>. A number of our therapeutic products have been financed, in part, through grants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OCS in accordance with the Israeli Law for the Encouragement of Industrial Research and Development, 1984 and related regulations, or the Research Law. As of December 31, 2010, we have received approximately $17.1 million in grants and loans from the OCS, including accrued interest, in the aggregate, which amount includes, among other payments, approximately $5.7 million of OCS research and development grants for particular projects, and approximately $11.4 million for our biotechnology incubator. Such amounts include approximately $9.5 million of grants received in connection with terminated programs. We do not expect to be required to repay grants for terminated programs. Under the Research Law and the terms of the grants, royalties on the revenues derived from sales of products developed with the support of the OCS are payable to the Israeli government, generally at the rate of 4% during the first three years of repayment and 6% subsequently, although these terms are different in the event we out-license the products. The obligation to make these payments terminates upon repayment of the amount of the received grants as adjusted for fluctuation in the U.S. dollar/shekel exchange rate, plus any additional amounts as described below. The amounts received bear interest equal to the 12-month London Interbank Offered Rate applicable to dollar deposits that is published on the first business day of each calendar year.</w:t>
      </w:r>
    </w:p>
    <w:p>
      <w:pPr>
        <w:spacing w:after="0" w:line="68" w:lineRule="exact"/>
        <w:rPr>
          <w:sz w:val="20"/>
          <w:szCs w:val="20"/>
          <w:color w:val="auto"/>
        </w:rPr>
      </w:pPr>
    </w:p>
    <w:p>
      <w:pPr>
        <w:ind w:left="60" w:right="1119" w:firstLine="257"/>
        <w:spacing w:after="0" w:line="272" w:lineRule="auto"/>
        <w:rPr>
          <w:sz w:val="20"/>
          <w:szCs w:val="20"/>
          <w:color w:val="auto"/>
        </w:rPr>
      </w:pPr>
      <w:r>
        <w:rPr>
          <w:rFonts w:ascii="Arial" w:cs="Arial" w:eastAsia="Arial" w:hAnsi="Arial"/>
          <w:sz w:val="16"/>
          <w:szCs w:val="16"/>
          <w:color w:val="auto"/>
        </w:rPr>
        <w:t>Pursuant to the Research Law, recipients of grants from the OCS are prohibited from manufacturing products developed using OCS grants or derived from technology developed with OCS grants outside of the State of Israel and from transferring rights to manufacture such products outside of Israel. However, the OCS may, in special cases, approve the transfer of manufacture or of manufacturing rights of a product developed in an approved program or which results therefrom, outside of Israel. If we were to receive approval to manufacture or to transfer the rights to manufacture our products developed with OCS grants outside of Israel, we would be required to pay an increased total amount of royalties (possibly up to 300% of the grant amounts plus interest), depending on the portion of total manufacturing that is performed outside of Israel. In addition, the royalty rate applicable to us could possibly increase. Such increased royalties constitute the total repayment amount required in connection with the transfer of manufacturing rights of OCS funded products outside Israel. The Research Law does enable companies to seek prior approval for conducting manufacturing activities outside of Israel without being subject to increased royalties; however, the OCS rarely grants such prior approval.</w:t>
      </w:r>
    </w:p>
    <w:p>
      <w:pPr>
        <w:spacing w:after="0" w:line="73" w:lineRule="exact"/>
        <w:rPr>
          <w:sz w:val="20"/>
          <w:szCs w:val="20"/>
          <w:color w:val="auto"/>
        </w:rPr>
      </w:pPr>
    </w:p>
    <w:p>
      <w:pPr>
        <w:ind w:left="60" w:right="999" w:firstLine="257"/>
        <w:spacing w:after="0" w:line="294" w:lineRule="auto"/>
        <w:rPr>
          <w:sz w:val="20"/>
          <w:szCs w:val="20"/>
          <w:color w:val="auto"/>
        </w:rPr>
      </w:pPr>
      <w:r>
        <w:rPr>
          <w:rFonts w:ascii="Arial" w:cs="Arial" w:eastAsia="Arial" w:hAnsi="Arial"/>
          <w:sz w:val="15"/>
          <w:szCs w:val="15"/>
          <w:color w:val="auto"/>
        </w:rPr>
        <w:t>In addition, under the Research Law, we are prohibited from transferring our OCS financed technologies, technologies derived therefrom and related intellectual property rights outside of Israel except under limited circumstances and only with the approval of the OCS and upon making a payment to the OCS. We may not receive the required approvals for any proposed transfer and, if received, we may be required to pay the OCS a portion of the consideration that we receive upon any sale of such technology to a non-Israeli entity. The scope of the support received, the royalties that we may have already paid to the OCS, the amount of time that has elapsed between the date on which the technology was transferred and the date on which the OCS grants were received and the sale price and the form of transaction will be taken into account in order to calculate the amount of the payment to the OCS. In addition, approval of the transfer of technology to residents of Israel is required, and may be granted in specific circumstances, only if the recipient agrees to abide by the provisions of applicable laws, including the restrictions on the transfer of know-how and the</w:t>
      </w: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79"/>
        <w:spacing w:after="0" w:line="311" w:lineRule="auto"/>
        <w:rPr>
          <w:sz w:val="20"/>
          <w:szCs w:val="20"/>
          <w:color w:val="auto"/>
        </w:rPr>
      </w:pPr>
      <w:r>
        <w:rPr>
          <w:rFonts w:ascii="Arial" w:cs="Arial" w:eastAsia="Arial" w:hAnsi="Arial"/>
          <w:sz w:val="16"/>
          <w:szCs w:val="16"/>
          <w:color w:val="auto"/>
        </w:rPr>
        <w:t>obligation to pay royalties. No assurances can be made that approval to any such transfer, if requested, will be granted. The out-licensing of OCS-supported technologies may be deemed by the OCS to be a transfer of technology.</w:t>
      </w:r>
    </w:p>
    <w:p>
      <w:pPr>
        <w:spacing w:after="0" w:line="38"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color w:val="auto"/>
        </w:rPr>
        <w:t>The State of Israel does not own intellectual property rights in technology developed with OCS funding and there is no restriction on the export of products manufactured using technology developed with OCS funding. The technology is, however, subject to transfer of technology and manufacturing rights restrictions as described above. For a description of such restrictions, please see “Item 3. Key Information — Risk Factors — Risks Relating to Our Operations in Israel.” OCS approval is not required for the export of any products resulting from the research or development or for the licensing of any technology in the ordinary course of business.</w:t>
      </w:r>
    </w:p>
    <w:p>
      <w:pPr>
        <w:spacing w:after="0" w:line="82" w:lineRule="exact"/>
        <w:rPr>
          <w:sz w:val="20"/>
          <w:szCs w:val="20"/>
          <w:color w:val="auto"/>
        </w:rPr>
      </w:pPr>
    </w:p>
    <w:p>
      <w:pPr>
        <w:ind w:left="60" w:right="1019" w:firstLine="257"/>
        <w:spacing w:after="0" w:line="293" w:lineRule="auto"/>
        <w:rPr>
          <w:sz w:val="20"/>
          <w:szCs w:val="20"/>
          <w:color w:val="auto"/>
        </w:rPr>
      </w:pPr>
      <w:r>
        <w:rPr>
          <w:rFonts w:ascii="Arial" w:cs="Arial" w:eastAsia="Arial" w:hAnsi="Arial"/>
          <w:sz w:val="15"/>
          <w:szCs w:val="15"/>
          <w:i w:val="1"/>
          <w:iCs w:val="1"/>
          <w:color w:val="auto"/>
        </w:rPr>
        <w:t>Biotechnology Incubator Program</w:t>
      </w:r>
      <w:r>
        <w:rPr>
          <w:rFonts w:ascii="Arial" w:cs="Arial" w:eastAsia="Arial" w:hAnsi="Arial"/>
          <w:sz w:val="15"/>
          <w:szCs w:val="15"/>
          <w:color w:val="auto"/>
        </w:rPr>
        <w:t>. In 2001, the OCS launched a biotechnology incubator program for advancing Israel’s</w:t>
      </w:r>
      <w:r>
        <w:rPr>
          <w:rFonts w:ascii="Arial" w:cs="Arial" w:eastAsia="Arial" w:hAnsi="Arial"/>
          <w:sz w:val="15"/>
          <w:szCs w:val="15"/>
          <w:i w:val="1"/>
          <w:iCs w:val="1"/>
          <w:color w:val="auto"/>
        </w:rPr>
        <w:t xml:space="preserve"> </w:t>
      </w:r>
      <w:r>
        <w:rPr>
          <w:rFonts w:ascii="Arial" w:cs="Arial" w:eastAsia="Arial" w:hAnsi="Arial"/>
          <w:sz w:val="15"/>
          <w:szCs w:val="15"/>
          <w:color w:val="auto"/>
        </w:rPr>
        <w:t>biotechnology industry. The program was significantly changed by the OCS in May 2004, pursuant to which the OCS invited companies to submit proposals to establish and operate OCS-funded biotechnology incubators to provide a physical, organized and professional platform for commercializing biotechnological research and development projects. We submitted a proposal to operate a biotechnology incubator, and our proposal was accepted by the OCS. Accordingly, we entered into the incubator agreement with the OCS in January 2005. The initial agreement was scheduled to expire on December 31, 2010 but at the end of 2010, the OCS agreed to renew the agreement for an additional two years, with an option to renew for another one-year period at the same terms and conditions, subject to OCS approval. We formed BIJ L.P. to act as the incubator entity. Our wholly-owned subsidiary, BIJ Ltd., is the general partner of BIJ L.P., also referred to as the incubator, and owns 1% of BIJ L.P.’s partnership interests, while BioLineRx is a limited partner of BIJ L.P. and owns the remaining 99% of BIJ L.P.’s partnership interests.</w:t>
      </w:r>
    </w:p>
    <w:p>
      <w:pPr>
        <w:spacing w:after="0" w:line="55" w:lineRule="exact"/>
        <w:rPr>
          <w:sz w:val="20"/>
          <w:szCs w:val="20"/>
          <w:color w:val="auto"/>
        </w:rPr>
      </w:pPr>
    </w:p>
    <w:p>
      <w:pPr>
        <w:ind w:left="60" w:right="999" w:firstLine="257"/>
        <w:spacing w:after="0" w:line="277" w:lineRule="auto"/>
        <w:rPr>
          <w:sz w:val="20"/>
          <w:szCs w:val="20"/>
          <w:color w:val="auto"/>
        </w:rPr>
      </w:pPr>
      <w:r>
        <w:rPr>
          <w:rFonts w:ascii="Arial" w:cs="Arial" w:eastAsia="Arial" w:hAnsi="Arial"/>
          <w:sz w:val="16"/>
          <w:szCs w:val="16"/>
          <w:color w:val="auto"/>
        </w:rPr>
        <w:t>As of June 30, 2011, we have received approximately $11.9 million from the OCS under the incubator agreement to fund 21 different development projects, 15 of which have terminated. Of our 14 current development projects, five have been funded under the incubator agreement, BL-1021, BL-1040, BL-4040, BL-5040 and BL-6010. Requests are currently on file to fund an additional three projects under the incubator agreement, but such requests have not yet been approved by the OCS as of June 30, 2011. Other projects may also be funded by the OCS outside of the incubator agreement. For additional information on the incubator agreement, see “Item 10. Additional Information — Material Contracts — Incubator Agreement.”</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Israel Ministry of Health</w:t>
      </w:r>
    </w:p>
    <w:p>
      <w:pPr>
        <w:spacing w:after="0" w:line="113" w:lineRule="exact"/>
        <w:rPr>
          <w:sz w:val="20"/>
          <w:szCs w:val="20"/>
          <w:color w:val="auto"/>
        </w:rPr>
      </w:pPr>
    </w:p>
    <w:p>
      <w:pPr>
        <w:ind w:left="60" w:right="1119" w:firstLine="257"/>
        <w:spacing w:after="0" w:line="298" w:lineRule="auto"/>
        <w:rPr>
          <w:sz w:val="20"/>
          <w:szCs w:val="20"/>
          <w:color w:val="auto"/>
        </w:rPr>
      </w:pPr>
      <w:r>
        <w:rPr>
          <w:rFonts w:ascii="Arial" w:cs="Arial" w:eastAsia="Arial" w:hAnsi="Arial"/>
          <w:sz w:val="15"/>
          <w:szCs w:val="15"/>
          <w:color w:val="auto"/>
        </w:rPr>
        <w:t>Israel’s Ministry of Health, which regulates medical testing, has adopted protocols that correspond, generally, to those of the FDA and the European Medicines Agency, making it comparatively straightforward for studies conducted in Israel to satisfy FDA and the European Medicines Agency requirements, thereby enabling medical technologies subjected to clinical trials in Israel to reach U.S. and E.U. commercial markets in an expedited fashion. Many members of Israel’s medical community have earned international prestige in their chosen fields of expertise and routinely collaborate, teach and lecture at leading medical centers throughout the world. Israel also has free trade agreements with the United States and the European Union.</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Organizational Structure</w:t>
      </w:r>
    </w:p>
    <w:p>
      <w:pPr>
        <w:spacing w:after="0" w:line="119" w:lineRule="exact"/>
        <w:rPr>
          <w:sz w:val="20"/>
          <w:szCs w:val="20"/>
          <w:color w:val="auto"/>
        </w:rPr>
      </w:pPr>
    </w:p>
    <w:p>
      <w:pPr>
        <w:ind w:left="60" w:right="1159" w:firstLine="257"/>
        <w:spacing w:after="0" w:line="273" w:lineRule="auto"/>
        <w:rPr>
          <w:sz w:val="20"/>
          <w:szCs w:val="20"/>
          <w:color w:val="auto"/>
        </w:rPr>
      </w:pPr>
      <w:r>
        <w:rPr>
          <w:rFonts w:ascii="Arial" w:cs="Arial" w:eastAsia="Arial" w:hAnsi="Arial"/>
          <w:sz w:val="16"/>
          <w:szCs w:val="16"/>
          <w:color w:val="auto"/>
        </w:rPr>
        <w:t>Our corporate structure consists of BioLineRx and three wholly-owned subsidiary entities: BioLine Innovations Jerusalem Limited Partnership, or BIJ L.P.; BioLine Innovations Jerusalem Ltd., or BIJ Ltd.; and BioLineRx USA Inc. BIJ Ltd. and BIJ L.P. are engaged in the operation of our biotechnology incubator. See “Item 10. Additional Information — Material</w:t>
      </w:r>
    </w:p>
    <w:p>
      <w:pPr>
        <w:spacing w:after="0" w:line="1" w:lineRule="exact"/>
        <w:rPr>
          <w:sz w:val="20"/>
          <w:szCs w:val="20"/>
          <w:color w:val="auto"/>
        </w:rPr>
      </w:pPr>
    </w:p>
    <w:p>
      <w:pPr>
        <w:ind w:left="60" w:right="1179"/>
        <w:spacing w:after="0" w:line="301" w:lineRule="auto"/>
        <w:rPr>
          <w:sz w:val="20"/>
          <w:szCs w:val="20"/>
          <w:color w:val="auto"/>
        </w:rPr>
      </w:pPr>
      <w:r>
        <w:rPr>
          <w:rFonts w:ascii="Arial" w:cs="Arial" w:eastAsia="Arial" w:hAnsi="Arial"/>
          <w:sz w:val="15"/>
          <w:szCs w:val="15"/>
          <w:color w:val="auto"/>
        </w:rPr>
        <w:t>Contracts — Incubator Agreement.” BioLineRx USA Ltd. is currently inactive. Our Board of Directors decided to transfer all business development functions back to Israel in order to reorganize the business development efforts and administer such efforts from our headquarters. The Board of Directors believes that maintaining the business development functions in the United States did not add value to our company. We believe that the effects of this action are immaterial to our financial statements.</w:t>
      </w: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 Property, Plants, and Equipment</w:t>
      </w:r>
    </w:p>
    <w:p>
      <w:pPr>
        <w:spacing w:after="0" w:line="119" w:lineRule="exact"/>
        <w:rPr>
          <w:sz w:val="20"/>
          <w:szCs w:val="20"/>
          <w:color w:val="auto"/>
        </w:rPr>
      </w:pPr>
    </w:p>
    <w:p>
      <w:pPr>
        <w:ind w:left="60" w:right="1119" w:firstLine="257"/>
        <w:spacing w:after="0" w:line="274" w:lineRule="auto"/>
        <w:rPr>
          <w:sz w:val="20"/>
          <w:szCs w:val="20"/>
          <w:color w:val="auto"/>
        </w:rPr>
      </w:pPr>
      <w:r>
        <w:rPr>
          <w:rFonts w:ascii="Arial" w:cs="Arial" w:eastAsia="Arial" w:hAnsi="Arial"/>
          <w:sz w:val="16"/>
          <w:szCs w:val="16"/>
          <w:color w:val="auto"/>
        </w:rPr>
        <w:t>We are headquartered in Jerusalem, Israel. We lease one facility pursuant to a lease agreement with Caps-Pharma Ltd. that expires on December 15, 2012, with options to renew through December 2016. The Jerusalem headquarters consists of approximately 1,700 square meters of space and lease payments are approximately $21,600 per month. This facility houses both our administrative and research operations and our central laboratory. The central laboratory consists of approximately 600 square meters and includes an analytical chemistry laboratory, a formulation laboratory, and a tissue culture laboratory. Our central laboratory is compliant with both cGMP and GLP and allow us to manufacture therapeutic supplies for our current clinical trials. We are currently outfitting a section of the central laboratory as a Class 1000 Clean Room for the synthesis of compounds that require a clean environment for development. Substantially all of our employees are based in this facility.</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4A. UNRESOLVED STAFF COMMENTS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119" w:lineRule="exact"/>
        <w:rPr>
          <w:sz w:val="20"/>
          <w:szCs w:val="20"/>
          <w:color w:val="auto"/>
        </w:rPr>
      </w:pPr>
    </w:p>
    <w:p>
      <w:pPr>
        <w:ind w:left="60" w:right="1439" w:firstLine="257"/>
        <w:spacing w:after="0" w:line="257" w:lineRule="auto"/>
        <w:rPr>
          <w:sz w:val="20"/>
          <w:szCs w:val="20"/>
          <w:color w:val="auto"/>
        </w:rPr>
      </w:pPr>
      <w:r>
        <w:rPr>
          <w:rFonts w:ascii="Arial" w:cs="Arial" w:eastAsia="Arial" w:hAnsi="Arial"/>
          <w:sz w:val="17"/>
          <w:szCs w:val="17"/>
          <w:i w:val="1"/>
          <w:iCs w:val="1"/>
          <w:color w:val="auto"/>
        </w:rPr>
        <w:t>You should read the following discussion of our operating and financial condition and prospects in conjunction with the financial statements and the notes thereto included elsewhere in this Registration Statement on Form 20-F.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Registration Statement on Form 20-F, particularly those in “Item 3. Key Information — Risk Factors.”</w:t>
      </w:r>
    </w:p>
    <w:p>
      <w:pPr>
        <w:spacing w:after="0" w:line="82" w:lineRule="exact"/>
        <w:rPr>
          <w:sz w:val="20"/>
          <w:szCs w:val="20"/>
          <w:color w:val="auto"/>
        </w:rPr>
      </w:pPr>
    </w:p>
    <w:p>
      <w:pPr>
        <w:ind w:left="60" w:right="1039" w:firstLine="257"/>
        <w:spacing w:after="0" w:line="291" w:lineRule="auto"/>
        <w:rPr>
          <w:sz w:val="20"/>
          <w:szCs w:val="20"/>
          <w:color w:val="auto"/>
        </w:rPr>
      </w:pPr>
      <w:r>
        <w:rPr>
          <w:rFonts w:ascii="Arial" w:cs="Arial" w:eastAsia="Arial" w:hAnsi="Arial"/>
          <w:sz w:val="15"/>
          <w:szCs w:val="15"/>
          <w:color w:val="auto"/>
        </w:rPr>
        <w:t>We are a clinical stage biopharmaceutical development company dedicated to identifying, in-licensing and developing therapeutic candidates that have advantages over currently available therapies or address unmet medical needs. Our current development pipeline consists of five clinical therapeutic candidates, BL-1020, BL-1021, BL-1040, BL-5010 and BL-7040. In addition, we have nine therapeutic candidates in the advanced preclinical, early preclinical and discovery stages. We generate our pipeline by systematically identifying, rigorously validating and in-licensing therapeutic candidates that we believe exhibit a relatively high probability of therapeutic and commercial success. We also operate, with the financial participation of the OCS, a biotechnology incubator to evaluate therapeutic candidates. As of December 31, 2010, we have received approximately $11.4 million in grants in the form of loans from the OCS to operate the incubator, which does not include $5.7 million we have received from the OCS outside of the incubator agreement, as of that date. Such amounts include loans equal to approximately $7.6 million for terminated programs. We do not expect to be required to repay loans for terminated programs. Our strategy includes commercializing our therapeutic candidates through out-licensing arrangements with biotechnology and pharmaceutical companies and evaluating, on a case by case basis, the commercialization of our therapeutic candidates independently.</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description of our five clinical therapeutic candidates:</w:t>
      </w:r>
    </w:p>
    <w:p>
      <w:pPr>
        <w:spacing w:after="0" w:line="113" w:lineRule="exact"/>
        <w:rPr>
          <w:sz w:val="20"/>
          <w:szCs w:val="20"/>
          <w:color w:val="auto"/>
        </w:rPr>
      </w:pPr>
    </w:p>
    <w:p>
      <w:pPr>
        <w:ind w:left="580" w:right="1059" w:hanging="307"/>
        <w:spacing w:after="0" w:line="261"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BL-1020 is a new chemical entity in development for the treatment of schizophrenia. In September 2009, we announced positive topline results from a phase 2b clinical trial of BL-1020. In June 2011, we commenced a CLARITY trial of BL-1020. We currently are authorized to initial the trial in 15 clinical sites in Romania and anticipate receipt of authorization to perform the trial in 19 additional sites in India.</w:t>
      </w:r>
    </w:p>
    <w:p>
      <w:pPr>
        <w:spacing w:after="0" w:line="75" w:lineRule="exact"/>
        <w:rPr>
          <w:rFonts w:ascii="Arial" w:cs="Arial" w:eastAsia="Arial" w:hAnsi="Arial"/>
          <w:sz w:val="17"/>
          <w:szCs w:val="17"/>
          <w:color w:val="auto"/>
        </w:rPr>
      </w:pPr>
    </w:p>
    <w:p>
      <w:pPr>
        <w:ind w:left="580" w:right="999" w:hanging="307"/>
        <w:spacing w:after="0" w:line="28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BL-1040 is a novel resorbable polymer solution for use in the prevention of cardiac remodeling that may occur in patients who have suffered an AMI. BL-1040 is being developed as a medical device. In March 2010, we announced positive results from a phase 1/2 clinical trial. We have entered into an exclusive, worldwide, royalty-bearing out-licensing arrangement with Ikaria with respect to the development, manufacture and commercialization of BL-1040.</w:t>
      </w:r>
    </w:p>
    <w:p>
      <w:pPr>
        <w:spacing w:after="0" w:line="61" w:lineRule="exact"/>
        <w:rPr>
          <w:rFonts w:ascii="Arial" w:cs="Arial" w:eastAsia="Arial" w:hAnsi="Arial"/>
          <w:sz w:val="16"/>
          <w:szCs w:val="16"/>
          <w:color w:val="auto"/>
        </w:rPr>
      </w:pPr>
    </w:p>
    <w:p>
      <w:pPr>
        <w:ind w:left="580" w:right="1239" w:hanging="307"/>
        <w:spacing w:after="0" w:line="289"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BL-5010 is a novel therapeutic candidate for the non-surgical removal of skin lesions. In December 2010, we announced positive results from a phase 1/2 clinical trial of BL-5010. We are currently evaluating the most advantageous ways to progress with this therapeutic candidate from a regulatory, clinical and business perspective.</w:t>
      </w:r>
    </w:p>
    <w:p>
      <w:pPr>
        <w:spacing w:after="0" w:line="55" w:lineRule="exact"/>
        <w:rPr>
          <w:rFonts w:ascii="Arial" w:cs="Arial" w:eastAsia="Arial" w:hAnsi="Arial"/>
          <w:sz w:val="16"/>
          <w:szCs w:val="16"/>
          <w:color w:val="auto"/>
        </w:rPr>
      </w:pPr>
    </w:p>
    <w:p>
      <w:pPr>
        <w:ind w:left="580" w:right="1299" w:hanging="307"/>
        <w:spacing w:after="0" w:line="289"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BL-1021 is a new chemical entity in development for the treatment of neuropathic pain. In June 2011, we commenced a phase 1 clinical trial of BL-1021 in Israel, and commenced treatment of the first patient in the trial. The clinical trial is designed to study the safety and pharmacokinetic profile of BL-1021 in 56 healthy subjects.</w:t>
      </w:r>
    </w:p>
    <w:p>
      <w:pPr>
        <w:spacing w:after="0" w:line="55" w:lineRule="exact"/>
        <w:rPr>
          <w:rFonts w:ascii="Arial" w:cs="Arial" w:eastAsia="Arial" w:hAnsi="Arial"/>
          <w:sz w:val="16"/>
          <w:szCs w:val="16"/>
          <w:color w:val="auto"/>
        </w:rPr>
      </w:pPr>
    </w:p>
    <w:p>
      <w:pPr>
        <w:ind w:left="580" w:right="1079" w:hanging="307"/>
        <w:spacing w:after="0" w:line="306"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BL-7040 is a novel ploymer which we intend to develop for the treatment of IBD. It is an orally-available, synthetic oligonucleotide with unique dual activity on both the nervous and immune systems, rendering it highly suitable for treating both neurological diseases and immune system related conditions such as inflammatory or autoimmune diseases. We anticipate commencing a phase 2 study to evaluate the effectiveness of BL-7040 for the treatment of IBD during 2012.</w:t>
      </w:r>
    </w:p>
    <w:p>
      <w:pPr>
        <w:spacing w:after="0" w:line="46" w:lineRule="exact"/>
        <w:rPr>
          <w:sz w:val="20"/>
          <w:szCs w:val="20"/>
          <w:color w:val="auto"/>
        </w:rPr>
      </w:pPr>
    </w:p>
    <w:p>
      <w:pPr>
        <w:jc w:val="both"/>
        <w:ind w:left="60" w:right="1079" w:firstLine="257"/>
        <w:spacing w:after="0" w:line="261" w:lineRule="auto"/>
        <w:rPr>
          <w:sz w:val="20"/>
          <w:szCs w:val="20"/>
          <w:color w:val="auto"/>
        </w:rPr>
      </w:pPr>
      <w:r>
        <w:rPr>
          <w:rFonts w:ascii="Arial" w:cs="Arial" w:eastAsia="Arial" w:hAnsi="Arial"/>
          <w:sz w:val="17"/>
          <w:szCs w:val="17"/>
          <w:color w:val="auto"/>
        </w:rPr>
        <w:t>In July 2009, we entered into an exclusive, worldwide, royalty-bearing licensing arrangement with Ikaria which was amended and restated in August 2009. Under the agreement, we granted Ikaria an exclusive, worldwide license to develop, manufacture and commercialize BL-1040 for use in the prevention, mitigation and treatment of injuries to the myocardial tissue of the heart. Under the arrangement, Ikaria is obligated to</w:t>
      </w: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79"/>
        <w:spacing w:after="0" w:line="261" w:lineRule="auto"/>
        <w:rPr>
          <w:sz w:val="20"/>
          <w:szCs w:val="20"/>
          <w:color w:val="auto"/>
        </w:rPr>
      </w:pPr>
      <w:r>
        <w:rPr>
          <w:rFonts w:ascii="Arial" w:cs="Arial" w:eastAsia="Arial" w:hAnsi="Arial"/>
          <w:sz w:val="17"/>
          <w:szCs w:val="17"/>
          <w:color w:val="auto"/>
        </w:rPr>
        <w:t>use commercially reasonable efforts to complete clinical development of, and to commercialize, BL-1040 or products related thereto. We received an upfront payment equal to $7.0 million upon the execution of the license agreement. Upon successful completion of the phase 1/2 clinical trial, Ikaria paid us a milestone payment equal to $10.0 million and we are entitled to receive additional milestone and royalty payments upon the occurrence of certain events.</w:t>
      </w:r>
    </w:p>
    <w:p>
      <w:pPr>
        <w:spacing w:after="0" w:line="76" w:lineRule="exact"/>
        <w:rPr>
          <w:sz w:val="20"/>
          <w:szCs w:val="20"/>
          <w:color w:val="auto"/>
        </w:rPr>
      </w:pPr>
    </w:p>
    <w:p>
      <w:pPr>
        <w:ind w:left="60" w:right="1059" w:firstLine="257"/>
        <w:spacing w:after="0" w:line="296" w:lineRule="auto"/>
        <w:rPr>
          <w:sz w:val="20"/>
          <w:szCs w:val="20"/>
          <w:color w:val="auto"/>
        </w:rPr>
      </w:pPr>
      <w:r>
        <w:rPr>
          <w:rFonts w:ascii="Arial" w:cs="Arial" w:eastAsia="Arial" w:hAnsi="Arial"/>
          <w:sz w:val="15"/>
          <w:szCs w:val="15"/>
          <w:color w:val="auto"/>
        </w:rPr>
        <w:t>In June 2010, we entered into an exclusive, royalty-bearing out-licensing arrangement with Cypress Bioscience with regard to BL-1020, covering the United States, Canada and Mexico, which became effective in August 2010. We received an upfront fee of $30.0 million from Cypress Bioscience upon the effectiveness of the agreement. We are obligated to pay to Bar Ilan Research and Development and Ramot, collectively, a royalty payment equal to 22.5% of the net consideration we receive from the out-licensing of BL-1020. We paid Bar Ilan Research and Development and Ramot $6.75 million, in the aggregate, from the $30.0 million upfront fee. We also paid the OCS $3.0 million as partial repayment of grants previously received for the BL-1020 development program. See “Item 4. Information on the Company — Business Overview — In-Licensing Agreements — BL-1020.”</w:t>
      </w:r>
    </w:p>
    <w:p>
      <w:pPr>
        <w:spacing w:after="0" w:line="54" w:lineRule="exact"/>
        <w:rPr>
          <w:sz w:val="20"/>
          <w:szCs w:val="20"/>
          <w:color w:val="auto"/>
        </w:rPr>
      </w:pPr>
    </w:p>
    <w:p>
      <w:pPr>
        <w:ind w:left="60" w:right="1019" w:firstLine="257"/>
        <w:spacing w:after="0" w:line="290" w:lineRule="auto"/>
        <w:rPr>
          <w:sz w:val="20"/>
          <w:szCs w:val="20"/>
          <w:color w:val="auto"/>
        </w:rPr>
      </w:pPr>
      <w:r>
        <w:rPr>
          <w:rFonts w:ascii="Arial" w:cs="Arial" w:eastAsia="Arial" w:hAnsi="Arial"/>
          <w:sz w:val="15"/>
          <w:szCs w:val="15"/>
          <w:color w:val="auto"/>
        </w:rPr>
        <w:t>In January 2011, Royalty Pharma acquired Cypress Bioscience. After the acquisition, we had a number of discussions with Cypress Bioscience and Royalty Pharma and they indicated to us that as a result of a change in their strategy, they believed it was in the best interest of BL-1020’s future commercial potential to consolidate the worldwide rights with our company. Cypress Bioscience expressed its desire that development of BL-1020 continue in a manner that both optimized Cypress Bioscience’s investment in BL-1020 and provided the best long-term commercialization potential. We believe that reacquiring BL-1020 was the best alternative at that time to ensure the timely development of BL-1020 and represents a significant opportunity for our company. Accordingly, on May 10, 2011, we entered into a rights reacquisition agreement with Cypress Bioscience. Under the terms and conditions of the rights reacquisition agreement, the out-license agreement terminated effective as of May 31, 2011, and we reacquired all of the rights to develop and commercialize BL-1020. In consideration for the reacquisition of the rights, we agreed to pay Cypress Bioscience a royalty equal to 1% of the future net sales of BL-1020, if any, by us, our affiliates or our sublicensees. Notwithstanding the foregoing, the aggregate royalty payment shall not exceed $80.0 million. In addition, we agreed to pay Cypress Bioscience $10.0 million payable solely from amounts we receive, if any, pursuant to future agreements relating to the further development or commercialization of a product containing BL-1020, either alone or with other therapeutically active ingredients. In connection with the payment, we are required to pay Cypress Bioscience 10% of all payments under any such agreement but in any event, not more than $10.0 million. If any such agreement requires that we incur the costs of certain proposed clinical trials of BL-1020, the payment schedule will be subject to certain deferrals. We have no other outstanding material obligations to Cypress Bioscience under the original out-license agreement, other than standard indemnification obligations.</w:t>
      </w:r>
    </w:p>
    <w:p>
      <w:pPr>
        <w:spacing w:after="0" w:line="58" w:lineRule="exact"/>
        <w:rPr>
          <w:sz w:val="20"/>
          <w:szCs w:val="20"/>
          <w:color w:val="auto"/>
        </w:rPr>
      </w:pPr>
    </w:p>
    <w:p>
      <w:pPr>
        <w:ind w:left="60" w:right="1059" w:firstLine="257"/>
        <w:spacing w:after="0" w:line="274" w:lineRule="auto"/>
        <w:rPr>
          <w:sz w:val="20"/>
          <w:szCs w:val="20"/>
          <w:color w:val="auto"/>
        </w:rPr>
      </w:pPr>
      <w:r>
        <w:rPr>
          <w:rFonts w:ascii="Arial" w:cs="Arial" w:eastAsia="Arial" w:hAnsi="Arial"/>
          <w:sz w:val="16"/>
          <w:szCs w:val="16"/>
          <w:color w:val="auto"/>
        </w:rPr>
        <w:t>Since inception in 2003, we have generated significant losses in connection with our research and development, including the clinical development and phase 2b clinical trial of BL-1020. At December 31, 2010, we had an accumulated deficit of NIS 325.3 million. Although we have begun to recognize revenues in connection with our out-licensing arrangement with Ikaria for BL-1040 and our former out-licensing arrangement with Cypress Bioscience for BL-1020, we may continue to generate losses in connection with the research and development activities relating to our pipeline of therapeutic candidates. Such research and development activities are budgeted to expand over time and will require further resources if we are to be successful. As a result, we may continue to incur operating losses, which may be substantial over the next several years, and we may need to obtain additional funds to further develop our research and development programs.</w:t>
      </w:r>
    </w:p>
    <w:p>
      <w:pPr>
        <w:spacing w:after="0" w:line="69" w:lineRule="exact"/>
        <w:rPr>
          <w:sz w:val="20"/>
          <w:szCs w:val="20"/>
          <w:color w:val="auto"/>
        </w:rPr>
      </w:pPr>
    </w:p>
    <w:p>
      <w:pPr>
        <w:ind w:left="60" w:right="1059" w:firstLine="257"/>
        <w:spacing w:after="0" w:line="301" w:lineRule="auto"/>
        <w:rPr>
          <w:sz w:val="20"/>
          <w:szCs w:val="20"/>
          <w:color w:val="auto"/>
        </w:rPr>
      </w:pPr>
      <w:r>
        <w:rPr>
          <w:rFonts w:ascii="Arial" w:cs="Arial" w:eastAsia="Arial" w:hAnsi="Arial"/>
          <w:sz w:val="15"/>
          <w:szCs w:val="15"/>
          <w:color w:val="auto"/>
        </w:rPr>
        <w:t>We have funded our operations primarily through the sale of equity securities (both in private placements and in three public offerings on the TASE), funding received from the OCS, payments received under the licensing arrangements with Ikaria and Cypress Bioscience, and interest earned on investments. We expect to continue to fund our operations over the next several years through our existing cash resources, the net proceeds of this offering, potential future milestone payments that we expect to receive from Ikaria, interest earned on our investments and additional capital to be raised through public or private equity offerings or debt</w:t>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19"/>
        <w:spacing w:after="0" w:line="278" w:lineRule="auto"/>
        <w:rPr>
          <w:sz w:val="20"/>
          <w:szCs w:val="20"/>
          <w:color w:val="auto"/>
        </w:rPr>
      </w:pPr>
      <w:r>
        <w:rPr>
          <w:rFonts w:ascii="Arial" w:cs="Arial" w:eastAsia="Arial" w:hAnsi="Arial"/>
          <w:sz w:val="17"/>
          <w:szCs w:val="17"/>
          <w:color w:val="auto"/>
        </w:rPr>
        <w:t>financings. As of December 31, 2010, we had approximately $40.2 million of cash and cash equivalents based on the exchange rate reported by the Bank of Israel as of March 31, 2011.</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Revenues</w:t>
      </w:r>
    </w:p>
    <w:p>
      <w:pPr>
        <w:spacing w:after="0" w:line="119" w:lineRule="exact"/>
        <w:rPr>
          <w:sz w:val="20"/>
          <w:szCs w:val="20"/>
          <w:color w:val="auto"/>
        </w:rPr>
      </w:pPr>
    </w:p>
    <w:p>
      <w:pPr>
        <w:ind w:left="60" w:right="1039" w:firstLine="257"/>
        <w:spacing w:after="0" w:line="274" w:lineRule="auto"/>
        <w:rPr>
          <w:sz w:val="20"/>
          <w:szCs w:val="20"/>
          <w:color w:val="auto"/>
        </w:rPr>
      </w:pPr>
      <w:r>
        <w:rPr>
          <w:rFonts w:ascii="Arial" w:cs="Arial" w:eastAsia="Arial" w:hAnsi="Arial"/>
          <w:sz w:val="16"/>
          <w:szCs w:val="16"/>
          <w:color w:val="auto"/>
        </w:rPr>
        <w:t>Our revenues to date have been generated primarily from milestone payments under our licensing arrangements with Ikaria and the amounts we have received to date from Cypress Bioscience. We entered into a license and collaboration agreement with Ikaria in July 2009, which was amended and restated in August 2009. Ikaria subsequently paid us an up-front payment of $7.0 million. In addition, upon successful completion of the phase 1/2 clinical trial, Ikaria paid us a milestone payment of $10.0 million, which was subject to a 15% withholding tax in the United States. We have filed a tax return with the U.S. Internal Revenue Service requesting a refund of $1.5 million representing the withholding taxes paid. In June 2010, we entered into a license agreement with Cypress Bioscience. Under the terms of the license agreement, we received an upfront fee of $30.0 million. The license agreement with Cypress Bioscience was terminated, effective as of May 31, 2011.</w:t>
      </w:r>
    </w:p>
    <w:p>
      <w:pPr>
        <w:spacing w:after="0" w:line="69"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color w:val="auto"/>
        </w:rPr>
        <w:t>Under the terms of our agreement with Ikaria, in addition to the payments mentioned above, the maximum future development-related payments to which we are entitled is $115.5 million. We are also entitled to maximum commercialization milestone payments of $150.0 million, subject to the terms and conditions of the license agreement. Certain payments we have received from Ikaria have been subject to a 15% withholding tax in the United States, and certain payments we may receive in the future, if at all, may also be subject to a 15% withholding tax in the United States. Receipt of any milestone payment under the Ikaria agreement depends on many factors, some of which are beyond our control. We cannot assure you that we will receive any of these future payments. We believe that we may be able to get a refund of withholding taxes paid in connection with future payments from the U.S. government but there can be no assurance that we will be able to get such a refund. In addition, we may be able to use U.S. taxes withheld from future payments to us as credits against Israeli corporate income tax when we have income, if at all, but there can be no assurance that we will be able to realize the credits. Our payments to our in-licensors are to be made from the net consideration received from our out-licensees.</w:t>
      </w:r>
    </w:p>
    <w:p>
      <w:pPr>
        <w:spacing w:after="0" w:line="73" w:lineRule="exact"/>
        <w:rPr>
          <w:sz w:val="20"/>
          <w:szCs w:val="20"/>
          <w:color w:val="auto"/>
        </w:rPr>
      </w:pPr>
    </w:p>
    <w:p>
      <w:pPr>
        <w:ind w:left="60" w:right="1219" w:firstLine="257"/>
        <w:spacing w:after="0" w:line="259" w:lineRule="auto"/>
        <w:rPr>
          <w:sz w:val="20"/>
          <w:szCs w:val="20"/>
          <w:color w:val="auto"/>
        </w:rPr>
      </w:pPr>
      <w:r>
        <w:rPr>
          <w:rFonts w:ascii="Arial" w:cs="Arial" w:eastAsia="Arial" w:hAnsi="Arial"/>
          <w:sz w:val="17"/>
          <w:szCs w:val="17"/>
          <w:color w:val="auto"/>
        </w:rPr>
        <w:t>We expect our revenues for the next several years to be derived primarily from payments under our current agreement with Ikaria, as well as additional collaborations that we may enter into in the future, including with regard to BL-1020, BL-1021, BL-5010, BL-7040 or other therapeutic candidates. Furthermore, we may receive future royalties on product sales, if any, under our agreement with Ikaria, as well as under any future agreement relating to BL-1020, BL-1021, BL-5010, BL-7040 or other compounds.</w:t>
      </w:r>
    </w:p>
    <w:p>
      <w:pPr>
        <w:spacing w:after="0" w:line="77" w:lineRule="exact"/>
        <w:rPr>
          <w:sz w:val="20"/>
          <w:szCs w:val="20"/>
          <w:color w:val="auto"/>
        </w:rPr>
      </w:pPr>
    </w:p>
    <w:p>
      <w:pPr>
        <w:ind w:left="60" w:right="1199" w:firstLine="257"/>
        <w:spacing w:after="0" w:line="278" w:lineRule="auto"/>
        <w:rPr>
          <w:sz w:val="20"/>
          <w:szCs w:val="20"/>
          <w:color w:val="auto"/>
        </w:rPr>
      </w:pPr>
      <w:r>
        <w:rPr>
          <w:rFonts w:ascii="Arial" w:cs="Arial" w:eastAsia="Arial" w:hAnsi="Arial"/>
          <w:sz w:val="17"/>
          <w:szCs w:val="17"/>
          <w:color w:val="auto"/>
        </w:rPr>
        <w:t>Our remaining therapeutic candidates are currently in development and, therefore, we do not expect to generate any revenues from these products for at least the next several years, if at all.</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Research and Development</w:t>
      </w:r>
    </w:p>
    <w:p>
      <w:pPr>
        <w:spacing w:after="0" w:line="119" w:lineRule="exact"/>
        <w:rPr>
          <w:sz w:val="20"/>
          <w:szCs w:val="20"/>
          <w:color w:val="auto"/>
        </w:rPr>
      </w:pPr>
    </w:p>
    <w:p>
      <w:pPr>
        <w:ind w:left="60" w:right="1139" w:firstLine="257"/>
        <w:spacing w:after="0" w:line="298" w:lineRule="auto"/>
        <w:rPr>
          <w:sz w:val="20"/>
          <w:szCs w:val="20"/>
          <w:color w:val="auto"/>
        </w:rPr>
      </w:pPr>
      <w:r>
        <w:rPr>
          <w:rFonts w:ascii="Arial" w:cs="Arial" w:eastAsia="Arial" w:hAnsi="Arial"/>
          <w:sz w:val="15"/>
          <w:szCs w:val="15"/>
          <w:color w:val="auto"/>
        </w:rPr>
        <w:t>Our research and development expenses consist primarily of salaries and related personnel expenses, fees paid to external service providers, up-front and milestone payments under our license agreements, patent-related legal fees, costs of preclinical studies and clinical trials, drug and laboratory supplies and costs for facilities and equipment. We primarily use external service providers to manufacture our product candidates for clinical trials and for the majority of our preclinical and clinical development work. We charge all research and development expenses to operations as they are incurred. We expect our research and development expense to remain our primary expense in the near future as we continue to develop our therapeutic candidates.</w:t>
      </w:r>
    </w:p>
    <w:p>
      <w:pPr>
        <w:spacing w:after="0" w:line="200" w:lineRule="exact"/>
        <w:rPr>
          <w:sz w:val="20"/>
          <w:szCs w:val="20"/>
          <w:color w:val="auto"/>
        </w:rPr>
      </w:pPr>
    </w:p>
    <w:p>
      <w:pPr>
        <w:spacing w:after="0" w:line="27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identifies our current major research and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4596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5960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Project</w:t>
            </w:r>
          </w:p>
        </w:tc>
        <w:tc>
          <w:tcPr>
            <w:tcW w:w="160" w:type="dxa"/>
            <w:vAlign w:val="bottom"/>
          </w:tcPr>
          <w:p>
            <w:pPr>
              <w:spacing w:after="0"/>
              <w:rPr>
                <w:sz w:val="15"/>
                <w:szCs w:val="15"/>
                <w:color w:val="auto"/>
              </w:rPr>
            </w:pPr>
          </w:p>
        </w:tc>
        <w:tc>
          <w:tcPr>
            <w:tcW w:w="1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Status</w:t>
            </w:r>
          </w:p>
        </w:tc>
        <w:tc>
          <w:tcPr>
            <w:tcW w:w="160" w:type="dxa"/>
            <w:vAlign w:val="bottom"/>
          </w:tcPr>
          <w:p>
            <w:pPr>
              <w:spacing w:after="0"/>
              <w:rPr>
                <w:sz w:val="15"/>
                <w:szCs w:val="15"/>
                <w:color w:val="auto"/>
              </w:rPr>
            </w:pPr>
          </w:p>
        </w:tc>
        <w:tc>
          <w:tcPr>
            <w:tcW w:w="42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Expected or Recent Near Term Milestone</w:t>
            </w:r>
          </w:p>
        </w:tc>
      </w:tr>
      <w:tr>
        <w:trPr>
          <w:trHeight w:val="186"/>
        </w:trPr>
        <w:tc>
          <w:tcPr>
            <w:tcW w:w="920" w:type="dxa"/>
            <w:vAlign w:val="bottom"/>
          </w:tcPr>
          <w:p>
            <w:pPr>
              <w:spacing w:after="0" w:line="186" w:lineRule="exact"/>
              <w:rPr>
                <w:sz w:val="20"/>
                <w:szCs w:val="20"/>
                <w:color w:val="auto"/>
              </w:rPr>
            </w:pPr>
            <w:r>
              <w:rPr>
                <w:rFonts w:ascii="Arial" w:cs="Arial" w:eastAsia="Arial" w:hAnsi="Arial"/>
                <w:sz w:val="17"/>
                <w:szCs w:val="17"/>
                <w:color w:val="auto"/>
              </w:rPr>
              <w:t>BL-1020</w:t>
            </w:r>
          </w:p>
        </w:tc>
        <w:tc>
          <w:tcPr>
            <w:tcW w:w="160" w:type="dxa"/>
            <w:vAlign w:val="bottom"/>
          </w:tcPr>
          <w:p>
            <w:pPr>
              <w:spacing w:after="0"/>
              <w:rPr>
                <w:sz w:val="16"/>
                <w:szCs w:val="16"/>
                <w:color w:val="auto"/>
              </w:rPr>
            </w:pPr>
          </w:p>
        </w:tc>
        <w:tc>
          <w:tcPr>
            <w:tcW w:w="1640" w:type="dxa"/>
            <w:vAlign w:val="bottom"/>
          </w:tcPr>
          <w:p>
            <w:pPr>
              <w:spacing w:after="0" w:line="186" w:lineRule="exact"/>
              <w:rPr>
                <w:sz w:val="20"/>
                <w:szCs w:val="20"/>
                <w:color w:val="auto"/>
              </w:rPr>
            </w:pPr>
            <w:r>
              <w:rPr>
                <w:rFonts w:ascii="Arial" w:cs="Arial" w:eastAsia="Arial" w:hAnsi="Arial"/>
                <w:sz w:val="17"/>
                <w:szCs w:val="17"/>
                <w:color w:val="auto"/>
              </w:rPr>
              <w:t>Completed phase 2b</w:t>
            </w:r>
          </w:p>
        </w:tc>
        <w:tc>
          <w:tcPr>
            <w:tcW w:w="160" w:type="dxa"/>
            <w:vAlign w:val="bottom"/>
          </w:tcPr>
          <w:p>
            <w:pPr>
              <w:spacing w:after="0"/>
              <w:rPr>
                <w:sz w:val="16"/>
                <w:szCs w:val="16"/>
                <w:color w:val="auto"/>
              </w:rPr>
            </w:pPr>
          </w:p>
        </w:tc>
        <w:tc>
          <w:tcPr>
            <w:tcW w:w="4240" w:type="dxa"/>
            <w:vAlign w:val="bottom"/>
          </w:tcPr>
          <w:p>
            <w:pPr>
              <w:spacing w:after="0" w:line="186" w:lineRule="exact"/>
              <w:rPr>
                <w:sz w:val="20"/>
                <w:szCs w:val="20"/>
                <w:color w:val="auto"/>
              </w:rPr>
            </w:pPr>
            <w:r>
              <w:rPr>
                <w:rFonts w:ascii="Arial" w:cs="Arial" w:eastAsia="Arial" w:hAnsi="Arial"/>
                <w:sz w:val="17"/>
                <w:szCs w:val="17"/>
                <w:color w:val="auto"/>
                <w:w w:val="99"/>
              </w:rPr>
              <w:t>CLARITY trial focusing on cognitive function expected to</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commenced in June 2011</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BL-1040</w:t>
            </w:r>
          </w:p>
        </w:tc>
        <w:tc>
          <w:tcPr>
            <w:tcW w:w="16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Completed phase 1/2</w:t>
            </w: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First pivotal clinical trial expected to commence in 2011</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followed by a second pivotal clinical trial</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BL-5010</w:t>
            </w:r>
          </w:p>
        </w:tc>
        <w:tc>
          <w:tcPr>
            <w:tcW w:w="16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Completed phase 1/2</w:t>
            </w: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w w:val="93"/>
              </w:rPr>
              <w:t>We are currently evaluating the most advantageous ways to</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w w:val="96"/>
              </w:rPr>
              <w:t>progress with this therapeutic candidate from a regulatory,</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clinical and business perspective.</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BL-1021</w:t>
            </w:r>
          </w:p>
        </w:tc>
        <w:tc>
          <w:tcPr>
            <w:tcW w:w="16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w w:val="97"/>
              </w:rPr>
              <w:t>Commencing phase 1</w:t>
            </w: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Phase 1 clinical trial commenced in June 2011</w:t>
            </w:r>
          </w:p>
        </w:tc>
      </w:tr>
      <w:tr>
        <w:trPr>
          <w:trHeight w:val="206"/>
        </w:trPr>
        <w:tc>
          <w:tcPr>
            <w:tcW w:w="920" w:type="dxa"/>
            <w:vAlign w:val="bottom"/>
          </w:tcPr>
          <w:p>
            <w:pPr>
              <w:spacing w:after="0"/>
              <w:rPr>
                <w:sz w:val="20"/>
                <w:szCs w:val="20"/>
                <w:color w:val="auto"/>
              </w:rPr>
            </w:pPr>
            <w:r>
              <w:rPr>
                <w:rFonts w:ascii="Arial" w:cs="Arial" w:eastAsia="Arial" w:hAnsi="Arial"/>
                <w:sz w:val="17"/>
                <w:szCs w:val="17"/>
                <w:color w:val="auto"/>
              </w:rPr>
              <w:t>BL-7040</w:t>
            </w:r>
          </w:p>
        </w:tc>
        <w:tc>
          <w:tcPr>
            <w:tcW w:w="16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w w:val="89"/>
              </w:rPr>
              <w:t>Completed phase 1 and</w:t>
            </w: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w w:val="95"/>
              </w:rPr>
              <w:t>Phase 2 study to evaluate the effectiveness of BL-7040 for</w:t>
            </w:r>
          </w:p>
        </w:tc>
      </w:tr>
      <w:tr>
        <w:trPr>
          <w:trHeight w:val="20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phase 2 for other</w:t>
            </w:r>
          </w:p>
        </w:tc>
        <w:tc>
          <w:tcPr>
            <w:tcW w:w="16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the treatment of IBD during 2012</w:t>
            </w:r>
          </w:p>
        </w:tc>
      </w:tr>
      <w:tr>
        <w:trPr>
          <w:trHeight w:val="217"/>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indication</w:t>
            </w:r>
          </w:p>
        </w:tc>
        <w:tc>
          <w:tcPr>
            <w:tcW w:w="160" w:type="dxa"/>
            <w:vAlign w:val="bottom"/>
          </w:tcPr>
          <w:p>
            <w:pPr>
              <w:spacing w:after="0"/>
              <w:rPr>
                <w:sz w:val="18"/>
                <w:szCs w:val="18"/>
                <w:color w:val="auto"/>
              </w:rPr>
            </w:pPr>
          </w:p>
        </w:tc>
        <w:tc>
          <w:tcPr>
            <w:tcW w:w="4240" w:type="dxa"/>
            <w:vAlign w:val="bottom"/>
          </w:tcPr>
          <w:p>
            <w:pPr>
              <w:spacing w:after="0"/>
              <w:rPr>
                <w:sz w:val="18"/>
                <w:szCs w:val="18"/>
                <w:color w:val="auto"/>
              </w:rPr>
            </w:pPr>
          </w:p>
        </w:tc>
      </w:tr>
    </w:tbl>
    <w:p>
      <w:pPr>
        <w:spacing w:after="0" w:line="92" w:lineRule="exact"/>
        <w:rPr>
          <w:sz w:val="20"/>
          <w:szCs w:val="20"/>
          <w:color w:val="auto"/>
        </w:rPr>
      </w:pPr>
    </w:p>
    <w:p>
      <w:pPr>
        <w:ind w:left="60" w:right="1479" w:firstLine="257"/>
        <w:spacing w:after="0" w:line="278" w:lineRule="auto"/>
        <w:rPr>
          <w:sz w:val="20"/>
          <w:szCs w:val="20"/>
          <w:color w:val="auto"/>
        </w:rPr>
      </w:pPr>
      <w:r>
        <w:rPr>
          <w:rFonts w:ascii="Arial" w:cs="Arial" w:eastAsia="Arial" w:hAnsi="Arial"/>
          <w:sz w:val="17"/>
          <w:szCs w:val="17"/>
          <w:color w:val="auto"/>
        </w:rPr>
        <w:t>In addition to the projects set forth above, we have a number of projects that are in the research and discovery phase with relatively immaterial costs.</w:t>
      </w:r>
    </w:p>
    <w:p>
      <w:pPr>
        <w:spacing w:after="0" w:line="62" w:lineRule="exact"/>
        <w:rPr>
          <w:sz w:val="20"/>
          <w:szCs w:val="20"/>
          <w:color w:val="auto"/>
        </w:rPr>
      </w:pPr>
    </w:p>
    <w:p>
      <w:pPr>
        <w:ind w:left="60" w:right="1099" w:firstLine="257"/>
        <w:spacing w:after="0" w:line="291" w:lineRule="auto"/>
        <w:rPr>
          <w:sz w:val="20"/>
          <w:szCs w:val="20"/>
          <w:color w:val="auto"/>
        </w:rPr>
      </w:pPr>
      <w:r>
        <w:rPr>
          <w:rFonts w:ascii="Arial" w:cs="Arial" w:eastAsia="Arial" w:hAnsi="Arial"/>
          <w:sz w:val="15"/>
          <w:szCs w:val="15"/>
          <w:color w:val="auto"/>
        </w:rPr>
        <w:t>We record costs for each development project on a “direct cost” basis only. Direct costs, which include contract research organization expenses, consulting expenses, patent expenses, materials, and other, similar expenses, are recorded to the project for which such expenses are incurred. However, salary and overhead costs, including, but not limited to salary expenses (including salaries for research and development personnel), facilities, depreciation, and stock-based compensation, are considered overhead, and are shared among all of our projects and are not recorded on a project-by-project basis. We do not allocate direct salaries to projects due to the fact that our project managers are generally involved in several projects at different stages of development, and the related salary expense is not significant to the overall cost of the applicable projects. In addition, indirect labor costs relating to our departments that support the research and development process, such as chemistry, manufacturing and controls (CMC), pre-clinical analysis, laboratory testing and initial drug sample production, as well as rent and other administrative overhead costs, are shared by many different projects and have never been considered by management to be of significance in its decision-making process with respect to any specific project. Accordingly, such costs have not been specifically allocated to individual projects. Certain of such costs are covered by OCS funding.</w:t>
      </w:r>
    </w:p>
    <w:p>
      <w:pPr>
        <w:spacing w:after="0" w:line="63" w:lineRule="exact"/>
        <w:rPr>
          <w:sz w:val="20"/>
          <w:szCs w:val="20"/>
          <w:color w:val="auto"/>
        </w:rPr>
      </w:pPr>
    </w:p>
    <w:p>
      <w:pPr>
        <w:jc w:val="both"/>
        <w:ind w:left="60" w:right="1059" w:firstLine="257"/>
        <w:spacing w:after="0" w:line="280" w:lineRule="auto"/>
        <w:rPr>
          <w:sz w:val="20"/>
          <w:szCs w:val="20"/>
          <w:color w:val="auto"/>
        </w:rPr>
      </w:pPr>
      <w:r>
        <w:rPr>
          <w:rFonts w:ascii="Arial" w:cs="Arial" w:eastAsia="Arial" w:hAnsi="Arial"/>
          <w:sz w:val="16"/>
          <w:szCs w:val="16"/>
          <w:color w:val="auto"/>
        </w:rPr>
        <w:t>Set forth below is a summary of the gross direct costs allocated to our main projects on an individual basis, as well as the gross direct costs allocated to our less significant projects on an aggregate basis, for the years ended December 31, 2008, 2009 and 2010; for the three months ended March 31, 2011; and on an aggregate basis since project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4958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8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238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2"/>
                <w:szCs w:val="12"/>
                <w:color w:val="auto"/>
              </w:rPr>
            </w:pPr>
          </w:p>
        </w:tc>
        <w:tc>
          <w:tcPr>
            <w:tcW w:w="9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8"/>
              </w:rPr>
              <w:t>Three months</w:t>
            </w:r>
          </w:p>
        </w:tc>
        <w:tc>
          <w:tcPr>
            <w:tcW w:w="160" w:type="dxa"/>
            <w:vAlign w:val="bottom"/>
          </w:tcPr>
          <w:p>
            <w:pPr>
              <w:spacing w:after="0"/>
              <w:rPr>
                <w:sz w:val="12"/>
                <w:szCs w:val="12"/>
                <w:color w:val="auto"/>
              </w:rPr>
            </w:pPr>
          </w:p>
        </w:tc>
        <w:tc>
          <w:tcPr>
            <w:tcW w:w="104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3"/>
              </w:rPr>
              <w:t>Total Costs</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5"/>
              </w:rPr>
              <w:t>Since Project</w:t>
            </w:r>
          </w:p>
        </w:tc>
        <w:tc>
          <w:tcPr>
            <w:tcW w:w="0" w:type="dxa"/>
            <w:vAlign w:val="bottom"/>
          </w:tcPr>
          <w:p>
            <w:pPr>
              <w:spacing w:after="0"/>
              <w:rPr>
                <w:sz w:val="1"/>
                <w:szCs w:val="1"/>
                <w:color w:val="auto"/>
              </w:rPr>
            </w:pPr>
          </w:p>
        </w:tc>
      </w:tr>
      <w:tr>
        <w:trPr>
          <w:trHeight w:val="35"/>
        </w:trPr>
        <w:tc>
          <w:tcPr>
            <w:tcW w:w="31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2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vMerge w:val="restart"/>
          </w:tcPr>
          <w:p>
            <w:pPr>
              <w:spacing w:after="0"/>
              <w:rPr>
                <w:sz w:val="3"/>
                <w:szCs w:val="3"/>
                <w:color w:val="auto"/>
              </w:rPr>
            </w:pPr>
          </w:p>
        </w:tc>
        <w:tc>
          <w:tcPr>
            <w:tcW w:w="104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86"/>
        </w:trPr>
        <w:tc>
          <w:tcPr>
            <w:tcW w:w="3160" w:type="dxa"/>
            <w:vAlign w:val="bottom"/>
          </w:tcPr>
          <w:p>
            <w:pPr>
              <w:spacing w:after="0"/>
              <w:rPr>
                <w:sz w:val="7"/>
                <w:szCs w:val="7"/>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840" w:type="dxa"/>
            <w:vAlign w:val="bottom"/>
            <w:gridSpan w:val="2"/>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76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center"/>
              <w:ind w:left="114"/>
              <w:spacing w:after="0" w:line="105" w:lineRule="exact"/>
              <w:rPr>
                <w:sz w:val="20"/>
                <w:szCs w:val="20"/>
                <w:color w:val="auto"/>
              </w:rPr>
            </w:pPr>
            <w:r>
              <w:rPr>
                <w:rFonts w:ascii="Arial" w:cs="Arial" w:eastAsia="Arial" w:hAnsi="Arial"/>
                <w:sz w:val="11"/>
                <w:szCs w:val="11"/>
                <w:b w:val="1"/>
                <w:bCs w:val="1"/>
                <w:color w:val="auto"/>
              </w:rPr>
              <w:t>2011</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color w:val="auto"/>
                <w:w w:val="91"/>
              </w:rPr>
              <w:t>(U.S. $ in thousands)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CFFCC"/>
          </w:tcPr>
          <w:p>
            <w:pPr>
              <w:spacing w:after="0"/>
              <w:rPr>
                <w:sz w:val="20"/>
                <w:szCs w:val="20"/>
                <w:color w:val="auto"/>
              </w:rPr>
            </w:pPr>
            <w:r>
              <w:rPr>
                <w:rFonts w:ascii="Arial" w:cs="Arial" w:eastAsia="Arial" w:hAnsi="Arial"/>
                <w:sz w:val="17"/>
                <w:szCs w:val="17"/>
                <w:color w:val="auto"/>
              </w:rPr>
              <w:t>BL-1020</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14,090</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11,820</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450</w:t>
            </w:r>
          </w:p>
        </w:tc>
        <w:tc>
          <w:tcPr>
            <w:tcW w:w="108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44</w:t>
            </w:r>
          </w:p>
        </w:tc>
        <w:tc>
          <w:tcPr>
            <w:tcW w:w="12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41,389</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7"/>
                <w:szCs w:val="17"/>
                <w:color w:val="auto"/>
              </w:rPr>
              <w:t>BL-1040</w:t>
            </w:r>
          </w:p>
        </w:tc>
        <w:tc>
          <w:tcPr>
            <w:tcW w:w="700" w:type="dxa"/>
            <w:vAlign w:val="bottom"/>
          </w:tcPr>
          <w:p>
            <w:pPr>
              <w:jc w:val="right"/>
              <w:spacing w:after="0"/>
              <w:rPr>
                <w:sz w:val="20"/>
                <w:szCs w:val="20"/>
                <w:color w:val="auto"/>
              </w:rPr>
            </w:pPr>
            <w:r>
              <w:rPr>
                <w:rFonts w:ascii="Arial" w:cs="Arial" w:eastAsia="Arial" w:hAnsi="Arial"/>
                <w:sz w:val="17"/>
                <w:szCs w:val="17"/>
                <w:color w:val="auto"/>
              </w:rPr>
              <w:t>3,340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2,050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167</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18</w:t>
            </w:r>
          </w:p>
        </w:tc>
        <w:tc>
          <w:tcPr>
            <w:tcW w:w="1200" w:type="dxa"/>
            <w:vAlign w:val="bottom"/>
            <w:gridSpan w:val="3"/>
          </w:tcPr>
          <w:p>
            <w:pPr>
              <w:jc w:val="right"/>
              <w:ind w:right="120"/>
              <w:spacing w:after="0"/>
              <w:rPr>
                <w:sz w:val="20"/>
                <w:szCs w:val="20"/>
                <w:color w:val="auto"/>
              </w:rPr>
            </w:pPr>
            <w:r>
              <w:rPr>
                <w:rFonts w:ascii="Arial" w:cs="Arial" w:eastAsia="Arial" w:hAnsi="Arial"/>
                <w:sz w:val="17"/>
                <w:szCs w:val="17"/>
                <w:color w:val="auto"/>
              </w:rPr>
              <w:t>10,242</w:t>
            </w:r>
          </w:p>
        </w:tc>
        <w:tc>
          <w:tcPr>
            <w:tcW w:w="0" w:type="dxa"/>
            <w:vAlign w:val="bottom"/>
          </w:tcPr>
          <w:p>
            <w:pPr>
              <w:spacing w:after="0"/>
              <w:rPr>
                <w:sz w:val="1"/>
                <w:szCs w:val="1"/>
                <w:color w:val="auto"/>
              </w:rPr>
            </w:pPr>
          </w:p>
        </w:tc>
      </w:tr>
      <w:tr>
        <w:trPr>
          <w:trHeight w:val="206"/>
        </w:trPr>
        <w:tc>
          <w:tcPr>
            <w:tcW w:w="3160" w:type="dxa"/>
            <w:vAlign w:val="bottom"/>
            <w:shd w:val="clear" w:color="auto" w:fill="CCFFCC"/>
          </w:tcPr>
          <w:p>
            <w:pPr>
              <w:spacing w:after="0"/>
              <w:rPr>
                <w:sz w:val="20"/>
                <w:szCs w:val="20"/>
                <w:color w:val="auto"/>
              </w:rPr>
            </w:pPr>
            <w:r>
              <w:rPr>
                <w:rFonts w:ascii="Arial" w:cs="Arial" w:eastAsia="Arial" w:hAnsi="Arial"/>
                <w:sz w:val="17"/>
                <w:szCs w:val="17"/>
                <w:color w:val="auto"/>
              </w:rPr>
              <w:t>BL-5010</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670</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860</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384</w:t>
            </w:r>
          </w:p>
        </w:tc>
        <w:tc>
          <w:tcPr>
            <w:tcW w:w="108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57</w:t>
            </w:r>
          </w:p>
        </w:tc>
        <w:tc>
          <w:tcPr>
            <w:tcW w:w="12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1,967</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7"/>
                <w:szCs w:val="17"/>
                <w:color w:val="auto"/>
              </w:rPr>
              <w:t>BL-1021</w:t>
            </w:r>
          </w:p>
        </w:tc>
        <w:tc>
          <w:tcPr>
            <w:tcW w:w="700" w:type="dxa"/>
            <w:vAlign w:val="bottom"/>
          </w:tcPr>
          <w:p>
            <w:pPr>
              <w:jc w:val="right"/>
              <w:spacing w:after="0"/>
              <w:rPr>
                <w:sz w:val="20"/>
                <w:szCs w:val="20"/>
                <w:color w:val="auto"/>
              </w:rPr>
            </w:pPr>
            <w:r>
              <w:rPr>
                <w:rFonts w:ascii="Arial" w:cs="Arial" w:eastAsia="Arial" w:hAnsi="Arial"/>
                <w:sz w:val="17"/>
                <w:szCs w:val="17"/>
                <w:color w:val="auto"/>
              </w:rPr>
              <w:t>3,580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1,010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924</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1200" w:type="dxa"/>
            <w:vAlign w:val="bottom"/>
            <w:gridSpan w:val="3"/>
          </w:tcPr>
          <w:p>
            <w:pPr>
              <w:jc w:val="right"/>
              <w:ind w:right="120"/>
              <w:spacing w:after="0"/>
              <w:rPr>
                <w:sz w:val="20"/>
                <w:szCs w:val="20"/>
                <w:color w:val="auto"/>
              </w:rPr>
            </w:pPr>
            <w:r>
              <w:rPr>
                <w:rFonts w:ascii="Arial" w:cs="Arial" w:eastAsia="Arial" w:hAnsi="Arial"/>
                <w:sz w:val="17"/>
                <w:szCs w:val="17"/>
                <w:color w:val="auto"/>
              </w:rPr>
              <w:t>6,597</w:t>
            </w:r>
          </w:p>
        </w:tc>
        <w:tc>
          <w:tcPr>
            <w:tcW w:w="0" w:type="dxa"/>
            <w:vAlign w:val="bottom"/>
          </w:tcPr>
          <w:p>
            <w:pPr>
              <w:spacing w:after="0"/>
              <w:rPr>
                <w:sz w:val="1"/>
                <w:szCs w:val="1"/>
                <w:color w:val="auto"/>
              </w:rPr>
            </w:pPr>
          </w:p>
        </w:tc>
      </w:tr>
      <w:tr>
        <w:trPr>
          <w:trHeight w:val="206"/>
        </w:trPr>
        <w:tc>
          <w:tcPr>
            <w:tcW w:w="3160" w:type="dxa"/>
            <w:vAlign w:val="bottom"/>
            <w:shd w:val="clear" w:color="auto" w:fill="CCFFCC"/>
          </w:tcPr>
          <w:p>
            <w:pPr>
              <w:spacing w:after="0"/>
              <w:rPr>
                <w:sz w:val="20"/>
                <w:szCs w:val="20"/>
                <w:color w:val="auto"/>
              </w:rPr>
            </w:pPr>
            <w:r>
              <w:rPr>
                <w:rFonts w:ascii="Arial" w:cs="Arial" w:eastAsia="Arial" w:hAnsi="Arial"/>
                <w:sz w:val="17"/>
                <w:szCs w:val="17"/>
                <w:color w:val="auto"/>
              </w:rPr>
              <w:t>Other projects</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7,220</w:t>
            </w:r>
          </w:p>
        </w:tc>
        <w:tc>
          <w:tcPr>
            <w:tcW w:w="160" w:type="dxa"/>
            <w:vAlign w:val="bottom"/>
            <w:shd w:val="clear" w:color="auto" w:fill="CCFFCC"/>
          </w:tcPr>
          <w:p>
            <w:pPr>
              <w:spacing w:after="0"/>
              <w:rPr>
                <w:sz w:val="17"/>
                <w:szCs w:val="17"/>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1,240</w:t>
            </w:r>
          </w:p>
        </w:tc>
        <w:tc>
          <w:tcPr>
            <w:tcW w:w="8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1,704</w:t>
            </w:r>
          </w:p>
        </w:tc>
        <w:tc>
          <w:tcPr>
            <w:tcW w:w="108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613</w:t>
            </w:r>
          </w:p>
        </w:tc>
        <w:tc>
          <w:tcPr>
            <w:tcW w:w="12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19,235</w:t>
            </w:r>
          </w:p>
        </w:tc>
        <w:tc>
          <w:tcPr>
            <w:tcW w:w="0" w:type="dxa"/>
            <w:vAlign w:val="bottom"/>
          </w:tcPr>
          <w:p>
            <w:pPr>
              <w:spacing w:after="0"/>
              <w:rPr>
                <w:sz w:val="1"/>
                <w:szCs w:val="1"/>
                <w:color w:val="auto"/>
              </w:rPr>
            </w:pPr>
          </w:p>
        </w:tc>
      </w:tr>
      <w:tr>
        <w:trPr>
          <w:trHeight w:val="20"/>
        </w:trPr>
        <w:tc>
          <w:tcPr>
            <w:tcW w:w="3160" w:type="dxa"/>
            <w:vAlign w:val="bottom"/>
            <w:shd w:val="clear" w:color="auto" w:fill="CCFFCC"/>
          </w:tcPr>
          <w:p>
            <w:pPr>
              <w:spacing w:after="0" w:line="20" w:lineRule="exact"/>
              <w:rPr>
                <w:sz w:val="1"/>
                <w:szCs w:val="1"/>
                <w:color w:val="auto"/>
              </w:rPr>
            </w:pPr>
          </w:p>
        </w:tc>
        <w:tc>
          <w:tcPr>
            <w:tcW w:w="7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60" w:type="dxa"/>
            <w:vAlign w:val="bottom"/>
          </w:tcPr>
          <w:p>
            <w:pPr>
              <w:spacing w:after="0"/>
              <w:rPr>
                <w:sz w:val="20"/>
                <w:szCs w:val="20"/>
                <w:color w:val="auto"/>
              </w:rPr>
            </w:pPr>
            <w:r>
              <w:rPr>
                <w:rFonts w:ascii="Arial" w:cs="Arial" w:eastAsia="Arial" w:hAnsi="Arial"/>
                <w:sz w:val="17"/>
                <w:szCs w:val="17"/>
                <w:color w:val="auto"/>
              </w:rPr>
              <w:t>Total gross direct project costs</w:t>
            </w:r>
            <w:r>
              <w:rPr>
                <w:rFonts w:ascii="Arial" w:cs="Arial" w:eastAsia="Arial" w:hAnsi="Arial"/>
                <w:sz w:val="28"/>
                <w:szCs w:val="28"/>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7"/>
                <w:szCs w:val="17"/>
                <w:color w:val="auto"/>
              </w:rPr>
              <w:t>28,900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16,980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3,629</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736</w:t>
            </w:r>
          </w:p>
        </w:tc>
        <w:tc>
          <w:tcPr>
            <w:tcW w:w="1200" w:type="dxa"/>
            <w:vAlign w:val="bottom"/>
            <w:gridSpan w:val="3"/>
          </w:tcPr>
          <w:p>
            <w:pPr>
              <w:jc w:val="right"/>
              <w:ind w:right="120"/>
              <w:spacing w:after="0"/>
              <w:rPr>
                <w:sz w:val="20"/>
                <w:szCs w:val="20"/>
                <w:color w:val="auto"/>
              </w:rPr>
            </w:pPr>
            <w:r>
              <w:rPr>
                <w:rFonts w:ascii="Arial" w:cs="Arial" w:eastAsia="Arial" w:hAnsi="Arial"/>
                <w:sz w:val="17"/>
                <w:szCs w:val="17"/>
                <w:color w:val="auto"/>
              </w:rPr>
              <w:t>79,430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4966335"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66335" cy="1631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81915</wp:posOffset>
            </wp:positionV>
            <wp:extent cx="5880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367" w:lineRule="exact"/>
        <w:rPr>
          <w:sz w:val="20"/>
          <w:szCs w:val="20"/>
          <w:color w:val="auto"/>
        </w:rPr>
      </w:pPr>
    </w:p>
    <w:p>
      <w:pPr>
        <w:ind w:left="280" w:right="1099" w:hanging="264"/>
        <w:spacing w:after="0" w:line="265" w:lineRule="auto"/>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indicated above, does not include indirect project costs and overhead, including payroll and related expenses (including stock-based compensation), facilities, depreciation and impairment of intellectual property, which are included in total research and development expenses in our financial statements.</w:t>
      </w:r>
    </w:p>
    <w:p>
      <w:pPr>
        <w:spacing w:after="0" w:line="200" w:lineRule="exact"/>
        <w:rPr>
          <w:sz w:val="20"/>
          <w:szCs w:val="20"/>
          <w:color w:val="auto"/>
        </w:rPr>
      </w:pPr>
    </w:p>
    <w:p>
      <w:pPr>
        <w:spacing w:after="0" w:line="29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firstLine="257"/>
        <w:spacing w:after="0" w:line="278" w:lineRule="auto"/>
        <w:rPr>
          <w:sz w:val="20"/>
          <w:szCs w:val="20"/>
          <w:color w:val="auto"/>
        </w:rPr>
      </w:pPr>
      <w:r>
        <w:rPr>
          <w:rFonts w:ascii="Arial" w:cs="Arial" w:eastAsia="Arial" w:hAnsi="Arial"/>
          <w:sz w:val="17"/>
          <w:szCs w:val="17"/>
          <w:color w:val="auto"/>
        </w:rPr>
        <w:t>A significant portion of our research and development costs have been incurred in connection with our phase 2b clinical trial of BL-1020.</w:t>
      </w:r>
    </w:p>
    <w:p>
      <w:pPr>
        <w:spacing w:after="0" w:line="62" w:lineRule="exact"/>
        <w:rPr>
          <w:sz w:val="20"/>
          <w:szCs w:val="20"/>
          <w:color w:val="auto"/>
        </w:rPr>
      </w:pPr>
    </w:p>
    <w:p>
      <w:pPr>
        <w:ind w:left="60" w:right="1139" w:firstLine="257"/>
        <w:spacing w:after="0" w:line="256" w:lineRule="auto"/>
        <w:rPr>
          <w:sz w:val="20"/>
          <w:szCs w:val="20"/>
          <w:color w:val="auto"/>
        </w:rPr>
      </w:pPr>
      <w:r>
        <w:rPr>
          <w:rFonts w:ascii="Arial" w:cs="Arial" w:eastAsia="Arial" w:hAnsi="Arial"/>
          <w:sz w:val="17"/>
          <w:szCs w:val="17"/>
          <w:color w:val="auto"/>
        </w:rPr>
        <w:t>The costs and expenses of our projects are partially funded by grants we have received from the OCS. Each grant is deducted from the related research and development expenses as the costs are incurred. For additional information regarding the grant process, see “Government Regulation and Funding — Israeli Government Programs.” There can be no assurance that we will continue to receive grants from the OCS in amounts sufficient to fund our operations, if at all. In addition, under our licensing agreement with Ikaria, Ikaria is responsible for the costs associated with conducting all development activities for BL-1040, other than the costs associated with the phase 1/2 study. See “Item 4. Information on the Company — Business Overview — Out-Licensing Agreement with Ikaria Holdings” and “Item 4. Information on the Company — Business Overview — Out-Licensing Agreement with Cypress Bioscience.”</w:t>
      </w:r>
    </w:p>
    <w:p>
      <w:pPr>
        <w:spacing w:after="0" w:line="81"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From our inception through December 31, 2010, we have incurred research and development expense of approximately $95.2 million. We expect that a large percentage of our research and development expense in the future will be incurred in support of our current and future preclinical and clinical development projects. Due to the inherently unpredictable nature of preclinical and clinical development processes and given the early stage of our preclinical product development projects, we are unable to estimate with any certainty the costs we will incur in the continued development of the therapeutic candidates in our pipeline for potential commercialization. Clinical development timelines, the probability of success and development costs can differ materially from expectations. We expect to continue to test our product candidates in preclinical studies for toxicology, safety and efficacy, and to conduct additional clinical trials for each product candidate. If we are not able to enter into an out-licensing arrangement with respect to any therapeutic candidate prior to the commencement of later stage clinical trials, we may fund the trials for the therapeutic candidate ourselves.</w:t>
      </w:r>
    </w:p>
    <w:p>
      <w:pPr>
        <w:spacing w:after="0" w:line="68" w:lineRule="exact"/>
        <w:rPr>
          <w:sz w:val="20"/>
          <w:szCs w:val="20"/>
          <w:color w:val="auto"/>
        </w:rPr>
      </w:pPr>
    </w:p>
    <w:p>
      <w:pPr>
        <w:ind w:left="60" w:right="1039" w:firstLine="257"/>
        <w:spacing w:after="0" w:line="289" w:lineRule="auto"/>
        <w:rPr>
          <w:sz w:val="20"/>
          <w:szCs w:val="20"/>
          <w:color w:val="auto"/>
        </w:rPr>
      </w:pPr>
      <w:r>
        <w:rPr>
          <w:rFonts w:ascii="Arial" w:cs="Arial" w:eastAsia="Arial" w:hAnsi="Arial"/>
          <w:sz w:val="15"/>
          <w:szCs w:val="15"/>
          <w:color w:val="auto"/>
        </w:rPr>
        <w:t>While we are currently focused on advancing each of our product development projects, our future research and development expenses will depend on the clinical success of each therapeutic candidate, as well as ongoing assessments of each therapeutic candidate’s commercial potential. In addition, we cannot forecast with any degree of certainty which therapeutic candidates may be subject to future out-licensing arrangements, when such out-licensing arrangements will be secured, if at all, and to what degree such arrangements would affect our development plans and capital requirements. See “Item 3. Key Information — Risk</w:t>
      </w:r>
    </w:p>
    <w:p>
      <w:pPr>
        <w:spacing w:after="0" w:line="1" w:lineRule="exact"/>
        <w:rPr>
          <w:sz w:val="20"/>
          <w:szCs w:val="20"/>
          <w:color w:val="auto"/>
        </w:rPr>
      </w:pPr>
    </w:p>
    <w:p>
      <w:pPr>
        <w:ind w:left="60" w:right="1279"/>
        <w:spacing w:after="0" w:line="265" w:lineRule="auto"/>
        <w:rPr>
          <w:sz w:val="20"/>
          <w:szCs w:val="20"/>
          <w:color w:val="auto"/>
        </w:rPr>
      </w:pPr>
      <w:r>
        <w:rPr>
          <w:rFonts w:ascii="Arial" w:cs="Arial" w:eastAsia="Arial" w:hAnsi="Arial"/>
          <w:sz w:val="17"/>
          <w:szCs w:val="17"/>
          <w:color w:val="auto"/>
        </w:rPr>
        <w:t>Factors — If we or our licensees are unable to obtain U.S. and/or foreign regulatory approval for our therapeutic candidates, we will be unable to commercialize our therapeutic candidates.”</w:t>
      </w:r>
    </w:p>
    <w:p>
      <w:pPr>
        <w:spacing w:after="0" w:line="72" w:lineRule="exact"/>
        <w:rPr>
          <w:sz w:val="20"/>
          <w:szCs w:val="20"/>
          <w:color w:val="auto"/>
        </w:rPr>
      </w:pPr>
    </w:p>
    <w:p>
      <w:pPr>
        <w:jc w:val="both"/>
        <w:ind w:left="60" w:right="1039" w:firstLine="257"/>
        <w:spacing w:after="0" w:line="261" w:lineRule="auto"/>
        <w:rPr>
          <w:sz w:val="20"/>
          <w:szCs w:val="20"/>
          <w:color w:val="auto"/>
        </w:rPr>
      </w:pPr>
      <w:r>
        <w:rPr>
          <w:rFonts w:ascii="Arial" w:cs="Arial" w:eastAsia="Arial" w:hAnsi="Arial"/>
          <w:sz w:val="17"/>
          <w:szCs w:val="17"/>
          <w:color w:val="auto"/>
        </w:rPr>
        <w:t>As we obtain results from clinical trials, we may elect to discontinue or delay clinical trials for certain therapeutic candidates or projects in order to focus our resources on more promising therapeutic candidates or projects. Completion of clinical trials by us or our licensees may take several years or more, but the length of time generally varies according to the type, complexity, novelty and intended use of a therapeutic candidate.</w:t>
      </w:r>
    </w:p>
    <w:p>
      <w:pPr>
        <w:spacing w:after="0" w:line="76" w:lineRule="exact"/>
        <w:rPr>
          <w:sz w:val="20"/>
          <w:szCs w:val="20"/>
          <w:color w:val="auto"/>
        </w:rPr>
      </w:pPr>
    </w:p>
    <w:p>
      <w:pPr>
        <w:ind w:left="60" w:right="1539" w:firstLine="257"/>
        <w:spacing w:after="0" w:line="278" w:lineRule="auto"/>
        <w:rPr>
          <w:sz w:val="20"/>
          <w:szCs w:val="20"/>
          <w:color w:val="auto"/>
        </w:rPr>
      </w:pPr>
      <w:r>
        <w:rPr>
          <w:rFonts w:ascii="Arial" w:cs="Arial" w:eastAsia="Arial" w:hAnsi="Arial"/>
          <w:sz w:val="17"/>
          <w:szCs w:val="17"/>
          <w:color w:val="auto"/>
        </w:rPr>
        <w:t>The cost of clinical trials may vary significantly over the life of a project as a result of differences arising during clinical development, including, among others:</w:t>
      </w:r>
    </w:p>
    <w:p>
      <w:pPr>
        <w:spacing w:after="0" w:line="62" w:lineRule="exact"/>
        <w:rPr>
          <w:sz w:val="20"/>
          <w:szCs w:val="20"/>
          <w:color w:val="auto"/>
        </w:rPr>
      </w:pPr>
    </w:p>
    <w:p>
      <w:pPr>
        <w:ind w:left="580" w:hanging="307"/>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of sites included in the clinical trials;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length of time required to enroll suitable patients;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of patients that participate in the clinical trials;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duration of patient follow-up;</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development stage of the therapeutic candidate;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profile of the therapeutic candidate.</w:t>
      </w:r>
    </w:p>
    <w:p>
      <w:pPr>
        <w:spacing w:after="0" w:line="113" w:lineRule="exact"/>
        <w:rPr>
          <w:sz w:val="20"/>
          <w:szCs w:val="20"/>
          <w:color w:val="auto"/>
        </w:rPr>
      </w:pPr>
    </w:p>
    <w:p>
      <w:pPr>
        <w:ind w:left="60" w:right="1039" w:firstLine="257"/>
        <w:spacing w:after="0" w:line="301" w:lineRule="auto"/>
        <w:rPr>
          <w:sz w:val="20"/>
          <w:szCs w:val="20"/>
          <w:color w:val="auto"/>
        </w:rPr>
      </w:pPr>
      <w:r>
        <w:rPr>
          <w:rFonts w:ascii="Arial" w:cs="Arial" w:eastAsia="Arial" w:hAnsi="Arial"/>
          <w:sz w:val="15"/>
          <w:szCs w:val="15"/>
          <w:color w:val="auto"/>
        </w:rPr>
        <w:t>We expect our research and development expenses to increase in the future from current levels as we continue the advancement of our clinical trials and preclinical product development projects and place significant emphasis on in-licensing new product candidates. The lengthy process of completing clinical trials and seeking regulatory approval for our product candidates requires expenditure of substantial resources. Any failure or delay in completing clinical trials, or in obtaining regulatory approvals, could cause a delay in generating product revenue and cause our research and development expenses to increase and, in turn, have a</w:t>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379"/>
        <w:spacing w:after="0" w:line="278" w:lineRule="auto"/>
        <w:rPr>
          <w:sz w:val="20"/>
          <w:szCs w:val="20"/>
          <w:color w:val="auto"/>
        </w:rPr>
      </w:pPr>
      <w:r>
        <w:rPr>
          <w:rFonts w:ascii="Arial" w:cs="Arial" w:eastAsia="Arial" w:hAnsi="Arial"/>
          <w:sz w:val="17"/>
          <w:szCs w:val="17"/>
          <w:color w:val="auto"/>
        </w:rPr>
        <w:t>material adverse effect on our operations. Because of the factors set forth above, we are not able to estimate with any certainty when we would recognize any net cash inflows from our projects.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General and Administrative Expenses</w:t>
      </w:r>
    </w:p>
    <w:p>
      <w:pPr>
        <w:spacing w:after="0" w:line="119" w:lineRule="exact"/>
        <w:rPr>
          <w:sz w:val="20"/>
          <w:szCs w:val="20"/>
          <w:color w:val="auto"/>
        </w:rPr>
      </w:pPr>
    </w:p>
    <w:p>
      <w:pPr>
        <w:ind w:left="60" w:right="1059" w:firstLine="257"/>
        <w:spacing w:after="0" w:line="261" w:lineRule="auto"/>
        <w:rPr>
          <w:sz w:val="20"/>
          <w:szCs w:val="20"/>
          <w:color w:val="auto"/>
        </w:rPr>
      </w:pPr>
      <w:r>
        <w:rPr>
          <w:rFonts w:ascii="Arial" w:cs="Arial" w:eastAsia="Arial" w:hAnsi="Arial"/>
          <w:sz w:val="17"/>
          <w:szCs w:val="17"/>
          <w:color w:val="auto"/>
        </w:rPr>
        <w:t>General and administrative expenses consist primarily of compensation for employees in executive and operational functions, including accounting, finance, legal, business development, investor relations, information technology and human resources. Other significant general and administration costs include facilities costs, professional fees for outside accounting and legal services, travel costs, insurance premiums and depreciation.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Financial Expense and Income</w:t>
      </w:r>
    </w:p>
    <w:p>
      <w:pPr>
        <w:spacing w:after="0" w:line="119" w:lineRule="exact"/>
        <w:rPr>
          <w:sz w:val="20"/>
          <w:szCs w:val="20"/>
          <w:color w:val="auto"/>
        </w:rPr>
      </w:pPr>
    </w:p>
    <w:p>
      <w:pPr>
        <w:jc w:val="both"/>
        <w:ind w:left="60" w:right="1259" w:firstLine="257"/>
        <w:spacing w:after="0" w:line="265" w:lineRule="auto"/>
        <w:rPr>
          <w:sz w:val="20"/>
          <w:szCs w:val="20"/>
          <w:color w:val="auto"/>
        </w:rPr>
      </w:pPr>
      <w:r>
        <w:rPr>
          <w:rFonts w:ascii="Arial" w:cs="Arial" w:eastAsia="Arial" w:hAnsi="Arial"/>
          <w:sz w:val="17"/>
          <w:szCs w:val="17"/>
          <w:color w:val="auto"/>
        </w:rPr>
        <w:t>Financial expense and income consists of interest earned on our cash and cash equivalents; bank fees and other transactional costs; and expense or income resulting from fluctuations of the dollar and other currencies, in which a portion of our assets and liabilities are denominated, against the NIS (our functional currency).</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jc w:val="both"/>
        <w:ind w:left="60" w:right="999" w:firstLine="257"/>
        <w:spacing w:after="0" w:line="265" w:lineRule="auto"/>
        <w:rPr>
          <w:sz w:val="20"/>
          <w:szCs w:val="20"/>
          <w:color w:val="auto"/>
        </w:rPr>
      </w:pPr>
      <w:r>
        <w:rPr>
          <w:rFonts w:ascii="Arial" w:cs="Arial" w:eastAsia="Arial" w:hAnsi="Arial"/>
          <w:sz w:val="17"/>
          <w:szCs w:val="17"/>
          <w:color w:val="auto"/>
        </w:rPr>
        <w:t>We describe our significant accounting policies more fully in Note 2 to our consolidated financial statements for the year ended December 31, 2010. We believe that the accounting policies below are critical for one to fully understand and evaluate our financial condition and results of operations.</w:t>
      </w:r>
    </w:p>
    <w:p>
      <w:pPr>
        <w:spacing w:after="0" w:line="73" w:lineRule="exact"/>
        <w:rPr>
          <w:sz w:val="20"/>
          <w:szCs w:val="20"/>
          <w:color w:val="auto"/>
        </w:rPr>
      </w:pPr>
    </w:p>
    <w:p>
      <w:pPr>
        <w:ind w:left="60" w:right="1079" w:firstLine="257"/>
        <w:spacing w:after="0" w:line="274"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we prepare in accordance with IFRS.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Functional Currency</w:t>
      </w:r>
    </w:p>
    <w:p>
      <w:pPr>
        <w:spacing w:after="0" w:line="119" w:lineRule="exact"/>
        <w:rPr>
          <w:sz w:val="20"/>
          <w:szCs w:val="20"/>
          <w:color w:val="auto"/>
        </w:rPr>
      </w:pPr>
    </w:p>
    <w:p>
      <w:pPr>
        <w:ind w:left="60" w:right="1059" w:firstLine="257"/>
        <w:spacing w:after="0" w:line="261" w:lineRule="auto"/>
        <w:rPr>
          <w:sz w:val="20"/>
          <w:szCs w:val="20"/>
          <w:color w:val="auto"/>
        </w:rPr>
      </w:pPr>
      <w:r>
        <w:rPr>
          <w:rFonts w:ascii="Arial" w:cs="Arial" w:eastAsia="Arial" w:hAnsi="Arial"/>
          <w:sz w:val="17"/>
          <w:szCs w:val="17"/>
          <w:color w:val="auto"/>
        </w:rPr>
        <w:t>The currency of the primary economic environment in which our operations are conducted is the NIS. As we have not recorded significant recurring revenues since our inception, we consider the currency of the primary economic environment to be the currency in which we expend cash. A significant portion of our expenses and capital expenditures are incurred in NIS, and almost all of our financing has been provided in NIS.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ind w:left="60" w:right="1039" w:firstLine="257"/>
        <w:spacing w:after="0" w:line="265" w:lineRule="auto"/>
        <w:rPr>
          <w:sz w:val="20"/>
          <w:szCs w:val="20"/>
          <w:color w:val="auto"/>
        </w:rPr>
      </w:pPr>
      <w:r>
        <w:rPr>
          <w:rFonts w:ascii="Arial" w:cs="Arial" w:eastAsia="Arial" w:hAnsi="Arial"/>
          <w:sz w:val="17"/>
          <w:szCs w:val="17"/>
          <w:color w:val="auto"/>
        </w:rPr>
        <w:t>We recognize revenues in accordance with International Accounting Standard No. 18, or IAS 18. Under IAS 18, revenues incurred in connection with the out-licensing of our patents and other intellectual property are recognized when all of the following criteria have been met as of the applicable balance sheet date:</w:t>
      </w:r>
    </w:p>
    <w:p>
      <w:pPr>
        <w:spacing w:after="0" w:line="73" w:lineRule="exact"/>
        <w:rPr>
          <w:sz w:val="20"/>
          <w:szCs w:val="20"/>
          <w:color w:val="auto"/>
        </w:rPr>
      </w:pPr>
    </w:p>
    <w:p>
      <w:pPr>
        <w:ind w:left="580" w:hanging="307"/>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have transferred to the licensee the significant risks and rewards of the rights to the patents and intellectual property;</w:t>
      </w:r>
    </w:p>
    <w:p>
      <w:pPr>
        <w:spacing w:after="0" w:line="124" w:lineRule="exact"/>
        <w:rPr>
          <w:rFonts w:ascii="Arial" w:cs="Arial" w:eastAsia="Arial" w:hAnsi="Arial"/>
          <w:sz w:val="16"/>
          <w:szCs w:val="16"/>
          <w:color w:val="auto"/>
        </w:rPr>
      </w:pPr>
    </w:p>
    <w:p>
      <w:pPr>
        <w:ind w:left="580" w:right="1479" w:hanging="307"/>
        <w:spacing w:after="0" w:line="278"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do not retain either the continuing managerial involvement to the degree usually associated with ownership or the effective control over the patents and intellectual property;</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can reliably measure the amount of revenue to be recognized;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it is probable that the economic benefits associated with the transaction will flow to us; and</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can reliably measure the costs incurred or to be incurred in respect of the out-licensing.</w:t>
      </w:r>
    </w:p>
    <w:p>
      <w:pPr>
        <w:spacing w:after="0" w:line="113" w:lineRule="exact"/>
        <w:rPr>
          <w:sz w:val="20"/>
          <w:szCs w:val="20"/>
          <w:color w:val="auto"/>
        </w:rPr>
      </w:pPr>
    </w:p>
    <w:p>
      <w:pPr>
        <w:ind w:left="60" w:right="1379" w:firstLine="257"/>
        <w:spacing w:after="0" w:line="311" w:lineRule="auto"/>
        <w:rPr>
          <w:sz w:val="20"/>
          <w:szCs w:val="20"/>
          <w:color w:val="auto"/>
        </w:rPr>
      </w:pPr>
      <w:r>
        <w:rPr>
          <w:rFonts w:ascii="Arial" w:cs="Arial" w:eastAsia="Arial" w:hAnsi="Arial"/>
          <w:sz w:val="16"/>
          <w:szCs w:val="16"/>
          <w:color w:val="auto"/>
        </w:rPr>
        <w:t>We recognize revenues incurred in connection with the rendering of services by reference to the stage of completion of the transaction at the balance sheet date, if and when the outcome of the transaction can be estimated reliably.</w:t>
      </w:r>
    </w:p>
    <w:p>
      <w:pPr>
        <w:spacing w:after="0" w:line="200" w:lineRule="exact"/>
        <w:rPr>
          <w:sz w:val="20"/>
          <w:szCs w:val="20"/>
          <w:color w:val="auto"/>
        </w:rPr>
      </w:pPr>
    </w:p>
    <w:p>
      <w:pPr>
        <w:spacing w:after="0" w:line="2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39" w:firstLine="257"/>
        <w:spacing w:after="0" w:line="278" w:lineRule="auto"/>
        <w:rPr>
          <w:sz w:val="20"/>
          <w:szCs w:val="20"/>
          <w:color w:val="auto"/>
        </w:rPr>
      </w:pPr>
      <w:r>
        <w:rPr>
          <w:rFonts w:ascii="Arial" w:cs="Arial" w:eastAsia="Arial" w:hAnsi="Arial"/>
          <w:sz w:val="17"/>
          <w:szCs w:val="17"/>
          <w:color w:val="auto"/>
        </w:rPr>
        <w:t>We recognize revenues from royalties on an accrual basis when they become probable in accordance with the substance of the relevant agreement.</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Accrued Expenses</w:t>
      </w:r>
    </w:p>
    <w:p>
      <w:pPr>
        <w:spacing w:after="0" w:line="119"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color w:val="auto"/>
        </w:rPr>
        <w:t>We are required to estimate accrued expenses as part of our process of preparing financial statements. This process involves estimating the level of service performed on our behalf and the associated cost incurred in instances where we have not been invoiced or otherwise notified of actual costs. Examples of areas in which subjective judgments may be required include costs associated with services provided by contract organizations for preclinical development, clinical trials and manufacturing of clinical materials. We account for expenses associated with these external services by determining the total cost of a given study based on the terms of the related contract. We accrue for costs incurred as the services are being provided by monitoring the status of the trials and the invoices received from our external service providers. In the case of clinical trials, the estimated cost normally relates to the projected costs of treating the patients in our trials, which we recognize over the estimated term of the trial according to the number of patients enrolled in the trial on an ongoing basis, beginning with patient enrollment. As actual costs become known to us, we adjust our accruals.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Investments in Financial Assets</w:t>
      </w:r>
    </w:p>
    <w:p>
      <w:pPr>
        <w:spacing w:after="0" w:line="119"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The primary objective of our investment activities is to preserve principal while maximizing the income that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 Due to the short-term maturities of our investments to date, their carrying value has always approximated their fair value.</w:t>
      </w:r>
    </w:p>
    <w:p>
      <w:pPr>
        <w:spacing w:after="0" w:line="77" w:lineRule="exact"/>
        <w:rPr>
          <w:sz w:val="20"/>
          <w:szCs w:val="20"/>
          <w:color w:val="auto"/>
        </w:rPr>
      </w:pPr>
    </w:p>
    <w:p>
      <w:pPr>
        <w:ind w:left="60" w:right="1019" w:firstLine="257"/>
        <w:spacing w:after="0" w:line="273" w:lineRule="auto"/>
        <w:rPr>
          <w:sz w:val="20"/>
          <w:szCs w:val="20"/>
          <w:color w:val="auto"/>
        </w:rPr>
      </w:pPr>
      <w:r>
        <w:rPr>
          <w:rFonts w:ascii="Arial" w:cs="Arial" w:eastAsia="Arial" w:hAnsi="Arial"/>
          <w:sz w:val="16"/>
          <w:szCs w:val="16"/>
          <w:color w:val="auto"/>
        </w:rPr>
        <w:t>A financial asset is classified in this category if our management has designated it as a financial asset upon initial recognition, because it is managed and its performance is evaluated on a fair-value basis in accordance with a documented risk management or investment strategy. Our investment policy with regard to excess cash, as adopted by our Board of Directors, is composed of the following objectives: (i) preserving investment principal; (ii) providing liquidity; and (iii) providing optimum yields pursuant to the policy guidelines and market conditions. The policy provides detailed guidelines as to the securities and other financial instruments in which we are allowed to invest. In addition, in order to maintain liquidity, investments are structured to provide flexibility to liquidate at least 50% of all investments within 15 business days. Information about these assets, including details of the portfolio and income earned, is provided internally on a quarterly basis to our key management personnel. Any divergence from this investment policy requires approval from our Board of Directors.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Government Participation in Research and Development Expenses</w:t>
      </w:r>
    </w:p>
    <w:p>
      <w:pPr>
        <w:spacing w:after="0" w:line="119" w:lineRule="exact"/>
        <w:rPr>
          <w:sz w:val="20"/>
          <w:szCs w:val="20"/>
          <w:color w:val="auto"/>
        </w:rPr>
      </w:pPr>
    </w:p>
    <w:p>
      <w:pPr>
        <w:ind w:left="60" w:right="1159" w:firstLine="257"/>
        <w:spacing w:after="0" w:line="301" w:lineRule="auto"/>
        <w:rPr>
          <w:sz w:val="20"/>
          <w:szCs w:val="20"/>
          <w:color w:val="auto"/>
        </w:rPr>
      </w:pPr>
      <w:r>
        <w:rPr>
          <w:rFonts w:ascii="Arial" w:cs="Arial" w:eastAsia="Arial" w:hAnsi="Arial"/>
          <w:sz w:val="15"/>
          <w:szCs w:val="15"/>
          <w:color w:val="auto"/>
        </w:rPr>
        <w:t>We receive research and development funding from the State of Israel through the OCS, both in the form of loans extended to our biotechnology incubator, as well as in the form of grants. In accordance with the OCS programs, we are entitled to a specific grant or loan with respect to a development project only after we incur development costs related to the project. Such loans and grants qualify as “forgivable loans” in accordance with IAS 20, “Accounting for Government Grants and Disclosure of Government Assistance,” since they are repayable only if we generate revenues related to the underlying project.</w:t>
      </w:r>
    </w:p>
    <w:p>
      <w:pPr>
        <w:spacing w:after="0" w:line="50" w:lineRule="exact"/>
        <w:rPr>
          <w:sz w:val="20"/>
          <w:szCs w:val="20"/>
          <w:color w:val="auto"/>
        </w:rPr>
      </w:pPr>
    </w:p>
    <w:p>
      <w:pPr>
        <w:ind w:left="60" w:right="1039" w:firstLine="257"/>
        <w:spacing w:after="0" w:line="256" w:lineRule="auto"/>
        <w:rPr>
          <w:sz w:val="20"/>
          <w:szCs w:val="20"/>
          <w:color w:val="auto"/>
        </w:rPr>
      </w:pPr>
      <w:r>
        <w:rPr>
          <w:rFonts w:ascii="Arial" w:cs="Arial" w:eastAsia="Arial" w:hAnsi="Arial"/>
          <w:sz w:val="17"/>
          <w:szCs w:val="17"/>
          <w:color w:val="auto"/>
        </w:rPr>
        <w:t>In accordance with IAS 20, we account for each forgivable loan as a liability unless it is more likely than not that we will meet the terms of forgiveness of the loan, in which case the forgivable loan is accounted for as a government grant and carried to income as a reduction of the research and development expenses. Upon the initiation of any project for which we have received a loan, we consider it more likely than not that the project will not reach the revenue-generating stage during the entire development phase of the project when determining the accounting treatment of the related loan. Our determination is based on the high risk nature of pharmaceutical development generally and specifically on our strategy of initializing projects in the earliest stages of development. Therefore, we record a liability in respect of forgivable loans on a project only when it becomes probable that we will repay the loan.</w:t>
      </w:r>
    </w:p>
    <w:p>
      <w:pPr>
        <w:spacing w:after="0" w:line="200" w:lineRule="exact"/>
        <w:rPr>
          <w:sz w:val="20"/>
          <w:szCs w:val="20"/>
          <w:color w:val="auto"/>
        </w:rPr>
      </w:pPr>
    </w:p>
    <w:p>
      <w:pPr>
        <w:spacing w:after="0" w:line="30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Liabilities to the OCS in respect of out-licensing transactions are generally discussed and negotiated with the OCS, due to the fact that such licensing transactions do not fit into the standard development funding model contemplated by the Israeli Research and Development Law. In June 2010, we received a notification regarding the payment due in connection with the BL-1040 project, which we have paid in full. Accordingly, we have no further liabilities to the OCS with respect to BL-1040. We have accrued a liability of $1.6 million to the OCS in connection with the BL-1020 out-licensing transaction ($3.0 million was paid in August 2010), representing the full amount of the grants received from the OCS in respect of the BL-1020 project. This represents our best estimate of the liability to the OCS related to BL-1020. We may incur additional liabilities to the OCS, depending on the portion of total manufacturing that is performed outside of Israel in respect of BL-1020. Such liabilities will only accrue, if at all, with respect to any payment received in connection with BL-1020, when we determine that it is more likely than not that the payment will become payable.</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Stock-based Compensation</w:t>
      </w:r>
    </w:p>
    <w:p>
      <w:pPr>
        <w:spacing w:after="0" w:line="119"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color w:val="auto"/>
        </w:rPr>
        <w:t>We account for stock-based compensation arrangements in accordance with the provisions of IFRS 2. IFRS 2 requires companies to recognize stock compensation expense for awards of equity instruments based on grant-date fair value of those awards (with limited exceptions). The cost is recognized as compensation expense over the life of the instruments, based upon the grant-date fair value of the equity or liability instruments issued. The fair value of our option grants is computed as of the grant date based on the Black-Scholes model, using the standard parameters established in that model including estimates relating to volatility of our stock, risk-free interest rates, estimated life of the equity instruments issued and the market price of our stock. As our stock is publicly traded on the TASE, we do not need to estimate the fair market value of our shares. Rather, we use the actual closing market price of our ordinary shares on the date of grant, as reported by the TASE.</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Warrants</w:t>
      </w:r>
    </w:p>
    <w:p>
      <w:pPr>
        <w:spacing w:after="0" w:line="119" w:lineRule="exact"/>
        <w:rPr>
          <w:sz w:val="20"/>
          <w:szCs w:val="20"/>
          <w:color w:val="auto"/>
        </w:rPr>
      </w:pPr>
    </w:p>
    <w:p>
      <w:pPr>
        <w:ind w:left="60" w:right="999" w:firstLine="257"/>
        <w:spacing w:after="0" w:line="294" w:lineRule="auto"/>
        <w:rPr>
          <w:sz w:val="20"/>
          <w:szCs w:val="20"/>
          <w:color w:val="auto"/>
        </w:rPr>
      </w:pPr>
      <w:r>
        <w:rPr>
          <w:rFonts w:ascii="Arial" w:cs="Arial" w:eastAsia="Arial" w:hAnsi="Arial"/>
          <w:sz w:val="15"/>
          <w:szCs w:val="15"/>
          <w:color w:val="auto"/>
        </w:rPr>
        <w:t>We issued Series 1 Warrants in connection with our Israeli initial public offering in February 2007. In accordance with IFRS, we allocated a portion of the consideration received to the warrants based on their fair value at the time. The consideration allocated to warrants is generally reflected in shareholders’ equity, except in cases in which the exercise price of the warrants is not fixed. Due to the fact that the exercise price of the warrants we issued was linked to the Israeli consumer price index, the warrants were reflected as a financial liability and changes in the market value of the warrants were recorded in our statement of operations. Effective July 2008, the linkage to the Israeli consumer price index was no longer applicable, and such warrants were reclassified to shareholders’ equity at their then current fair value. Subsequent changes in the market value of those warrants have no longer been reflected in our financial statements effective as of such date. In December 2009, we issued Series 2 Warrants exercisable for 7,528,946 ordinary shares. The Series 2 Warrants have a fixed exercise price and are classified as shareholders’ equity.</w:t>
      </w:r>
    </w:p>
    <w:p>
      <w:pPr>
        <w:spacing w:after="0" w:line="54" w:lineRule="exact"/>
        <w:rPr>
          <w:sz w:val="20"/>
          <w:szCs w:val="20"/>
          <w:color w:val="auto"/>
        </w:rPr>
      </w:pPr>
    </w:p>
    <w:p>
      <w:pPr>
        <w:ind w:left="60" w:right="1039" w:firstLine="257"/>
        <w:spacing w:after="0" w:line="301" w:lineRule="auto"/>
        <w:rPr>
          <w:sz w:val="20"/>
          <w:szCs w:val="20"/>
          <w:color w:val="auto"/>
        </w:rPr>
      </w:pPr>
      <w:r>
        <w:rPr>
          <w:rFonts w:ascii="Arial" w:cs="Arial" w:eastAsia="Arial" w:hAnsi="Arial"/>
          <w:sz w:val="15"/>
          <w:szCs w:val="15"/>
          <w:color w:val="auto"/>
        </w:rPr>
        <w:t>The Series 2 Warrants were originally scheduled to expire on December 29, 2011. However, on June 13, 2011, our Board of Directors decided to extend the exercise period of the Series 2 Warrants until June 30, 2013. The extension remains subject to court and other approvals. The extension of the exercise period, if approved, will have no effect on our earnings. It will be treated as a stock dividend and may result in a reclassification of amounts between warrants and share premium within shareholders’ equity on our balance sheet. We do not expect the effect of the extension to be material to our financial statements.</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Recent Accounting Pronouncements</w:t>
      </w:r>
    </w:p>
    <w:p>
      <w:pPr>
        <w:spacing w:after="0" w:line="119" w:lineRule="exact"/>
        <w:rPr>
          <w:sz w:val="20"/>
          <w:szCs w:val="20"/>
          <w:color w:val="auto"/>
        </w:rPr>
      </w:pPr>
    </w:p>
    <w:p>
      <w:pPr>
        <w:ind w:left="60" w:right="1099" w:firstLine="257"/>
        <w:spacing w:after="0" w:line="278" w:lineRule="auto"/>
        <w:rPr>
          <w:sz w:val="20"/>
          <w:szCs w:val="20"/>
          <w:color w:val="auto"/>
        </w:rPr>
      </w:pPr>
      <w:r>
        <w:rPr>
          <w:rFonts w:ascii="Arial" w:cs="Arial" w:eastAsia="Arial" w:hAnsi="Arial"/>
          <w:sz w:val="17"/>
          <w:szCs w:val="17"/>
          <w:color w:val="auto"/>
        </w:rPr>
        <w:t>The recent accounting pronouncements set forth below became effective in 2010. None of the accounting pronouncements had a material adverse effect on our financial statements.</w:t>
      </w:r>
    </w:p>
    <w:p>
      <w:pPr>
        <w:spacing w:after="0" w:line="62" w:lineRule="exact"/>
        <w:rPr>
          <w:sz w:val="20"/>
          <w:szCs w:val="20"/>
          <w:color w:val="auto"/>
        </w:rPr>
      </w:pPr>
    </w:p>
    <w:p>
      <w:pPr>
        <w:ind w:left="60" w:right="1019" w:firstLine="257"/>
        <w:spacing w:after="0" w:line="259" w:lineRule="auto"/>
        <w:rPr>
          <w:sz w:val="20"/>
          <w:szCs w:val="20"/>
          <w:color w:val="auto"/>
        </w:rPr>
      </w:pPr>
      <w:r>
        <w:rPr>
          <w:rFonts w:ascii="Arial" w:cs="Arial" w:eastAsia="Arial" w:hAnsi="Arial"/>
          <w:sz w:val="17"/>
          <w:szCs w:val="17"/>
          <w:color w:val="auto"/>
        </w:rPr>
        <w:t>IAS 27 (revised) requires the effects of all transactions with non-controlling interests to be recorded in equity if there is no change in control and these transactions will no longer result in goodwill or gains and losses. The standard also specifies the accounting when control is lost. Any remaining interest in the entity is re-measured to fair value, and a gain or loss is recognized in profit or loss. We did not carry out any transactions with non-controlling interests during 2010 and, accordingly, the initial adoption of IAS 27 (revised) did not have any impact on the Group’s financial statements.</w:t>
      </w: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IFRS 3 (revised), “Business Combinations” is effective prospectively to business combinations for which the acquisition date is on or after the beginning of the first annual reporting period beginning on or after 1 July 2009. The revised standard continues to apply the acquisition method to business combinations but with some significant changes compared with IFRS 3. For example, all payments to purchase a business are recorded at fair value at the acquisition date, with contingent payments classified as debt subsequently remeasured through the statement of comprehensive income. There is a choice on an acquisition-by-acquisition basis to measure the non-controlling interest in the acquiree either at fair value or at the non-controlling interest’s proportionate share of the acquiree’s net assets. All acquisition-related costs are expensed. We elected to adopt IFRS 3 (revised) on a prospective basis for all business combinations, effective January 1, 2010. The initial adoption of IFRS 3 (revised) did not have an effect on our financial statements.</w:t>
      </w:r>
    </w:p>
    <w:p>
      <w:pPr>
        <w:spacing w:after="0" w:line="86" w:lineRule="exact"/>
        <w:rPr>
          <w:sz w:val="20"/>
          <w:szCs w:val="20"/>
          <w:color w:val="auto"/>
        </w:rPr>
      </w:pPr>
    </w:p>
    <w:p>
      <w:pPr>
        <w:ind w:left="60" w:right="1079" w:firstLine="257"/>
        <w:spacing w:after="0" w:line="275" w:lineRule="auto"/>
        <w:rPr>
          <w:sz w:val="20"/>
          <w:szCs w:val="20"/>
          <w:color w:val="auto"/>
        </w:rPr>
      </w:pPr>
      <w:r>
        <w:rPr>
          <w:rFonts w:ascii="Arial" w:cs="Arial" w:eastAsia="Arial" w:hAnsi="Arial"/>
          <w:sz w:val="16"/>
          <w:szCs w:val="16"/>
          <w:color w:val="auto"/>
        </w:rPr>
        <w:t>IFRS 2 (amendment), “Share-Based Payment,” was adopted by our company effective January 1, 2009. This amendment deals with vesting conditions and cancellations. It clarifies that vesting conditions are service conditions and performance conditions only. Other features of a share-based payment are not vesting conditions. Such features would need to be included in the grant date fair value for transactions with employees and others providing similar services; they would not impact the number of awards expected to vest or valuation thereof subsequent to grant date. All cancellations, whether by the entity or by other parties, should receive the same accounting treatment in the financial statements. The amendment did not have a material impact on our financial statements for the periods reported herein.</w:t>
      </w:r>
    </w:p>
    <w:p>
      <w:pPr>
        <w:spacing w:after="0" w:line="68" w:lineRule="exact"/>
        <w:rPr>
          <w:sz w:val="20"/>
          <w:szCs w:val="20"/>
          <w:color w:val="auto"/>
        </w:rPr>
      </w:pPr>
    </w:p>
    <w:p>
      <w:pPr>
        <w:ind w:left="60" w:right="1059" w:firstLine="257"/>
        <w:spacing w:after="0" w:line="277" w:lineRule="auto"/>
        <w:rPr>
          <w:sz w:val="20"/>
          <w:szCs w:val="20"/>
          <w:color w:val="auto"/>
        </w:rPr>
      </w:pPr>
      <w:r>
        <w:rPr>
          <w:rFonts w:ascii="Arial" w:cs="Arial" w:eastAsia="Arial" w:hAnsi="Arial"/>
          <w:sz w:val="16"/>
          <w:szCs w:val="16"/>
          <w:color w:val="auto"/>
        </w:rPr>
        <w:t>IAS 1 (amendment), “Presentation of Financial Statements.” The amendment clarifies that the potential settlement of a liability by the issue of equity is not relevant to its classification as current or non-current. By amending the definition of current liability, the amendment permits a liability to be classified as non-current (provided that the entity has an unconditional right to defer settlement by transfer of cash or other assets for at least 12 months after the accounting period) notwithstanding the fact that the entity could be required by the counterparty to settle in shares at any time. We adopted IAS 1 (amendment) effective January 1, 2010. The initial adoption of IAS 1 (amendment) did not have an effect on our financial statements.</w:t>
      </w:r>
    </w:p>
    <w:p>
      <w:pPr>
        <w:spacing w:after="0" w:line="64" w:lineRule="exact"/>
        <w:rPr>
          <w:sz w:val="20"/>
          <w:szCs w:val="20"/>
          <w:color w:val="auto"/>
        </w:rPr>
      </w:pPr>
    </w:p>
    <w:p>
      <w:pPr>
        <w:ind w:left="60" w:right="1059" w:firstLine="257"/>
        <w:spacing w:after="0" w:line="317" w:lineRule="auto"/>
        <w:rPr>
          <w:sz w:val="20"/>
          <w:szCs w:val="20"/>
          <w:color w:val="auto"/>
        </w:rPr>
      </w:pPr>
      <w:r>
        <w:rPr>
          <w:rFonts w:ascii="Arial" w:cs="Arial" w:eastAsia="Arial" w:hAnsi="Arial"/>
          <w:sz w:val="15"/>
          <w:szCs w:val="15"/>
          <w:color w:val="auto"/>
        </w:rPr>
        <w:t>IFRS 7 “Financial Instruments — Disclosures” (amendment), requires enhanced disclosures about fair value measurement and liquidity risk. In particular, the amendment requires disclosure of fair value measurements in accordance with a fair value measurement hierarchy. The amendment did not have a material impact on our financial statements for the periods reported herein.</w:t>
      </w:r>
    </w:p>
    <w:p>
      <w:pPr>
        <w:spacing w:after="0" w:line="37"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IAS 38 (amendment), “Intangible Assets,” which is part of the IASB’s annual improvements project published in May 2008. The amendment stipulates that a prepayment may only be recognized in the event that payment has been made in advance of obtaining the right of access to goods or receipt of services. The amendment also establishes that when re-measuring the book value of a debt instrument at termination of fair value hedge accounting, the effective interest calculated as of the date hedge accounting terminates should be used. The amendment did not have a material impact on our financial statements for the periods reported herein.</w:t>
      </w:r>
    </w:p>
    <w:p>
      <w:pPr>
        <w:spacing w:after="0" w:line="82" w:lineRule="exact"/>
        <w:rPr>
          <w:sz w:val="20"/>
          <w:szCs w:val="20"/>
          <w:color w:val="auto"/>
        </w:rPr>
      </w:pPr>
    </w:p>
    <w:p>
      <w:pPr>
        <w:ind w:left="60" w:right="999" w:firstLine="257"/>
        <w:spacing w:after="0" w:line="265" w:lineRule="auto"/>
        <w:rPr>
          <w:sz w:val="20"/>
          <w:szCs w:val="20"/>
          <w:color w:val="auto"/>
        </w:rPr>
      </w:pPr>
      <w:r>
        <w:rPr>
          <w:rFonts w:ascii="Arial" w:cs="Arial" w:eastAsia="Arial" w:hAnsi="Arial"/>
          <w:sz w:val="17"/>
          <w:szCs w:val="17"/>
          <w:color w:val="auto"/>
        </w:rPr>
        <w:t>The standards and amendments to existing standards set forth below have been published and are mandatory for accounting periods beginning on or after January 1, 2011 or later periods, and may be adopted early. We have not elected to adopt the standards and amendments to existing standards early.</w:t>
      </w:r>
    </w:p>
    <w:p>
      <w:pPr>
        <w:spacing w:after="0" w:line="73" w:lineRule="exact"/>
        <w:rPr>
          <w:sz w:val="20"/>
          <w:szCs w:val="20"/>
          <w:color w:val="auto"/>
        </w:rPr>
      </w:pPr>
    </w:p>
    <w:p>
      <w:pPr>
        <w:ind w:left="60" w:right="1059" w:firstLine="257"/>
        <w:spacing w:after="0" w:line="277" w:lineRule="auto"/>
        <w:rPr>
          <w:sz w:val="20"/>
          <w:szCs w:val="20"/>
          <w:color w:val="auto"/>
        </w:rPr>
      </w:pPr>
      <w:r>
        <w:rPr>
          <w:rFonts w:ascii="Arial" w:cs="Arial" w:eastAsia="Arial" w:hAnsi="Arial"/>
          <w:sz w:val="16"/>
          <w:szCs w:val="16"/>
          <w:color w:val="auto"/>
        </w:rPr>
        <w:t>IAS 32 (amendment), “Classification of Rights Issues,” was issued in October 2009. For rights issues offered for a fixed amount of foreign currency, current practice appears to require such issues to be accounted for as derivative liabilities. The amendment states that if such rights are issued pro rata to all existing shareholders of an entity in the same class for a fixed amount of currency, they should be classified as equity regardless of the currency in which the exercise price is denominated. The amendment will be effective for annual periods beginning on or after February 1, 2010, with early application permissible. We intend to apply this amendment in our financial statements beginning on January 1, 2011.</w:t>
      </w:r>
    </w:p>
    <w:p>
      <w:pPr>
        <w:spacing w:after="0" w:line="200" w:lineRule="exact"/>
        <w:rPr>
          <w:sz w:val="20"/>
          <w:szCs w:val="20"/>
          <w:color w:val="auto"/>
        </w:rPr>
      </w:pPr>
    </w:p>
    <w:p>
      <w:pPr>
        <w:spacing w:after="0" w:line="28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Results of Operations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accordance with the out-licensing arrangement we entered into with Ikaria in July 2009, we were entitled to an upfront</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payment of NIS 26.1 million ($7.0 million based on the exchange rate reported by the Bank of Israel for the date of payment),</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which we received in October 2009. In addition, upon notification in February 2010 of the successful completion of our phase 1/2</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clinical trial (which was substantially complete as of July 2009), we were entitled to a milestone payment of NIS 37.8 million</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($10.0 million based on the exchange rate reported by the Bank of Israel for the date of payment). This payment was received in</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April 2010. See “Item 4. Information on the Company — Business Overview — Out-Licensing Agreement with Ikaria Holdings.”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These payments were recognized as revenue for the year ended December 31, 2009. We did not record any revenue during the year</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ended December 31, 2008. In August 2010, we received a payment of $30.0 million in connection with our out-licensing</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arrangement with Cypress Bioscience. See “Item 4. Information on the Company — Business Overview — Out-Licensing</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Agreement with Cypress Bioscience.”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113" w:lineRule="exact"/>
        <w:rPr>
          <w:sz w:val="20"/>
          <w:szCs w:val="20"/>
          <w:color w:val="auto"/>
        </w:rPr>
      </w:pPr>
    </w:p>
    <w:p>
      <w:pPr>
        <w:ind w:left="60" w:right="1019" w:firstLine="257"/>
        <w:spacing w:after="0" w:line="282" w:lineRule="auto"/>
        <w:rPr>
          <w:sz w:val="20"/>
          <w:szCs w:val="20"/>
          <w:color w:val="auto"/>
        </w:rPr>
      </w:pPr>
      <w:r>
        <w:rPr>
          <w:rFonts w:ascii="Arial" w:cs="Arial" w:eastAsia="Arial" w:hAnsi="Arial"/>
          <w:sz w:val="16"/>
          <w:szCs w:val="16"/>
          <w:color w:val="auto"/>
        </w:rPr>
        <w:t>Cost of revenues consists of royalty payments due to the licensors under the in-licensing agreements related to BL-1020 and BL-1040. In 2009, cost of revenues also included NIS 4.4 million paid to the OCS, which represented a portion of the payments we made to the OCS in connection with the payments we received from Ikaria under our out-licensing agreement covering BL-1040. We did not record any cost of revenues during the year ended December 31, 2008.</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3" w:lineRule="exact"/>
        <w:rPr>
          <w:sz w:val="20"/>
          <w:szCs w:val="20"/>
          <w:color w:val="auto"/>
        </w:rPr>
      </w:pPr>
    </w:p>
    <w:p>
      <w:pPr>
        <w:ind w:left="60" w:right="1059" w:firstLine="257"/>
        <w:spacing w:after="0" w:line="255" w:lineRule="auto"/>
        <w:rPr>
          <w:sz w:val="20"/>
          <w:szCs w:val="20"/>
          <w:color w:val="auto"/>
        </w:rPr>
      </w:pPr>
      <w:r>
        <w:rPr>
          <w:rFonts w:ascii="Arial" w:cs="Arial" w:eastAsia="Arial" w:hAnsi="Arial"/>
          <w:sz w:val="17"/>
          <w:szCs w:val="17"/>
          <w:color w:val="auto"/>
        </w:rPr>
        <w:t>At December 31, 2009, our drug development pipeline consisted of 12 therapeutic candidates. We added four new compounds to our pipeline, and discontinued the development of six compounds from the pipeline, during the year ended December 31, 2010, so that our pipeline consisted of 10 therapeutic candidates at December 31, 2010. We added two new compounds to our pipeline during the first quarter of 2011, and our drug development pipeline as of March 31, 2011 consisted as 12 therapeutic candidates. Our research and development expenses for the year ended December 31, 2010 were NIS 55 million, a decrease of NIS 35.3 million, or 39%, compared to NIS 90.3 million for the year ended December 31, 2009. Research and development expenses for the year ended December 31, 2010 included payments to the OCS of NIS 17.4 million, relating to funds previously received from the OCS in respect of BL-1020, which had been previously reflected in prior periods as a reduction in research and development expenses.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Comparison of the Three Months Ended March 31, 2011 to the Three Months Ended March 31, 2010</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Sales and marketing expenses</w:t>
      </w:r>
    </w:p>
    <w:p>
      <w:pPr>
        <w:spacing w:after="0" w:line="113" w:lineRule="exact"/>
        <w:rPr>
          <w:sz w:val="20"/>
          <w:szCs w:val="20"/>
          <w:color w:val="auto"/>
        </w:rPr>
      </w:pPr>
    </w:p>
    <w:p>
      <w:pPr>
        <w:ind w:left="60" w:right="1099" w:firstLine="257"/>
        <w:spacing w:after="0" w:line="265" w:lineRule="auto"/>
        <w:rPr>
          <w:sz w:val="20"/>
          <w:szCs w:val="20"/>
          <w:color w:val="auto"/>
        </w:rPr>
      </w:pPr>
      <w:r>
        <w:rPr>
          <w:rFonts w:ascii="Arial" w:cs="Arial" w:eastAsia="Arial" w:hAnsi="Arial"/>
          <w:sz w:val="17"/>
          <w:szCs w:val="17"/>
          <w:color w:val="auto"/>
        </w:rPr>
        <w:t>Sales and marketing expenses for the three months ended March 31, 2011 were NIS 0.8 million, a decrease of NIS 0.2 million, or 22%, compared to NIS 1.0 million for the three months ended March 31, 2010. The decrease resulted primarily from the strategic partnering efforts in connection with BL-1020 during the first quarter of 2010.</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3"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Research and development expenses for the three months ended March 31, 2011 were NIS 6.4 million, a decrease of NIS 4.4 million, or 41%, compared to NIS 10.7 million for the three months ended March 31, 2010. The decrease resulted primarily from the termination of a number of projects during the first half of 2010, as well as the introduction of new projects during the second half of 2010 and the first quarter of 2011. New projects are generally characterized by a gradual ramp-up in spending in comparison to existing projects.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3" w:lineRule="exact"/>
        <w:rPr>
          <w:sz w:val="20"/>
          <w:szCs w:val="20"/>
          <w:color w:val="auto"/>
        </w:rPr>
      </w:pPr>
    </w:p>
    <w:p>
      <w:pPr>
        <w:ind w:left="60" w:right="1299" w:firstLine="257"/>
        <w:spacing w:after="0" w:line="278" w:lineRule="auto"/>
        <w:rPr>
          <w:sz w:val="20"/>
          <w:szCs w:val="20"/>
          <w:color w:val="auto"/>
        </w:rPr>
      </w:pPr>
      <w:r>
        <w:rPr>
          <w:rFonts w:ascii="Arial" w:cs="Arial" w:eastAsia="Arial" w:hAnsi="Arial"/>
          <w:sz w:val="17"/>
          <w:szCs w:val="17"/>
          <w:color w:val="auto"/>
        </w:rPr>
        <w:t>General and administrative expenses were NIS 2.9 million for the three months ended March 31, 2011 and for three months ended March 31, 2010.</w:t>
      </w:r>
    </w:p>
    <w:p>
      <w:pPr>
        <w:spacing w:after="0" w:line="200" w:lineRule="exact"/>
        <w:rPr>
          <w:sz w:val="20"/>
          <w:szCs w:val="20"/>
          <w:color w:val="auto"/>
        </w:rPr>
      </w:pPr>
    </w:p>
    <w:p>
      <w:pPr>
        <w:spacing w:after="0" w:line="28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Financial expense, net</w:t>
      </w:r>
    </w:p>
    <w:p>
      <w:pPr>
        <w:spacing w:after="0" w:line="113" w:lineRule="exact"/>
        <w:rPr>
          <w:sz w:val="20"/>
          <w:szCs w:val="20"/>
          <w:color w:val="auto"/>
        </w:rPr>
      </w:pPr>
    </w:p>
    <w:p>
      <w:pPr>
        <w:ind w:left="60" w:right="1099" w:firstLine="257"/>
        <w:spacing w:after="0" w:line="259" w:lineRule="auto"/>
        <w:rPr>
          <w:sz w:val="20"/>
          <w:szCs w:val="20"/>
          <w:color w:val="auto"/>
        </w:rPr>
      </w:pPr>
      <w:r>
        <w:rPr>
          <w:rFonts w:ascii="Arial" w:cs="Arial" w:eastAsia="Arial" w:hAnsi="Arial"/>
          <w:sz w:val="17"/>
          <w:szCs w:val="17"/>
          <w:color w:val="auto"/>
        </w:rPr>
        <w:t>We recognized net financial expense of NIS 1.6 million for the three months ended March 31, 2011, an increase of NIS 0.7 million, or 87%, compared to net financial expense of NIS 0.9 million for the three months ended March 31, 2010. The increase in net financial expense resulted primarily from the decrease in the average exchange rate of foreign currencies in relation to the NIS during the three months ended March 31, 2011, which had a negative effect on our net assets denominated in such foreign currencies during that period.</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Comparison of the Year Ended December 31, 2010 to the Year Ended December 31, 2009</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Sales and marketing expenses</w:t>
      </w:r>
    </w:p>
    <w:p>
      <w:pPr>
        <w:spacing w:after="0" w:line="113"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Sales and marketing expenses for the year ended December 31, 2010 were NIS 4.6 million, an increase of NIS 1.5 million, or 48%, compared to NIS 3.1 million for the year ended December 31, 2010. The increase resulted primarily from the strategic partnering efforts in connection with BL-1020 during the first quarter of 2010 compared to less significant costs in connection with BL-1040 during 2009.</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3"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color w:val="auto"/>
        </w:rPr>
        <w:t>Research and development expenses for the year ended December 31, 2010 were NIS 55.0 million, a decrease of NIS 35.3 million, or 39%, compared to NIS 90.3 million for the year ended December 31, 2009. The decrease resulted primarily from decreased costs due to the completion of the BL-1020 and BL-1040 clinical trials at the end of 2009 and the reduced introduction of new projects during 2009 and the first half of 2010.</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3" w:lineRule="exact"/>
        <w:rPr>
          <w:sz w:val="20"/>
          <w:szCs w:val="20"/>
          <w:color w:val="auto"/>
        </w:rPr>
      </w:pPr>
    </w:p>
    <w:p>
      <w:pPr>
        <w:ind w:left="60" w:right="1019" w:firstLine="257"/>
        <w:spacing w:after="0" w:line="261" w:lineRule="auto"/>
        <w:rPr>
          <w:sz w:val="20"/>
          <w:szCs w:val="20"/>
          <w:color w:val="auto"/>
        </w:rPr>
      </w:pPr>
      <w:r>
        <w:rPr>
          <w:rFonts w:ascii="Arial" w:cs="Arial" w:eastAsia="Arial" w:hAnsi="Arial"/>
          <w:sz w:val="17"/>
          <w:szCs w:val="17"/>
          <w:color w:val="auto"/>
        </w:rPr>
        <w:t>General and administrative expenses were NIS 14.9 million for the year ended December 31, 2010, an increase of NIS 3.7 million, or 33%, compared to NIS 11.2 million for the year ended December 31, 2009. The increase in general and administrative expenses resulted primarily from expenses associated with our proposed initial public offering as well as an increase in consultancy fees during 2010.</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Financial expense, net</w:t>
      </w:r>
    </w:p>
    <w:p>
      <w:pPr>
        <w:spacing w:after="0" w:line="113" w:lineRule="exact"/>
        <w:rPr>
          <w:sz w:val="20"/>
          <w:szCs w:val="20"/>
          <w:color w:val="auto"/>
        </w:rPr>
      </w:pPr>
    </w:p>
    <w:p>
      <w:pPr>
        <w:jc w:val="both"/>
        <w:ind w:left="60" w:right="1139" w:firstLine="257"/>
        <w:spacing w:after="0" w:line="306" w:lineRule="auto"/>
        <w:rPr>
          <w:sz w:val="20"/>
          <w:szCs w:val="20"/>
          <w:color w:val="auto"/>
        </w:rPr>
      </w:pPr>
      <w:r>
        <w:rPr>
          <w:rFonts w:ascii="Arial" w:cs="Arial" w:eastAsia="Arial" w:hAnsi="Arial"/>
          <w:sz w:val="15"/>
          <w:szCs w:val="15"/>
          <w:color w:val="auto"/>
        </w:rPr>
        <w:t>We recognized net financial expense of NIS 5.7 million for the year ended December 31, 2010, a decrease of NIS 7.5 million, or 20%, compared to net financial income of NIS 1.8 million for the year ended December 31, 2009. The decrease in net financial income resulted primarily from the decrease in the average exchange rate of foreign currencies in relation to the NIS during 2010, which had a negative effect on our net assets denominated in such foreign currencies during the year ended December 31, 2010.</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Comparison of the Year Ended December 31, 2009 to the Year Ended December 31, 2008</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3" w:lineRule="exact"/>
        <w:rPr>
          <w:sz w:val="20"/>
          <w:szCs w:val="20"/>
          <w:color w:val="auto"/>
        </w:rPr>
      </w:pPr>
    </w:p>
    <w:p>
      <w:pPr>
        <w:ind w:left="60" w:right="1019" w:firstLine="257"/>
        <w:spacing w:after="0" w:line="257" w:lineRule="auto"/>
        <w:rPr>
          <w:sz w:val="20"/>
          <w:szCs w:val="20"/>
          <w:color w:val="auto"/>
        </w:rPr>
      </w:pPr>
      <w:r>
        <w:rPr>
          <w:rFonts w:ascii="Arial" w:cs="Arial" w:eastAsia="Arial" w:hAnsi="Arial"/>
          <w:sz w:val="17"/>
          <w:szCs w:val="17"/>
          <w:color w:val="auto"/>
        </w:rPr>
        <w:t>Research and development expenses for the year ended December 31, 2009 were NIS 90.3 million, a decrease of NIS 15.9 million, or 15.0%, compared to NIS 106.2 million for the year ended December 31, 2008. The decrease resulted primarily from decreased costs relating to the BL-1020 and BL-1040 clinical trials, reduced spending on other projects and the cessation of new project introductions during 2009 in connection with the spending reduction plan we instituted at the beginning of 2009 to conserve our cash resources and focus on the completion of our BL-1020 and BL-1040 clinical trials. In addition, our research and development costs were reduced in connection with the reduction of research and personnel from 45 employees as of December 31, 2008, to 33 employees as of December 31, 2009.</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3"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color w:val="auto"/>
        </w:rPr>
        <w:t>General and administrative expenses were NIS 11.2 million for the year ended December 31, 2009, a decrease of NIS 1.9 million, or 14.5%, compared to NIS 13.1 million for the year ended December 31, 2008. The decrease in general and administrative expenses resulted primarily from cost reductions instituted at the beginning of 2009, as well as a decrease in share-based compensation expense compared with the year ended December 31, 2008.</w:t>
      </w:r>
    </w:p>
    <w:p>
      <w:pPr>
        <w:spacing w:after="0" w:line="200" w:lineRule="exact"/>
        <w:rPr>
          <w:sz w:val="20"/>
          <w:szCs w:val="20"/>
          <w:color w:val="auto"/>
        </w:rPr>
      </w:pPr>
    </w:p>
    <w:p>
      <w:pPr>
        <w:spacing w:after="0" w:line="30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Financial income, net</w:t>
      </w:r>
    </w:p>
    <w:p>
      <w:pPr>
        <w:spacing w:after="0" w:line="113"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We recognized net financial income of NIS 1.8 million for the year ended December 31, 2009, an increase of NIS 1.1 million, or 157.0%, compared to net financial income of NIS 0.7 million for the year ended December 31, 2008. The increase in net financial income resulted primarily from the increase in the average exchange rate of foreign currencies in relation to the NIS during 2009, which had a positive effect on our net assets denominated in such foreign currencies during the year ended December 31, 2009.</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Quarterly Results of Operations</w:t>
      </w:r>
    </w:p>
    <w:p>
      <w:pPr>
        <w:spacing w:after="0" w:line="119" w:lineRule="exact"/>
        <w:rPr>
          <w:sz w:val="20"/>
          <w:szCs w:val="20"/>
          <w:color w:val="auto"/>
        </w:rPr>
      </w:pPr>
    </w:p>
    <w:p>
      <w:pPr>
        <w:ind w:left="60" w:right="1279" w:firstLine="257"/>
        <w:spacing w:after="0" w:line="261" w:lineRule="auto"/>
        <w:rPr>
          <w:sz w:val="20"/>
          <w:szCs w:val="20"/>
          <w:color w:val="auto"/>
        </w:rPr>
      </w:pPr>
      <w:r>
        <w:rPr>
          <w:rFonts w:ascii="Arial" w:cs="Arial" w:eastAsia="Arial" w:hAnsi="Arial"/>
          <w:sz w:val="17"/>
          <w:szCs w:val="17"/>
          <w:color w:val="auto"/>
        </w:rPr>
        <w:t>The following tables show our unaudited quarterly statements of operations for the periods indicated. We have prepared this quarterly information on a basis consistent with our audited consolidated financial statements and we believe it includes all adjustments, consisting of normal recurring adjustments necessary for a fair presentation of the information shown. Operating results for any quarter are not necessarily indicative of results for a full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5782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57829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1"/>
                <w:szCs w:val="11"/>
                <w:color w:val="auto"/>
              </w:rPr>
            </w:pPr>
          </w:p>
        </w:tc>
        <w:tc>
          <w:tcPr>
            <w:tcW w:w="88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June 30</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auto"/>
                <w:w w:val="85"/>
              </w:rPr>
              <w:t>Sept. 30</w:t>
            </w:r>
          </w:p>
        </w:tc>
        <w:tc>
          <w:tcPr>
            <w:tcW w:w="160" w:type="dxa"/>
            <w:vAlign w:val="bottom"/>
          </w:tcPr>
          <w:p>
            <w:pPr>
              <w:spacing w:after="0"/>
              <w:rPr>
                <w:sz w:val="11"/>
                <w:szCs w:val="11"/>
                <w:color w:val="auto"/>
              </w:rPr>
            </w:pPr>
          </w:p>
        </w:tc>
        <w:tc>
          <w:tcPr>
            <w:tcW w:w="640" w:type="dxa"/>
            <w:vAlign w:val="bottom"/>
            <w:gridSpan w:val="2"/>
          </w:tcPr>
          <w:p>
            <w:pPr>
              <w:jc w:val="right"/>
              <w:ind w:right="31"/>
              <w:spacing w:after="0" w:line="135" w:lineRule="exact"/>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1"/>
                <w:szCs w:val="11"/>
                <w:color w:val="auto"/>
              </w:rPr>
            </w:pPr>
          </w:p>
        </w:tc>
        <w:tc>
          <w:tcPr>
            <w:tcW w:w="900" w:type="dxa"/>
            <w:vAlign w:val="bottom"/>
            <w:gridSpan w:val="4"/>
          </w:tcPr>
          <w:p>
            <w:pPr>
              <w:ind w:left="60"/>
              <w:spacing w:after="0" w:line="135" w:lineRule="exact"/>
              <w:rPr>
                <w:sz w:val="20"/>
                <w:szCs w:val="20"/>
                <w:color w:val="auto"/>
              </w:rPr>
            </w:pPr>
            <w:r>
              <w:rPr>
                <w:rFonts w:ascii="Arial" w:cs="Arial" w:eastAsia="Arial" w:hAnsi="Arial"/>
                <w:sz w:val="14"/>
                <w:szCs w:val="14"/>
                <w:b w:val="1"/>
                <w:bCs w:val="1"/>
                <w:color w:val="auto"/>
              </w:rPr>
              <w:t>March 31</w:t>
            </w:r>
          </w:p>
        </w:tc>
        <w:tc>
          <w:tcPr>
            <w:tcW w:w="7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June 30</w:t>
            </w:r>
          </w:p>
        </w:tc>
        <w:tc>
          <w:tcPr>
            <w:tcW w:w="560" w:type="dxa"/>
            <w:vAlign w:val="bottom"/>
            <w:gridSpan w:val="2"/>
          </w:tcPr>
          <w:p>
            <w:pPr>
              <w:jc w:val="right"/>
              <w:ind w:right="80"/>
              <w:spacing w:after="0" w:line="135" w:lineRule="exact"/>
              <w:rPr>
                <w:sz w:val="20"/>
                <w:szCs w:val="20"/>
                <w:color w:val="auto"/>
              </w:rPr>
            </w:pPr>
            <w:r>
              <w:rPr>
                <w:rFonts w:ascii="Arial" w:cs="Arial" w:eastAsia="Arial" w:hAnsi="Arial"/>
                <w:sz w:val="14"/>
                <w:szCs w:val="14"/>
                <w:b w:val="1"/>
                <w:bCs w:val="1"/>
                <w:color w:val="auto"/>
                <w:w w:val="85"/>
              </w:rPr>
              <w:t>Sept. 30</w:t>
            </w: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78"/>
              </w:rPr>
              <w:t>2009</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w w:val="76"/>
              </w:rPr>
              <w:t>(in</w:t>
            </w:r>
          </w:p>
        </w:tc>
        <w:tc>
          <w:tcPr>
            <w:tcW w:w="5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w w:val="76"/>
              </w:rPr>
              <w:t>2010</w:t>
            </w: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31"/>
              <w:spacing w:after="0" w:line="135"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vMerge w:val="restart"/>
          </w:tcPr>
          <w:p>
            <w:pPr>
              <w:spacing w:after="0"/>
              <w:rPr>
                <w:sz w:val="20"/>
                <w:szCs w:val="20"/>
                <w:color w:val="auto"/>
              </w:rPr>
            </w:pPr>
            <w:r>
              <w:rPr>
                <w:rFonts w:ascii="Arial" w:cs="Arial" w:eastAsia="Arial" w:hAnsi="Arial"/>
                <w:sz w:val="14"/>
                <w:szCs w:val="14"/>
                <w:color w:val="auto"/>
              </w:rPr>
              <w:t>Consolidated statements of</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color w:val="auto"/>
                <w:w w:val="84"/>
              </w:rPr>
              <w:t>thousands NIS)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9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line="160" w:lineRule="exact"/>
              <w:rPr>
                <w:sz w:val="20"/>
                <w:szCs w:val="20"/>
                <w:color w:val="auto"/>
              </w:rPr>
            </w:pPr>
            <w:r>
              <w:rPr>
                <w:rFonts w:ascii="Arial" w:cs="Arial" w:eastAsia="Arial" w:hAnsi="Arial"/>
                <w:sz w:val="14"/>
                <w:szCs w:val="14"/>
                <w:color w:val="auto"/>
              </w:rPr>
              <w:t>Operations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Revenues</w:t>
            </w: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rPr>
              <w:t>26,138</w:t>
            </w:r>
          </w:p>
        </w:tc>
        <w:tc>
          <w:tcPr>
            <w:tcW w:w="800" w:type="dxa"/>
            <w:vAlign w:val="bottom"/>
            <w:gridSpan w:val="3"/>
            <w:shd w:val="clear" w:color="auto" w:fill="CCFFCC"/>
          </w:tcPr>
          <w:p>
            <w:pPr>
              <w:jc w:val="right"/>
              <w:ind w:right="31"/>
              <w:spacing w:after="0" w:line="141" w:lineRule="exact"/>
              <w:rPr>
                <w:sz w:val="20"/>
                <w:szCs w:val="20"/>
                <w:color w:val="auto"/>
              </w:rPr>
            </w:pPr>
            <w:r>
              <w:rPr>
                <w:rFonts w:ascii="Arial" w:cs="Arial" w:eastAsia="Arial" w:hAnsi="Arial"/>
                <w:sz w:val="14"/>
                <w:szCs w:val="14"/>
                <w:color w:val="auto"/>
              </w:rPr>
              <w:t>37,771</w:t>
            </w:r>
          </w:p>
        </w:tc>
        <w:tc>
          <w:tcPr>
            <w:tcW w:w="1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w w:val="86"/>
              </w:rPr>
              <w:t>113,160</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80" w:type="dxa"/>
            <w:vAlign w:val="bottom"/>
          </w:tcPr>
          <w:p>
            <w:pPr>
              <w:spacing w:after="0" w:line="141" w:lineRule="exact"/>
              <w:rPr>
                <w:sz w:val="20"/>
                <w:szCs w:val="20"/>
                <w:color w:val="auto"/>
              </w:rPr>
            </w:pPr>
            <w:r>
              <w:rPr>
                <w:rFonts w:ascii="Arial" w:cs="Arial" w:eastAsia="Arial" w:hAnsi="Arial"/>
                <w:sz w:val="14"/>
                <w:szCs w:val="14"/>
                <w:color w:val="auto"/>
              </w:rPr>
              <w:t>Cost of revenues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(7,340)</w:t>
            </w:r>
          </w:p>
        </w:tc>
        <w:tc>
          <w:tcPr>
            <w:tcW w:w="80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(15,282)</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w w:val="95"/>
              </w:rPr>
              <w:t>(25,571)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Sales and marketing expenses</w:t>
            </w:r>
          </w:p>
        </w:tc>
        <w:tc>
          <w:tcPr>
            <w:tcW w:w="64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(423)</w:t>
            </w:r>
          </w:p>
        </w:tc>
        <w:tc>
          <w:tcPr>
            <w:tcW w:w="800" w:type="dxa"/>
            <w:vAlign w:val="bottom"/>
            <w:gridSpan w:val="3"/>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(1,045)</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(329)</w:t>
            </w:r>
          </w:p>
        </w:tc>
        <w:tc>
          <w:tcPr>
            <w:tcW w:w="800" w:type="dxa"/>
            <w:vAlign w:val="bottom"/>
            <w:gridSpan w:val="3"/>
            <w:shd w:val="clear" w:color="auto" w:fill="CCFFCC"/>
          </w:tcPr>
          <w:p>
            <w:pPr>
              <w:jc w:val="right"/>
              <w:spacing w:after="0" w:line="141" w:lineRule="exact"/>
              <w:rPr>
                <w:sz w:val="20"/>
                <w:szCs w:val="20"/>
                <w:color w:val="auto"/>
              </w:rPr>
            </w:pPr>
            <w:r>
              <w:rPr>
                <w:rFonts w:ascii="Arial" w:cs="Arial" w:eastAsia="Arial" w:hAnsi="Arial"/>
                <w:sz w:val="14"/>
                <w:szCs w:val="14"/>
                <w:color w:val="auto"/>
              </w:rPr>
              <w:t>(3,085)</w:t>
            </w:r>
          </w:p>
        </w:tc>
        <w:tc>
          <w:tcPr>
            <w:tcW w:w="800" w:type="dxa"/>
            <w:vAlign w:val="bottom"/>
            <w:gridSpan w:val="3"/>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(959)</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(1,225)</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40"/>
              <w:spacing w:after="0" w:line="141" w:lineRule="exact"/>
              <w:rPr>
                <w:sz w:val="20"/>
                <w:szCs w:val="20"/>
                <w:color w:val="auto"/>
              </w:rPr>
            </w:pPr>
            <w:r>
              <w:rPr>
                <w:rFonts w:ascii="Arial" w:cs="Arial" w:eastAsia="Arial" w:hAnsi="Arial"/>
                <w:sz w:val="14"/>
                <w:szCs w:val="14"/>
                <w:color w:val="auto"/>
              </w:rPr>
              <w:t>(1,322)</w:t>
            </w:r>
          </w:p>
        </w:tc>
        <w:tc>
          <w:tcPr>
            <w:tcW w:w="800" w:type="dxa"/>
            <w:vAlign w:val="bottom"/>
            <w:gridSpan w:val="3"/>
            <w:shd w:val="clear" w:color="auto" w:fill="CCFFCC"/>
          </w:tcPr>
          <w:p>
            <w:pPr>
              <w:jc w:val="right"/>
              <w:ind w:right="40"/>
              <w:spacing w:after="0" w:line="141" w:lineRule="exact"/>
              <w:rPr>
                <w:sz w:val="20"/>
                <w:szCs w:val="20"/>
                <w:color w:val="auto"/>
              </w:rPr>
            </w:pPr>
            <w:r>
              <w:rPr>
                <w:rFonts w:ascii="Arial" w:cs="Arial" w:eastAsia="Arial" w:hAnsi="Arial"/>
                <w:sz w:val="14"/>
                <w:szCs w:val="14"/>
                <w:color w:val="auto"/>
              </w:rPr>
              <w:t>(1,103)</w:t>
            </w:r>
          </w:p>
        </w:tc>
        <w:tc>
          <w:tcPr>
            <w:tcW w:w="900" w:type="dxa"/>
            <w:vAlign w:val="bottom"/>
            <w:gridSpan w:val="3"/>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23"/>
        </w:trPr>
        <w:tc>
          <w:tcPr>
            <w:tcW w:w="1980" w:type="dxa"/>
            <w:vAlign w:val="bottom"/>
          </w:tcPr>
          <w:p>
            <w:pPr>
              <w:spacing w:after="0" w:line="123" w:lineRule="exact"/>
              <w:rPr>
                <w:sz w:val="20"/>
                <w:szCs w:val="20"/>
                <w:color w:val="auto"/>
              </w:rPr>
            </w:pPr>
            <w:r>
              <w:rPr>
                <w:rFonts w:ascii="Arial" w:cs="Arial" w:eastAsia="Arial" w:hAnsi="Arial"/>
                <w:sz w:val="14"/>
                <w:szCs w:val="14"/>
                <w:color w:val="auto"/>
              </w:rPr>
              <w:t>Research and development</w:t>
            </w:r>
          </w:p>
        </w:tc>
        <w:tc>
          <w:tcPr>
            <w:tcW w:w="64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(26,486)</w:t>
            </w:r>
          </w:p>
        </w:tc>
        <w:tc>
          <w:tcPr>
            <w:tcW w:w="80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(23,364)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w w:val="91"/>
              </w:rPr>
              <w:t>(32,636)</w:t>
            </w:r>
          </w:p>
        </w:tc>
        <w:tc>
          <w:tcPr>
            <w:tcW w:w="80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(7,816)</w:t>
            </w:r>
          </w:p>
        </w:tc>
        <w:tc>
          <w:tcPr>
            <w:tcW w:w="800" w:type="dxa"/>
            <w:vAlign w:val="bottom"/>
            <w:gridSpan w:val="3"/>
          </w:tcPr>
          <w:p>
            <w:pPr>
              <w:jc w:val="right"/>
              <w:ind w:right="60"/>
              <w:spacing w:after="0" w:line="123" w:lineRule="exact"/>
              <w:rPr>
                <w:sz w:val="20"/>
                <w:szCs w:val="20"/>
                <w:color w:val="auto"/>
              </w:rPr>
            </w:pPr>
            <w:r>
              <w:rPr>
                <w:rFonts w:ascii="Arial" w:cs="Arial" w:eastAsia="Arial" w:hAnsi="Arial"/>
                <w:sz w:val="14"/>
                <w:szCs w:val="14"/>
                <w:color w:val="auto"/>
              </w:rPr>
              <w:t>(10,736)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w w:val="91"/>
              </w:rPr>
              <w:t>(26,296)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40"/>
              <w:spacing w:after="0" w:line="123" w:lineRule="exact"/>
              <w:rPr>
                <w:sz w:val="20"/>
                <w:szCs w:val="20"/>
                <w:color w:val="auto"/>
              </w:rPr>
            </w:pPr>
            <w:r>
              <w:rPr>
                <w:rFonts w:ascii="Arial" w:cs="Arial" w:eastAsia="Arial" w:hAnsi="Arial"/>
                <w:sz w:val="14"/>
                <w:szCs w:val="14"/>
                <w:color w:val="auto"/>
              </w:rPr>
              <w:t>(6,737)</w:t>
            </w:r>
          </w:p>
        </w:tc>
        <w:tc>
          <w:tcPr>
            <w:tcW w:w="800" w:type="dxa"/>
            <w:vAlign w:val="bottom"/>
            <w:gridSpan w:val="3"/>
          </w:tcPr>
          <w:p>
            <w:pPr>
              <w:jc w:val="right"/>
              <w:ind w:right="40"/>
              <w:spacing w:after="0" w:line="123" w:lineRule="exact"/>
              <w:rPr>
                <w:sz w:val="20"/>
                <w:szCs w:val="20"/>
                <w:color w:val="auto"/>
              </w:rPr>
            </w:pPr>
            <w:r>
              <w:rPr>
                <w:rFonts w:ascii="Arial" w:cs="Arial" w:eastAsia="Arial" w:hAnsi="Arial"/>
                <w:sz w:val="14"/>
                <w:szCs w:val="14"/>
                <w:color w:val="auto"/>
              </w:rPr>
              <w:t>(11,197)</w:t>
            </w:r>
          </w:p>
        </w:tc>
        <w:tc>
          <w:tcPr>
            <w:tcW w:w="900" w:type="dxa"/>
            <w:vAlign w:val="bottom"/>
            <w:gridSpan w:val="3"/>
          </w:tcPr>
          <w:p>
            <w:pPr>
              <w:jc w:val="right"/>
              <w:ind w:right="80"/>
              <w:spacing w:after="0" w:line="123" w:lineRule="exact"/>
              <w:rPr>
                <w:sz w:val="20"/>
                <w:szCs w:val="20"/>
                <w:color w:val="auto"/>
              </w:rPr>
            </w:pPr>
            <w:r>
              <w:rPr>
                <w:rFonts w:ascii="Arial" w:cs="Arial" w:eastAsia="Arial" w:hAnsi="Arial"/>
                <w:sz w:val="14"/>
                <w:szCs w:val="14"/>
                <w:color w:val="auto"/>
              </w:rPr>
              <w:t>(6,384)</w:t>
            </w: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line="160" w:lineRule="exact"/>
              <w:rPr>
                <w:sz w:val="20"/>
                <w:szCs w:val="20"/>
                <w:color w:val="auto"/>
              </w:rPr>
            </w:pPr>
            <w:r>
              <w:rPr>
                <w:rFonts w:ascii="Arial" w:cs="Arial" w:eastAsia="Arial" w:hAnsi="Arial"/>
                <w:sz w:val="14"/>
                <w:szCs w:val="14"/>
                <w:color w:val="auto"/>
              </w:rPr>
              <w:t>expenses, net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980" w:type="dxa"/>
            <w:vAlign w:val="bottom"/>
            <w:shd w:val="clear" w:color="auto" w:fill="CCFFCC"/>
          </w:tcPr>
          <w:p>
            <w:pPr>
              <w:spacing w:after="0" w:line="123" w:lineRule="exact"/>
              <w:rPr>
                <w:sz w:val="20"/>
                <w:szCs w:val="20"/>
                <w:color w:val="auto"/>
              </w:rPr>
            </w:pPr>
            <w:r>
              <w:rPr>
                <w:rFonts w:ascii="Arial" w:cs="Arial" w:eastAsia="Arial" w:hAnsi="Arial"/>
                <w:sz w:val="14"/>
                <w:szCs w:val="14"/>
                <w:color w:val="auto"/>
              </w:rPr>
              <w:t>General and administrative</w:t>
            </w:r>
          </w:p>
        </w:tc>
        <w:tc>
          <w:tcPr>
            <w:tcW w:w="64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(2,545)</w:t>
            </w:r>
          </w:p>
        </w:tc>
        <w:tc>
          <w:tcPr>
            <w:tcW w:w="800" w:type="dxa"/>
            <w:vAlign w:val="bottom"/>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(1,771)</w:t>
            </w:r>
          </w:p>
        </w:tc>
        <w:tc>
          <w:tcPr>
            <w:tcW w:w="1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(2,932)</w:t>
            </w:r>
          </w:p>
        </w:tc>
        <w:tc>
          <w:tcPr>
            <w:tcW w:w="800" w:type="dxa"/>
            <w:vAlign w:val="bottom"/>
            <w:gridSpan w:val="3"/>
            <w:shd w:val="clear" w:color="auto" w:fill="CCFFCC"/>
          </w:tcPr>
          <w:p>
            <w:pPr>
              <w:jc w:val="right"/>
              <w:spacing w:after="0" w:line="123" w:lineRule="exact"/>
              <w:rPr>
                <w:sz w:val="20"/>
                <w:szCs w:val="20"/>
                <w:color w:val="auto"/>
              </w:rPr>
            </w:pPr>
            <w:r>
              <w:rPr>
                <w:rFonts w:ascii="Arial" w:cs="Arial" w:eastAsia="Arial" w:hAnsi="Arial"/>
                <w:sz w:val="14"/>
                <w:szCs w:val="14"/>
                <w:color w:val="auto"/>
              </w:rPr>
              <w:t>(2,137)</w:t>
            </w:r>
          </w:p>
        </w:tc>
        <w:tc>
          <w:tcPr>
            <w:tcW w:w="800" w:type="dxa"/>
            <w:vAlign w:val="bottom"/>
            <w:gridSpan w:val="3"/>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(2,935)</w:t>
            </w: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60"/>
              <w:spacing w:after="0" w:line="123" w:lineRule="exact"/>
              <w:rPr>
                <w:sz w:val="20"/>
                <w:szCs w:val="20"/>
                <w:color w:val="auto"/>
              </w:rPr>
            </w:pPr>
            <w:r>
              <w:rPr>
                <w:rFonts w:ascii="Arial" w:cs="Arial" w:eastAsia="Arial" w:hAnsi="Arial"/>
                <w:sz w:val="14"/>
                <w:szCs w:val="14"/>
                <w:color w:val="auto"/>
              </w:rPr>
              <w:t>(3,289)</w:t>
            </w: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(2,690)</w:t>
            </w:r>
          </w:p>
        </w:tc>
        <w:tc>
          <w:tcPr>
            <w:tcW w:w="800" w:type="dxa"/>
            <w:vAlign w:val="bottom"/>
            <w:gridSpan w:val="3"/>
            <w:shd w:val="clear" w:color="auto" w:fill="CCFFCC"/>
          </w:tcPr>
          <w:p>
            <w:pPr>
              <w:jc w:val="right"/>
              <w:ind w:right="40"/>
              <w:spacing w:after="0" w:line="123" w:lineRule="exact"/>
              <w:rPr>
                <w:sz w:val="20"/>
                <w:szCs w:val="20"/>
                <w:color w:val="auto"/>
              </w:rPr>
            </w:pPr>
            <w:r>
              <w:rPr>
                <w:rFonts w:ascii="Arial" w:cs="Arial" w:eastAsia="Arial" w:hAnsi="Arial"/>
                <w:sz w:val="14"/>
                <w:szCs w:val="14"/>
                <w:color w:val="auto"/>
              </w:rPr>
              <w:t>(5,961)</w:t>
            </w:r>
          </w:p>
        </w:tc>
        <w:tc>
          <w:tcPr>
            <w:tcW w:w="900" w:type="dxa"/>
            <w:vAlign w:val="bottom"/>
            <w:gridSpan w:val="3"/>
            <w:shd w:val="clear" w:color="auto" w:fill="CCFFCC"/>
          </w:tcPr>
          <w:p>
            <w:pPr>
              <w:jc w:val="right"/>
              <w:ind w:right="80"/>
              <w:spacing w:after="0" w:line="123" w:lineRule="exact"/>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60"/>
        </w:trPr>
        <w:tc>
          <w:tcPr>
            <w:tcW w:w="1980" w:type="dxa"/>
            <w:vAlign w:val="bottom"/>
            <w:shd w:val="clear" w:color="auto" w:fill="CCFFCC"/>
          </w:tcPr>
          <w:p>
            <w:pPr>
              <w:ind w:left="180"/>
              <w:spacing w:after="0" w:line="160" w:lineRule="exact"/>
              <w:rPr>
                <w:sz w:val="20"/>
                <w:szCs w:val="20"/>
                <w:color w:val="auto"/>
              </w:rPr>
            </w:pPr>
            <w:r>
              <w:rPr>
                <w:rFonts w:ascii="Arial" w:cs="Arial" w:eastAsia="Arial" w:hAnsi="Arial"/>
                <w:sz w:val="14"/>
                <w:szCs w:val="14"/>
                <w:color w:val="auto"/>
              </w:rPr>
              <w:t>expenses</w:t>
            </w:r>
          </w:p>
        </w:tc>
        <w:tc>
          <w:tcPr>
            <w:tcW w:w="5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980" w:type="dxa"/>
            <w:vAlign w:val="bottom"/>
          </w:tcPr>
          <w:p>
            <w:pPr>
              <w:spacing w:after="0" w:line="123" w:lineRule="exact"/>
              <w:rPr>
                <w:sz w:val="20"/>
                <w:szCs w:val="20"/>
                <w:color w:val="auto"/>
              </w:rPr>
            </w:pPr>
            <w:r>
              <w:rPr>
                <w:rFonts w:ascii="Arial" w:cs="Arial" w:eastAsia="Arial" w:hAnsi="Arial"/>
                <w:sz w:val="14"/>
                <w:szCs w:val="14"/>
                <w:color w:val="auto"/>
                <w:w w:val="99"/>
              </w:rPr>
              <w:t>Gain on adjusting options to fair</w:t>
            </w:r>
          </w:p>
        </w:tc>
        <w:tc>
          <w:tcPr>
            <w:tcW w:w="64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880" w:type="dxa"/>
            <w:vAlign w:val="bottom"/>
            <w:gridSpan w:val="4"/>
          </w:tcPr>
          <w:p>
            <w:pPr>
              <w:jc w:val="right"/>
              <w:ind w:right="340"/>
              <w:spacing w:after="0" w:line="12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31"/>
              <w:spacing w:after="0" w:line="12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00" w:type="dxa"/>
            <w:vAlign w:val="bottom"/>
            <w:gridSpan w:val="4"/>
          </w:tcPr>
          <w:p>
            <w:pPr>
              <w:jc w:val="right"/>
              <w:ind w:right="340"/>
              <w:spacing w:after="0" w:line="123" w:lineRule="exact"/>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320"/>
              <w:spacing w:after="0" w:line="12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line="160" w:lineRule="exact"/>
              <w:rPr>
                <w:sz w:val="20"/>
                <w:szCs w:val="20"/>
                <w:color w:val="auto"/>
              </w:rPr>
            </w:pPr>
            <w:r>
              <w:rPr>
                <w:rFonts w:ascii="Arial" w:cs="Arial" w:eastAsia="Arial" w:hAnsi="Arial"/>
                <w:sz w:val="14"/>
                <w:szCs w:val="14"/>
                <w:color w:val="auto"/>
              </w:rPr>
              <w:t>value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Operating profit (loss)</w:t>
            </w:r>
          </w:p>
        </w:tc>
        <w:tc>
          <w:tcPr>
            <w:tcW w:w="64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(29,454)</w:t>
            </w:r>
          </w:p>
        </w:tc>
        <w:tc>
          <w:tcPr>
            <w:tcW w:w="800" w:type="dxa"/>
            <w:vAlign w:val="bottom"/>
            <w:gridSpan w:val="3"/>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(26,180)</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w w:val="91"/>
              </w:rPr>
              <w:t>(17,099)</w:t>
            </w:r>
          </w:p>
        </w:tc>
        <w:tc>
          <w:tcPr>
            <w:tcW w:w="800" w:type="dxa"/>
            <w:vAlign w:val="bottom"/>
            <w:gridSpan w:val="3"/>
            <w:shd w:val="clear" w:color="auto" w:fill="CCFFCC"/>
          </w:tcPr>
          <w:p>
            <w:pPr>
              <w:jc w:val="right"/>
              <w:ind w:right="31"/>
              <w:spacing w:after="0" w:line="141" w:lineRule="exact"/>
              <w:rPr>
                <w:sz w:val="20"/>
                <w:szCs w:val="20"/>
                <w:color w:val="auto"/>
              </w:rPr>
            </w:pPr>
            <w:r>
              <w:rPr>
                <w:rFonts w:ascii="Arial" w:cs="Arial" w:eastAsia="Arial" w:hAnsi="Arial"/>
                <w:sz w:val="14"/>
                <w:szCs w:val="14"/>
                <w:color w:val="auto"/>
              </w:rPr>
              <w:t>9,451</w:t>
            </w:r>
          </w:p>
        </w:tc>
        <w:tc>
          <w:tcPr>
            <w:tcW w:w="800" w:type="dxa"/>
            <w:vAlign w:val="bottom"/>
            <w:gridSpan w:val="3"/>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(14,630)</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w w:val="91"/>
              </w:rPr>
              <w:t>(30,810)</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00"/>
              <w:spacing w:after="0" w:line="141" w:lineRule="exact"/>
              <w:rPr>
                <w:sz w:val="20"/>
                <w:szCs w:val="20"/>
                <w:color w:val="auto"/>
              </w:rPr>
            </w:pPr>
            <w:r>
              <w:rPr>
                <w:rFonts w:ascii="Arial" w:cs="Arial" w:eastAsia="Arial" w:hAnsi="Arial"/>
                <w:sz w:val="14"/>
                <w:szCs w:val="14"/>
                <w:color w:val="auto"/>
              </w:rPr>
              <w:t>76,840</w:t>
            </w:r>
          </w:p>
        </w:tc>
        <w:tc>
          <w:tcPr>
            <w:tcW w:w="800" w:type="dxa"/>
            <w:vAlign w:val="bottom"/>
            <w:gridSpan w:val="3"/>
            <w:shd w:val="clear" w:color="auto" w:fill="CCFFCC"/>
          </w:tcPr>
          <w:p>
            <w:pPr>
              <w:jc w:val="right"/>
              <w:ind w:right="40"/>
              <w:spacing w:after="0" w:line="141" w:lineRule="exact"/>
              <w:rPr>
                <w:sz w:val="20"/>
                <w:szCs w:val="20"/>
                <w:color w:val="auto"/>
              </w:rPr>
            </w:pPr>
            <w:r>
              <w:rPr>
                <w:rFonts w:ascii="Arial" w:cs="Arial" w:eastAsia="Arial" w:hAnsi="Arial"/>
                <w:sz w:val="14"/>
                <w:szCs w:val="14"/>
                <w:color w:val="auto"/>
              </w:rPr>
              <w:t>(18,261)</w:t>
            </w:r>
          </w:p>
        </w:tc>
        <w:tc>
          <w:tcPr>
            <w:tcW w:w="900" w:type="dxa"/>
            <w:vAlign w:val="bottom"/>
            <w:gridSpan w:val="3"/>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(10,060)</w:t>
            </w:r>
          </w:p>
        </w:tc>
        <w:tc>
          <w:tcPr>
            <w:tcW w:w="0" w:type="dxa"/>
            <w:vAlign w:val="bottom"/>
          </w:tcPr>
          <w:p>
            <w:pPr>
              <w:spacing w:after="0"/>
              <w:rPr>
                <w:sz w:val="1"/>
                <w:szCs w:val="1"/>
                <w:color w:val="auto"/>
              </w:rPr>
            </w:pPr>
          </w:p>
        </w:tc>
      </w:tr>
      <w:tr>
        <w:trPr>
          <w:trHeight w:val="20"/>
        </w:trPr>
        <w:tc>
          <w:tcPr>
            <w:tcW w:w="198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980" w:type="dxa"/>
            <w:vAlign w:val="bottom"/>
          </w:tcPr>
          <w:p>
            <w:pPr>
              <w:spacing w:after="0" w:line="135" w:lineRule="exact"/>
              <w:rPr>
                <w:sz w:val="20"/>
                <w:szCs w:val="20"/>
                <w:color w:val="auto"/>
              </w:rPr>
            </w:pPr>
            <w:r>
              <w:rPr>
                <w:rFonts w:ascii="Arial" w:cs="Arial" w:eastAsia="Arial" w:hAnsi="Arial"/>
                <w:sz w:val="14"/>
                <w:szCs w:val="14"/>
                <w:color w:val="auto"/>
              </w:rPr>
              <w:t>Financial income, net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3,790</w:t>
            </w: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63</w:t>
            </w:r>
          </w:p>
        </w:tc>
        <w:tc>
          <w:tcPr>
            <w:tcW w:w="800" w:type="dxa"/>
            <w:vAlign w:val="bottom"/>
            <w:gridSpan w:val="3"/>
          </w:tcPr>
          <w:p>
            <w:pPr>
              <w:jc w:val="right"/>
              <w:ind w:right="31"/>
              <w:spacing w:after="0" w:line="135" w:lineRule="exact"/>
              <w:rPr>
                <w:sz w:val="20"/>
                <w:szCs w:val="20"/>
                <w:color w:val="auto"/>
              </w:rPr>
            </w:pPr>
            <w:r>
              <w:rPr>
                <w:rFonts w:ascii="Arial" w:cs="Arial" w:eastAsia="Arial" w:hAnsi="Arial"/>
                <w:sz w:val="14"/>
                <w:szCs w:val="14"/>
                <w:color w:val="auto"/>
              </w:rPr>
              <w:t>66</w:t>
            </w: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2,685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20"/>
              <w:spacing w:after="0" w:line="135"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41"/>
        </w:trPr>
        <w:tc>
          <w:tcPr>
            <w:tcW w:w="1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Financial expenses, net</w:t>
            </w:r>
          </w:p>
        </w:tc>
        <w:tc>
          <w:tcPr>
            <w:tcW w:w="64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(29)</w:t>
            </w:r>
          </w:p>
        </w:tc>
        <w:tc>
          <w:tcPr>
            <w:tcW w:w="800" w:type="dxa"/>
            <w:vAlign w:val="bottom"/>
            <w:gridSpan w:val="3"/>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(1,710)</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(181)</w:t>
            </w:r>
          </w:p>
        </w:tc>
        <w:tc>
          <w:tcPr>
            <w:tcW w:w="800" w:type="dxa"/>
            <w:vAlign w:val="bottom"/>
            <w:gridSpan w:val="3"/>
            <w:shd w:val="clear" w:color="auto" w:fill="CCFFCC"/>
          </w:tcPr>
          <w:p>
            <w:pPr>
              <w:jc w:val="right"/>
              <w:spacing w:after="0" w:line="141" w:lineRule="exact"/>
              <w:rPr>
                <w:sz w:val="20"/>
                <w:szCs w:val="20"/>
                <w:color w:val="auto"/>
              </w:rPr>
            </w:pPr>
            <w:r>
              <w:rPr>
                <w:rFonts w:ascii="Arial" w:cs="Arial" w:eastAsia="Arial" w:hAnsi="Arial"/>
                <w:sz w:val="14"/>
                <w:szCs w:val="14"/>
                <w:color w:val="auto"/>
              </w:rPr>
              <w:t>(244)</w:t>
            </w:r>
          </w:p>
        </w:tc>
        <w:tc>
          <w:tcPr>
            <w:tcW w:w="800" w:type="dxa"/>
            <w:vAlign w:val="bottom"/>
            <w:gridSpan w:val="3"/>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(1,038)</w:t>
            </w: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60"/>
              <w:spacing w:after="0" w:line="141" w:lineRule="exact"/>
              <w:rPr>
                <w:sz w:val="20"/>
                <w:szCs w:val="20"/>
                <w:color w:val="auto"/>
              </w:rPr>
            </w:pPr>
            <w:r>
              <w:rPr>
                <w:rFonts w:ascii="Arial" w:cs="Arial" w:eastAsia="Arial" w:hAnsi="Arial"/>
                <w:sz w:val="14"/>
                <w:szCs w:val="14"/>
                <w:color w:val="auto"/>
              </w:rPr>
              <w:t>(24)</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40"/>
              <w:spacing w:after="0" w:line="141" w:lineRule="exact"/>
              <w:rPr>
                <w:sz w:val="20"/>
                <w:szCs w:val="20"/>
                <w:color w:val="auto"/>
              </w:rPr>
            </w:pPr>
            <w:r>
              <w:rPr>
                <w:rFonts w:ascii="Arial" w:cs="Arial" w:eastAsia="Arial" w:hAnsi="Arial"/>
                <w:sz w:val="14"/>
                <w:szCs w:val="14"/>
                <w:color w:val="auto"/>
              </w:rPr>
              <w:t>(3,869)</w:t>
            </w:r>
          </w:p>
        </w:tc>
        <w:tc>
          <w:tcPr>
            <w:tcW w:w="800" w:type="dxa"/>
            <w:vAlign w:val="bottom"/>
            <w:gridSpan w:val="3"/>
            <w:shd w:val="clear" w:color="auto" w:fill="CCFFCC"/>
          </w:tcPr>
          <w:p>
            <w:pPr>
              <w:jc w:val="right"/>
              <w:ind w:right="40"/>
              <w:spacing w:after="0" w:line="141" w:lineRule="exact"/>
              <w:rPr>
                <w:sz w:val="20"/>
                <w:szCs w:val="20"/>
                <w:color w:val="auto"/>
              </w:rPr>
            </w:pPr>
            <w:r>
              <w:rPr>
                <w:rFonts w:ascii="Arial" w:cs="Arial" w:eastAsia="Arial" w:hAnsi="Arial"/>
                <w:sz w:val="14"/>
                <w:szCs w:val="14"/>
                <w:color w:val="auto"/>
              </w:rPr>
              <w:t>(3,824)</w:t>
            </w:r>
          </w:p>
        </w:tc>
        <w:tc>
          <w:tcPr>
            <w:tcW w:w="900" w:type="dxa"/>
            <w:vAlign w:val="bottom"/>
            <w:gridSpan w:val="3"/>
            <w:shd w:val="clear" w:color="auto" w:fill="CCFFCC"/>
          </w:tcPr>
          <w:p>
            <w:pPr>
              <w:jc w:val="right"/>
              <w:ind w:right="80"/>
              <w:spacing w:after="0" w:line="141" w:lineRule="exact"/>
              <w:rPr>
                <w:sz w:val="20"/>
                <w:szCs w:val="20"/>
                <w:color w:val="auto"/>
              </w:rPr>
            </w:pPr>
            <w:r>
              <w:rPr>
                <w:rFonts w:ascii="Arial" w:cs="Arial" w:eastAsia="Arial" w:hAnsi="Arial"/>
                <w:sz w:val="14"/>
                <w:szCs w:val="14"/>
                <w:color w:val="auto"/>
              </w:rPr>
              <w:t>(2,767)</w:t>
            </w:r>
          </w:p>
        </w:tc>
        <w:tc>
          <w:tcPr>
            <w:tcW w:w="0" w:type="dxa"/>
            <w:vAlign w:val="bottom"/>
          </w:tcPr>
          <w:p>
            <w:pPr>
              <w:spacing w:after="0"/>
              <w:rPr>
                <w:sz w:val="1"/>
                <w:szCs w:val="1"/>
                <w:color w:val="auto"/>
              </w:rPr>
            </w:pPr>
          </w:p>
        </w:tc>
      </w:tr>
      <w:tr>
        <w:trPr>
          <w:trHeight w:val="20"/>
        </w:trPr>
        <w:tc>
          <w:tcPr>
            <w:tcW w:w="198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980" w:type="dxa"/>
            <w:vAlign w:val="bottom"/>
          </w:tcPr>
          <w:p>
            <w:pPr>
              <w:spacing w:after="0" w:line="135" w:lineRule="exact"/>
              <w:rPr>
                <w:sz w:val="20"/>
                <w:szCs w:val="20"/>
                <w:color w:val="auto"/>
              </w:rPr>
            </w:pPr>
            <w:r>
              <w:rPr>
                <w:rFonts w:ascii="Arial" w:cs="Arial" w:eastAsia="Arial" w:hAnsi="Arial"/>
                <w:sz w:val="14"/>
                <w:szCs w:val="14"/>
                <w:color w:val="auto"/>
              </w:rPr>
              <w:t>Net profit (loss)</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(25,693)</w:t>
            </w: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4"/>
                <w:szCs w:val="14"/>
                <w:color w:val="auto"/>
              </w:rPr>
              <w:t>(27,881)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w w:val="91"/>
              </w:rPr>
              <w:t>(17,217)</w:t>
            </w:r>
          </w:p>
        </w:tc>
        <w:tc>
          <w:tcPr>
            <w:tcW w:w="800" w:type="dxa"/>
            <w:vAlign w:val="bottom"/>
            <w:gridSpan w:val="3"/>
          </w:tcPr>
          <w:p>
            <w:pPr>
              <w:jc w:val="right"/>
              <w:ind w:right="31"/>
              <w:spacing w:after="0" w:line="135" w:lineRule="exact"/>
              <w:rPr>
                <w:sz w:val="20"/>
                <w:szCs w:val="20"/>
                <w:color w:val="auto"/>
              </w:rPr>
            </w:pPr>
            <w:r>
              <w:rPr>
                <w:rFonts w:ascii="Arial" w:cs="Arial" w:eastAsia="Arial" w:hAnsi="Arial"/>
                <w:sz w:val="14"/>
                <w:szCs w:val="14"/>
                <w:color w:val="auto"/>
              </w:rPr>
              <w:t>9,273</w:t>
            </w: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4"/>
                <w:szCs w:val="14"/>
                <w:color w:val="auto"/>
              </w:rPr>
              <w:t>(15,475)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w w:val="91"/>
              </w:rPr>
              <w:t>(28,149)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73,149</w:t>
            </w:r>
          </w:p>
        </w:tc>
        <w:tc>
          <w:tcPr>
            <w:tcW w:w="800" w:type="dxa"/>
            <w:vAlign w:val="bottom"/>
            <w:gridSpan w:val="3"/>
          </w:tcPr>
          <w:p>
            <w:pPr>
              <w:jc w:val="right"/>
              <w:ind w:right="40"/>
              <w:spacing w:after="0" w:line="135" w:lineRule="exact"/>
              <w:rPr>
                <w:sz w:val="20"/>
                <w:szCs w:val="20"/>
                <w:color w:val="auto"/>
              </w:rPr>
            </w:pPr>
            <w:r>
              <w:rPr>
                <w:rFonts w:ascii="Arial" w:cs="Arial" w:eastAsia="Arial" w:hAnsi="Arial"/>
                <w:sz w:val="14"/>
                <w:szCs w:val="14"/>
                <w:color w:val="auto"/>
              </w:rPr>
              <w:t>(22,085)</w:t>
            </w:r>
          </w:p>
        </w:tc>
        <w:tc>
          <w:tcPr>
            <w:tcW w:w="900" w:type="dxa"/>
            <w:vAlign w:val="bottom"/>
            <w:gridSpan w:val="3"/>
          </w:tcPr>
          <w:p>
            <w:pPr>
              <w:jc w:val="right"/>
              <w:ind w:right="80"/>
              <w:spacing w:after="0" w:line="135" w:lineRule="exact"/>
              <w:rPr>
                <w:sz w:val="20"/>
                <w:szCs w:val="20"/>
                <w:color w:val="auto"/>
              </w:rPr>
            </w:pPr>
            <w:r>
              <w:rPr>
                <w:rFonts w:ascii="Arial" w:cs="Arial" w:eastAsia="Arial" w:hAnsi="Arial"/>
                <w:sz w:val="14"/>
                <w:szCs w:val="14"/>
                <w:color w:val="auto"/>
              </w:rPr>
              <w:t>(11,644)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5782945" cy="97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82945" cy="977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5782945" cy="1308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82945" cy="130810"/>
                    </a:xfrm>
                    <a:prstGeom prst="rect">
                      <a:avLst/>
                    </a:prstGeom>
                    <a:noFill/>
                  </pic:spPr>
                </pic:pic>
              </a:graphicData>
            </a:graphic>
          </wp:anchor>
        </w:drawing>
      </w:r>
    </w:p>
    <w:p>
      <w:pPr>
        <w:spacing w:after="0" w:line="70" w:lineRule="exact"/>
        <w:rPr>
          <w:sz w:val="20"/>
          <w:szCs w:val="20"/>
          <w:color w:val="auto"/>
        </w:rPr>
      </w:pPr>
    </w:p>
    <w:p>
      <w:pPr>
        <w:ind w:left="60" w:right="1079" w:firstLine="257"/>
        <w:spacing w:after="0" w:line="265" w:lineRule="auto"/>
        <w:rPr>
          <w:sz w:val="20"/>
          <w:szCs w:val="20"/>
          <w:color w:val="auto"/>
        </w:rPr>
      </w:pPr>
      <w:r>
        <w:rPr>
          <w:rFonts w:ascii="Arial" w:cs="Arial" w:eastAsia="Arial" w:hAnsi="Arial"/>
          <w:sz w:val="17"/>
          <w:szCs w:val="17"/>
          <w:color w:val="auto"/>
        </w:rPr>
        <w:t>Our quarterly revenues and operating results of operations have varied in the past and can be expected to vary in the future due to numerous factors. We believe that period-to-period comparisons of our operating results are not necessarily meaningful and should not be relied upon as indications of future performance.</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color w:val="auto"/>
        </w:rPr>
        <w:t>Since inception, we have funded our operations primarily through public (in Israel) and private offerings of our equity securities, grants and loans from the OCS, and payments received under our strategic licensing arrangements. Since inception, we have raised approximately NIS 381.7 million in net proceeds from sales of our equity securities, including NIS 198.0 million from our initial public offering of ordinary shares and warrants on the TASE in February 2007, after deduction of offering expenses, NIS 51.8 million, after deduction of offering expenses, from our rights offering of ordinary shares completed in July 2009 and NIS 45.7 million, after deduction of offering expenses, from our follow-on offering in December 2009. At December 31, 2010, we held approximately NIS 140.2 million in cash and cash equivalents, and have invested substantially all of our available cash funds in short-term bank deposits. In October 2009, we received the first payment of $7.0 million in connection with our licensing arrangement with Ikaria. In April 2010, we received a milestone payment of $10.0 million from Ikaria which was subject to U.S. withholding tax of approximately $1.5 million. In August 2010, we received a payment of $30.0 million from Cypress Bioscience and, subsequently, we paid the OCS $3.0 million, and paid Bar Ilan Research and Development and Ramot, the institutions from which we in-licensed the rights to BL-1020, $6.75 million, in the aggregate. We may be able to use U.S. taxes withheld as credits against Israeli corporate income tax when we have income, if at all, but</w:t>
      </w: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79"/>
        <w:spacing w:after="0" w:line="347" w:lineRule="auto"/>
        <w:rPr>
          <w:sz w:val="20"/>
          <w:szCs w:val="20"/>
          <w:color w:val="auto"/>
        </w:rPr>
      </w:pPr>
      <w:r>
        <w:rPr>
          <w:rFonts w:ascii="Arial" w:cs="Arial" w:eastAsia="Arial" w:hAnsi="Arial"/>
          <w:sz w:val="15"/>
          <w:szCs w:val="15"/>
          <w:color w:val="auto"/>
        </w:rPr>
        <w:t>there can be no assurance that we will be able to realize the credits. In addition, we believe that we may be able to get a refund of such withholding tax from the U.S. government but there can be no assurance that we will be able to get such a refund.</w:t>
      </w:r>
    </w:p>
    <w:p>
      <w:pPr>
        <w:spacing w:after="0" w:line="16" w:lineRule="exact"/>
        <w:rPr>
          <w:sz w:val="20"/>
          <w:szCs w:val="20"/>
          <w:color w:val="auto"/>
        </w:rPr>
      </w:pPr>
    </w:p>
    <w:p>
      <w:pPr>
        <w:ind w:left="60" w:right="1139" w:firstLine="257"/>
        <w:spacing w:after="0" w:line="259" w:lineRule="auto"/>
        <w:rPr>
          <w:sz w:val="20"/>
          <w:szCs w:val="20"/>
          <w:color w:val="auto"/>
        </w:rPr>
      </w:pPr>
      <w:r>
        <w:rPr>
          <w:rFonts w:ascii="Arial" w:cs="Arial" w:eastAsia="Arial" w:hAnsi="Arial"/>
          <w:sz w:val="17"/>
          <w:szCs w:val="17"/>
          <w:color w:val="auto"/>
        </w:rPr>
        <w:t>Net cash provided by operating activities was NIS 40.7 million for the year ended December 31, 2010, compared with cash used in operating activities of NIS 84.5 million and NIS 93.8 million for the years ended December 31, 2009 and 2008, respectively. The NIS 125.2 million increase in net cash provided by operating activities during 2010, compared to 2009, was primarily the result of the upfront payment we received in 2010 from Cypress Bioscience, as well as the reduction in research and development expenses in 2010.</w:t>
      </w:r>
    </w:p>
    <w:p>
      <w:pPr>
        <w:spacing w:after="0" w:line="77" w:lineRule="exact"/>
        <w:rPr>
          <w:sz w:val="20"/>
          <w:szCs w:val="20"/>
          <w:color w:val="auto"/>
        </w:rPr>
      </w:pPr>
    </w:p>
    <w:p>
      <w:pPr>
        <w:ind w:left="60" w:right="1079" w:firstLine="257"/>
        <w:spacing w:after="0" w:line="261" w:lineRule="auto"/>
        <w:rPr>
          <w:sz w:val="20"/>
          <w:szCs w:val="20"/>
          <w:color w:val="auto"/>
        </w:rPr>
      </w:pPr>
      <w:r>
        <w:rPr>
          <w:rFonts w:ascii="Arial" w:cs="Arial" w:eastAsia="Arial" w:hAnsi="Arial"/>
          <w:sz w:val="17"/>
          <w:szCs w:val="17"/>
          <w:color w:val="auto"/>
        </w:rPr>
        <w:t>Net cash used in investing activities for the year ended December 31, 2010 was NIS 29.5 million, compared to net cash provided by investing activities of NIS 30.8 million for the year ended December 31, 2009 and net cash used in investing activities of NIS 33.3 for the year ended December 31, 2008. The changes in cash flows from investing activities relate primarily to investments in, and maturities of, short-term bank deposits and other investments.</w:t>
      </w:r>
    </w:p>
    <w:p>
      <w:pPr>
        <w:spacing w:after="0" w:line="76" w:lineRule="exact"/>
        <w:rPr>
          <w:sz w:val="20"/>
          <w:szCs w:val="20"/>
          <w:color w:val="auto"/>
        </w:rPr>
      </w:pPr>
    </w:p>
    <w:p>
      <w:pPr>
        <w:ind w:left="60" w:right="1199" w:firstLine="257"/>
        <w:spacing w:after="0" w:line="317" w:lineRule="auto"/>
        <w:rPr>
          <w:sz w:val="20"/>
          <w:szCs w:val="20"/>
          <w:color w:val="auto"/>
        </w:rPr>
      </w:pPr>
      <w:r>
        <w:rPr>
          <w:rFonts w:ascii="Arial" w:cs="Arial" w:eastAsia="Arial" w:hAnsi="Arial"/>
          <w:sz w:val="15"/>
          <w:szCs w:val="15"/>
          <w:color w:val="auto"/>
        </w:rPr>
        <w:t>Net cash provided by financing activities amounted to NIS 0.8 million for the year ended December 31, 2010, relating to the proceeds of a bank loan used for the acquisition of laboratory equipment. Net cash provided by financing activities of NIS 97.7 million for the year ended December 31, 2009 reflects the two public offerings of equity securities which we carried out in 2009.</w:t>
      </w:r>
    </w:p>
    <w:p>
      <w:pPr>
        <w:spacing w:after="0" w:line="37"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Developing drugs, conducting clinical trials and commercializing products is expensive and we will need to raise substantial additional funds to achieve our strategic objectives. Although we believe our existing cash resources will be sufficient to fund our projected cash requirements through the end of 2012, we will require significant additional financing in the future to fund our operations. Additional financing may not be available on acceptable terms, if at all. Our future capital requirements will depend on many factors, including:</w:t>
      </w:r>
    </w:p>
    <w:p>
      <w:pPr>
        <w:spacing w:after="0" w:line="77" w:lineRule="exact"/>
        <w:rPr>
          <w:sz w:val="20"/>
          <w:szCs w:val="20"/>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progress and costs of our preclinical studies, clinical trials and other research and development activities;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scope, prioritization and number of our clinical trials and other research and development programs;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 of revenues we receive under our collaboration or licensing arrangements;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of the development and expansion of our operational infrastructure;</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and timing of obtaining regulatory approval of our therapeutic candidates;</w:t>
      </w:r>
    </w:p>
    <w:p>
      <w:pPr>
        <w:spacing w:after="0" w:line="113" w:lineRule="exact"/>
        <w:rPr>
          <w:rFonts w:ascii="Arial" w:cs="Arial" w:eastAsia="Arial" w:hAnsi="Arial"/>
          <w:sz w:val="17"/>
          <w:szCs w:val="17"/>
          <w:color w:val="auto"/>
        </w:rPr>
      </w:pPr>
    </w:p>
    <w:p>
      <w:pPr>
        <w:ind w:left="580" w:right="1219" w:hanging="307"/>
        <w:spacing w:after="0" w:line="278"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of our collaborators to achieve development milestones, marketing approval and other events or developments under our collaboration agreements;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of filing, prosecuting, enforcing and defending patent claims and other intellectual property rights;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and timing of securing manufacturing arrangements for clinical or commercial production;</w:t>
      </w:r>
    </w:p>
    <w:p>
      <w:pPr>
        <w:spacing w:after="0" w:line="113" w:lineRule="exact"/>
        <w:rPr>
          <w:rFonts w:ascii="Arial" w:cs="Arial" w:eastAsia="Arial" w:hAnsi="Arial"/>
          <w:sz w:val="17"/>
          <w:szCs w:val="17"/>
          <w:color w:val="auto"/>
        </w:rPr>
      </w:pPr>
    </w:p>
    <w:p>
      <w:pPr>
        <w:ind w:left="580" w:right="1219" w:hanging="307"/>
        <w:spacing w:after="0" w:line="278"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of establishing sales and marketing capabilities or contracting with third parties to provide these capabilities for us;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acquiring or undertaking development and commercialization efforts for any future product candidates;</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magnitude of our general and administrative expenses;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cost that we may incur under current and future licensing arrangements relating to our therapeutic candidates; and</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payments to the OCS.</w:t>
      </w:r>
    </w:p>
    <w:p>
      <w:pPr>
        <w:spacing w:after="0" w:line="113" w:lineRule="exact"/>
        <w:rPr>
          <w:sz w:val="20"/>
          <w:szCs w:val="20"/>
          <w:color w:val="auto"/>
        </w:rPr>
      </w:pPr>
    </w:p>
    <w:p>
      <w:pPr>
        <w:ind w:left="60" w:right="1239" w:firstLine="257"/>
        <w:spacing w:after="0" w:line="265" w:lineRule="auto"/>
        <w:rPr>
          <w:sz w:val="20"/>
          <w:szCs w:val="20"/>
          <w:color w:val="auto"/>
        </w:rPr>
      </w:pPr>
      <w:r>
        <w:rPr>
          <w:rFonts w:ascii="Arial" w:cs="Arial" w:eastAsia="Arial" w:hAnsi="Arial"/>
          <w:sz w:val="17"/>
          <w:szCs w:val="17"/>
          <w:color w:val="auto"/>
        </w:rPr>
        <w:t>Until we can generate significant continuing revenues, we expect to satisfy our future cash needs through payments received under our collaborations, debt or equity financings, or by out-licensing other product candidates. We cannot be certain that additional funding will be available to us on acceptable terms, or at all.</w:t>
      </w:r>
    </w:p>
    <w:p>
      <w:pPr>
        <w:spacing w:after="0" w:line="200" w:lineRule="exact"/>
        <w:rPr>
          <w:sz w:val="20"/>
          <w:szCs w:val="20"/>
          <w:color w:val="auto"/>
        </w:rPr>
      </w:pPr>
    </w:p>
    <w:p>
      <w:pPr>
        <w:spacing w:after="0" w:line="29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859"/>
        <w:spacing w:after="0" w:line="278" w:lineRule="auto"/>
        <w:rPr>
          <w:sz w:val="20"/>
          <w:szCs w:val="20"/>
          <w:color w:val="auto"/>
        </w:rPr>
      </w:pPr>
      <w:r>
        <w:rPr>
          <w:rFonts w:ascii="Arial" w:cs="Arial" w:eastAsia="Arial" w:hAnsi="Arial"/>
          <w:sz w:val="17"/>
          <w:szCs w:val="17"/>
          <w:color w:val="auto"/>
        </w:rPr>
        <w:t>If funds are not available, we may be required to delay, reduce the scope of, or eliminate one or more of our research or development programs or our commercialization efforts.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Off-Balance Sheet Arrangements</w:t>
      </w:r>
    </w:p>
    <w:p>
      <w:pPr>
        <w:spacing w:after="0" w:line="119"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Since inception, 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Contractual Obligations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significant contractual obligations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9663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800" w:type="dxa"/>
            <w:vAlign w:val="bottom"/>
          </w:tcPr>
          <w:p>
            <w:pPr>
              <w:ind w:left="2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Less than</w:t>
            </w:r>
          </w:p>
        </w:tc>
        <w:tc>
          <w:tcPr>
            <w:tcW w:w="200" w:type="dxa"/>
            <w:vAlign w:val="bottom"/>
          </w:tcPr>
          <w:p>
            <w:pPr>
              <w:spacing w:after="0"/>
              <w:rPr>
                <w:sz w:val="14"/>
                <w:szCs w:val="14"/>
                <w:color w:val="auto"/>
              </w:rPr>
            </w:pPr>
          </w:p>
        </w:tc>
        <w:tc>
          <w:tcPr>
            <w:tcW w:w="820" w:type="dxa"/>
            <w:vAlign w:val="bottom"/>
          </w:tcPr>
          <w:p>
            <w:pPr>
              <w:jc w:val="center"/>
              <w:ind w:left="6"/>
              <w:spacing w:after="0"/>
              <w:rPr>
                <w:sz w:val="20"/>
                <w:szCs w:val="20"/>
                <w:color w:val="auto"/>
              </w:rPr>
            </w:pPr>
            <w:r>
              <w:rPr>
                <w:rFonts w:ascii="Arial" w:cs="Arial" w:eastAsia="Arial" w:hAnsi="Arial"/>
                <w:sz w:val="14"/>
                <w:szCs w:val="14"/>
                <w:b w:val="1"/>
                <w:bCs w:val="1"/>
                <w:color w:val="auto"/>
                <w:w w:val="86"/>
              </w:rPr>
              <w:t>1 – 3 years</w:t>
            </w: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3 – 5 years</w:t>
            </w:r>
          </w:p>
        </w:tc>
        <w:tc>
          <w:tcPr>
            <w:tcW w:w="16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More than</w:t>
            </w:r>
          </w:p>
        </w:tc>
      </w:tr>
      <w:tr>
        <w:trPr>
          <w:trHeight w:val="164"/>
        </w:trPr>
        <w:tc>
          <w:tcPr>
            <w:tcW w:w="2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5 years</w:t>
            </w:r>
          </w:p>
        </w:tc>
      </w:tr>
      <w:tr>
        <w:trPr>
          <w:trHeight w:val="186"/>
        </w:trPr>
        <w:tc>
          <w:tcPr>
            <w:tcW w:w="2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6"/>
              <w:spacing w:after="0"/>
              <w:rPr>
                <w:sz w:val="20"/>
                <w:szCs w:val="20"/>
                <w:color w:val="auto"/>
              </w:rPr>
            </w:pPr>
            <w:r>
              <w:rPr>
                <w:rFonts w:ascii="Arial" w:cs="Arial" w:eastAsia="Arial" w:hAnsi="Arial"/>
                <w:sz w:val="14"/>
                <w:szCs w:val="14"/>
                <w:color w:val="auto"/>
                <w:w w:val="92"/>
              </w:rPr>
              <w:t>(in NIS)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7"/>
                <w:szCs w:val="17"/>
                <w:color w:val="auto"/>
              </w:rPr>
              <w:t>Car leasing obligations</w:t>
            </w:r>
          </w:p>
        </w:tc>
        <w:tc>
          <w:tcPr>
            <w:tcW w:w="800" w:type="dxa"/>
            <w:vAlign w:val="bottom"/>
          </w:tcPr>
          <w:p>
            <w:pPr>
              <w:jc w:val="right"/>
              <w:spacing w:after="0"/>
              <w:rPr>
                <w:sz w:val="20"/>
                <w:szCs w:val="20"/>
                <w:color w:val="auto"/>
              </w:rPr>
            </w:pPr>
            <w:r>
              <w:rPr>
                <w:rFonts w:ascii="Arial" w:cs="Arial" w:eastAsia="Arial" w:hAnsi="Arial"/>
                <w:sz w:val="17"/>
                <w:szCs w:val="17"/>
                <w:color w:val="auto"/>
              </w:rPr>
              <w:t>1,816,000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976,000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840,000</w:t>
            </w:r>
          </w:p>
        </w:tc>
        <w:tc>
          <w:tcPr>
            <w:tcW w:w="2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Arial" w:cs="Arial" w:eastAsia="Arial" w:hAnsi="Arial"/>
                <w:sz w:val="17"/>
                <w:szCs w:val="17"/>
                <w:color w:val="auto"/>
              </w:rPr>
              <w:t>—</w:t>
            </w:r>
          </w:p>
        </w:tc>
      </w:tr>
      <w:tr>
        <w:trPr>
          <w:trHeight w:val="207"/>
        </w:trPr>
        <w:tc>
          <w:tcPr>
            <w:tcW w:w="2860" w:type="dxa"/>
            <w:vAlign w:val="bottom"/>
            <w:shd w:val="clear" w:color="auto" w:fill="CCFFCC"/>
          </w:tcPr>
          <w:p>
            <w:pPr>
              <w:spacing w:after="0"/>
              <w:rPr>
                <w:sz w:val="20"/>
                <w:szCs w:val="20"/>
                <w:color w:val="auto"/>
              </w:rPr>
            </w:pPr>
            <w:r>
              <w:rPr>
                <w:rFonts w:ascii="Arial" w:cs="Arial" w:eastAsia="Arial" w:hAnsi="Arial"/>
                <w:sz w:val="17"/>
                <w:szCs w:val="17"/>
                <w:color w:val="auto"/>
              </w:rPr>
              <w:t>Premises leasing obligations</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1,660,000</w:t>
            </w:r>
          </w:p>
        </w:tc>
        <w:tc>
          <w:tcPr>
            <w:tcW w:w="10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836,000</w:t>
            </w:r>
          </w:p>
        </w:tc>
        <w:tc>
          <w:tcPr>
            <w:tcW w:w="10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824,000</w:t>
            </w:r>
          </w:p>
        </w:tc>
        <w:tc>
          <w:tcPr>
            <w:tcW w:w="200" w:type="dxa"/>
            <w:vAlign w:val="bottom"/>
            <w:tcBorders>
              <w:left w:val="single" w:sz="8" w:color="CCFFCC"/>
            </w:tcBorders>
            <w:shd w:val="clear" w:color="auto" w:fill="CCFFCC"/>
          </w:tcPr>
          <w:p>
            <w:pPr>
              <w:spacing w:after="0"/>
              <w:rPr>
                <w:sz w:val="17"/>
                <w:szCs w:val="17"/>
                <w:color w:val="auto"/>
              </w:rPr>
            </w:pPr>
          </w:p>
        </w:tc>
        <w:tc>
          <w:tcPr>
            <w:tcW w:w="840" w:type="dxa"/>
            <w:vAlign w:val="bottom"/>
            <w:gridSpan w:val="2"/>
            <w:shd w:val="clear" w:color="auto" w:fill="CCFFCC"/>
          </w:tcPr>
          <w:p>
            <w:pPr>
              <w:ind w:left="5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ind w:left="620"/>
              <w:spacing w:after="0"/>
              <w:rPr>
                <w:sz w:val="20"/>
                <w:szCs w:val="20"/>
                <w:color w:val="auto"/>
              </w:rPr>
            </w:pPr>
            <w:r>
              <w:rPr>
                <w:rFonts w:ascii="Arial" w:cs="Arial" w:eastAsia="Arial" w:hAnsi="Arial"/>
                <w:sz w:val="17"/>
                <w:szCs w:val="17"/>
                <w:color w:val="auto"/>
              </w:rPr>
              <w:t>—</w:t>
            </w:r>
          </w:p>
        </w:tc>
      </w:tr>
      <w:tr>
        <w:trPr>
          <w:trHeight w:val="206"/>
        </w:trPr>
        <w:tc>
          <w:tcPr>
            <w:tcW w:w="2860" w:type="dxa"/>
            <w:vAlign w:val="bottom"/>
          </w:tcPr>
          <w:p>
            <w:pPr>
              <w:spacing w:after="0"/>
              <w:rPr>
                <w:sz w:val="20"/>
                <w:szCs w:val="20"/>
                <w:color w:val="auto"/>
              </w:rPr>
            </w:pPr>
            <w:r>
              <w:rPr>
                <w:rFonts w:ascii="Arial" w:cs="Arial" w:eastAsia="Arial" w:hAnsi="Arial"/>
                <w:sz w:val="17"/>
                <w:szCs w:val="17"/>
                <w:color w:val="auto"/>
              </w:rPr>
              <w:t>Purchase commitments</w:t>
            </w:r>
          </w:p>
        </w:tc>
        <w:tc>
          <w:tcPr>
            <w:tcW w:w="800" w:type="dxa"/>
            <w:vAlign w:val="bottom"/>
          </w:tcPr>
          <w:p>
            <w:pPr>
              <w:jc w:val="right"/>
              <w:spacing w:after="0"/>
              <w:rPr>
                <w:sz w:val="20"/>
                <w:szCs w:val="20"/>
                <w:color w:val="auto"/>
              </w:rPr>
            </w:pPr>
            <w:r>
              <w:rPr>
                <w:rFonts w:ascii="Arial" w:cs="Arial" w:eastAsia="Arial" w:hAnsi="Arial"/>
                <w:sz w:val="17"/>
                <w:szCs w:val="17"/>
                <w:color w:val="auto"/>
              </w:rPr>
              <w:t>1,775,000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1,775,000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7"/>
                <w:szCs w:val="17"/>
                <w:color w:val="auto"/>
              </w:rPr>
              <w:t>—</w:t>
            </w:r>
          </w:p>
        </w:tc>
      </w:tr>
      <w:tr>
        <w:trPr>
          <w:trHeight w:val="20"/>
        </w:trPr>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2860" w:type="dxa"/>
            <w:vAlign w:val="bottom"/>
            <w:shd w:val="clear" w:color="auto" w:fill="CCFFCC"/>
          </w:tcPr>
          <w:p>
            <w:pPr>
              <w:spacing w:after="0"/>
              <w:rPr>
                <w:sz w:val="20"/>
                <w:szCs w:val="20"/>
                <w:color w:val="auto"/>
              </w:rPr>
            </w:pPr>
            <w:r>
              <w:rPr>
                <w:rFonts w:ascii="Arial" w:cs="Arial" w:eastAsia="Arial" w:hAnsi="Arial"/>
                <w:sz w:val="17"/>
                <w:szCs w:val="17"/>
                <w:color w:val="auto"/>
              </w:rPr>
              <w:t>Total</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5,251,000</w:t>
            </w:r>
          </w:p>
        </w:tc>
        <w:tc>
          <w:tcPr>
            <w:tcW w:w="10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3,587,000</w:t>
            </w:r>
          </w:p>
        </w:tc>
        <w:tc>
          <w:tcPr>
            <w:tcW w:w="10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1,664,000</w:t>
            </w:r>
          </w:p>
        </w:tc>
        <w:tc>
          <w:tcPr>
            <w:tcW w:w="200" w:type="dxa"/>
            <w:vAlign w:val="bottom"/>
            <w:tcBorders>
              <w:left w:val="single" w:sz="8" w:color="CCFFCC"/>
            </w:tcBorders>
            <w:shd w:val="clear" w:color="auto" w:fill="CCFFCC"/>
          </w:tcPr>
          <w:p>
            <w:pPr>
              <w:spacing w:after="0"/>
              <w:rPr>
                <w:sz w:val="19"/>
                <w:szCs w:val="19"/>
                <w:color w:val="auto"/>
              </w:rPr>
            </w:pPr>
          </w:p>
        </w:tc>
        <w:tc>
          <w:tcPr>
            <w:tcW w:w="840" w:type="dxa"/>
            <w:vAlign w:val="bottom"/>
            <w:gridSpan w:val="2"/>
            <w:shd w:val="clear" w:color="auto" w:fill="CCFFCC"/>
          </w:tcPr>
          <w:p>
            <w:pPr>
              <w:ind w:left="5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620"/>
              <w:spacing w:after="0"/>
              <w:rPr>
                <w:sz w:val="20"/>
                <w:szCs w:val="20"/>
                <w:color w:val="auto"/>
              </w:rPr>
            </w:pPr>
            <w:r>
              <w:rPr>
                <w:rFonts w:ascii="Arial" w:cs="Arial" w:eastAsia="Arial" w:hAnsi="Arial"/>
                <w:sz w:val="17"/>
                <w:szCs w:val="17"/>
                <w:color w:val="auto"/>
              </w:rPr>
              <w:t>—</w:t>
            </w:r>
          </w:p>
        </w:tc>
      </w:tr>
      <w:tr>
        <w:trPr>
          <w:trHeight w:val="20"/>
        </w:trPr>
        <w:tc>
          <w:tcPr>
            <w:tcW w:w="28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9663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70" w:lineRule="exact"/>
        <w:rPr>
          <w:sz w:val="20"/>
          <w:szCs w:val="20"/>
          <w:color w:val="auto"/>
        </w:rPr>
      </w:pPr>
    </w:p>
    <w:p>
      <w:pPr>
        <w:ind w:left="60" w:right="1019" w:firstLine="257"/>
        <w:spacing w:after="0" w:line="293" w:lineRule="auto"/>
        <w:rPr>
          <w:sz w:val="20"/>
          <w:szCs w:val="20"/>
          <w:color w:val="auto"/>
        </w:rPr>
      </w:pPr>
      <w:r>
        <w:rPr>
          <w:rFonts w:ascii="Arial" w:cs="Arial" w:eastAsia="Arial" w:hAnsi="Arial"/>
          <w:sz w:val="15"/>
          <w:szCs w:val="15"/>
          <w:color w:val="auto"/>
        </w:rPr>
        <w:t>The foregoing table does not include our in-licensing agreements. Under our in-licensing agreements, we are obligated to make certain payments to our licensors upon the achievement of agreed upon milestones. We are unable at this time to estimate the actual amount or timing of the costs we will incur in the future under these agreements; however, we do not expect any of the milestones to be achieved within the next 12 months. If all of the milestones are achieved over the life of each in-licensing agreement, we will be required to pay approximately $16.3 million, in the aggregate, to the applicable licensors. Some of the in-licensing agreements are accompanied by consulting, support and cooperation agreements, pursuant to which we are required to pay the licensors a fixed monthly amount, over a period stipulated in the applicable agreement, for their assistance in the continued research and development under the applicable license. All of our in-licensing agreements are terminable at-will by us upon prior written notice of 30 to 60 days. We are unable at this time to estimate the actual amount or timing of the costs we will incur in the future under these agreements. See “Item 4. Information on the Company — Business Overview — In-Licensing Agreements.”</w:t>
      </w: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right="4739"/>
        <w:spacing w:after="0" w:line="406" w:lineRule="auto"/>
        <w:rPr>
          <w:sz w:val="20"/>
          <w:szCs w:val="20"/>
          <w:color w:val="auto"/>
        </w:rPr>
      </w:pPr>
      <w:r>
        <w:rPr>
          <w:rFonts w:ascii="Arial" w:cs="Arial" w:eastAsia="Arial" w:hAnsi="Arial"/>
          <w:sz w:val="17"/>
          <w:szCs w:val="17"/>
          <w:b w:val="1"/>
          <w:bCs w:val="1"/>
          <w:color w:val="auto"/>
        </w:rPr>
        <w:t>ITEM 6. DIRECTORS, SENIOR MANAGEMENT AND EMPLOYEES A. Directors and Senior Management</w:t>
      </w:r>
    </w:p>
    <w:p>
      <w:pPr>
        <w:spacing w:after="0" w:line="1" w:lineRule="exact"/>
        <w:rPr>
          <w:sz w:val="20"/>
          <w:szCs w:val="20"/>
          <w:color w:val="auto"/>
        </w:rPr>
      </w:pPr>
    </w:p>
    <w:p>
      <w:pPr>
        <w:ind w:left="60" w:right="999" w:firstLine="257"/>
        <w:spacing w:after="0" w:line="299" w:lineRule="auto"/>
        <w:rPr>
          <w:sz w:val="20"/>
          <w:szCs w:val="20"/>
          <w:color w:val="auto"/>
        </w:rPr>
      </w:pPr>
      <w:r>
        <w:rPr>
          <w:rFonts w:ascii="Arial" w:cs="Arial" w:eastAsia="Arial" w:hAnsi="Arial"/>
          <w:sz w:val="15"/>
          <w:szCs w:val="15"/>
          <w:color w:val="auto"/>
        </w:rPr>
        <w:t>The following table sets forth information for our executive officers and directors as of June 30, 2011. Pursuant to an agreement dated March 30, 2011, Nir Gamliel’s employment with our company terminates on July 13, 2011. Unless otherwise stated, the address for our directors and officers is c/o BioLineRx Ltd., P.O. Box 45158, 19 Hartum Street, Jerusalem 91450,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168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168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5"/>
                <w:szCs w:val="15"/>
                <w:color w:val="auto"/>
              </w:rPr>
            </w:pPr>
          </w:p>
        </w:tc>
        <w:tc>
          <w:tcPr>
            <w:tcW w:w="47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Position(s)</w:t>
            </w:r>
          </w:p>
        </w:tc>
      </w:tr>
      <w:tr>
        <w:trPr>
          <w:trHeight w:val="186"/>
        </w:trPr>
        <w:tc>
          <w:tcPr>
            <w:tcW w:w="2400" w:type="dxa"/>
            <w:vAlign w:val="bottom"/>
          </w:tcPr>
          <w:p>
            <w:pPr>
              <w:spacing w:after="0" w:line="186" w:lineRule="exact"/>
              <w:rPr>
                <w:sz w:val="20"/>
                <w:szCs w:val="20"/>
                <w:color w:val="auto"/>
              </w:rPr>
            </w:pPr>
            <w:r>
              <w:rPr>
                <w:rFonts w:ascii="Arial" w:cs="Arial" w:eastAsia="Arial" w:hAnsi="Arial"/>
                <w:sz w:val="17"/>
                <w:szCs w:val="17"/>
                <w:color w:val="auto"/>
              </w:rPr>
              <w:t>Kinneret Savitsky, Ph.D.</w:t>
            </w:r>
          </w:p>
        </w:tc>
        <w:tc>
          <w:tcPr>
            <w:tcW w:w="140" w:type="dxa"/>
            <w:vAlign w:val="bottom"/>
          </w:tcPr>
          <w:p>
            <w:pPr>
              <w:spacing w:after="0"/>
              <w:rPr>
                <w:sz w:val="16"/>
                <w:szCs w:val="16"/>
                <w:color w:val="auto"/>
              </w:rPr>
            </w:pPr>
          </w:p>
        </w:tc>
        <w:tc>
          <w:tcPr>
            <w:tcW w:w="420" w:type="dxa"/>
            <w:vAlign w:val="bottom"/>
          </w:tcPr>
          <w:p>
            <w:pPr>
              <w:jc w:val="center"/>
              <w:spacing w:after="0" w:line="186" w:lineRule="exact"/>
              <w:rPr>
                <w:sz w:val="20"/>
                <w:szCs w:val="20"/>
                <w:color w:val="auto"/>
              </w:rPr>
            </w:pPr>
            <w:r>
              <w:rPr>
                <w:rFonts w:ascii="Arial" w:cs="Arial" w:eastAsia="Arial" w:hAnsi="Arial"/>
                <w:sz w:val="17"/>
                <w:szCs w:val="17"/>
                <w:color w:val="auto"/>
                <w:w w:val="94"/>
              </w:rPr>
              <w:t>44</w:t>
            </w:r>
          </w:p>
        </w:tc>
        <w:tc>
          <w:tcPr>
            <w:tcW w:w="160" w:type="dxa"/>
            <w:vAlign w:val="bottom"/>
          </w:tcPr>
          <w:p>
            <w:pPr>
              <w:spacing w:after="0"/>
              <w:rPr>
                <w:sz w:val="16"/>
                <w:szCs w:val="16"/>
                <w:color w:val="auto"/>
              </w:rPr>
            </w:pPr>
          </w:p>
        </w:tc>
        <w:tc>
          <w:tcPr>
            <w:tcW w:w="4700" w:type="dxa"/>
            <w:vAlign w:val="bottom"/>
          </w:tcPr>
          <w:p>
            <w:pPr>
              <w:spacing w:after="0" w:line="186" w:lineRule="exact"/>
              <w:rPr>
                <w:sz w:val="20"/>
                <w:szCs w:val="20"/>
                <w:color w:val="auto"/>
              </w:rPr>
            </w:pPr>
            <w:r>
              <w:rPr>
                <w:rFonts w:ascii="Arial" w:cs="Arial" w:eastAsia="Arial" w:hAnsi="Arial"/>
                <w:sz w:val="17"/>
                <w:szCs w:val="17"/>
                <w:color w:val="auto"/>
              </w:rPr>
              <w:t>Chief Executive Officer, Director</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Philip Serlin</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51</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Chief Financial Officer and Chief Operating Officer</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Moshe Phillip, M.D.</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57</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Vice President of Medical Affairs and Senior Clinical Advisor</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Nir Gamliel</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44</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w w:val="97"/>
              </w:rPr>
              <w:t>Vice President of Business Development of BioLineRx USA Inc.</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Leah Klapper, Ph.D.</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46</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General Manager, BioLine Innovations Jerusalem</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Aharon Schwartz, Ph.D.</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68</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Chairman of the Board</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Raphael Hofstein, Ph.D.</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61</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Yakov Friedman</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42</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Michael J. Anghel, Ph.D.</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72</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Director</w:t>
            </w:r>
          </w:p>
        </w:tc>
      </w:tr>
      <w:tr>
        <w:trPr>
          <w:trHeight w:val="206"/>
        </w:trPr>
        <w:tc>
          <w:tcPr>
            <w:tcW w:w="2400" w:type="dxa"/>
            <w:vAlign w:val="bottom"/>
          </w:tcPr>
          <w:p>
            <w:pPr>
              <w:spacing w:after="0"/>
              <w:rPr>
                <w:sz w:val="20"/>
                <w:szCs w:val="20"/>
                <w:color w:val="auto"/>
              </w:rPr>
            </w:pPr>
            <w:r>
              <w:rPr>
                <w:rFonts w:ascii="Arial" w:cs="Arial" w:eastAsia="Arial" w:hAnsi="Arial"/>
                <w:sz w:val="17"/>
                <w:szCs w:val="17"/>
                <w:color w:val="auto"/>
              </w:rPr>
              <w:t>Avraham Molcho, M.D.</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54</w:t>
            </w:r>
          </w:p>
        </w:tc>
        <w:tc>
          <w:tcPr>
            <w:tcW w:w="16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External Director</w:t>
            </w:r>
          </w:p>
        </w:tc>
      </w:tr>
      <w:tr>
        <w:trPr>
          <w:trHeight w:val="217"/>
        </w:trPr>
        <w:tc>
          <w:tcPr>
            <w:tcW w:w="2400" w:type="dxa"/>
            <w:vAlign w:val="bottom"/>
          </w:tcPr>
          <w:p>
            <w:pPr>
              <w:spacing w:after="0"/>
              <w:rPr>
                <w:sz w:val="20"/>
                <w:szCs w:val="20"/>
                <w:color w:val="auto"/>
              </w:rPr>
            </w:pPr>
            <w:r>
              <w:rPr>
                <w:rFonts w:ascii="Arial" w:cs="Arial" w:eastAsia="Arial" w:hAnsi="Arial"/>
                <w:sz w:val="17"/>
                <w:szCs w:val="17"/>
                <w:color w:val="auto"/>
              </w:rPr>
              <w:t>Nurit Benjamini</w:t>
            </w:r>
          </w:p>
        </w:tc>
        <w:tc>
          <w:tcPr>
            <w:tcW w:w="560" w:type="dxa"/>
            <w:vAlign w:val="bottom"/>
            <w:gridSpan w:val="2"/>
          </w:tcPr>
          <w:p>
            <w:pPr>
              <w:jc w:val="center"/>
              <w:ind w:left="54"/>
              <w:spacing w:after="0"/>
              <w:rPr>
                <w:sz w:val="20"/>
                <w:szCs w:val="20"/>
                <w:color w:val="auto"/>
              </w:rPr>
            </w:pPr>
            <w:r>
              <w:rPr>
                <w:rFonts w:ascii="Arial" w:cs="Arial" w:eastAsia="Arial" w:hAnsi="Arial"/>
                <w:sz w:val="17"/>
                <w:szCs w:val="17"/>
                <w:color w:val="auto"/>
                <w:w w:val="94"/>
              </w:rPr>
              <w:t>44</w:t>
            </w:r>
          </w:p>
        </w:tc>
        <w:tc>
          <w:tcPr>
            <w:tcW w:w="1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External Director</w:t>
            </w:r>
          </w:p>
        </w:tc>
      </w:tr>
    </w:tbl>
    <w:p>
      <w:pPr>
        <w:spacing w:after="0" w:line="92" w:lineRule="exact"/>
        <w:rPr>
          <w:sz w:val="20"/>
          <w:szCs w:val="20"/>
          <w:color w:val="auto"/>
        </w:rPr>
      </w:pPr>
    </w:p>
    <w:p>
      <w:pPr>
        <w:ind w:left="60" w:right="999" w:firstLine="257"/>
        <w:spacing w:after="0" w:line="301" w:lineRule="auto"/>
        <w:rPr>
          <w:sz w:val="20"/>
          <w:szCs w:val="20"/>
          <w:color w:val="auto"/>
        </w:rPr>
      </w:pPr>
      <w:r>
        <w:rPr>
          <w:rFonts w:ascii="Arial" w:cs="Arial" w:eastAsia="Arial" w:hAnsi="Arial"/>
          <w:sz w:val="15"/>
          <w:szCs w:val="15"/>
          <w:i w:val="1"/>
          <w:iCs w:val="1"/>
          <w:color w:val="auto"/>
        </w:rPr>
        <w:t>Kinneret Savitsky, Ph.D.</w:t>
      </w:r>
      <w:r>
        <w:rPr>
          <w:rFonts w:ascii="Arial" w:cs="Arial" w:eastAsia="Arial" w:hAnsi="Arial"/>
          <w:sz w:val="15"/>
          <w:szCs w:val="15"/>
          <w:color w:val="auto"/>
        </w:rPr>
        <w:t>, has served as our Chief Executive Officer and a director since January 2010. Prior to becoming our</w:t>
      </w:r>
      <w:r>
        <w:rPr>
          <w:rFonts w:ascii="Arial" w:cs="Arial" w:eastAsia="Arial" w:hAnsi="Arial"/>
          <w:sz w:val="15"/>
          <w:szCs w:val="15"/>
          <w:i w:val="1"/>
          <w:iCs w:val="1"/>
          <w:color w:val="auto"/>
        </w:rPr>
        <w:t xml:space="preserve"> </w:t>
      </w:r>
      <w:r>
        <w:rPr>
          <w:rFonts w:ascii="Arial" w:cs="Arial" w:eastAsia="Arial" w:hAnsi="Arial"/>
          <w:sz w:val="15"/>
          <w:szCs w:val="15"/>
          <w:color w:val="auto"/>
        </w:rPr>
        <w:t>Chief Executive Officer, from 2004 through 2010, she served as the General Manager of BIJ, our wholly-owned subsidiary. Prior to joining BIJ, Dr. Savitsky served as the Vice President of Biology of Compugen Ltd. (NASDAQ: CGEN), from 2000 to 2004, and held other senior positions at Compugen from 1997 through 2000. Dr. Savitsky received her Ph.D. from Tel Aviv University, a Master’s degree in Human Genetics from Tel Aviv University and a B.Sc. in Biology from The Hebrew University of Jerusalem.</w:t>
      </w:r>
    </w:p>
    <w:p>
      <w:pPr>
        <w:spacing w:after="0" w:line="50" w:lineRule="exact"/>
        <w:rPr>
          <w:sz w:val="20"/>
          <w:szCs w:val="20"/>
          <w:color w:val="auto"/>
        </w:rPr>
      </w:pPr>
    </w:p>
    <w:p>
      <w:pPr>
        <w:ind w:left="60" w:right="1079" w:firstLine="257"/>
        <w:spacing w:after="0" w:line="274" w:lineRule="auto"/>
        <w:rPr>
          <w:sz w:val="20"/>
          <w:szCs w:val="20"/>
          <w:color w:val="auto"/>
        </w:rPr>
      </w:pPr>
      <w:r>
        <w:rPr>
          <w:rFonts w:ascii="Arial" w:cs="Arial" w:eastAsia="Arial" w:hAnsi="Arial"/>
          <w:sz w:val="16"/>
          <w:szCs w:val="16"/>
          <w:i w:val="1"/>
          <w:iCs w:val="1"/>
          <w:color w:val="auto"/>
        </w:rPr>
        <w:t xml:space="preserve">Philip Serlin </w:t>
      </w:r>
      <w:r>
        <w:rPr>
          <w:rFonts w:ascii="Arial" w:cs="Arial" w:eastAsia="Arial" w:hAnsi="Arial"/>
          <w:sz w:val="16"/>
          <w:szCs w:val="16"/>
          <w:color w:val="auto"/>
        </w:rPr>
        <w:t>has been our Chief Financial Officer and Chief Operating Officer since May 2009. From January 2008 to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Serlin served as the Chief Financial Officer and Chief Operating Officer of Kayote Networks Inc. From January 2006 to December 2007, he served as the Chief Financial Officer of Tescom Software Systems Testing Ltd. (TASE:TSCM), an IT services company publicly traded in both Tel Aviv and London. His background also includes senior positions at Chiaro Networks Ltd. and at Deloitte, where he was head of the SEC and U.S. Accounting Department at the National Office in Tel Aviv, as well as seven years at the SEC at its Washington, D.C., headquarters. Mr. Serlin serves on the Board of Directors and audit committee of Vringo, Inc. (AMEX: VRNG). Mr. Serlin is a CPA and holds a B.Sc. in Accounting from Yeshiva University and a Master’s degree in Economics and Public Policy from The George Washington University.</w:t>
      </w:r>
    </w:p>
    <w:p>
      <w:pPr>
        <w:spacing w:after="0" w:line="69"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i w:val="1"/>
          <w:iCs w:val="1"/>
          <w:color w:val="auto"/>
        </w:rPr>
        <w:t>Moshe Phillip, M.D.</w:t>
      </w:r>
      <w:r>
        <w:rPr>
          <w:rFonts w:ascii="Arial" w:cs="Arial" w:eastAsia="Arial" w:hAnsi="Arial"/>
          <w:sz w:val="16"/>
          <w:szCs w:val="16"/>
          <w:color w:val="auto"/>
        </w:rPr>
        <w:t>, has been our Vice President of Medical Affairs and Senior Clinical Advisor and a member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Scientific Advisory Board since 2004. Professor Phillip is the Director of the Institute for Endocrinology and Diabetes of the Israel National Center for Childhood Diabetes at the Schneider Children’s Medical Center of Israel, has served as the Vice Dean and Head of School for Continuing Medical Education and currently is the Vice Dean for Research and Development at the Sackler School of Medical Education at Tel Aviv University. Professor Phillip served as the Chairman of the Israel Diabetes Association’s Committee for Type 1 Diabetes, serves as the Chair of Type 1 Diabetes in the Diabetes National Councils of Health and as a member of the Pediatric National Council of Health. Professor Phillip is also on the editorial board of three medical journals, including Pediatric Diabetes and Hormone Research. Since 2008, Professor Phillip has served as a director of CGU3, a privately-held company. Professor Phillip holds an M.D. from the Ben Gurion University of the Negev and received a fellowship in pediatric endocrinology at the University of Maryland School of Medicine.</w:t>
      </w:r>
    </w:p>
    <w:p>
      <w:pPr>
        <w:spacing w:after="0" w:line="68" w:lineRule="exact"/>
        <w:rPr>
          <w:sz w:val="20"/>
          <w:szCs w:val="20"/>
          <w:color w:val="auto"/>
        </w:rPr>
      </w:pPr>
    </w:p>
    <w:p>
      <w:pPr>
        <w:jc w:val="both"/>
        <w:ind w:left="60" w:right="999" w:firstLine="257"/>
        <w:spacing w:after="0" w:line="265" w:lineRule="auto"/>
        <w:rPr>
          <w:sz w:val="20"/>
          <w:szCs w:val="20"/>
          <w:color w:val="auto"/>
        </w:rPr>
      </w:pPr>
      <w:r>
        <w:rPr>
          <w:rFonts w:ascii="Arial" w:cs="Arial" w:eastAsia="Arial" w:hAnsi="Arial"/>
          <w:sz w:val="17"/>
          <w:szCs w:val="17"/>
          <w:i w:val="1"/>
          <w:iCs w:val="1"/>
          <w:color w:val="auto"/>
        </w:rPr>
        <w:t xml:space="preserve">Nir Gamliel </w:t>
      </w:r>
      <w:r>
        <w:rPr>
          <w:rFonts w:ascii="Arial" w:cs="Arial" w:eastAsia="Arial" w:hAnsi="Arial"/>
          <w:sz w:val="17"/>
          <w:szCs w:val="17"/>
          <w:color w:val="auto"/>
        </w:rPr>
        <w:t>has served as Vice President of Business Development of BioLineRx USA since January 2008. Mr. Gamliel brings</w:t>
      </w:r>
      <w:r>
        <w:rPr>
          <w:rFonts w:ascii="Arial" w:cs="Arial" w:eastAsia="Arial" w:hAnsi="Arial"/>
          <w:sz w:val="17"/>
          <w:szCs w:val="17"/>
          <w:i w:val="1"/>
          <w:iCs w:val="1"/>
          <w:color w:val="auto"/>
        </w:rPr>
        <w:t xml:space="preserve"> </w:t>
      </w:r>
      <w:r>
        <w:rPr>
          <w:rFonts w:ascii="Arial" w:cs="Arial" w:eastAsia="Arial" w:hAnsi="Arial"/>
          <w:sz w:val="17"/>
          <w:szCs w:val="17"/>
          <w:color w:val="auto"/>
        </w:rPr>
        <w:t>16 years of experience in the healthcare industry to BioLineRx USA. Mr. Gamliel was Vice President of Sales and Marketing of the U.S. office of BSP, Inc. (Biological Signal</w:t>
      </w:r>
    </w:p>
    <w:p>
      <w:pPr>
        <w:spacing w:after="0" w:line="200" w:lineRule="exact"/>
        <w:rPr>
          <w:sz w:val="20"/>
          <w:szCs w:val="20"/>
          <w:color w:val="auto"/>
        </w:rPr>
      </w:pPr>
    </w:p>
    <w:p>
      <w:pPr>
        <w:spacing w:after="0" w:line="29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19"/>
        <w:spacing w:after="0" w:line="261" w:lineRule="auto"/>
        <w:rPr>
          <w:sz w:val="20"/>
          <w:szCs w:val="20"/>
          <w:color w:val="auto"/>
        </w:rPr>
      </w:pPr>
      <w:r>
        <w:rPr>
          <w:rFonts w:ascii="Arial" w:cs="Arial" w:eastAsia="Arial" w:hAnsi="Arial"/>
          <w:sz w:val="17"/>
          <w:szCs w:val="17"/>
          <w:color w:val="auto"/>
        </w:rPr>
        <w:t>Processing, Inc.), a cardiology diagnostics company (TASE:BSP). From 2001 through 2006, Mr. Gamliel served as Vice President of Sales at Compugen USA, Inc. (NASDAQ:CGEN), a drug discovery company. He also served as Sales &amp; Marketing Manager for Europe at Voltaire Ltd. (NASDAQ: VOLT), a software company, and held a Franchise Manager position at Johnson &amp; Johnson Medical Israel. Mr. Gamliel holds a B.Sc. in Biology from Bar Ilan University.</w:t>
      </w:r>
    </w:p>
    <w:p>
      <w:pPr>
        <w:spacing w:after="0" w:line="76"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i w:val="1"/>
          <w:iCs w:val="1"/>
          <w:color w:val="auto"/>
        </w:rPr>
        <w:t>Leah Klapper, Ph.D.</w:t>
      </w:r>
      <w:r>
        <w:rPr>
          <w:rFonts w:ascii="Arial" w:cs="Arial" w:eastAsia="Arial" w:hAnsi="Arial"/>
          <w:sz w:val="17"/>
          <w:szCs w:val="17"/>
          <w:color w:val="auto"/>
        </w:rPr>
        <w:t>, has served as the General Manager of BIJ since January 2010. Prior to that, from 2004 through 2010, she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of Preclinical development of BIJ. From 2001 through 2005, Dr. Klapper served as Vice President of Research and Development at CureTech Ltd., a biotechnology company developing novel immune-modulating molecules, where she founded the research laboratory and led the company from the bench to clinical studies. Dr. Klapper gained extensive post-doctoral training at the Fred Hutchinson Cancer Research Center in Seattle Washington. Dr. Klapper received her Ph.D. from the Weizmann Institute, her M.Sc. from the Department of Pharmacology at Tel Aviv University and a B.Sc. in Life Sciences from Tel Aviv University.</w:t>
      </w:r>
    </w:p>
    <w:p>
      <w:pPr>
        <w:spacing w:after="0" w:line="78" w:lineRule="exact"/>
        <w:rPr>
          <w:sz w:val="20"/>
          <w:szCs w:val="20"/>
          <w:color w:val="auto"/>
        </w:rPr>
      </w:pPr>
    </w:p>
    <w:p>
      <w:pPr>
        <w:ind w:left="60" w:right="1059" w:firstLine="257"/>
        <w:spacing w:after="0" w:line="277" w:lineRule="auto"/>
        <w:rPr>
          <w:sz w:val="20"/>
          <w:szCs w:val="20"/>
          <w:color w:val="auto"/>
        </w:rPr>
      </w:pPr>
      <w:r>
        <w:rPr>
          <w:rFonts w:ascii="Arial" w:cs="Arial" w:eastAsia="Arial" w:hAnsi="Arial"/>
          <w:sz w:val="16"/>
          <w:szCs w:val="16"/>
          <w:i w:val="1"/>
          <w:iCs w:val="1"/>
          <w:color w:val="auto"/>
        </w:rPr>
        <w:t>Aharon Schwartz, Ph.D.</w:t>
      </w:r>
      <w:r>
        <w:rPr>
          <w:rFonts w:ascii="Arial" w:cs="Arial" w:eastAsia="Arial" w:hAnsi="Arial"/>
          <w:sz w:val="16"/>
          <w:szCs w:val="16"/>
          <w:color w:val="auto"/>
        </w:rPr>
        <w:t>, has served as the Chairman of our Board of Directors since 2003. He has served in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in Teva since 1975 and has served as Teva’s Vice President, Head of Teva Innovative Ventures since 2008. Dr. Schwartz also served as Chairman of DenX Ltd. and Immudar. He is currently a non-executive member of the boards of numerous life science companies, including Clal Biotechnology Industries Ltd. (TASE:CBI), Proteologic Ltd. and Mediwound Ltd. Dr. Schwartz received his Ph.D. in organic chemistry from the Weizmann Institute, his M.Sc. in organic chemistry from the Technion Institute of Technology and a B.Sc. in chemistry and physics from the Hebrew University of Jerusalem.</w:t>
      </w:r>
    </w:p>
    <w:p>
      <w:pPr>
        <w:spacing w:after="0" w:line="64" w:lineRule="exact"/>
        <w:rPr>
          <w:sz w:val="20"/>
          <w:szCs w:val="20"/>
          <w:color w:val="auto"/>
        </w:rPr>
      </w:pPr>
    </w:p>
    <w:p>
      <w:pPr>
        <w:ind w:left="60" w:right="1059" w:firstLine="257"/>
        <w:spacing w:after="0" w:line="293" w:lineRule="auto"/>
        <w:rPr>
          <w:sz w:val="20"/>
          <w:szCs w:val="20"/>
          <w:color w:val="auto"/>
        </w:rPr>
      </w:pPr>
      <w:r>
        <w:rPr>
          <w:rFonts w:ascii="Arial" w:cs="Arial" w:eastAsia="Arial" w:hAnsi="Arial"/>
          <w:sz w:val="15"/>
          <w:szCs w:val="15"/>
          <w:i w:val="1"/>
          <w:iCs w:val="1"/>
          <w:color w:val="auto"/>
        </w:rPr>
        <w:t xml:space="preserve">Raphael Hofstein, Ph.D., </w:t>
      </w:r>
      <w:r>
        <w:rPr>
          <w:rFonts w:ascii="Arial" w:cs="Arial" w:eastAsia="Arial" w:hAnsi="Arial"/>
          <w:sz w:val="15"/>
          <w:szCs w:val="15"/>
          <w:color w:val="auto"/>
        </w:rPr>
        <w:t>has served on our Board of Directors since 2003, and has served on our Audit Committee since 2007.</w:t>
      </w:r>
      <w:r>
        <w:rPr>
          <w:rFonts w:ascii="Arial" w:cs="Arial" w:eastAsia="Arial" w:hAnsi="Arial"/>
          <w:sz w:val="15"/>
          <w:szCs w:val="15"/>
          <w:i w:val="1"/>
          <w:iCs w:val="1"/>
          <w:color w:val="auto"/>
        </w:rPr>
        <w:t xml:space="preserve"> </w:t>
      </w:r>
      <w:r>
        <w:rPr>
          <w:rFonts w:ascii="Arial" w:cs="Arial" w:eastAsia="Arial" w:hAnsi="Arial"/>
          <w:sz w:val="15"/>
          <w:szCs w:val="15"/>
          <w:color w:val="auto"/>
        </w:rPr>
        <w:t>Dr. Hofstein served as the President and Chief Executive Officer of MaRS Innovation (a commercialization company of the University of Toronto and 10 affiliated hospitals) since June 2009. From 2000 through June 2009, Dr. Hofstein was the President and Chief Executive Officer of Hadasit Ltd., or Hadasit, the technology transfer company of Hadassah Hospital. He has served as chairman of the board of directors of Hadasit since 2006. Prior to joining Hadasit, Dr. Hofstein was the President of Mindsense Biosystems Ltd. and the Business Unit Director of Ecogen Inc. and has held a variety of other positions, including manager of R&amp;D and chief of immunochemistry at the International Genetic Science Partnership. Dr. Hofstein serves on the board of directors of numerous companies, including Hadasit Bio-Holdings Ltd. (TASE:HDST). Dr. Hofstein received his Ph.D. and M.Sc. from the Weizmann Institute of Science, and his B.Sc. in chemistry and physics from the Hebrew University in Jerusalem. Dr. Hofstein completed postdoctoral training at Harvard Medical School in both the departments of biological chemistry and neurobiology.</w:t>
      </w:r>
    </w:p>
    <w:p>
      <w:pPr>
        <w:spacing w:after="0" w:line="55"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i w:val="1"/>
          <w:iCs w:val="1"/>
          <w:color w:val="auto"/>
        </w:rPr>
        <w:t xml:space="preserve">Yakov Friedman </w:t>
      </w:r>
      <w:r>
        <w:rPr>
          <w:rFonts w:ascii="Arial" w:cs="Arial" w:eastAsia="Arial" w:hAnsi="Arial"/>
          <w:sz w:val="17"/>
          <w:szCs w:val="17"/>
          <w:color w:val="auto"/>
        </w:rPr>
        <w:t>has served on our Board of Directors since 2007. Mr. Friedman has worked as a financial analyst and trader for</w:t>
      </w:r>
      <w:r>
        <w:rPr>
          <w:rFonts w:ascii="Arial" w:cs="Arial" w:eastAsia="Arial" w:hAnsi="Arial"/>
          <w:sz w:val="17"/>
          <w:szCs w:val="17"/>
          <w:i w:val="1"/>
          <w:iCs w:val="1"/>
          <w:color w:val="auto"/>
        </w:rPr>
        <w:t xml:space="preserve"> </w:t>
      </w:r>
      <w:r>
        <w:rPr>
          <w:rFonts w:ascii="Arial" w:cs="Arial" w:eastAsia="Arial" w:hAnsi="Arial"/>
          <w:sz w:val="17"/>
          <w:szCs w:val="17"/>
          <w:color w:val="auto"/>
        </w:rPr>
        <w:t>Friedberg Mercantile Group since 2001. Mr. Friedman serves on the board of directors and as treasurer or secretary of a number of charities and not-for-profit organizations. Mr. Friedman holds an LLB from Osgoode Hall Law School of York University, a BAS in Administrative Studies and an MBA in Finance from York University.</w:t>
      </w:r>
    </w:p>
    <w:p>
      <w:pPr>
        <w:spacing w:after="0" w:line="76" w:lineRule="exact"/>
        <w:rPr>
          <w:sz w:val="20"/>
          <w:szCs w:val="20"/>
          <w:color w:val="auto"/>
        </w:rPr>
      </w:pPr>
    </w:p>
    <w:p>
      <w:pPr>
        <w:ind w:left="60" w:right="1059" w:firstLine="257"/>
        <w:spacing w:after="0" w:line="272" w:lineRule="auto"/>
        <w:rPr>
          <w:sz w:val="20"/>
          <w:szCs w:val="20"/>
          <w:color w:val="auto"/>
        </w:rPr>
      </w:pPr>
      <w:r>
        <w:rPr>
          <w:rFonts w:ascii="Arial" w:cs="Arial" w:eastAsia="Arial" w:hAnsi="Arial"/>
          <w:sz w:val="16"/>
          <w:szCs w:val="16"/>
          <w:i w:val="1"/>
          <w:iCs w:val="1"/>
          <w:color w:val="auto"/>
        </w:rPr>
        <w:t>Michael J. Anghel, Ph.D.</w:t>
      </w:r>
      <w:r>
        <w:rPr>
          <w:rFonts w:ascii="Arial" w:cs="Arial" w:eastAsia="Arial" w:hAnsi="Arial"/>
          <w:sz w:val="16"/>
          <w:szCs w:val="16"/>
          <w:color w:val="auto"/>
        </w:rPr>
        <w:t>, has served on our Board of Directors since September 2010. From 1977 to 1999, he led the Discount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Corporation Ltd. (of the IDB Group) activities in the fields of technology and communications. Dr. Anghel was instrumental in founding Tevel, one of the first Israeli cable television operators and later in founding Cellcom Israel Ltd. (NYSE:CEL) — the second Israeli cellular operator. In 1999, he founded CAP Ventures, an advanced technology investment company. From 2004 to 2005, Dr. Anghel served as CEO of DCM, the investment banking arm of the Israel Discount Bank (TASE:DSCT). He has been involved in various technology enterprises and has served on the Boards of Directors of various major Israeli corporations and financial institutions including Elron Electronic Industries Ltd. (TASE:ELRN), Elbit Systems Ltd. (NASDAQ:ESLT, TASE:ESLT), Nice Systems (NASDAQ:NICE), Gilat Satellite Networks Ltd. (NASDAQ:GILT), American Israeli Paper Mills (now Hadera Paper Ltd. (AMEX:AIP)), Maalot (the Israeli affiliate of Standard and Poor’s) and Hapoalim Capital Markets. He currently serves on the Boards of Directors of Partner Communications Company, Ltd. (NASDAQ:PTNR, TASE:PTNR), Syneron Medical Ltd. (NASDAQ:ELOS), Evogene Ltd. (TASE:EVGN), Gravity Visual Effects and Design Ltd., Dan Hotels Ltd. (TASE:DANH), Orbotech Ltd. (NASDAQ:ORBK, GSM:ORBK) and the</w:t>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39"/>
        <w:spacing w:after="0" w:line="259" w:lineRule="auto"/>
        <w:rPr>
          <w:sz w:val="20"/>
          <w:szCs w:val="20"/>
          <w:color w:val="auto"/>
        </w:rPr>
      </w:pPr>
      <w:r>
        <w:rPr>
          <w:rFonts w:ascii="Arial" w:cs="Arial" w:eastAsia="Arial" w:hAnsi="Arial"/>
          <w:sz w:val="17"/>
          <w:szCs w:val="17"/>
          <w:color w:val="auto"/>
        </w:rPr>
        <w:t>Strauss-Group Ltd. (TASE:STRS). He is also the chairman of the Center for Educational Technology. Prior to launching his business career, Dr. Anghel served as a full-time member of the Recanati Graduate School of Business Administration of the Tel Aviv University, where he taught finance and corporate strategy. He currently serves as Chairman of the Tel Aviv University’s Executive Program. Dr. Anghel holds a B.A. (Economics) from the Hebrew University in Jerusalem and an MBA. and Ph.D. (Finance) from Columbia University, New York.</w:t>
      </w:r>
    </w:p>
    <w:p>
      <w:pPr>
        <w:spacing w:after="0" w:line="77"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i w:val="1"/>
          <w:iCs w:val="1"/>
          <w:color w:val="auto"/>
        </w:rPr>
        <w:t>Avraham Molcho, M.D., MBA</w:t>
      </w:r>
      <w:r>
        <w:rPr>
          <w:rFonts w:ascii="Arial" w:cs="Arial" w:eastAsia="Arial" w:hAnsi="Arial"/>
          <w:sz w:val="17"/>
          <w:szCs w:val="17"/>
          <w:color w:val="auto"/>
        </w:rPr>
        <w:t>, has served as an external director on our Board of Directors and the Audit Committee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since July 2010. Dr. Molcho is the Founder and Chairman of Biologic Design, a technology platform that encourages human antibody discoveries, and is a venture partner at Forbion Capital Partners, a Dutch life sciences venture capital firm. He currently serves on the board of directors of NiTi Surgical Solutions Ltd., Pathway Medical Technologies, Inc. and Circulite Inc., privately-held life science companies. From 2001 through 2006, Dr. Molcho was a managing director and the head of life sciences of Giza Venture Capital and, in that capacity, was involved in the founding of our company. From 2006 through 2008, Dr. Molcho served as the Chief Executive Officer and Chairman of Neovasc Medical, a privately-held Israeli medical device company. He was also the Deputy Director General of Abarbanel Mental Health Center, the largest acute psychiatric hospital in Israel, from 1999 to 2001. Dr. Molcho holds an M.D. from Tel-Aviv University School of Medicine and an MBA from Tel-Aviv University Recanati Business School.</w:t>
      </w:r>
    </w:p>
    <w:p>
      <w:pPr>
        <w:spacing w:after="0" w:line="84" w:lineRule="exact"/>
        <w:rPr>
          <w:sz w:val="20"/>
          <w:szCs w:val="20"/>
          <w:color w:val="auto"/>
        </w:rPr>
      </w:pPr>
    </w:p>
    <w:p>
      <w:pPr>
        <w:ind w:left="60" w:right="1039" w:firstLine="257"/>
        <w:spacing w:after="0" w:line="295" w:lineRule="auto"/>
        <w:rPr>
          <w:sz w:val="20"/>
          <w:szCs w:val="20"/>
          <w:color w:val="auto"/>
        </w:rPr>
      </w:pPr>
      <w:r>
        <w:rPr>
          <w:rFonts w:ascii="Arial" w:cs="Arial" w:eastAsia="Arial" w:hAnsi="Arial"/>
          <w:sz w:val="15"/>
          <w:szCs w:val="15"/>
          <w:i w:val="1"/>
          <w:iCs w:val="1"/>
          <w:color w:val="auto"/>
        </w:rPr>
        <w:t>Nurit Benjamini, MBA</w:t>
      </w:r>
      <w:r>
        <w:rPr>
          <w:rFonts w:ascii="Arial" w:cs="Arial" w:eastAsia="Arial" w:hAnsi="Arial"/>
          <w:sz w:val="15"/>
          <w:szCs w:val="15"/>
          <w:color w:val="auto"/>
        </w:rPr>
        <w:t>, has served as an external director on our Board of Directors and as the chairman of the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of our Board of Directors since July 2010. Since May 2011, Ms. Benjamini has served as the Chief Financial Officer of Wixpros Ltd. Prior to that, from 2007 through 2011, she served as the Chief Financial Officer of CopperGate Communications Ltd. From 2000 through 2007, Ms. Benjamini served as the Chief Financial Officer of Compugen Ltd. (NASDAQ: CGEN). Prior to that, from 1998 through 2000, Ms. Benjamini served as the Chief Financial Officer of Phone-Or Ltd. and from 1993 through 1998, Ms. Benjamini served as the Chief Financial Officer of Aladdin Knowledge Systems Ltd. Ms. Benjamini serves on the board of directors, and as chairperson of the audit committee, of Allot Communications Ltd. (NASDAQ:ALLT, TASE:ALLT). Ms. Benjamini holds a B.A. in Economics and Business and an M.B.A. in Finance, both from Bar Ilan University, Israel.</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Compensation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13" w:lineRule="exact"/>
        <w:rPr>
          <w:sz w:val="20"/>
          <w:szCs w:val="20"/>
          <w:color w:val="auto"/>
        </w:rPr>
      </w:pPr>
    </w:p>
    <w:p>
      <w:pPr>
        <w:ind w:left="60" w:right="1399" w:firstLine="257"/>
        <w:spacing w:after="0" w:line="265" w:lineRule="auto"/>
        <w:rPr>
          <w:sz w:val="20"/>
          <w:szCs w:val="20"/>
          <w:color w:val="auto"/>
        </w:rPr>
      </w:pPr>
      <w:r>
        <w:rPr>
          <w:rFonts w:ascii="Arial" w:cs="Arial" w:eastAsia="Arial" w:hAnsi="Arial"/>
          <w:sz w:val="17"/>
          <w:szCs w:val="17"/>
          <w:color w:val="auto"/>
        </w:rPr>
        <w:t>We have entered into written employment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w:t>
      </w:r>
    </w:p>
    <w:p>
      <w:pPr>
        <w:spacing w:after="0" w:line="73" w:lineRule="exact"/>
        <w:rPr>
          <w:sz w:val="20"/>
          <w:szCs w:val="20"/>
          <w:color w:val="auto"/>
        </w:rPr>
      </w:pPr>
    </w:p>
    <w:p>
      <w:pPr>
        <w:jc w:val="both"/>
        <w:ind w:left="60" w:right="1339" w:firstLine="257"/>
        <w:spacing w:after="0" w:line="265" w:lineRule="auto"/>
        <w:rPr>
          <w:sz w:val="20"/>
          <w:szCs w:val="20"/>
          <w:color w:val="auto"/>
        </w:rPr>
      </w:pPr>
      <w:r>
        <w:rPr>
          <w:rFonts w:ascii="Arial" w:cs="Arial" w:eastAsia="Arial" w:hAnsi="Arial"/>
          <w:sz w:val="17"/>
          <w:szCs w:val="17"/>
          <w:color w:val="auto"/>
        </w:rPr>
        <w:t>In addition, we have entered into agreements with each executive officer and director pursuant to which we have agreed to indemnify each of them to the fullest extent permitted by law to the extent that these liabilities are not covered by directors and officers insurance.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Director Compensation</w:t>
      </w:r>
    </w:p>
    <w:p>
      <w:pPr>
        <w:spacing w:after="0" w:line="113" w:lineRule="exact"/>
        <w:rPr>
          <w:sz w:val="20"/>
          <w:szCs w:val="20"/>
          <w:color w:val="auto"/>
        </w:rPr>
      </w:pPr>
    </w:p>
    <w:p>
      <w:pPr>
        <w:ind w:left="60" w:right="1079" w:firstLine="257"/>
        <w:spacing w:after="0" w:line="292" w:lineRule="auto"/>
        <w:rPr>
          <w:sz w:val="20"/>
          <w:szCs w:val="20"/>
          <w:color w:val="auto"/>
        </w:rPr>
      </w:pPr>
      <w:r>
        <w:rPr>
          <w:rFonts w:ascii="Arial" w:cs="Arial" w:eastAsia="Arial" w:hAnsi="Arial"/>
          <w:sz w:val="15"/>
          <w:szCs w:val="15"/>
          <w:color w:val="auto"/>
        </w:rPr>
        <w:t>Under the Israeli Companies Law, 5754-1999, or the Israeli Companies Law, and regulations promulgated thereunder, external directors are entitled to fixed annual compensation and to an additional payment for each meeting attended. We currently pay our external directors, Avraham Molcho, M.D. and Nurit Benjamini, an annual fee of NIS 77,000 or $22,000, and a per meeting fee of NIS 3,850, or $1,100. For the year ended December 31, 2010, the aggregate direct compensation that we paid to Dr. Molcho and Ms. Benjamini for their services as our directors, as a group was NIS 110,000, or $31,000 (based on the exchange rate reported by the Bank of Israel for December 31, 2010). We also paid in 2010 NIS 144,000, or $41,000 (based on the exchange rate reported by the Bank of Israel for December 31, 2010), in the aggregate to Gil Bianco and Ilan Leviteh for their services as external directors until May 2010. In addition, in 2010, each of Dr. Molcho and Ms. Benjamini received a grant of 50,000 options to purchase ordinary shares, which options were subject to shareholder approval which was duly obtained. These fees are subject to the approval of our shareholders in accordance with the Israeli Companies Law and are currently the maximum fees allowed pursuant to applicable regulations under the Israeli Companies Law. The compensation of our external directors is</w:t>
      </w:r>
    </w:p>
    <w:p>
      <w:pPr>
        <w:spacing w:after="0" w:line="200" w:lineRule="exact"/>
        <w:rPr>
          <w:sz w:val="20"/>
          <w:szCs w:val="20"/>
          <w:color w:val="auto"/>
        </w:rPr>
      </w:pPr>
    </w:p>
    <w:p>
      <w:pPr>
        <w:spacing w:after="0" w:line="28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79"/>
        <w:spacing w:after="0" w:line="261" w:lineRule="auto"/>
        <w:rPr>
          <w:sz w:val="20"/>
          <w:szCs w:val="20"/>
          <w:color w:val="auto"/>
        </w:rPr>
      </w:pPr>
      <w:r>
        <w:rPr>
          <w:rFonts w:ascii="Arial" w:cs="Arial" w:eastAsia="Arial" w:hAnsi="Arial"/>
          <w:sz w:val="17"/>
          <w:szCs w:val="17"/>
          <w:color w:val="auto"/>
        </w:rPr>
        <w:t>determined at the time of their election. In November 2009, we began paying Raphael Hofstein for his services as a director and in September 2010, we began paying Michael Anghel for his services as director. The aggregate direct compensation that we paid all of our directors, as a group, for the year ended December 31, 2010, was NIS 375,000, or $105,664 (based on the exchange rate reported by the Bank of Israel for December 31, 2010).</w:t>
      </w:r>
    </w:p>
    <w:p>
      <w:pPr>
        <w:spacing w:after="0" w:line="76" w:lineRule="exact"/>
        <w:rPr>
          <w:sz w:val="20"/>
          <w:szCs w:val="20"/>
          <w:color w:val="auto"/>
        </w:rPr>
      </w:pPr>
    </w:p>
    <w:p>
      <w:pPr>
        <w:ind w:left="60" w:right="1079" w:firstLine="257"/>
        <w:spacing w:after="0" w:line="292" w:lineRule="auto"/>
        <w:rPr>
          <w:sz w:val="20"/>
          <w:szCs w:val="20"/>
          <w:color w:val="auto"/>
        </w:rPr>
      </w:pPr>
      <w:r>
        <w:rPr>
          <w:rFonts w:ascii="Arial" w:cs="Arial" w:eastAsia="Arial" w:hAnsi="Arial"/>
          <w:sz w:val="15"/>
          <w:szCs w:val="15"/>
          <w:color w:val="auto"/>
        </w:rPr>
        <w:t>Under applicable Israeli regulations, a publicly-traded Israeli company is required to disclose the annual compensation paid by or on behalf of the company to each of the five highest paid senior officers of the company or its subsidiaries. In addition, the company is required to disclose the compensation paid by the company to interested parties (including directors). We have disclosed such information in our amended annual report for the year 2010 published on March 29, 2011 and filed with the TASE, and reported that other than external directors (Gil Bianco, Ilan Leviteh, Avraham Molcho and Nurit Benjamini), Raphael Hofstein and Michael J. Anghel, no other directors received compensation from us for their services. The following is a table showing the compensation received by each of the above-mentioned directors during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525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250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2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of Director</w:t>
            </w:r>
          </w:p>
        </w:tc>
        <w:tc>
          <w:tcPr>
            <w:tcW w:w="16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Remuneration</w:t>
            </w:r>
          </w:p>
        </w:tc>
        <w:tc>
          <w:tcPr>
            <w:tcW w:w="1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Monetary Value</w:t>
            </w:r>
          </w:p>
        </w:tc>
        <w:tc>
          <w:tcPr>
            <w:tcW w:w="140" w:type="dxa"/>
            <w:vAlign w:val="bottom"/>
          </w:tcPr>
          <w:p>
            <w:pPr>
              <w:spacing w:after="0"/>
              <w:rPr>
                <w:sz w:val="12"/>
                <w:szCs w:val="12"/>
                <w:color w:val="auto"/>
              </w:rPr>
            </w:pPr>
          </w:p>
        </w:tc>
        <w:tc>
          <w:tcPr>
            <w:tcW w:w="104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Salary and</w:t>
            </w:r>
          </w:p>
        </w:tc>
        <w:tc>
          <w:tcPr>
            <w:tcW w:w="160" w:type="dxa"/>
            <w:vAlign w:val="bottom"/>
          </w:tcPr>
          <w:p>
            <w:pPr>
              <w:spacing w:after="0"/>
              <w:rPr>
                <w:sz w:val="12"/>
                <w:szCs w:val="12"/>
                <w:color w:val="auto"/>
              </w:rPr>
            </w:pPr>
          </w:p>
        </w:tc>
        <w:tc>
          <w:tcPr>
            <w:tcW w:w="112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Bonus</w:t>
            </w:r>
          </w:p>
        </w:tc>
      </w:tr>
      <w:tr>
        <w:trPr>
          <w:trHeight w:val="141"/>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of the Options/</w:t>
            </w:r>
          </w:p>
        </w:tc>
        <w:tc>
          <w:tcPr>
            <w:tcW w:w="140" w:type="dxa"/>
            <w:vAlign w:val="bottom"/>
          </w:tcPr>
          <w:p>
            <w:pPr>
              <w:spacing w:after="0"/>
              <w:rPr>
                <w:sz w:val="12"/>
                <w:szCs w:val="12"/>
                <w:color w:val="auto"/>
              </w:rPr>
            </w:pPr>
          </w:p>
        </w:tc>
        <w:tc>
          <w:tcPr>
            <w:tcW w:w="1040" w:type="dxa"/>
            <w:vAlign w:val="bottom"/>
          </w:tcPr>
          <w:p>
            <w:pPr>
              <w:ind w:left="20"/>
              <w:spacing w:after="0" w:line="141" w:lineRule="exact"/>
              <w:rPr>
                <w:sz w:val="20"/>
                <w:szCs w:val="20"/>
                <w:color w:val="auto"/>
              </w:rPr>
            </w:pPr>
            <w:r>
              <w:rPr>
                <w:rFonts w:ascii="Arial" w:cs="Arial" w:eastAsia="Arial" w:hAnsi="Arial"/>
                <w:sz w:val="14"/>
                <w:szCs w:val="14"/>
                <w:b w:val="1"/>
                <w:bCs w:val="1"/>
                <w:color w:val="auto"/>
                <w:w w:val="88"/>
              </w:rPr>
              <w:t>Related Payment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Shares Granted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4"/>
        </w:trPr>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(amounts in NIS)</w:t>
            </w:r>
          </w:p>
        </w:tc>
        <w:tc>
          <w:tcPr>
            <w:tcW w:w="1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37"/>
        </w:trPr>
        <w:tc>
          <w:tcPr>
            <w:tcW w:w="2080" w:type="dxa"/>
            <w:vAlign w:val="bottom"/>
            <w:gridSpan w:val="3"/>
            <w:shd w:val="clear" w:color="auto" w:fill="CCFFCC"/>
          </w:tcPr>
          <w:p>
            <w:pPr>
              <w:spacing w:after="0" w:line="237" w:lineRule="exact"/>
              <w:rPr>
                <w:sz w:val="20"/>
                <w:szCs w:val="20"/>
                <w:color w:val="auto"/>
              </w:rPr>
            </w:pPr>
            <w:r>
              <w:rPr>
                <w:rFonts w:ascii="Arial" w:cs="Arial" w:eastAsia="Arial" w:hAnsi="Arial"/>
                <w:sz w:val="17"/>
                <w:szCs w:val="17"/>
                <w:color w:val="auto"/>
              </w:rPr>
              <w:t>Morris C. Laster</w:t>
            </w:r>
            <w:r>
              <w:rPr>
                <w:rFonts w:ascii="Arial" w:cs="Arial" w:eastAsia="Arial" w:hAnsi="Arial"/>
                <w:sz w:val="27"/>
                <w:szCs w:val="27"/>
                <w:color w:val="auto"/>
                <w:vertAlign w:val="superscript"/>
              </w:rPr>
              <w:t>(1)</w:t>
            </w:r>
          </w:p>
        </w:tc>
        <w:tc>
          <w:tcPr>
            <w:tcW w:w="160" w:type="dxa"/>
            <w:vAlign w:val="bottom"/>
            <w:shd w:val="clear" w:color="auto" w:fill="CCFFCC"/>
          </w:tcPr>
          <w:p>
            <w:pPr>
              <w:spacing w:after="0"/>
              <w:rPr>
                <w:sz w:val="20"/>
                <w:szCs w:val="20"/>
                <w:color w:val="auto"/>
              </w:rPr>
            </w:pPr>
          </w:p>
        </w:tc>
        <w:tc>
          <w:tcPr>
            <w:tcW w:w="1020" w:type="dxa"/>
            <w:vAlign w:val="bottom"/>
            <w:shd w:val="clear" w:color="auto" w:fill="CCFFCC"/>
          </w:tcPr>
          <w:p>
            <w:pPr>
              <w:jc w:val="right"/>
              <w:ind w:right="19"/>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FFCC"/>
          </w:tcPr>
          <w:p>
            <w:pPr>
              <w:jc w:val="right"/>
              <w:ind w:right="42"/>
              <w:spacing w:after="0"/>
              <w:rPr>
                <w:sz w:val="20"/>
                <w:szCs w:val="20"/>
                <w:color w:val="auto"/>
              </w:rPr>
            </w:pPr>
            <w:r>
              <w:rPr>
                <w:rFonts w:ascii="Arial" w:cs="Arial" w:eastAsia="Arial" w:hAnsi="Arial"/>
                <w:sz w:val="17"/>
                <w:szCs w:val="17"/>
                <w:color w:val="auto"/>
              </w:rPr>
              <w:t>645,000</w:t>
            </w:r>
          </w:p>
        </w:tc>
        <w:tc>
          <w:tcPr>
            <w:tcW w:w="140" w:type="dxa"/>
            <w:vAlign w:val="bottom"/>
            <w:shd w:val="clear" w:color="auto" w:fill="CCFFCC"/>
          </w:tcPr>
          <w:p>
            <w:pPr>
              <w:spacing w:after="0"/>
              <w:rPr>
                <w:sz w:val="20"/>
                <w:szCs w:val="20"/>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ind w:left="720"/>
              <w:spacing w:after="0"/>
              <w:rPr>
                <w:sz w:val="20"/>
                <w:szCs w:val="20"/>
                <w:color w:val="auto"/>
              </w:rPr>
            </w:pPr>
            <w:r>
              <w:rPr>
                <w:rFonts w:ascii="Arial" w:cs="Arial" w:eastAsia="Arial" w:hAnsi="Arial"/>
                <w:sz w:val="17"/>
                <w:szCs w:val="17"/>
                <w:color w:val="auto"/>
              </w:rPr>
              <w:t>—</w:t>
            </w:r>
          </w:p>
        </w:tc>
      </w:tr>
      <w:tr>
        <w:trPr>
          <w:trHeight w:val="244"/>
        </w:trPr>
        <w:tc>
          <w:tcPr>
            <w:tcW w:w="2080" w:type="dxa"/>
            <w:vAlign w:val="bottom"/>
            <w:gridSpan w:val="3"/>
          </w:tcPr>
          <w:p>
            <w:pPr>
              <w:spacing w:after="0" w:line="245" w:lineRule="exact"/>
              <w:rPr>
                <w:sz w:val="20"/>
                <w:szCs w:val="20"/>
                <w:color w:val="auto"/>
              </w:rPr>
            </w:pPr>
            <w:r>
              <w:rPr>
                <w:rFonts w:ascii="Arial" w:cs="Arial" w:eastAsia="Arial" w:hAnsi="Arial"/>
                <w:sz w:val="17"/>
                <w:szCs w:val="17"/>
                <w:color w:val="auto"/>
              </w:rPr>
              <w:t>Gil Bianco</w:t>
            </w:r>
            <w:r>
              <w:rPr>
                <w:rFonts w:ascii="Arial" w:cs="Arial" w:eastAsia="Arial" w:hAnsi="Arial"/>
                <w:sz w:val="28"/>
                <w:szCs w:val="28"/>
                <w:color w:val="auto"/>
                <w:vertAlign w:val="superscript"/>
              </w:rPr>
              <w:t>(2)</w:t>
            </w:r>
          </w:p>
        </w:tc>
        <w:tc>
          <w:tcPr>
            <w:tcW w:w="1180" w:type="dxa"/>
            <w:vAlign w:val="bottom"/>
            <w:gridSpan w:val="2"/>
          </w:tcPr>
          <w:p>
            <w:pPr>
              <w:jc w:val="right"/>
              <w:ind w:right="19"/>
              <w:spacing w:after="0"/>
              <w:rPr>
                <w:sz w:val="20"/>
                <w:szCs w:val="20"/>
                <w:color w:val="auto"/>
              </w:rPr>
            </w:pPr>
            <w:r>
              <w:rPr>
                <w:rFonts w:ascii="Arial" w:cs="Arial" w:eastAsia="Arial" w:hAnsi="Arial"/>
                <w:sz w:val="17"/>
                <w:szCs w:val="17"/>
                <w:color w:val="auto"/>
              </w:rPr>
              <w:t>72,000</w:t>
            </w:r>
          </w:p>
        </w:tc>
        <w:tc>
          <w:tcPr>
            <w:tcW w:w="160" w:type="dxa"/>
            <w:vAlign w:val="bottom"/>
          </w:tcPr>
          <w:p>
            <w:pPr>
              <w:spacing w:after="0"/>
              <w:rPr>
                <w:sz w:val="21"/>
                <w:szCs w:val="21"/>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7"/>
                <w:szCs w:val="17"/>
                <w:color w:val="auto"/>
              </w:rPr>
              <w:t>—</w:t>
            </w:r>
          </w:p>
        </w:tc>
      </w:tr>
      <w:tr>
        <w:trPr>
          <w:trHeight w:val="244"/>
        </w:trPr>
        <w:tc>
          <w:tcPr>
            <w:tcW w:w="2080" w:type="dxa"/>
            <w:vAlign w:val="bottom"/>
            <w:gridSpan w:val="3"/>
            <w:shd w:val="clear" w:color="auto" w:fill="CCFFCC"/>
          </w:tcPr>
          <w:p>
            <w:pPr>
              <w:spacing w:after="0" w:line="245" w:lineRule="exact"/>
              <w:rPr>
                <w:sz w:val="20"/>
                <w:szCs w:val="20"/>
                <w:color w:val="auto"/>
              </w:rPr>
            </w:pPr>
            <w:r>
              <w:rPr>
                <w:rFonts w:ascii="Arial" w:cs="Arial" w:eastAsia="Arial" w:hAnsi="Arial"/>
                <w:sz w:val="17"/>
                <w:szCs w:val="17"/>
                <w:color w:val="auto"/>
              </w:rPr>
              <w:t>Ilan Leviteh</w:t>
            </w:r>
            <w:r>
              <w:rPr>
                <w:rFonts w:ascii="Arial" w:cs="Arial" w:eastAsia="Arial" w:hAnsi="Arial"/>
                <w:sz w:val="28"/>
                <w:szCs w:val="28"/>
                <w:color w:val="auto"/>
                <w:vertAlign w:val="superscript"/>
              </w:rPr>
              <w:t>(3)</w:t>
            </w:r>
          </w:p>
        </w:tc>
        <w:tc>
          <w:tcPr>
            <w:tcW w:w="1180" w:type="dxa"/>
            <w:vAlign w:val="bottom"/>
            <w:gridSpan w:val="2"/>
            <w:shd w:val="clear" w:color="auto" w:fill="CCFFCC"/>
          </w:tcPr>
          <w:p>
            <w:pPr>
              <w:jc w:val="right"/>
              <w:ind w:right="19"/>
              <w:spacing w:after="0"/>
              <w:rPr>
                <w:sz w:val="20"/>
                <w:szCs w:val="20"/>
                <w:color w:val="auto"/>
              </w:rPr>
            </w:pPr>
            <w:r>
              <w:rPr>
                <w:rFonts w:ascii="Arial" w:cs="Arial" w:eastAsia="Arial" w:hAnsi="Arial"/>
                <w:sz w:val="17"/>
                <w:szCs w:val="17"/>
                <w:color w:val="auto"/>
              </w:rPr>
              <w:t>72,000</w:t>
            </w:r>
          </w:p>
        </w:tc>
        <w:tc>
          <w:tcPr>
            <w:tcW w:w="16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4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21"/>
                <w:szCs w:val="21"/>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ind w:left="720"/>
              <w:spacing w:after="0"/>
              <w:rPr>
                <w:sz w:val="20"/>
                <w:szCs w:val="20"/>
                <w:color w:val="auto"/>
              </w:rPr>
            </w:pPr>
            <w:r>
              <w:rPr>
                <w:rFonts w:ascii="Arial" w:cs="Arial" w:eastAsia="Arial" w:hAnsi="Arial"/>
                <w:sz w:val="17"/>
                <w:szCs w:val="17"/>
                <w:color w:val="auto"/>
              </w:rPr>
              <w:t>—</w:t>
            </w:r>
          </w:p>
        </w:tc>
      </w:tr>
      <w:tr>
        <w:trPr>
          <w:trHeight w:val="206"/>
        </w:trPr>
        <w:tc>
          <w:tcPr>
            <w:tcW w:w="2080" w:type="dxa"/>
            <w:vAlign w:val="bottom"/>
            <w:gridSpan w:val="3"/>
          </w:tcPr>
          <w:p>
            <w:pPr>
              <w:spacing w:after="0"/>
              <w:rPr>
                <w:sz w:val="20"/>
                <w:szCs w:val="20"/>
                <w:color w:val="auto"/>
              </w:rPr>
            </w:pPr>
            <w:r>
              <w:rPr>
                <w:rFonts w:ascii="Arial" w:cs="Arial" w:eastAsia="Arial" w:hAnsi="Arial"/>
                <w:sz w:val="17"/>
                <w:szCs w:val="17"/>
                <w:color w:val="auto"/>
              </w:rPr>
              <w:t>Aharon Schwartz</w:t>
            </w:r>
          </w:p>
        </w:tc>
        <w:tc>
          <w:tcPr>
            <w:tcW w:w="1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tcPr>
          <w:p>
            <w:pPr>
              <w:ind w:left="6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7"/>
                <w:szCs w:val="17"/>
                <w:color w:val="auto"/>
              </w:rPr>
              <w:t>—</w:t>
            </w:r>
          </w:p>
        </w:tc>
      </w:tr>
      <w:tr>
        <w:trPr>
          <w:trHeight w:val="206"/>
        </w:trPr>
        <w:tc>
          <w:tcPr>
            <w:tcW w:w="20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Yakov Friedman</w:t>
            </w: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jc w:val="right"/>
              <w:ind w:right="19"/>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1240" w:type="dxa"/>
            <w:vAlign w:val="bottom"/>
            <w:shd w:val="clear" w:color="auto" w:fill="CCFFCC"/>
          </w:tcPr>
          <w:p>
            <w:pPr>
              <w:jc w:val="right"/>
              <w:ind w:right="4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ind w:left="720"/>
              <w:spacing w:after="0"/>
              <w:rPr>
                <w:sz w:val="20"/>
                <w:szCs w:val="20"/>
                <w:color w:val="auto"/>
              </w:rPr>
            </w:pPr>
            <w:r>
              <w:rPr>
                <w:rFonts w:ascii="Arial" w:cs="Arial" w:eastAsia="Arial" w:hAnsi="Arial"/>
                <w:sz w:val="17"/>
                <w:szCs w:val="17"/>
                <w:color w:val="auto"/>
              </w:rPr>
              <w:t>—</w:t>
            </w:r>
          </w:p>
        </w:tc>
      </w:tr>
      <w:tr>
        <w:trPr>
          <w:trHeight w:val="244"/>
        </w:trPr>
        <w:tc>
          <w:tcPr>
            <w:tcW w:w="2080" w:type="dxa"/>
            <w:vAlign w:val="bottom"/>
            <w:gridSpan w:val="3"/>
          </w:tcPr>
          <w:p>
            <w:pPr>
              <w:spacing w:after="0" w:line="245" w:lineRule="exact"/>
              <w:rPr>
                <w:sz w:val="20"/>
                <w:szCs w:val="20"/>
                <w:color w:val="auto"/>
              </w:rPr>
            </w:pPr>
            <w:r>
              <w:rPr>
                <w:rFonts w:ascii="Arial" w:cs="Arial" w:eastAsia="Arial" w:hAnsi="Arial"/>
                <w:sz w:val="17"/>
                <w:szCs w:val="17"/>
                <w:color w:val="auto"/>
              </w:rPr>
              <w:t>Avraham Molcho</w:t>
            </w:r>
            <w:r>
              <w:rPr>
                <w:rFonts w:ascii="Arial" w:cs="Arial" w:eastAsia="Arial" w:hAnsi="Arial"/>
                <w:sz w:val="28"/>
                <w:szCs w:val="28"/>
                <w:color w:val="auto"/>
                <w:vertAlign w:val="superscript"/>
              </w:rPr>
              <w:t>(4)</w:t>
            </w:r>
          </w:p>
        </w:tc>
        <w:tc>
          <w:tcPr>
            <w:tcW w:w="1180" w:type="dxa"/>
            <w:vAlign w:val="bottom"/>
            <w:gridSpan w:val="2"/>
          </w:tcPr>
          <w:p>
            <w:pPr>
              <w:jc w:val="right"/>
              <w:ind w:right="19"/>
              <w:spacing w:after="0"/>
              <w:rPr>
                <w:sz w:val="20"/>
                <w:szCs w:val="20"/>
                <w:color w:val="auto"/>
              </w:rPr>
            </w:pPr>
            <w:r>
              <w:rPr>
                <w:rFonts w:ascii="Arial" w:cs="Arial" w:eastAsia="Arial" w:hAnsi="Arial"/>
                <w:sz w:val="17"/>
                <w:szCs w:val="17"/>
                <w:color w:val="auto"/>
              </w:rPr>
              <w:t>54,000</w:t>
            </w:r>
          </w:p>
        </w:tc>
        <w:tc>
          <w:tcPr>
            <w:tcW w:w="1400" w:type="dxa"/>
            <w:vAlign w:val="bottom"/>
            <w:gridSpan w:val="2"/>
          </w:tcPr>
          <w:p>
            <w:pPr>
              <w:jc w:val="right"/>
              <w:ind w:right="42"/>
              <w:spacing w:after="0"/>
              <w:rPr>
                <w:sz w:val="20"/>
                <w:szCs w:val="20"/>
                <w:color w:val="auto"/>
              </w:rPr>
            </w:pPr>
            <w:r>
              <w:rPr>
                <w:rFonts w:ascii="Arial" w:cs="Arial" w:eastAsia="Arial" w:hAnsi="Arial"/>
                <w:sz w:val="17"/>
                <w:szCs w:val="17"/>
                <w:color w:val="auto"/>
              </w:rPr>
              <w:t>40,000</w:t>
            </w:r>
          </w:p>
        </w:tc>
        <w:tc>
          <w:tcPr>
            <w:tcW w:w="140" w:type="dxa"/>
            <w:vAlign w:val="bottom"/>
          </w:tcPr>
          <w:p>
            <w:pPr>
              <w:spacing w:after="0"/>
              <w:rPr>
                <w:sz w:val="21"/>
                <w:szCs w:val="21"/>
                <w:color w:val="auto"/>
              </w:rPr>
            </w:pPr>
          </w:p>
        </w:tc>
        <w:tc>
          <w:tcPr>
            <w:tcW w:w="1040" w:type="dxa"/>
            <w:vAlign w:val="bottom"/>
          </w:tcPr>
          <w:p>
            <w:pPr>
              <w:ind w:left="6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Arial" w:cs="Arial" w:eastAsia="Arial" w:hAnsi="Arial"/>
                <w:sz w:val="17"/>
                <w:szCs w:val="17"/>
                <w:color w:val="auto"/>
              </w:rPr>
              <w:t>—</w:t>
            </w:r>
          </w:p>
        </w:tc>
      </w:tr>
      <w:tr>
        <w:trPr>
          <w:trHeight w:val="244"/>
        </w:trPr>
        <w:tc>
          <w:tcPr>
            <w:tcW w:w="2080" w:type="dxa"/>
            <w:vAlign w:val="bottom"/>
            <w:gridSpan w:val="3"/>
            <w:shd w:val="clear" w:color="auto" w:fill="CCFFCC"/>
          </w:tcPr>
          <w:p>
            <w:pPr>
              <w:spacing w:after="0" w:line="245" w:lineRule="exact"/>
              <w:rPr>
                <w:sz w:val="20"/>
                <w:szCs w:val="20"/>
                <w:color w:val="auto"/>
              </w:rPr>
            </w:pPr>
            <w:r>
              <w:rPr>
                <w:rFonts w:ascii="Arial" w:cs="Arial" w:eastAsia="Arial" w:hAnsi="Arial"/>
                <w:sz w:val="17"/>
                <w:szCs w:val="17"/>
                <w:color w:val="auto"/>
              </w:rPr>
              <w:t>Nurit Benjamini</w:t>
            </w:r>
            <w:r>
              <w:rPr>
                <w:rFonts w:ascii="Arial" w:cs="Arial" w:eastAsia="Arial" w:hAnsi="Arial"/>
                <w:sz w:val="28"/>
                <w:szCs w:val="28"/>
                <w:color w:val="auto"/>
                <w:vertAlign w:val="superscript"/>
              </w:rPr>
              <w:t>(5)</w:t>
            </w:r>
          </w:p>
        </w:tc>
        <w:tc>
          <w:tcPr>
            <w:tcW w:w="1180" w:type="dxa"/>
            <w:vAlign w:val="bottom"/>
            <w:gridSpan w:val="2"/>
            <w:shd w:val="clear" w:color="auto" w:fill="CCFFCC"/>
          </w:tcPr>
          <w:p>
            <w:pPr>
              <w:jc w:val="right"/>
              <w:ind w:right="19"/>
              <w:spacing w:after="0"/>
              <w:rPr>
                <w:sz w:val="20"/>
                <w:szCs w:val="20"/>
                <w:color w:val="auto"/>
              </w:rPr>
            </w:pPr>
            <w:r>
              <w:rPr>
                <w:rFonts w:ascii="Arial" w:cs="Arial" w:eastAsia="Arial" w:hAnsi="Arial"/>
                <w:sz w:val="17"/>
                <w:szCs w:val="17"/>
                <w:color w:val="auto"/>
              </w:rPr>
              <w:t>56,000</w:t>
            </w:r>
          </w:p>
        </w:tc>
        <w:tc>
          <w:tcPr>
            <w:tcW w:w="1400" w:type="dxa"/>
            <w:vAlign w:val="bottom"/>
            <w:gridSpan w:val="2"/>
            <w:shd w:val="clear" w:color="auto" w:fill="CCFFCC"/>
          </w:tcPr>
          <w:p>
            <w:pPr>
              <w:jc w:val="right"/>
              <w:ind w:right="42"/>
              <w:spacing w:after="0"/>
              <w:rPr>
                <w:sz w:val="20"/>
                <w:szCs w:val="20"/>
                <w:color w:val="auto"/>
              </w:rPr>
            </w:pPr>
            <w:r>
              <w:rPr>
                <w:rFonts w:ascii="Arial" w:cs="Arial" w:eastAsia="Arial" w:hAnsi="Arial"/>
                <w:sz w:val="17"/>
                <w:szCs w:val="17"/>
                <w:color w:val="auto"/>
              </w:rPr>
              <w:t>40,000</w:t>
            </w:r>
          </w:p>
        </w:tc>
        <w:tc>
          <w:tcPr>
            <w:tcW w:w="140" w:type="dxa"/>
            <w:vAlign w:val="bottom"/>
            <w:shd w:val="clear" w:color="auto" w:fill="CCFFCC"/>
          </w:tcPr>
          <w:p>
            <w:pPr>
              <w:spacing w:after="0"/>
              <w:rPr>
                <w:sz w:val="21"/>
                <w:szCs w:val="21"/>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ind w:left="720"/>
              <w:spacing w:after="0"/>
              <w:rPr>
                <w:sz w:val="20"/>
                <w:szCs w:val="20"/>
                <w:color w:val="auto"/>
              </w:rPr>
            </w:pPr>
            <w:r>
              <w:rPr>
                <w:rFonts w:ascii="Arial" w:cs="Arial" w:eastAsia="Arial" w:hAnsi="Arial"/>
                <w:sz w:val="17"/>
                <w:szCs w:val="17"/>
                <w:color w:val="auto"/>
              </w:rPr>
              <w:t>—</w:t>
            </w:r>
          </w:p>
        </w:tc>
      </w:tr>
      <w:tr>
        <w:trPr>
          <w:trHeight w:val="206"/>
        </w:trPr>
        <w:tc>
          <w:tcPr>
            <w:tcW w:w="2080" w:type="dxa"/>
            <w:vAlign w:val="bottom"/>
            <w:gridSpan w:val="3"/>
          </w:tcPr>
          <w:p>
            <w:pPr>
              <w:spacing w:after="0"/>
              <w:rPr>
                <w:sz w:val="20"/>
                <w:szCs w:val="20"/>
                <w:color w:val="auto"/>
              </w:rPr>
            </w:pPr>
            <w:r>
              <w:rPr>
                <w:rFonts w:ascii="Arial" w:cs="Arial" w:eastAsia="Arial" w:hAnsi="Arial"/>
                <w:sz w:val="17"/>
                <w:szCs w:val="17"/>
                <w:color w:val="auto"/>
              </w:rPr>
              <w:t>Raphael Hofstein</w:t>
            </w:r>
          </w:p>
        </w:tc>
        <w:tc>
          <w:tcPr>
            <w:tcW w:w="1180" w:type="dxa"/>
            <w:vAlign w:val="bottom"/>
            <w:gridSpan w:val="2"/>
          </w:tcPr>
          <w:p>
            <w:pPr>
              <w:jc w:val="right"/>
              <w:ind w:right="19"/>
              <w:spacing w:after="0"/>
              <w:rPr>
                <w:sz w:val="20"/>
                <w:szCs w:val="20"/>
                <w:color w:val="auto"/>
              </w:rPr>
            </w:pPr>
            <w:r>
              <w:rPr>
                <w:rFonts w:ascii="Arial" w:cs="Arial" w:eastAsia="Arial" w:hAnsi="Arial"/>
                <w:sz w:val="17"/>
                <w:szCs w:val="17"/>
                <w:color w:val="auto"/>
              </w:rPr>
              <w:t>95,000</w:t>
            </w:r>
          </w:p>
        </w:tc>
        <w:tc>
          <w:tcPr>
            <w:tcW w:w="1400" w:type="dxa"/>
            <w:vAlign w:val="bottom"/>
            <w:gridSpan w:val="2"/>
          </w:tcPr>
          <w:p>
            <w:pPr>
              <w:jc w:val="right"/>
              <w:ind w:right="42"/>
              <w:spacing w:after="0"/>
              <w:rPr>
                <w:sz w:val="20"/>
                <w:szCs w:val="20"/>
                <w:color w:val="auto"/>
              </w:rPr>
            </w:pPr>
            <w:r>
              <w:rPr>
                <w:rFonts w:ascii="Arial" w:cs="Arial" w:eastAsia="Arial" w:hAnsi="Arial"/>
                <w:sz w:val="17"/>
                <w:szCs w:val="17"/>
                <w:color w:val="auto"/>
              </w:rPr>
              <w:t>404,000</w:t>
            </w:r>
          </w:p>
        </w:tc>
        <w:tc>
          <w:tcPr>
            <w:tcW w:w="140" w:type="dxa"/>
            <w:vAlign w:val="bottom"/>
          </w:tcPr>
          <w:p>
            <w:pPr>
              <w:spacing w:after="0"/>
              <w:rPr>
                <w:sz w:val="17"/>
                <w:szCs w:val="17"/>
                <w:color w:val="auto"/>
              </w:rPr>
            </w:pPr>
          </w:p>
        </w:tc>
        <w:tc>
          <w:tcPr>
            <w:tcW w:w="1040" w:type="dxa"/>
            <w:vAlign w:val="bottom"/>
          </w:tcPr>
          <w:p>
            <w:pPr>
              <w:ind w:left="6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7"/>
                <w:szCs w:val="17"/>
                <w:color w:val="auto"/>
              </w:rPr>
              <w:t>—</w:t>
            </w:r>
          </w:p>
        </w:tc>
      </w:tr>
      <w:tr>
        <w:trPr>
          <w:trHeight w:val="244"/>
        </w:trPr>
        <w:tc>
          <w:tcPr>
            <w:tcW w:w="2080" w:type="dxa"/>
            <w:vAlign w:val="bottom"/>
            <w:gridSpan w:val="3"/>
            <w:shd w:val="clear" w:color="auto" w:fill="CCFFCC"/>
          </w:tcPr>
          <w:p>
            <w:pPr>
              <w:spacing w:after="0" w:line="245" w:lineRule="exact"/>
              <w:rPr>
                <w:sz w:val="20"/>
                <w:szCs w:val="20"/>
                <w:color w:val="auto"/>
              </w:rPr>
            </w:pPr>
            <w:r>
              <w:rPr>
                <w:rFonts w:ascii="Arial" w:cs="Arial" w:eastAsia="Arial" w:hAnsi="Arial"/>
                <w:sz w:val="17"/>
                <w:szCs w:val="17"/>
                <w:color w:val="auto"/>
              </w:rPr>
              <w:t>Michael J. Anghel</w:t>
            </w:r>
            <w:r>
              <w:rPr>
                <w:rFonts w:ascii="Arial" w:cs="Arial" w:eastAsia="Arial" w:hAnsi="Arial"/>
                <w:sz w:val="28"/>
                <w:szCs w:val="28"/>
                <w:color w:val="auto"/>
                <w:vertAlign w:val="superscript"/>
              </w:rPr>
              <w:t>(6)</w:t>
            </w:r>
          </w:p>
        </w:tc>
        <w:tc>
          <w:tcPr>
            <w:tcW w:w="1180" w:type="dxa"/>
            <w:vAlign w:val="bottom"/>
            <w:gridSpan w:val="2"/>
            <w:shd w:val="clear" w:color="auto" w:fill="CCFFCC"/>
          </w:tcPr>
          <w:p>
            <w:pPr>
              <w:jc w:val="right"/>
              <w:ind w:right="19"/>
              <w:spacing w:after="0"/>
              <w:rPr>
                <w:sz w:val="20"/>
                <w:szCs w:val="20"/>
                <w:color w:val="auto"/>
              </w:rPr>
            </w:pPr>
            <w:r>
              <w:rPr>
                <w:rFonts w:ascii="Arial" w:cs="Arial" w:eastAsia="Arial" w:hAnsi="Arial"/>
                <w:sz w:val="17"/>
                <w:szCs w:val="17"/>
                <w:color w:val="auto"/>
              </w:rPr>
              <w:t>26,000</w:t>
            </w:r>
          </w:p>
        </w:tc>
        <w:tc>
          <w:tcPr>
            <w:tcW w:w="16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4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21"/>
                <w:szCs w:val="21"/>
                <w:color w:val="auto"/>
              </w:rPr>
            </w:pPr>
          </w:p>
        </w:tc>
        <w:tc>
          <w:tcPr>
            <w:tcW w:w="1040" w:type="dxa"/>
            <w:vAlign w:val="bottom"/>
            <w:shd w:val="clear" w:color="auto" w:fill="CCFFCC"/>
          </w:tcPr>
          <w:p>
            <w:pPr>
              <w:ind w:left="6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ind w:left="720"/>
              <w:spacing w:after="0"/>
              <w:rPr>
                <w:sz w:val="20"/>
                <w:szCs w:val="20"/>
                <w:color w:val="auto"/>
              </w:rPr>
            </w:pPr>
            <w:r>
              <w:rPr>
                <w:rFonts w:ascii="Arial" w:cs="Arial" w:eastAsia="Arial" w:hAnsi="Arial"/>
                <w:sz w:val="17"/>
                <w:szCs w:val="17"/>
                <w:color w:val="auto"/>
              </w:rPr>
              <w:t>—</w:t>
            </w:r>
          </w:p>
        </w:tc>
      </w:tr>
      <w:tr>
        <w:trPr>
          <w:trHeight w:val="257"/>
        </w:trPr>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245" w:lineRule="exact"/>
        <w:rPr>
          <w:sz w:val="20"/>
          <w:szCs w:val="20"/>
          <w:color w:val="auto"/>
        </w:rPr>
      </w:pPr>
    </w:p>
    <w:p>
      <w:pPr>
        <w:ind w:left="280" w:hanging="264"/>
        <w:spacing w:after="0"/>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Dr. Laster served on our Board of Directors until August 17, 2010.</w:t>
      </w:r>
    </w:p>
    <w:p>
      <w:pPr>
        <w:spacing w:after="0" w:line="113" w:lineRule="exact"/>
        <w:rPr>
          <w:rFonts w:ascii="Arial" w:cs="Arial" w:eastAsia="Arial" w:hAnsi="Arial"/>
          <w:sz w:val="17"/>
          <w:szCs w:val="17"/>
          <w:color w:val="auto"/>
        </w:rPr>
      </w:pPr>
    </w:p>
    <w:p>
      <w:pPr>
        <w:ind w:left="280" w:hanging="264"/>
        <w:spacing w:after="0"/>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Bianco served on our Board of Directors until May 30, 2010.</w:t>
      </w:r>
    </w:p>
    <w:p>
      <w:pPr>
        <w:spacing w:after="0" w:line="113" w:lineRule="exact"/>
        <w:rPr>
          <w:rFonts w:ascii="Arial" w:cs="Arial" w:eastAsia="Arial" w:hAnsi="Arial"/>
          <w:sz w:val="17"/>
          <w:szCs w:val="17"/>
          <w:color w:val="auto"/>
        </w:rPr>
      </w:pPr>
    </w:p>
    <w:p>
      <w:pPr>
        <w:ind w:left="280" w:hanging="264"/>
        <w:spacing w:after="0"/>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Leviteh served on our Board of Directors until May 30, 2010.</w:t>
      </w:r>
    </w:p>
    <w:p>
      <w:pPr>
        <w:spacing w:after="0" w:line="113" w:lineRule="exact"/>
        <w:rPr>
          <w:rFonts w:ascii="Arial" w:cs="Arial" w:eastAsia="Arial" w:hAnsi="Arial"/>
          <w:sz w:val="17"/>
          <w:szCs w:val="17"/>
          <w:color w:val="auto"/>
        </w:rPr>
      </w:pPr>
    </w:p>
    <w:p>
      <w:pPr>
        <w:ind w:left="280" w:hanging="264"/>
        <w:spacing w:after="0"/>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Dr. Molcho joined our Board of Directors on July 6, 2010.</w:t>
      </w:r>
    </w:p>
    <w:p>
      <w:pPr>
        <w:spacing w:after="0" w:line="113" w:lineRule="exact"/>
        <w:rPr>
          <w:rFonts w:ascii="Arial" w:cs="Arial" w:eastAsia="Arial" w:hAnsi="Arial"/>
          <w:sz w:val="17"/>
          <w:szCs w:val="17"/>
          <w:color w:val="auto"/>
        </w:rPr>
      </w:pPr>
    </w:p>
    <w:p>
      <w:pPr>
        <w:ind w:left="280" w:hanging="264"/>
        <w:spacing w:after="0"/>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Ms. Benjamini joined our Board of Directors on July 6, 2010.</w:t>
      </w:r>
    </w:p>
    <w:p>
      <w:pPr>
        <w:spacing w:after="0" w:line="113" w:lineRule="exact"/>
        <w:rPr>
          <w:rFonts w:ascii="Arial" w:cs="Arial" w:eastAsia="Arial" w:hAnsi="Arial"/>
          <w:sz w:val="17"/>
          <w:szCs w:val="17"/>
          <w:color w:val="auto"/>
        </w:rPr>
      </w:pPr>
    </w:p>
    <w:p>
      <w:pPr>
        <w:ind w:left="280" w:hanging="264"/>
        <w:spacing w:after="0"/>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Dr. Anghel joined our Board of Directors on September 7, 2010.</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Employment Agreement with Kinneret Savitsky</w:t>
      </w:r>
    </w:p>
    <w:p>
      <w:pPr>
        <w:spacing w:after="0" w:line="113" w:lineRule="exact"/>
        <w:rPr>
          <w:sz w:val="20"/>
          <w:szCs w:val="20"/>
          <w:color w:val="auto"/>
        </w:rPr>
      </w:pPr>
    </w:p>
    <w:p>
      <w:pPr>
        <w:ind w:left="60" w:right="1139" w:firstLine="257"/>
        <w:spacing w:after="0" w:line="293" w:lineRule="auto"/>
        <w:rPr>
          <w:sz w:val="20"/>
          <w:szCs w:val="20"/>
          <w:color w:val="auto"/>
        </w:rPr>
      </w:pPr>
      <w:r>
        <w:rPr>
          <w:rFonts w:ascii="Arial" w:cs="Arial" w:eastAsia="Arial" w:hAnsi="Arial"/>
          <w:sz w:val="15"/>
          <w:szCs w:val="15"/>
          <w:color w:val="auto"/>
        </w:rPr>
        <w:t>Dr. Savitsky began serving as our Chief Executive Officer on January 2, 2010. Prior to becoming our Chief Executive Officer, from 2004 through 2010, she served as the general manager of BIJ L.P., our wholly-owned subsidiary. In connection with her appointment as Chief Executive Officer, we amended Dr. Savitsky’s employment agreement. In accordance with the amended employment agreement, Dr. Savitsky is entitled to a gross monthly salary of approximately NIS 70,000, an allocation to a manager’s insurance policy equivalent to 13.33% of her gross monthly salary and 7.5% of her gross monthly salary (but not to exceed approximately NIS 1,150 per month) for a study fund. Five percent of her gross monthly salary is deducted for the manager’s insurance policy and 2.5% (but not to exceed approximately NIS 400 per month) is deducted for the study fund. Dr. Savitsky is also entitled to reimbursement for vehicle maintenance costs and reasonable expenses. Dr. Savitsky’s annual salary, including all accompanying benefits, was approximately NIS 1,011,000 during the year ended December 31, 2010. In addition to the foregoing, under the amended employment agreement, BioLineRx is the employer, not BIJ L.P.</w:t>
      </w:r>
    </w:p>
    <w:p>
      <w:pPr>
        <w:spacing w:after="0" w:line="55"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On November 24, 2009, we granted Dr. Savitsky new options to purchase 500,000 ordinary shares, which grant was approved by our shareholders on January 14, 2010. In addition, pursuant to her employment agreement, and in accordance with our stock option plan, Dr. Savitsky is also entitled to receive grants of restricted shares and/or options exercisable into our ordinary shares from time to time. As of May 31, 2011, we have granted to Dr. Savitsky options to purchase 1,525,288 ordinary shares, 256,170 of which have vested or will vest within 60 days of such date.</w:t>
      </w:r>
    </w:p>
    <w:p>
      <w:pPr>
        <w:spacing w:after="0" w:line="200" w:lineRule="exact"/>
        <w:rPr>
          <w:sz w:val="20"/>
          <w:szCs w:val="20"/>
          <w:color w:val="auto"/>
        </w:rPr>
      </w:pPr>
    </w:p>
    <w:p>
      <w:pPr>
        <w:spacing w:after="0" w:line="30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May 26, 2011, our Board of Directors, upon the recommendation of our Audit Committee, approved the payment to Dr.</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Savitsky of a bonus for 2010 equal to NIS 105,000 which payment requires shareholder approval.</w:t>
      </w:r>
    </w:p>
    <w:p>
      <w:pPr>
        <w:spacing w:after="0" w:line="102" w:lineRule="exact"/>
        <w:rPr>
          <w:sz w:val="20"/>
          <w:szCs w:val="20"/>
          <w:color w:val="auto"/>
        </w:rPr>
      </w:pPr>
    </w:p>
    <w:p>
      <w:pPr>
        <w:ind w:left="60" w:right="1019" w:firstLine="257"/>
        <w:spacing w:after="0" w:line="289" w:lineRule="auto"/>
        <w:rPr>
          <w:sz w:val="20"/>
          <w:szCs w:val="20"/>
          <w:color w:val="auto"/>
        </w:rPr>
      </w:pPr>
      <w:r>
        <w:rPr>
          <w:rFonts w:ascii="Arial" w:cs="Arial" w:eastAsia="Arial" w:hAnsi="Arial"/>
          <w:sz w:val="15"/>
          <w:szCs w:val="15"/>
          <w:color w:val="auto"/>
        </w:rPr>
        <w:t>In accordance with our stock option plan, Dr. Savitsky’s options vest over a period of four years from the applicable grant date. If we terminate the employment relationship with Dr. Savitsky for cause, all of Dr. Savitsky’s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Dr. Savitsky is no longer able to work due to death or permanent disability, then 50% of all of her unvested options shall be deemed fully vested, and any vested options shall be exercisable by Dr. Savitsky or her estate for 12 months following her death or disability. In the event of a merger, consolidation, reorganization, sale or transfer of all or substantially all of our ordinary shares, or sale or transfer of all or substantially all of our assets, Dr. Savitsky’s outstanding options may be assumed by the successor company or an affiliate thereof or securities of such company may be substituted for the options. If the successor company does not assume or substitute for Dr. Savitsky’s outstanding options, then Dr. Savitsky’s unvested options will immediately vest as of the date which is 10 days before the effective date of the applicable transaction, provided that Dr. Savitsky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Dr. Savitsky’s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Dr. Savitsky’s unexercised vested options and any unvested options will automatically terminate.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Employment Agreement with Philip Serlin</w:t>
      </w:r>
    </w:p>
    <w:p>
      <w:pPr>
        <w:spacing w:after="0" w:line="113" w:lineRule="exact"/>
        <w:rPr>
          <w:sz w:val="20"/>
          <w:szCs w:val="20"/>
          <w:color w:val="auto"/>
        </w:rPr>
      </w:pPr>
    </w:p>
    <w:p>
      <w:pPr>
        <w:ind w:left="60" w:right="999" w:firstLine="257"/>
        <w:spacing w:after="0" w:line="279" w:lineRule="auto"/>
        <w:rPr>
          <w:sz w:val="20"/>
          <w:szCs w:val="20"/>
          <w:color w:val="auto"/>
        </w:rPr>
      </w:pPr>
      <w:r>
        <w:rPr>
          <w:rFonts w:ascii="Arial" w:cs="Arial" w:eastAsia="Arial" w:hAnsi="Arial"/>
          <w:sz w:val="16"/>
          <w:szCs w:val="16"/>
          <w:color w:val="auto"/>
        </w:rPr>
        <w:t>Philip Serlin began serving as our Chief Financial Officer and Chief Operating Officer on May 20, 2009. Mr. Serlin’s current gross monthly salary is NIS 47,250. In accordance with his employment agreement, Mr. Serlin is entitled to an allocation to a manager’s insurance policy equivalent to 13.33% of his gross monthly salary and 7.5% of his gross monthly salary for a study fund. Five percent of his gross monthly salary is deducted for the manager’s insurance policy and 2.5% is deducted for the study fund. Mr. Serlin is also entitled to reimbursement for vehicle maintenance costs and reasonable expenses.</w:t>
      </w:r>
    </w:p>
    <w:p>
      <w:pPr>
        <w:spacing w:after="0" w:line="63" w:lineRule="exact"/>
        <w:rPr>
          <w:sz w:val="20"/>
          <w:szCs w:val="20"/>
          <w:color w:val="auto"/>
        </w:rPr>
      </w:pPr>
    </w:p>
    <w:p>
      <w:pPr>
        <w:ind w:left="60" w:right="999" w:firstLine="257"/>
        <w:spacing w:after="0" w:line="290" w:lineRule="auto"/>
        <w:rPr>
          <w:sz w:val="20"/>
          <w:szCs w:val="20"/>
          <w:color w:val="auto"/>
        </w:rPr>
      </w:pPr>
      <w:r>
        <w:rPr>
          <w:rFonts w:ascii="Arial" w:cs="Arial" w:eastAsia="Arial" w:hAnsi="Arial"/>
          <w:sz w:val="15"/>
          <w:szCs w:val="15"/>
          <w:color w:val="auto"/>
        </w:rPr>
        <w:t>In addition, pursuant to his employment agreement, and in accordance with our stock option plan, Mr. Serlin is also entitled to receive options exercisable into our ordinary shares from time to time. As of May 31, 2011, we have granted him options to purchase 554,200 ordinary shares in the aggregate, 65,000 of which have vested or will vest with 60 days of such date. In accordance with our stock option plan, Mr. Serlin’s options vest over a period of four years from the applicable grant date. If we terminate the employment relationship with Mr. Serlin for cause, all of Mr. Serlin’s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Mr. Serlin is no longer able to work due to death or permanent disability, then 50% of all of his unvested options shall be deemed fully vested, and any vested options shall be exercisable by Mr. Serlin or his estate for 12 months following his death or disability. If we complete a merger, consolidation, reorganization, sale or transfer of all or substantially all of our ordinary shares, or sale or transfer of all or substantially all of our assets, Mr. Serlin’s outstanding options may be assumed by the successor company or an affiliate thereof or securities of such company may be substituted for the options. If the successor company does not assume or substitute for Mr. Serlin’s outstanding options, then Mr. Serlin’s unvested options will immediately vest as of the date which is 10 days before the effective date of the applicable transaction, provided that Mr. Serlin commits to remain employed with the successor company for one year following the effective date of the transaction. Assumed or substituted options that are scheduled to vest more than one year after the closing of the applicable transaction shall have their vesting</w:t>
      </w: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19"/>
        <w:spacing w:after="0" w:line="277" w:lineRule="auto"/>
        <w:rPr>
          <w:sz w:val="20"/>
          <w:szCs w:val="20"/>
          <w:color w:val="auto"/>
        </w:rPr>
      </w:pPr>
      <w:r>
        <w:rPr>
          <w:rFonts w:ascii="Arial" w:cs="Arial" w:eastAsia="Arial" w:hAnsi="Arial"/>
          <w:sz w:val="16"/>
          <w:szCs w:val="16"/>
          <w:color w:val="auto"/>
        </w:rPr>
        <w:t>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Mr. Serlin’s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Mr. Serlin’s unexercised vested options and any unvested options will automatically terminate.</w:t>
      </w:r>
    </w:p>
    <w:p>
      <w:pPr>
        <w:spacing w:after="0" w:line="64" w:lineRule="exact"/>
        <w:rPr>
          <w:sz w:val="20"/>
          <w:szCs w:val="20"/>
          <w:color w:val="auto"/>
        </w:rPr>
      </w:pPr>
    </w:p>
    <w:p>
      <w:pPr>
        <w:ind w:left="320" w:right="1599"/>
        <w:spacing w:after="0" w:line="394" w:lineRule="auto"/>
        <w:rPr>
          <w:sz w:val="20"/>
          <w:szCs w:val="20"/>
          <w:color w:val="auto"/>
        </w:rPr>
      </w:pPr>
      <w:r>
        <w:rPr>
          <w:rFonts w:ascii="Arial" w:cs="Arial" w:eastAsia="Arial" w:hAnsi="Arial"/>
          <w:sz w:val="17"/>
          <w:szCs w:val="17"/>
          <w:color w:val="auto"/>
        </w:rPr>
        <w:t xml:space="preserve">On May 26, 2011, our Board of Directors approved the payment to Mr. Serlin of a bonus for 2010 equal to NIS 77,000. </w:t>
      </w:r>
      <w:r>
        <w:rPr>
          <w:rFonts w:ascii="Arial" w:cs="Arial" w:eastAsia="Arial" w:hAnsi="Arial"/>
          <w:sz w:val="17"/>
          <w:szCs w:val="17"/>
          <w:b w:val="1"/>
          <w:bCs w:val="1"/>
          <w:i w:val="1"/>
          <w:iCs w:val="1"/>
          <w:color w:val="auto"/>
        </w:rPr>
        <w:t>Employment Agreement with Nir Gamliel</w:t>
      </w:r>
    </w:p>
    <w:p>
      <w:pPr>
        <w:spacing w:after="0" w:line="1" w:lineRule="exact"/>
        <w:rPr>
          <w:sz w:val="20"/>
          <w:szCs w:val="20"/>
          <w:color w:val="auto"/>
        </w:rPr>
      </w:pPr>
    </w:p>
    <w:p>
      <w:pPr>
        <w:ind w:left="60" w:right="1079" w:firstLine="257"/>
        <w:spacing w:after="0" w:line="257" w:lineRule="auto"/>
        <w:rPr>
          <w:sz w:val="20"/>
          <w:szCs w:val="20"/>
          <w:color w:val="auto"/>
        </w:rPr>
      </w:pPr>
      <w:r>
        <w:rPr>
          <w:rFonts w:ascii="Arial" w:cs="Arial" w:eastAsia="Arial" w:hAnsi="Arial"/>
          <w:sz w:val="17"/>
          <w:szCs w:val="17"/>
          <w:color w:val="auto"/>
        </w:rPr>
        <w:t>Nir Gamliel has served as the Vice President of Business Development of BioLineRx USA Inc., our wholly-owned subsidiary, since January 2, 2007. On March 30, 2011, we and Mr. Gamliel entered into a letter agreement pursuant to which we mutually agreed that his employment would terminate as of July 13, 2011. In addition, we agreed that if we enter into a deal within one year from the date of the letter agreement relating to BL-5010 or BL-6030 with certain, specified companies, Mr. Gamliel will be entitled to receive, (i) in connection with BL-5010, a bonus equal to 35% of his base salary as of January 1, 2010 and (ii) in connection with BL-6030 a bonus equal to 17.5% of his base salary as of January 1, 2010, subject to Mr. Gamliel’s fulfillment of his obligations under Section 1.1 of the letter agreement.</w:t>
      </w:r>
    </w:p>
    <w:p>
      <w:pPr>
        <w:spacing w:after="0" w:line="78" w:lineRule="exact"/>
        <w:rPr>
          <w:sz w:val="20"/>
          <w:szCs w:val="20"/>
          <w:color w:val="auto"/>
        </w:rPr>
      </w:pPr>
    </w:p>
    <w:p>
      <w:pPr>
        <w:ind w:left="60" w:right="999" w:firstLine="257"/>
        <w:spacing w:after="0" w:line="265" w:lineRule="auto"/>
        <w:rPr>
          <w:sz w:val="20"/>
          <w:szCs w:val="20"/>
          <w:color w:val="auto"/>
        </w:rPr>
      </w:pPr>
      <w:r>
        <w:rPr>
          <w:rFonts w:ascii="Arial" w:cs="Arial" w:eastAsia="Arial" w:hAnsi="Arial"/>
          <w:sz w:val="17"/>
          <w:szCs w:val="17"/>
          <w:color w:val="auto"/>
        </w:rPr>
        <w:t>Pending the termination of employment, Mr. Gamliel’s current gross annual salary is $178,500. In accordance with his employment agreement, Mr. Gamliel is also entitled to reimbursement for vehicle maintenance costs and reasonable expenses while employed by our company.</w:t>
      </w:r>
    </w:p>
    <w:p>
      <w:pPr>
        <w:spacing w:after="0" w:line="73" w:lineRule="exact"/>
        <w:rPr>
          <w:sz w:val="20"/>
          <w:szCs w:val="20"/>
          <w:color w:val="auto"/>
        </w:rPr>
      </w:pPr>
    </w:p>
    <w:p>
      <w:pPr>
        <w:ind w:left="60" w:right="1119" w:firstLine="257"/>
        <w:spacing w:after="0" w:line="291" w:lineRule="auto"/>
        <w:rPr>
          <w:sz w:val="20"/>
          <w:szCs w:val="20"/>
          <w:color w:val="auto"/>
        </w:rPr>
      </w:pPr>
      <w:r>
        <w:rPr>
          <w:rFonts w:ascii="Arial" w:cs="Arial" w:eastAsia="Arial" w:hAnsi="Arial"/>
          <w:sz w:val="15"/>
          <w:szCs w:val="15"/>
          <w:color w:val="auto"/>
        </w:rPr>
        <w:t>In accordance with the terms and conditions of his employment agreement, prior to March 31, 2011, Mr. Gamliel was entitled to an additional bonus plan that was based upon milestones and was subject to the discretion of our Board of Directors. The bonus terms were as follows: a bonus for 2008 of up to 25% of his base salary if Mr. Gamliel achieves certain milestones, including, among others, creating potentially lasting connections with global pharmaceutical companies. For 2009, Mr. Gamliel was entitled to a bonus to be determined by our Board of Directors of up to 25% of his base salary if he achieved certain milestones as determined by our Board of Directors. In addition, Mr. Gamliel was entitled to a bonus of up to 35% of his base salary for his contribution to “deal execution,” as this term was defined from time to time by us and Mr. Gamliel. In accordance with his bonus plan, Mr. Gamliel received a bonus of $42,500 in 2008 and $102,000 in 2009. Mr. Gamliel was also entitled to participate in any Company-wide bonuses granted in respect of deals entered into by the Company. The employment agreement provides that we or Mr. Gamliel were entitled to terminate Mr. Gamliel’s employment upon 30 days’ notice. If we were to terminate his employment, Mr. Gamliel was entitled to severance pay equal to three months’ base salary. In the March 30, 2011 letter agreement, we and Mr. Gamliel agreed that he shall receive one month’s base salary upon the termination of his employment on July 13, 2011.</w:t>
      </w:r>
    </w:p>
    <w:p>
      <w:pPr>
        <w:spacing w:after="0" w:line="63"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In addition, pursuant to his employment agreement, and in accordance with our stock option plan, Mr. Gamliel was entitled to receive options exercisable into our ordinary shares from time to time. As of June 30 we have granted him options to purchase 605,390 ordinary shares, in the aggregate, 112,500 of which have vested or will vest within 60 days of such date. In accordance with our stock option plan, Mr. Gamliel’s options vest over a period of four years from the applicable grant date. If we were to terminate the employment relationship with Mr. Gamliel for cause, all of Mr. Gamliel’s vested and unvested options were to terminate immediately. Upon termination of employment for any other reason (other than death or disability), vested options were exercisable within 90 days of termination of employment, unless otherwise determined by the Audit Committee or the Board of Directors. If Mr. Gamliel were to no longer be able to work due to death or permanent disability, then 50% of all of his unvested options were to be deemed fully vested, and any vested options were to be exercisable by Mr. Gamliel or his estate for 12 months following his death or disability. If we complete a merger, consolidation, reorganization, sale or transfer of all or substantially all of our ordinary shares, or sale or transfer of all or substantially all of our assets, Mr. Gamliel’s outstanding options may be assumed by the successor company or an affiliate thereof or securities of such company may be substituted for the options. If the successor company does not assume or substitute for Mr. Gamliel’s</w:t>
      </w:r>
    </w:p>
    <w:p>
      <w:pPr>
        <w:spacing w:after="0" w:line="200" w:lineRule="exact"/>
        <w:rPr>
          <w:sz w:val="20"/>
          <w:szCs w:val="20"/>
          <w:color w:val="auto"/>
        </w:rPr>
      </w:pPr>
    </w:p>
    <w:p>
      <w:pPr>
        <w:spacing w:after="0" w:line="30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79"/>
        <w:spacing w:after="0" w:line="272" w:lineRule="auto"/>
        <w:rPr>
          <w:sz w:val="20"/>
          <w:szCs w:val="20"/>
          <w:color w:val="auto"/>
        </w:rPr>
      </w:pPr>
      <w:r>
        <w:rPr>
          <w:rFonts w:ascii="Arial" w:cs="Arial" w:eastAsia="Arial" w:hAnsi="Arial"/>
          <w:sz w:val="16"/>
          <w:szCs w:val="16"/>
          <w:color w:val="auto"/>
        </w:rPr>
        <w:t>outstanding options, then Mr. Gamliel’s unvested options will immediately vest as of the date which is 10 days before the effective date of the applicable transaction, provided that Mr. Gamliel was to commit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Mr. Gamliel’s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Mr. Gamliel’s unexercised vested options and any unvested options will automatically terminate. In the March 30, 2011 letter agreement, we and Mr. Gamliel agreed that he is entitled to exercise his vested options for a 90-day period after the termination date.</w:t>
      </w:r>
    </w:p>
    <w:p>
      <w:pPr>
        <w:spacing w:after="0" w:line="73"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On February 2, 2011, our Board of Directors approved the payment to Mr. Gamliel of a cash bonus for the achievement of certain milestones for 2010 equal to $42,394. In addition, on August 31, 2010, our Board of Directors approved the payment to Mr. Gamliel of a cash bonus equal to $62,475 due to his efforts in connection with the out-licensing agreement with Cypress Bioscience.</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Employment Agreement with Moshe Phillip</w:t>
      </w:r>
    </w:p>
    <w:p>
      <w:pPr>
        <w:spacing w:after="0" w:line="113" w:lineRule="exact"/>
        <w:rPr>
          <w:sz w:val="20"/>
          <w:szCs w:val="20"/>
          <w:color w:val="auto"/>
        </w:rPr>
      </w:pPr>
    </w:p>
    <w:p>
      <w:pPr>
        <w:ind w:left="60" w:right="1059" w:firstLine="257"/>
        <w:spacing w:after="0" w:line="279" w:lineRule="auto"/>
        <w:rPr>
          <w:sz w:val="20"/>
          <w:szCs w:val="20"/>
          <w:color w:val="auto"/>
        </w:rPr>
      </w:pPr>
      <w:r>
        <w:rPr>
          <w:rFonts w:ascii="Arial" w:cs="Arial" w:eastAsia="Arial" w:hAnsi="Arial"/>
          <w:sz w:val="16"/>
          <w:szCs w:val="16"/>
          <w:color w:val="auto"/>
        </w:rPr>
        <w:t>Moshe Phillip has served as our Vice President of Medical Affairs and Senior Clinical Advisor since January 7, 2004. Dr. Phillip’s current gross monthly salary is NIS 51,500. In accordance with his employment agreement, Dr. Phillip is entitled to an allocation to a manager’s insurance policy equivalent to 13.33% of his gross monthly salary and 7.5% of his gross monthly salary for a study fund. Five percent of his gross monthly salary is deducted for the manager’s insurance policy. Dr. Phillip is also entitled to reimbursement for vehicle maintenance costs and reasonable expenses.</w:t>
      </w:r>
    </w:p>
    <w:p>
      <w:pPr>
        <w:spacing w:after="0" w:line="63" w:lineRule="exact"/>
        <w:rPr>
          <w:sz w:val="20"/>
          <w:szCs w:val="20"/>
          <w:color w:val="auto"/>
        </w:rPr>
      </w:pPr>
    </w:p>
    <w:p>
      <w:pPr>
        <w:ind w:left="60" w:right="1019" w:firstLine="257"/>
        <w:spacing w:after="0" w:line="289" w:lineRule="auto"/>
        <w:rPr>
          <w:sz w:val="20"/>
          <w:szCs w:val="20"/>
          <w:color w:val="auto"/>
        </w:rPr>
      </w:pPr>
      <w:r>
        <w:rPr>
          <w:rFonts w:ascii="Arial" w:cs="Arial" w:eastAsia="Arial" w:hAnsi="Arial"/>
          <w:sz w:val="15"/>
          <w:szCs w:val="15"/>
          <w:color w:val="auto"/>
        </w:rPr>
        <w:t>In addition, pursuant to his employment agreement, and in accordance with our stock option plan, Dr. Phillip is also entitled to receive options exercisable into our ordinary shares from time to time. As of May 31, 2011, we have granted to Dr. Phillip options to purchase 1,204,474 ordinary shares in the aggregate, 208,161 of which have vested or will vest within 60 days of such date. In accordance with our stock option plan, Dr. Phillip’s options vest over a period of four years from the applicable grant date. If we terminate the employment relationship with Dr. Phillip for cause, all of Dr. Phillip’s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Dr. Phillip is no longer able to work due to death or permanent disability, then 50% of all of his unvested options shall be deemed fully vested, and any vested options shall be exercisable by Dr. Phillip or his estate for 12 months following his death or disability. In the event of a merger, consolidation, reorganization, sale or transfer of all or substantially all of our ordinary shares, or sale or transfer of all or substantially all of our assets, Dr. Phillip’s outstanding options may be assumed by the successor company or an affiliate thereof or securities of such company may be substituted for the options. If the successor company does not assume or substitute for Dr. Phillip’s outstanding options, then Dr. Phillip’s unvested options will immediately vest as of the date which is 10 days before the effective date of the applicable transaction, provided that Dr. Phillip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Dr. Phillip’s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Dr. Phillip’s unexercised vested options and any unvested options will automatically terminate.</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May 26, 2011, our Board of Directors approved the payment to Dr. Phillip of a bonus for 2010 equal to NIS 77,000.</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Employment Agreement with Leah Klapper, Ph.D.</w:t>
      </w:r>
    </w:p>
    <w:p>
      <w:pPr>
        <w:spacing w:after="0" w:line="113" w:lineRule="exact"/>
        <w:rPr>
          <w:sz w:val="20"/>
          <w:szCs w:val="20"/>
          <w:color w:val="auto"/>
        </w:rPr>
      </w:pPr>
    </w:p>
    <w:p>
      <w:pPr>
        <w:ind w:left="60" w:right="999" w:firstLine="257"/>
        <w:spacing w:after="0" w:line="277" w:lineRule="auto"/>
        <w:rPr>
          <w:sz w:val="20"/>
          <w:szCs w:val="20"/>
          <w:color w:val="auto"/>
        </w:rPr>
      </w:pPr>
      <w:r>
        <w:rPr>
          <w:rFonts w:ascii="Arial" w:cs="Arial" w:eastAsia="Arial" w:hAnsi="Arial"/>
          <w:sz w:val="16"/>
          <w:szCs w:val="16"/>
          <w:color w:val="auto"/>
        </w:rPr>
        <w:t>Leah Klapper began serving as the General Manager of BIJ in January 2010. Dr. Klapper’s current gross monthly salary is NIS 45,000. In accordance with her employment agreement, Dr. Klapper is entitled to an allocation to a manager’s insurance policy equivalent to 13.33% of her gross monthly salary and 7.5% of her gross monthly salary (but not to exceed approximately NIS 1,150 per month) for a study fund. Five percent of her gross monthly salary is deducted for the manager’s insurance policy and 2.5% (but not to exceed approximately NIS 400 per month) is deducted for the study fund. Dr. Klapper is also entitled to reimbursement for vehicle maintenance costs and reasonable expenses.</w:t>
      </w:r>
    </w:p>
    <w:p>
      <w:pPr>
        <w:spacing w:after="0" w:line="64" w:lineRule="exact"/>
        <w:rPr>
          <w:sz w:val="20"/>
          <w:szCs w:val="20"/>
          <w:color w:val="auto"/>
        </w:rPr>
      </w:pPr>
    </w:p>
    <w:p>
      <w:pPr>
        <w:ind w:left="60" w:right="999" w:firstLine="257"/>
        <w:spacing w:after="0" w:line="289" w:lineRule="auto"/>
        <w:rPr>
          <w:sz w:val="20"/>
          <w:szCs w:val="20"/>
          <w:color w:val="auto"/>
        </w:rPr>
      </w:pPr>
      <w:r>
        <w:rPr>
          <w:rFonts w:ascii="Arial" w:cs="Arial" w:eastAsia="Arial" w:hAnsi="Arial"/>
          <w:sz w:val="15"/>
          <w:szCs w:val="15"/>
          <w:color w:val="auto"/>
        </w:rPr>
        <w:t>In addition, pursuant to her employment agreement, and in accordance with our stock option plan, Dr. Klapper is also entitled to receive options exercisable into our ordinary shares from time to time. As of May 31, 2011, we have granted her options to purchase 281,485 ordinary shares in the aggregate, 17,525 of which have vested or will vest within 60 days of such date. In accordance with our stock, option plan, Dr. Klapper’s options vest over a period of four years from the applicable grant date. If we terminate the employment relationship with Dr. Klapper for cause, all of Dr. Klapper’s vested and unvested options shall terminate immediately. Upon termination of employment for any other reason (other than death or disability), vested options may be exercised within 90 days of termination of employment, unless otherwise determined by the Audit Committee or the Board of Directors. If Dr. Klapper is no longer able to work due to death or permanent disability, then 50% of all of her unvested options shall be deemed fully vested, and any vested options shall be exercisable by Dr. Klapper or her estate for 12 months following her death or disability. If we complete a merger, consolidation, reorganization, sale or transfer of all or substantially all of our ordinary shares, or sale or transfer of all or substantially all of our assets, Dr. Klapper’s outstanding options may be assumed by the successor company or an affiliate thereof or securities of such company may be substituted for the options. If the successor company does not assume or substitute for Dr. Klapper’s outstanding options, then Dr. Klapper’s unvested options will immediately vest as of the date which is 10 days before the effective date of the applicable transaction, provided that Dr. Klapper commits to remain employed with the successor company for one year following the effective date of the transaction. Assumed or substituted options that are scheduled to vest more than one year after the closing of the applicable transaction shall have their vesting schedules accelerated by one year, provided that if any such acceleration would result in an option becoming vested prior to the one year from the closing date of the applicable transaction, such option will vest on the first anniversary of the closing of the applicable transaction. If Dr. Klapper’s employment with the successor company (or an affiliate) is terminated by the successor company (or an affiliate) without cause within one year of the closing of a transaction, all outstanding options assumed or substituted by the successor company shall immediately vest in full. If we effect a voluntary liquidation or dissolution, all of Dr. Klapper’s unexercised vested options and any unvested options will automatically terminate.</w:t>
      </w:r>
    </w:p>
    <w:p>
      <w:pPr>
        <w:spacing w:after="0" w:line="269" w:lineRule="exact"/>
        <w:rPr>
          <w:sz w:val="20"/>
          <w:szCs w:val="20"/>
          <w:color w:val="auto"/>
        </w:rPr>
      </w:pPr>
    </w:p>
    <w:p>
      <w:pPr>
        <w:ind w:left="320" w:right="1499"/>
        <w:spacing w:after="0" w:line="402" w:lineRule="auto"/>
        <w:rPr>
          <w:sz w:val="20"/>
          <w:szCs w:val="20"/>
          <w:color w:val="auto"/>
        </w:rPr>
      </w:pPr>
      <w:r>
        <w:rPr>
          <w:rFonts w:ascii="Arial" w:cs="Arial" w:eastAsia="Arial" w:hAnsi="Arial"/>
          <w:sz w:val="17"/>
          <w:szCs w:val="17"/>
          <w:color w:val="auto"/>
        </w:rPr>
        <w:t xml:space="preserve">On May 26, 2011, our Board of Directors approved the payment to Dr. Klapper of a bonus for 2010 equal to NIS 68,000. </w:t>
      </w:r>
      <w:r>
        <w:rPr>
          <w:rFonts w:ascii="Arial" w:cs="Arial" w:eastAsia="Arial" w:hAnsi="Arial"/>
          <w:sz w:val="17"/>
          <w:szCs w:val="17"/>
          <w:b w:val="1"/>
          <w:bCs w:val="1"/>
          <w:i w:val="1"/>
          <w:iCs w:val="1"/>
          <w:color w:val="auto"/>
        </w:rPr>
        <w:t>Executive Compensation</w:t>
      </w:r>
    </w:p>
    <w:p>
      <w:pPr>
        <w:spacing w:after="0" w:line="1" w:lineRule="exact"/>
        <w:rPr>
          <w:sz w:val="20"/>
          <w:szCs w:val="20"/>
          <w:color w:val="auto"/>
        </w:rPr>
      </w:pPr>
    </w:p>
    <w:p>
      <w:pPr>
        <w:ind w:left="60" w:right="1059" w:firstLine="257"/>
        <w:spacing w:after="0" w:line="298" w:lineRule="auto"/>
        <w:rPr>
          <w:sz w:val="20"/>
          <w:szCs w:val="20"/>
          <w:color w:val="auto"/>
        </w:rPr>
      </w:pPr>
      <w:r>
        <w:rPr>
          <w:rFonts w:ascii="Arial" w:cs="Arial" w:eastAsia="Arial" w:hAnsi="Arial"/>
          <w:sz w:val="15"/>
          <w:szCs w:val="15"/>
          <w:color w:val="auto"/>
        </w:rPr>
        <w:t>The following table presents information for our fiscal year ended December 31, 2010 regarding compensation paid to or accrued for our Chief Executive Officer, our Chief Financial and Operating Officer and each of our three other most highly compensated executive officers who were serving as executive officers as of the end of December 31, 2010, who we refer to as our named executive officers. Compensation includes long-term awards granted in the fiscal year ended December 31, 2010. The compensation table excludes other compensation in the form of perquisites and other personal benefits that constituted less than 10% of the total annual salary and bonus for the executive officer in the fiscal year ended December 31, 2010.</w:t>
      </w:r>
    </w:p>
    <w:p>
      <w:pPr>
        <w:spacing w:after="0" w:line="200" w:lineRule="exact"/>
        <w:rPr>
          <w:sz w:val="20"/>
          <w:szCs w:val="20"/>
          <w:color w:val="auto"/>
        </w:rPr>
      </w:pPr>
    </w:p>
    <w:p>
      <w:pPr>
        <w:spacing w:after="0" w:line="27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663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ind w:left="460"/>
              <w:spacing w:after="0"/>
              <w:rPr>
                <w:sz w:val="20"/>
                <w:szCs w:val="20"/>
                <w:color w:val="auto"/>
              </w:rPr>
            </w:pPr>
            <w:r>
              <w:rPr>
                <w:rFonts w:ascii="Arial" w:cs="Arial" w:eastAsia="Arial" w:hAnsi="Arial"/>
                <w:sz w:val="14"/>
                <w:szCs w:val="14"/>
                <w:b w:val="1"/>
                <w:bCs w:val="1"/>
                <w:color w:val="auto"/>
              </w:rPr>
              <w:t>Annual 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Long-Term</w:t>
            </w:r>
          </w:p>
        </w:tc>
      </w:t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w:t>
            </w:r>
          </w:p>
        </w:tc>
      </w:tr>
      <w:tr>
        <w:trPr>
          <w:trHeight w:val="151"/>
        </w:trPr>
        <w:tc>
          <w:tcPr>
            <w:tcW w:w="432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Name and Position (s)</w:t>
            </w:r>
          </w:p>
        </w:tc>
        <w:tc>
          <w:tcPr>
            <w:tcW w:w="1020" w:type="dxa"/>
            <w:vAlign w:val="bottom"/>
          </w:tcPr>
          <w:p>
            <w:pPr>
              <w:jc w:val="right"/>
              <w:ind w:right="101"/>
              <w:spacing w:after="0" w:line="151" w:lineRule="exact"/>
              <w:rPr>
                <w:sz w:val="20"/>
                <w:szCs w:val="20"/>
                <w:color w:val="auto"/>
              </w:rPr>
            </w:pPr>
            <w:r>
              <w:rPr>
                <w:rFonts w:ascii="Arial" w:cs="Arial" w:eastAsia="Arial" w:hAnsi="Arial"/>
                <w:sz w:val="14"/>
                <w:szCs w:val="14"/>
                <w:b w:val="1"/>
                <w:bCs w:val="1"/>
                <w:color w:val="auto"/>
              </w:rPr>
              <w:t>Salary and</w:t>
            </w:r>
          </w:p>
        </w:tc>
        <w:tc>
          <w:tcPr>
            <w:tcW w:w="160" w:type="dxa"/>
            <w:vAlign w:val="bottom"/>
          </w:tcPr>
          <w:p>
            <w:pPr>
              <w:spacing w:after="0"/>
              <w:rPr>
                <w:sz w:val="13"/>
                <w:szCs w:val="13"/>
                <w:color w:val="auto"/>
              </w:rPr>
            </w:pPr>
          </w:p>
        </w:tc>
        <w:tc>
          <w:tcPr>
            <w:tcW w:w="1180" w:type="dxa"/>
            <w:vAlign w:val="bottom"/>
            <w:gridSpan w:val="2"/>
          </w:tcPr>
          <w:p>
            <w:pPr>
              <w:ind w:left="340"/>
              <w:spacing w:after="0" w:line="151" w:lineRule="exact"/>
              <w:rPr>
                <w:sz w:val="20"/>
                <w:szCs w:val="20"/>
                <w:color w:val="auto"/>
              </w:rPr>
            </w:pPr>
            <w:r>
              <w:rPr>
                <w:rFonts w:ascii="Arial" w:cs="Arial" w:eastAsia="Arial" w:hAnsi="Arial"/>
                <w:sz w:val="14"/>
                <w:szCs w:val="14"/>
                <w:b w:val="1"/>
                <w:bCs w:val="1"/>
                <w:color w:val="auto"/>
              </w:rPr>
              <w:t>Bonus</w:t>
            </w:r>
          </w:p>
        </w:tc>
        <w:tc>
          <w:tcPr>
            <w:tcW w:w="11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7"/>
              </w:rPr>
              <w:t>Shares Underlying</w:t>
            </w:r>
          </w:p>
        </w:tc>
      </w:tr>
      <w:tr>
        <w:trPr>
          <w:trHeight w:val="164"/>
        </w:trPr>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related benefits</w:t>
            </w: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w:t>
            </w: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w w:val="94"/>
              </w:rPr>
              <w:t>(NIS in thousands)</w:t>
            </w:r>
          </w:p>
        </w:tc>
        <w:tc>
          <w:tcPr>
            <w:tcW w:w="1140" w:type="dxa"/>
            <w:vAlign w:val="bottom"/>
          </w:tcPr>
          <w:p>
            <w:pPr>
              <w:spacing w:after="0"/>
              <w:rPr>
                <w:sz w:val="16"/>
                <w:szCs w:val="16"/>
                <w:color w:val="auto"/>
              </w:rPr>
            </w:pPr>
          </w:p>
        </w:tc>
      </w:tr>
      <w:tr>
        <w:trPr>
          <w:trHeight w:val="199"/>
        </w:trPr>
        <w:tc>
          <w:tcPr>
            <w:tcW w:w="432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Kinneret Savitsky, Ph.D.</w:t>
            </w:r>
          </w:p>
        </w:tc>
        <w:tc>
          <w:tcPr>
            <w:tcW w:w="1020" w:type="dxa"/>
            <w:vAlign w:val="bottom"/>
            <w:shd w:val="clear" w:color="auto" w:fill="CCFFCC"/>
          </w:tcPr>
          <w:p>
            <w:pPr>
              <w:jc w:val="right"/>
              <w:ind w:right="41"/>
              <w:spacing w:after="0"/>
              <w:rPr>
                <w:sz w:val="20"/>
                <w:szCs w:val="20"/>
                <w:color w:val="auto"/>
              </w:rPr>
            </w:pPr>
            <w:r>
              <w:rPr>
                <w:rFonts w:ascii="Arial" w:cs="Arial" w:eastAsia="Arial" w:hAnsi="Arial"/>
                <w:sz w:val="17"/>
                <w:szCs w:val="17"/>
                <w:color w:val="auto"/>
              </w:rPr>
              <w:t>1,256</w:t>
            </w:r>
          </w:p>
        </w:tc>
        <w:tc>
          <w:tcPr>
            <w:tcW w:w="16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1,156</w:t>
            </w:r>
          </w:p>
        </w:tc>
      </w:tr>
      <w:tr>
        <w:trPr>
          <w:trHeight w:val="218"/>
        </w:trPr>
        <w:tc>
          <w:tcPr>
            <w:tcW w:w="20" w:type="dxa"/>
            <w:vAlign w:val="bottom"/>
            <w:shd w:val="clear" w:color="auto" w:fill="CCFFCC"/>
          </w:tcPr>
          <w:p>
            <w:pPr>
              <w:spacing w:after="0"/>
              <w:rPr>
                <w:sz w:val="18"/>
                <w:szCs w:val="18"/>
                <w:color w:val="auto"/>
              </w:rPr>
            </w:pPr>
          </w:p>
        </w:tc>
        <w:tc>
          <w:tcPr>
            <w:tcW w:w="43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Chief Executive Officer and Director</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r>
      <w:tr>
        <w:trPr>
          <w:trHeight w:val="193"/>
        </w:trPr>
        <w:tc>
          <w:tcPr>
            <w:tcW w:w="4320" w:type="dxa"/>
            <w:vAlign w:val="bottom"/>
            <w:gridSpan w:val="4"/>
          </w:tcPr>
          <w:p>
            <w:pPr>
              <w:spacing w:after="0" w:line="194" w:lineRule="exact"/>
              <w:rPr>
                <w:sz w:val="20"/>
                <w:szCs w:val="20"/>
                <w:color w:val="auto"/>
              </w:rPr>
            </w:pPr>
            <w:r>
              <w:rPr>
                <w:rFonts w:ascii="Arial" w:cs="Arial" w:eastAsia="Arial" w:hAnsi="Arial"/>
                <w:sz w:val="17"/>
                <w:szCs w:val="17"/>
                <w:color w:val="auto"/>
              </w:rPr>
              <w:t>Philip Serlin</w:t>
            </w:r>
          </w:p>
        </w:tc>
        <w:tc>
          <w:tcPr>
            <w:tcW w:w="1020" w:type="dxa"/>
            <w:vAlign w:val="bottom"/>
          </w:tcPr>
          <w:p>
            <w:pPr>
              <w:jc w:val="right"/>
              <w:ind w:right="41"/>
              <w:spacing w:after="0" w:line="194" w:lineRule="exact"/>
              <w:rPr>
                <w:sz w:val="20"/>
                <w:szCs w:val="20"/>
                <w:color w:val="auto"/>
              </w:rPr>
            </w:pPr>
            <w:r>
              <w:rPr>
                <w:rFonts w:ascii="Arial" w:cs="Arial" w:eastAsia="Arial" w:hAnsi="Arial"/>
                <w:sz w:val="17"/>
                <w:szCs w:val="17"/>
                <w:color w:val="auto"/>
              </w:rPr>
              <w:t>943</w:t>
            </w:r>
          </w:p>
        </w:tc>
        <w:tc>
          <w:tcPr>
            <w:tcW w:w="1200" w:type="dxa"/>
            <w:vAlign w:val="bottom"/>
            <w:gridSpan w:val="2"/>
          </w:tcPr>
          <w:p>
            <w:pPr>
              <w:jc w:val="right"/>
              <w:ind w:right="86"/>
              <w:spacing w:after="0" w:line="194" w:lineRule="exact"/>
              <w:rPr>
                <w:sz w:val="20"/>
                <w:szCs w:val="20"/>
                <w:color w:val="auto"/>
              </w:rPr>
            </w:pPr>
            <w:r>
              <w:rPr>
                <w:rFonts w:ascii="Arial" w:cs="Arial" w:eastAsia="Arial" w:hAnsi="Arial"/>
                <w:sz w:val="17"/>
                <w:szCs w:val="17"/>
                <w:color w:val="auto"/>
              </w:rPr>
              <w:t>100</w:t>
            </w:r>
          </w:p>
        </w:tc>
        <w:tc>
          <w:tcPr>
            <w:tcW w:w="140" w:type="dxa"/>
            <w:vAlign w:val="bottom"/>
          </w:tcPr>
          <w:p>
            <w:pPr>
              <w:spacing w:after="0"/>
              <w:rPr>
                <w:sz w:val="16"/>
                <w:szCs w:val="16"/>
                <w:color w:val="auto"/>
              </w:rPr>
            </w:pPr>
          </w:p>
        </w:tc>
        <w:tc>
          <w:tcPr>
            <w:tcW w:w="1140" w:type="dxa"/>
            <w:vAlign w:val="bottom"/>
          </w:tcPr>
          <w:p>
            <w:pPr>
              <w:jc w:val="right"/>
              <w:ind w:right="62"/>
              <w:spacing w:after="0" w:line="194" w:lineRule="exact"/>
              <w:rPr>
                <w:sz w:val="20"/>
                <w:szCs w:val="20"/>
                <w:color w:val="auto"/>
              </w:rPr>
            </w:pPr>
            <w:r>
              <w:rPr>
                <w:rFonts w:ascii="Arial" w:cs="Arial" w:eastAsia="Arial" w:hAnsi="Arial"/>
                <w:sz w:val="17"/>
                <w:szCs w:val="17"/>
                <w:color w:val="auto"/>
              </w:rPr>
              <w:t>414</w:t>
            </w:r>
          </w:p>
        </w:tc>
      </w:tr>
      <w:tr>
        <w:trPr>
          <w:trHeight w:val="217"/>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7"/>
                <w:szCs w:val="17"/>
                <w:color w:val="auto"/>
              </w:rPr>
              <w:t>Chief Financial and Operating Officer</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4"/>
        </w:trPr>
        <w:tc>
          <w:tcPr>
            <w:tcW w:w="4320" w:type="dxa"/>
            <w:vAlign w:val="bottom"/>
            <w:gridSpan w:val="4"/>
            <w:shd w:val="clear" w:color="auto" w:fill="CCFFCC"/>
          </w:tcPr>
          <w:p>
            <w:pPr>
              <w:spacing w:after="0" w:line="194" w:lineRule="exact"/>
              <w:rPr>
                <w:sz w:val="20"/>
                <w:szCs w:val="20"/>
                <w:color w:val="auto"/>
              </w:rPr>
            </w:pPr>
            <w:r>
              <w:rPr>
                <w:rFonts w:ascii="Arial" w:cs="Arial" w:eastAsia="Arial" w:hAnsi="Arial"/>
                <w:sz w:val="17"/>
                <w:szCs w:val="17"/>
                <w:color w:val="auto"/>
              </w:rPr>
              <w:t>Moshe Phillip, M.D.</w:t>
            </w:r>
          </w:p>
        </w:tc>
        <w:tc>
          <w:tcPr>
            <w:tcW w:w="1020" w:type="dxa"/>
            <w:vAlign w:val="bottom"/>
            <w:shd w:val="clear" w:color="auto" w:fill="CCFFCC"/>
          </w:tcPr>
          <w:p>
            <w:pPr>
              <w:jc w:val="right"/>
              <w:ind w:right="41"/>
              <w:spacing w:after="0" w:line="194" w:lineRule="exact"/>
              <w:rPr>
                <w:sz w:val="20"/>
                <w:szCs w:val="20"/>
                <w:color w:val="auto"/>
              </w:rPr>
            </w:pPr>
            <w:r>
              <w:rPr>
                <w:rFonts w:ascii="Arial" w:cs="Arial" w:eastAsia="Arial" w:hAnsi="Arial"/>
                <w:sz w:val="17"/>
                <w:szCs w:val="17"/>
                <w:color w:val="auto"/>
              </w:rPr>
              <w:t>1,018</w:t>
            </w:r>
          </w:p>
        </w:tc>
        <w:tc>
          <w:tcPr>
            <w:tcW w:w="1200" w:type="dxa"/>
            <w:vAlign w:val="bottom"/>
            <w:gridSpan w:val="2"/>
            <w:shd w:val="clear" w:color="auto" w:fill="CCFFCC"/>
          </w:tcPr>
          <w:p>
            <w:pPr>
              <w:jc w:val="right"/>
              <w:ind w:right="86"/>
              <w:spacing w:after="0" w:line="194" w:lineRule="exact"/>
              <w:rPr>
                <w:sz w:val="20"/>
                <w:szCs w:val="20"/>
                <w:color w:val="auto"/>
              </w:rPr>
            </w:pPr>
            <w:r>
              <w:rPr>
                <w:rFonts w:ascii="Arial" w:cs="Arial" w:eastAsia="Arial" w:hAnsi="Arial"/>
                <w:sz w:val="17"/>
                <w:szCs w:val="17"/>
                <w:color w:val="auto"/>
              </w:rPr>
              <w:t>100</w:t>
            </w:r>
          </w:p>
        </w:tc>
        <w:tc>
          <w:tcPr>
            <w:tcW w:w="14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62"/>
              <w:spacing w:after="0" w:line="194" w:lineRule="exact"/>
              <w:rPr>
                <w:sz w:val="20"/>
                <w:szCs w:val="20"/>
                <w:color w:val="auto"/>
              </w:rPr>
            </w:pPr>
            <w:r>
              <w:rPr>
                <w:rFonts w:ascii="Arial" w:cs="Arial" w:eastAsia="Arial" w:hAnsi="Arial"/>
                <w:sz w:val="17"/>
                <w:szCs w:val="17"/>
                <w:color w:val="auto"/>
              </w:rPr>
              <w:t>415</w:t>
            </w:r>
          </w:p>
        </w:tc>
      </w:tr>
      <w:tr>
        <w:trPr>
          <w:trHeight w:val="206"/>
        </w:trPr>
        <w:tc>
          <w:tcPr>
            <w:tcW w:w="20" w:type="dxa"/>
            <w:vAlign w:val="bottom"/>
            <w:shd w:val="clear" w:color="auto" w:fill="CCFFCC"/>
          </w:tcPr>
          <w:p>
            <w:pPr>
              <w:spacing w:after="0"/>
              <w:rPr>
                <w:sz w:val="17"/>
                <w:szCs w:val="17"/>
                <w:color w:val="auto"/>
              </w:rPr>
            </w:pPr>
          </w:p>
        </w:tc>
        <w:tc>
          <w:tcPr>
            <w:tcW w:w="43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Vice President, Medical Affairs and Senior Clinical</w:t>
            </w: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r>
      <w:tr>
        <w:trPr>
          <w:trHeight w:val="218"/>
        </w:trPr>
        <w:tc>
          <w:tcPr>
            <w:tcW w:w="20" w:type="dxa"/>
            <w:vAlign w:val="bottom"/>
            <w:shd w:val="clear" w:color="auto" w:fill="CCFFCC"/>
          </w:tcPr>
          <w:p>
            <w:pPr>
              <w:spacing w:after="0"/>
              <w:rPr>
                <w:sz w:val="18"/>
                <w:szCs w:val="18"/>
                <w:color w:val="auto"/>
              </w:rPr>
            </w:pPr>
          </w:p>
        </w:tc>
        <w:tc>
          <w:tcPr>
            <w:tcW w:w="43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Advisor</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r>
      <w:tr>
        <w:trPr>
          <w:trHeight w:val="193"/>
        </w:trPr>
        <w:tc>
          <w:tcPr>
            <w:tcW w:w="4320" w:type="dxa"/>
            <w:vAlign w:val="bottom"/>
            <w:gridSpan w:val="4"/>
          </w:tcPr>
          <w:p>
            <w:pPr>
              <w:spacing w:after="0" w:line="194" w:lineRule="exact"/>
              <w:rPr>
                <w:sz w:val="20"/>
                <w:szCs w:val="20"/>
                <w:color w:val="auto"/>
              </w:rPr>
            </w:pPr>
            <w:r>
              <w:rPr>
                <w:rFonts w:ascii="Arial" w:cs="Arial" w:eastAsia="Arial" w:hAnsi="Arial"/>
                <w:sz w:val="17"/>
                <w:szCs w:val="17"/>
                <w:color w:val="auto"/>
              </w:rPr>
              <w:t>Nir Gamliel</w:t>
            </w:r>
          </w:p>
        </w:tc>
        <w:tc>
          <w:tcPr>
            <w:tcW w:w="1020" w:type="dxa"/>
            <w:vAlign w:val="bottom"/>
          </w:tcPr>
          <w:p>
            <w:pPr>
              <w:jc w:val="right"/>
              <w:ind w:right="41"/>
              <w:spacing w:after="0" w:line="194" w:lineRule="exact"/>
              <w:rPr>
                <w:sz w:val="20"/>
                <w:szCs w:val="20"/>
                <w:color w:val="auto"/>
              </w:rPr>
            </w:pPr>
            <w:r>
              <w:rPr>
                <w:rFonts w:ascii="Arial" w:cs="Arial" w:eastAsia="Arial" w:hAnsi="Arial"/>
                <w:sz w:val="17"/>
                <w:szCs w:val="17"/>
                <w:color w:val="auto"/>
              </w:rPr>
              <w:t>801</w:t>
            </w:r>
          </w:p>
        </w:tc>
        <w:tc>
          <w:tcPr>
            <w:tcW w:w="1200" w:type="dxa"/>
            <w:vAlign w:val="bottom"/>
            <w:gridSpan w:val="2"/>
          </w:tcPr>
          <w:p>
            <w:pPr>
              <w:jc w:val="right"/>
              <w:ind w:right="86"/>
              <w:spacing w:after="0" w:line="194" w:lineRule="exact"/>
              <w:rPr>
                <w:sz w:val="20"/>
                <w:szCs w:val="20"/>
                <w:color w:val="auto"/>
              </w:rPr>
            </w:pPr>
            <w:r>
              <w:rPr>
                <w:rFonts w:ascii="Arial" w:cs="Arial" w:eastAsia="Arial" w:hAnsi="Arial"/>
                <w:sz w:val="17"/>
                <w:szCs w:val="17"/>
                <w:color w:val="auto"/>
              </w:rPr>
              <w:t>491</w:t>
            </w:r>
          </w:p>
        </w:tc>
        <w:tc>
          <w:tcPr>
            <w:tcW w:w="140" w:type="dxa"/>
            <w:vAlign w:val="bottom"/>
          </w:tcPr>
          <w:p>
            <w:pPr>
              <w:spacing w:after="0"/>
              <w:rPr>
                <w:sz w:val="16"/>
                <w:szCs w:val="16"/>
                <w:color w:val="auto"/>
              </w:rPr>
            </w:pPr>
          </w:p>
        </w:tc>
        <w:tc>
          <w:tcPr>
            <w:tcW w:w="1140" w:type="dxa"/>
            <w:vAlign w:val="bottom"/>
          </w:tcPr>
          <w:p>
            <w:pPr>
              <w:jc w:val="right"/>
              <w:ind w:right="62"/>
              <w:spacing w:after="0" w:line="194" w:lineRule="exact"/>
              <w:rPr>
                <w:sz w:val="20"/>
                <w:szCs w:val="20"/>
                <w:color w:val="auto"/>
              </w:rPr>
            </w:pPr>
            <w:r>
              <w:rPr>
                <w:rFonts w:ascii="Arial" w:cs="Arial" w:eastAsia="Arial" w:hAnsi="Arial"/>
                <w:sz w:val="17"/>
                <w:szCs w:val="17"/>
                <w:color w:val="auto"/>
              </w:rPr>
              <w:t>391</w:t>
            </w:r>
          </w:p>
        </w:tc>
      </w:tr>
      <w:tr>
        <w:trPr>
          <w:trHeight w:val="206"/>
        </w:trPr>
        <w:tc>
          <w:tcPr>
            <w:tcW w:w="20" w:type="dxa"/>
            <w:vAlign w:val="bottom"/>
          </w:tcPr>
          <w:p>
            <w:pPr>
              <w:spacing w:after="0"/>
              <w:rPr>
                <w:sz w:val="17"/>
                <w:szCs w:val="17"/>
                <w:color w:val="auto"/>
              </w:rPr>
            </w:pPr>
          </w:p>
        </w:tc>
        <w:tc>
          <w:tcPr>
            <w:tcW w:w="4300" w:type="dxa"/>
            <w:vAlign w:val="bottom"/>
            <w:gridSpan w:val="3"/>
          </w:tcPr>
          <w:p>
            <w:pPr>
              <w:ind w:left="160"/>
              <w:spacing w:after="0"/>
              <w:rPr>
                <w:sz w:val="20"/>
                <w:szCs w:val="20"/>
                <w:color w:val="auto"/>
              </w:rPr>
            </w:pPr>
            <w:r>
              <w:rPr>
                <w:rFonts w:ascii="Arial" w:cs="Arial" w:eastAsia="Arial" w:hAnsi="Arial"/>
                <w:sz w:val="17"/>
                <w:szCs w:val="17"/>
                <w:color w:val="auto"/>
              </w:rPr>
              <w:t>Vice President of Business Development of BioLineRx</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7"/>
                <w:szCs w:val="17"/>
                <w:color w:val="auto"/>
              </w:rPr>
              <w:t>USA, Inc.</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4"/>
        </w:trPr>
        <w:tc>
          <w:tcPr>
            <w:tcW w:w="4320" w:type="dxa"/>
            <w:vAlign w:val="bottom"/>
            <w:gridSpan w:val="4"/>
            <w:shd w:val="clear" w:color="auto" w:fill="CCFFCC"/>
          </w:tcPr>
          <w:p>
            <w:pPr>
              <w:spacing w:after="0" w:line="194" w:lineRule="exact"/>
              <w:rPr>
                <w:sz w:val="20"/>
                <w:szCs w:val="20"/>
                <w:color w:val="auto"/>
              </w:rPr>
            </w:pPr>
            <w:r>
              <w:rPr>
                <w:rFonts w:ascii="Arial" w:cs="Arial" w:eastAsia="Arial" w:hAnsi="Arial"/>
                <w:sz w:val="17"/>
                <w:szCs w:val="17"/>
                <w:color w:val="auto"/>
              </w:rPr>
              <w:t>Leah Klapper</w:t>
            </w:r>
          </w:p>
        </w:tc>
        <w:tc>
          <w:tcPr>
            <w:tcW w:w="1020" w:type="dxa"/>
            <w:vAlign w:val="bottom"/>
            <w:shd w:val="clear" w:color="auto" w:fill="CCFFCC"/>
          </w:tcPr>
          <w:p>
            <w:pPr>
              <w:jc w:val="right"/>
              <w:ind w:right="41"/>
              <w:spacing w:after="0" w:line="194" w:lineRule="exact"/>
              <w:rPr>
                <w:sz w:val="20"/>
                <w:szCs w:val="20"/>
                <w:color w:val="auto"/>
              </w:rPr>
            </w:pPr>
            <w:r>
              <w:rPr>
                <w:rFonts w:ascii="Arial" w:cs="Arial" w:eastAsia="Arial" w:hAnsi="Arial"/>
                <w:sz w:val="17"/>
                <w:szCs w:val="17"/>
                <w:color w:val="auto"/>
              </w:rPr>
              <w:t>821</w:t>
            </w:r>
          </w:p>
        </w:tc>
        <w:tc>
          <w:tcPr>
            <w:tcW w:w="1200" w:type="dxa"/>
            <w:vAlign w:val="bottom"/>
            <w:gridSpan w:val="2"/>
            <w:shd w:val="clear" w:color="auto" w:fill="CCFFCC"/>
          </w:tcPr>
          <w:p>
            <w:pPr>
              <w:jc w:val="right"/>
              <w:ind w:right="86"/>
              <w:spacing w:after="0" w:line="194" w:lineRule="exact"/>
              <w:rPr>
                <w:sz w:val="20"/>
                <w:szCs w:val="20"/>
                <w:color w:val="auto"/>
              </w:rPr>
            </w:pPr>
            <w:r>
              <w:rPr>
                <w:rFonts w:ascii="Arial" w:cs="Arial" w:eastAsia="Arial" w:hAnsi="Arial"/>
                <w:sz w:val="17"/>
                <w:szCs w:val="17"/>
                <w:color w:val="auto"/>
              </w:rPr>
              <w:t>90</w:t>
            </w:r>
          </w:p>
        </w:tc>
        <w:tc>
          <w:tcPr>
            <w:tcW w:w="14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62"/>
              <w:spacing w:after="0" w:line="194" w:lineRule="exact"/>
              <w:rPr>
                <w:sz w:val="20"/>
                <w:szCs w:val="20"/>
                <w:color w:val="auto"/>
              </w:rPr>
            </w:pPr>
            <w:r>
              <w:rPr>
                <w:rFonts w:ascii="Arial" w:cs="Arial" w:eastAsia="Arial" w:hAnsi="Arial"/>
                <w:sz w:val="17"/>
                <w:szCs w:val="17"/>
                <w:color w:val="auto"/>
              </w:rPr>
              <w:t>212</w:t>
            </w:r>
          </w:p>
        </w:tc>
      </w:tr>
      <w:tr>
        <w:trPr>
          <w:trHeight w:val="218"/>
        </w:trPr>
        <w:tc>
          <w:tcPr>
            <w:tcW w:w="20" w:type="dxa"/>
            <w:vAlign w:val="bottom"/>
            <w:shd w:val="clear" w:color="auto" w:fill="CCFFCC"/>
          </w:tcPr>
          <w:p>
            <w:pPr>
              <w:spacing w:after="0"/>
              <w:rPr>
                <w:sz w:val="18"/>
                <w:szCs w:val="18"/>
                <w:color w:val="auto"/>
              </w:rPr>
            </w:pPr>
          </w:p>
        </w:tc>
        <w:tc>
          <w:tcPr>
            <w:tcW w:w="43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General Manager, BioLine Innovations Jerusalem</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245" w:lineRule="exact"/>
        <w:rPr>
          <w:sz w:val="20"/>
          <w:szCs w:val="20"/>
          <w:color w:val="auto"/>
        </w:rPr>
      </w:pPr>
    </w:p>
    <w:p>
      <w:pPr>
        <w:ind w:left="280" w:right="1019" w:hanging="264"/>
        <w:spacing w:after="0" w:line="278" w:lineRule="auto"/>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value of the ordinary shares underlying the options has been calculated in accordance with the Black-Scholes option pricing model under IFRS.</w:t>
      </w:r>
    </w:p>
    <w:p>
      <w:pPr>
        <w:spacing w:after="0" w:line="62" w:lineRule="exact"/>
        <w:rPr>
          <w:sz w:val="20"/>
          <w:szCs w:val="20"/>
          <w:color w:val="auto"/>
        </w:rPr>
      </w:pPr>
    </w:p>
    <w:p>
      <w:pPr>
        <w:ind w:left="60" w:right="1039" w:firstLine="257"/>
        <w:spacing w:after="0" w:line="257" w:lineRule="auto"/>
        <w:rPr>
          <w:sz w:val="20"/>
          <w:szCs w:val="20"/>
          <w:color w:val="auto"/>
        </w:rPr>
      </w:pPr>
      <w:r>
        <w:rPr>
          <w:rFonts w:ascii="Arial" w:cs="Arial" w:eastAsia="Arial" w:hAnsi="Arial"/>
          <w:sz w:val="17"/>
          <w:szCs w:val="17"/>
          <w:color w:val="auto"/>
        </w:rPr>
        <w:t>Four of our officers were awarded options exercisable for 1,514,900 ordinary shares, in the aggregate, during the year ended December 31, 2010. The options were granted on February 24, 2010, have an exercise price equal to 4.034 per share and expire on February 24, 2015, unless they expire earlier pursuant to the terms of the options and our 2003 Share Option Plan. Philip Serlin received 424,200 options; Moshe Phillip received 371,350 options; Leah Klapper received 263,960 options; and Nir Gamliel received 455,390 options. Otherwise, no options were granted to our named executive officers during the year ended December 31, 2010.</w:t>
      </w:r>
    </w:p>
    <w:p>
      <w:pPr>
        <w:spacing w:after="0" w:line="82" w:lineRule="exact"/>
        <w:rPr>
          <w:sz w:val="20"/>
          <w:szCs w:val="20"/>
          <w:color w:val="auto"/>
        </w:rPr>
      </w:pPr>
    </w:p>
    <w:p>
      <w:pPr>
        <w:ind w:left="60" w:right="1039" w:firstLine="257"/>
        <w:spacing w:after="0" w:line="278" w:lineRule="auto"/>
        <w:rPr>
          <w:sz w:val="20"/>
          <w:szCs w:val="20"/>
          <w:color w:val="auto"/>
        </w:rPr>
      </w:pPr>
      <w:r>
        <w:rPr>
          <w:rFonts w:ascii="Arial" w:cs="Arial" w:eastAsia="Arial" w:hAnsi="Arial"/>
          <w:sz w:val="17"/>
          <w:szCs w:val="17"/>
          <w:color w:val="auto"/>
        </w:rPr>
        <w:t>We set aside or accrued NIS 416,000, in the aggregate, for pension or other retirement benefits for the named executive officers in 2010.</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Board Practices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13" w:lineRule="exact"/>
        <w:rPr>
          <w:sz w:val="20"/>
          <w:szCs w:val="20"/>
          <w:color w:val="auto"/>
        </w:rPr>
      </w:pPr>
    </w:p>
    <w:p>
      <w:pPr>
        <w:ind w:left="60" w:right="1099" w:firstLine="257"/>
        <w:spacing w:after="0" w:line="279" w:lineRule="auto"/>
        <w:rPr>
          <w:sz w:val="20"/>
          <w:szCs w:val="20"/>
          <w:color w:val="auto"/>
        </w:rPr>
      </w:pPr>
      <w:r>
        <w:rPr>
          <w:rFonts w:ascii="Arial" w:cs="Arial" w:eastAsia="Arial" w:hAnsi="Arial"/>
          <w:sz w:val="16"/>
          <w:szCs w:val="16"/>
          <w:color w:val="auto"/>
        </w:rPr>
        <w:t>According to the Israeli Companies Law, the management of our business is vested in our Board of Directors. Our Board of Directors may exercise all powers and may take all actions that are not specifically granted to our shareholders. Our executive officers are responsible for our day-to-day management and have individual responsibilities established by our Board of Directors. Executive officers are appointed by and serve at the discretion of our Board of Directors, subject to any applicable employment agreements we have entered into with the executive officers.</w:t>
      </w:r>
    </w:p>
    <w:p>
      <w:pPr>
        <w:spacing w:after="0" w:line="63"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color w:val="auto"/>
        </w:rPr>
        <w:t>Under the Israeli Companies Law, we are not required to have a majority of independent directors. We are required to appoint at least two external directors. See “— External Directors.” Pursuant to a recent amendment to the Israeli Companies Law which will become effective on September 15, 2011, the audit committee of a publicly-traded company must consist of a majority of unaffiliated directors. See “— Audit Committee.”</w:t>
      </w:r>
    </w:p>
    <w:p>
      <w:pPr>
        <w:spacing w:after="0" w:line="76" w:lineRule="exact"/>
        <w:rPr>
          <w:sz w:val="20"/>
          <w:szCs w:val="20"/>
          <w:color w:val="auto"/>
        </w:rPr>
      </w:pPr>
    </w:p>
    <w:p>
      <w:pPr>
        <w:ind w:left="60" w:right="1079" w:firstLine="257"/>
        <w:spacing w:after="0" w:line="275" w:lineRule="auto"/>
        <w:rPr>
          <w:sz w:val="20"/>
          <w:szCs w:val="20"/>
          <w:color w:val="auto"/>
        </w:rPr>
      </w:pPr>
      <w:r>
        <w:rPr>
          <w:rFonts w:ascii="Arial" w:cs="Arial" w:eastAsia="Arial" w:hAnsi="Arial"/>
          <w:sz w:val="16"/>
          <w:szCs w:val="16"/>
          <w:color w:val="auto"/>
        </w:rPr>
        <w:t>According to our Articles of Association, our Board of Directors must consist of at least five and not more than 10 directors, including external directors. Currently, our Board of Directors consists of seven directors, including two external directors as required by the Israeli Companies Law. Pursuant to our Articles of Association, other than the external directors, for whom special election requirements apply under the Israeli Companies Law as detailed below, our directors are elected at a general or special meeting of our shareholders and serve on the Board of Directors until they are removed by the majority of our shareholders at a general or special meeting of our shareholders or upon the occurrence of certain events, in accordance with the Israeli Companies Law and our Articles of Association. In addition, our Articles of Association allow</w:t>
      </w: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spacing w:after="0" w:line="257" w:lineRule="auto"/>
        <w:rPr>
          <w:sz w:val="20"/>
          <w:szCs w:val="20"/>
          <w:color w:val="auto"/>
        </w:rPr>
      </w:pPr>
      <w:r>
        <w:rPr>
          <w:rFonts w:ascii="Arial" w:cs="Arial" w:eastAsia="Arial" w:hAnsi="Arial"/>
          <w:sz w:val="17"/>
          <w:szCs w:val="17"/>
          <w:color w:val="auto"/>
        </w:rPr>
        <w:t>our Board of Directors to appoint directors to fill vacancies on the Board of Directors to serve until the next general meeting or special meeting, or earlier if required by our Articles of Association or applicable law. We have held elections for each of our non-external directors at each annual meeting of our shareholders since our initial public offering in Israel. External directors are elected for an initial term of three years and may be elected, under certain conditions, to two additional terms. External directors may be removed from office only pursuant to the terms of the Israeli Companies Law. Our last annual meeting of shareholders was held in August 2010. See “— External Directors.”</w:t>
      </w:r>
    </w:p>
    <w:p>
      <w:pPr>
        <w:spacing w:after="0" w:line="82" w:lineRule="exact"/>
        <w:rPr>
          <w:sz w:val="20"/>
          <w:szCs w:val="20"/>
          <w:color w:val="auto"/>
        </w:rPr>
      </w:pPr>
    </w:p>
    <w:p>
      <w:pPr>
        <w:ind w:left="60" w:right="1019" w:firstLine="257"/>
        <w:spacing w:after="0" w:line="257" w:lineRule="auto"/>
        <w:rPr>
          <w:sz w:val="20"/>
          <w:szCs w:val="20"/>
          <w:color w:val="auto"/>
        </w:rPr>
      </w:pPr>
      <w:r>
        <w:rPr>
          <w:rFonts w:ascii="Arial" w:cs="Arial" w:eastAsia="Arial" w:hAnsi="Arial"/>
          <w:sz w:val="17"/>
          <w:szCs w:val="17"/>
          <w:color w:val="auto"/>
        </w:rPr>
        <w:t>The Israeli Companies Law provides that an Israeli company may, under certain circumstances, exculpate an office holder from liability with respect to a breach of his duty of care toward the company if appropriate provisions allowing such exculpation are included in its articles of association. See “— Exculpation, Insurance and Indemnification of Office Holders.” Our Articles of Association contain such provisions, and we have entered into agreements with each of our office holders undertaking to indemnify them to the fullest extent permitted by law, including with respect to liabilities resulting from this offering to the extent that these liabilities are not covered by insurance.</w:t>
      </w:r>
    </w:p>
    <w:p>
      <w:pPr>
        <w:spacing w:after="0" w:line="82" w:lineRule="exact"/>
        <w:rPr>
          <w:sz w:val="20"/>
          <w:szCs w:val="20"/>
          <w:color w:val="auto"/>
        </w:rPr>
      </w:pPr>
    </w:p>
    <w:p>
      <w:pPr>
        <w:ind w:left="60" w:right="1199" w:firstLine="257"/>
        <w:spacing w:after="0" w:line="259" w:lineRule="auto"/>
        <w:rPr>
          <w:sz w:val="20"/>
          <w:szCs w:val="20"/>
          <w:color w:val="auto"/>
        </w:rPr>
      </w:pPr>
      <w:r>
        <w:rPr>
          <w:rFonts w:ascii="Arial" w:cs="Arial" w:eastAsia="Arial" w:hAnsi="Arial"/>
          <w:sz w:val="17"/>
          <w:szCs w:val="17"/>
          <w:color w:val="auto"/>
        </w:rPr>
        <w:t>In accordance with the exemption available to foreign private issuers under applicable NASDAQ rules, we do not intend to follow the requirements of the NASDAQ rules with regard to the process of nominating directors, and instead, will follow Israeli law and practice, in accordance with which our Board of Directors is authorized to recommend to our shareholders director nominees for election, and our shareholders may nominate candidates for election as directors by the shareholders’ general meeting.</w:t>
      </w:r>
    </w:p>
    <w:p>
      <w:pPr>
        <w:spacing w:after="0" w:line="77"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color w:val="auto"/>
        </w:rPr>
        <w:t>In addition, under the Israeli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He or she must be able to thoroughly comprehend the financial statements of the listed company and initiate debate regarding the manner in which financial information is presented. In determining the number of directors required to have such expertise, a company’s board of directors must consider, among other things, the type and size of the company and the scope and complexity of its operations. Our Board of Directors has determined that we require at least one director with the requisite financial and accounting expertise. Ms. Nurit Benjamini and Dr. Michael J. Anghel have such financial and accounting expertise.</w:t>
      </w:r>
    </w:p>
    <w:p>
      <w:pPr>
        <w:spacing w:after="0" w:line="72" w:lineRule="exact"/>
        <w:rPr>
          <w:sz w:val="20"/>
          <w:szCs w:val="20"/>
          <w:color w:val="auto"/>
        </w:rPr>
      </w:pPr>
    </w:p>
    <w:p>
      <w:pPr>
        <w:ind w:left="60" w:right="999" w:firstLine="257"/>
        <w:spacing w:after="0" w:line="282" w:lineRule="auto"/>
        <w:rPr>
          <w:sz w:val="20"/>
          <w:szCs w:val="20"/>
          <w:color w:val="auto"/>
        </w:rPr>
      </w:pPr>
      <w:r>
        <w:rPr>
          <w:rFonts w:ascii="Arial" w:cs="Arial" w:eastAsia="Arial" w:hAnsi="Arial"/>
          <w:sz w:val="16"/>
          <w:szCs w:val="16"/>
          <w:color w:val="auto"/>
        </w:rPr>
        <w:t>The term office holder is defined in the Israeli Companies Law as a director, general manager, chief business manager, deputy general manager, vice general manager, executive vice president, vice president, any other manager directly subordinate to the general manager or any other person assuming the responsibilities of any of the foregoing positions, without regard to such person’s title. Each person listed above under “Executive Officers and Directors” is an office holder.</w:t>
      </w:r>
    </w:p>
    <w:p>
      <w:pPr>
        <w:spacing w:after="0" w:line="61" w:lineRule="exact"/>
        <w:rPr>
          <w:sz w:val="20"/>
          <w:szCs w:val="20"/>
          <w:color w:val="auto"/>
        </w:rPr>
      </w:pPr>
    </w:p>
    <w:p>
      <w:pPr>
        <w:ind w:left="60" w:right="1119" w:firstLine="257"/>
        <w:spacing w:after="0" w:line="257" w:lineRule="auto"/>
        <w:rPr>
          <w:sz w:val="20"/>
          <w:szCs w:val="20"/>
          <w:color w:val="auto"/>
        </w:rPr>
      </w:pPr>
      <w:r>
        <w:rPr>
          <w:rFonts w:ascii="Arial" w:cs="Arial" w:eastAsia="Arial" w:hAnsi="Arial"/>
          <w:sz w:val="17"/>
          <w:szCs w:val="17"/>
          <w:i w:val="1"/>
          <w:iCs w:val="1"/>
          <w:color w:val="auto"/>
        </w:rPr>
        <w:t xml:space="preserve">Chairman of the Board. </w:t>
      </w:r>
      <w:r>
        <w:rPr>
          <w:rFonts w:ascii="Arial" w:cs="Arial" w:eastAsia="Arial" w:hAnsi="Arial"/>
          <w:sz w:val="17"/>
          <w:szCs w:val="17"/>
          <w:color w:val="auto"/>
        </w:rPr>
        <w:t>Under the Israeli Companies Law, a person cannot hold the role of both chairman of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chief executive officer of a company, without shareholder approval. Furthermore, pursuant to a recent amendment to the Israeli Companies Law which became effective on May 15, 2011, a person who is directly or indirectly subordinate to a chief executive officer of a company may not serve as the chairman of the board of directors of that company and the chairman of the board of directors may not otherwise serve in any other capacity in a company or in a subsidiary of that company other than as the chairman of the board of directors of such a subsidiary.</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External Directors</w:t>
      </w:r>
    </w:p>
    <w:p>
      <w:pPr>
        <w:spacing w:after="0" w:line="113" w:lineRule="exact"/>
        <w:rPr>
          <w:sz w:val="20"/>
          <w:szCs w:val="20"/>
          <w:color w:val="auto"/>
        </w:rPr>
      </w:pPr>
    </w:p>
    <w:p>
      <w:pPr>
        <w:ind w:left="60" w:right="1139" w:firstLine="257"/>
        <w:spacing w:after="0" w:line="289" w:lineRule="auto"/>
        <w:rPr>
          <w:sz w:val="20"/>
          <w:szCs w:val="20"/>
          <w:color w:val="auto"/>
        </w:rPr>
      </w:pPr>
      <w:r>
        <w:rPr>
          <w:rFonts w:ascii="Arial" w:cs="Arial" w:eastAsia="Arial" w:hAnsi="Arial"/>
          <w:sz w:val="16"/>
          <w:szCs w:val="16"/>
          <w:color w:val="auto"/>
        </w:rPr>
        <w:t>Under Israeli law, the boards of directors of companies whose shares are publicly traded are required to include at least two members who qualify as external directors. Each of our current external directors, Dr. Avraham Molcho and Ms. Nurit Benjamini, was elected as an external director by our shareholders in July 2010. Their initial terms expire in July 2013.</w:t>
      </w:r>
    </w:p>
    <w:p>
      <w:pPr>
        <w:spacing w:after="0" w:line="200" w:lineRule="exact"/>
        <w:rPr>
          <w:sz w:val="20"/>
          <w:szCs w:val="20"/>
          <w:color w:val="auto"/>
        </w:rPr>
      </w:pPr>
    </w:p>
    <w:p>
      <w:pPr>
        <w:spacing w:after="0" w:line="29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79" w:firstLine="257"/>
        <w:spacing w:after="0" w:line="278" w:lineRule="auto"/>
        <w:rPr>
          <w:sz w:val="20"/>
          <w:szCs w:val="20"/>
          <w:color w:val="auto"/>
        </w:rPr>
      </w:pPr>
      <w:r>
        <w:rPr>
          <w:rFonts w:ascii="Arial" w:cs="Arial" w:eastAsia="Arial" w:hAnsi="Arial"/>
          <w:sz w:val="17"/>
          <w:szCs w:val="17"/>
          <w:color w:val="auto"/>
        </w:rPr>
        <w:t>External directors must be elected by majority vote of the shares present and voting at a shareholders meeting, provided that either:</w:t>
      </w:r>
    </w:p>
    <w:p>
      <w:pPr>
        <w:spacing w:after="0" w:line="62" w:lineRule="exact"/>
        <w:rPr>
          <w:sz w:val="20"/>
          <w:szCs w:val="20"/>
          <w:color w:val="auto"/>
        </w:rPr>
      </w:pPr>
    </w:p>
    <w:p>
      <w:pPr>
        <w:ind w:left="580" w:right="1119" w:hanging="307"/>
        <w:spacing w:after="0" w:line="261"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majority of the shares that are voted at the meeting, including at least a majority of the shares held by non-controlling shareholders who do not have a personal interest in the election of the external director (other than a personal interest not deriving from a relationship with a controlling shareholder) who voted at the meeting, excluding abstentions, vote in favor of the election of the external director; or</w:t>
      </w:r>
    </w:p>
    <w:p>
      <w:pPr>
        <w:spacing w:after="0" w:line="75" w:lineRule="exact"/>
        <w:rPr>
          <w:rFonts w:ascii="Arial" w:cs="Arial" w:eastAsia="Arial" w:hAnsi="Arial"/>
          <w:sz w:val="17"/>
          <w:szCs w:val="17"/>
          <w:color w:val="auto"/>
        </w:rPr>
      </w:pPr>
    </w:p>
    <w:p>
      <w:pPr>
        <w:ind w:left="580" w:right="999" w:hanging="307"/>
        <w:spacing w:after="0" w:line="347" w:lineRule="auto"/>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total number of shares held by non-controlling, disinterested shareholders (as described in the preceding bullet point) that are voted against the election of the external director does not exceed 2% of the aggregate voting rights in the company.</w:t>
      </w:r>
    </w:p>
    <w:p>
      <w:pPr>
        <w:spacing w:after="0" w:line="16" w:lineRule="exact"/>
        <w:rPr>
          <w:sz w:val="20"/>
          <w:szCs w:val="20"/>
          <w:color w:val="auto"/>
        </w:rPr>
      </w:pPr>
    </w:p>
    <w:p>
      <w:pPr>
        <w:ind w:left="60" w:right="1019" w:firstLine="257"/>
        <w:spacing w:after="0" w:line="289" w:lineRule="auto"/>
        <w:rPr>
          <w:sz w:val="20"/>
          <w:szCs w:val="20"/>
          <w:color w:val="auto"/>
        </w:rPr>
      </w:pPr>
      <w:r>
        <w:rPr>
          <w:rFonts w:ascii="Arial" w:cs="Arial" w:eastAsia="Arial" w:hAnsi="Arial"/>
          <w:sz w:val="15"/>
          <w:szCs w:val="15"/>
          <w:color w:val="auto"/>
        </w:rPr>
        <w:t>After an initial term of three years, external directors may be reelected to serve in that capacity for up to two additional terms of three years provided that either (a) the board of directors has recommended such reelection and such reelection is approved by a majority vote at a shareholders’ meeting, subject to the conditions described above for election of external directors, or (b) the reelection has been recommended by one or more shareholders holding at least 1% of the company’s voting rights and is approved by a majority of non-controlling, disinterested shareholders who hold among them at least 2% of the company’s voting rights. The term of office for external directors for Israeli companies traded on certain foreign stock exchanges, including The NASDAQ Capital Market, may be extended beyond the initial three terms permitted under the Israeli Companies Law indefinitely in increments of additional three-year terms, provided in each case that the following conditions are met: (a) the audit committee and the board of directors confirm that, in light of the external director’s expertise and special contribution to the work of the board of directors and its committees, the reelection for such additional period(s) is beneficial to the company; (b) the reelection is approved by the shareholders by a special majority required for the election of external directors; and (c) the proposed terms of compensation of the external directors, and the considerations of the audit committee and the Board of Directors in deciding to recommend reelection of the external directors, are presented to the shareholders prior to the vote on reelection. External directors may be removed from office by the same percentage of shareholders required for their election or by a court, in each case, only under limited circumstances, including ceasing to meet the statutory qualification for appointment or violating the duty of loyalty to the company. If an external directorship becomes vacant and there are less than two external directors on the board of directors at the time, then the board of directors is required under the Israeli Companies Law to call a shareholders’ meeting immediately to appoint a replacement external director. Each committee of the board of directors that exercises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from the company other than for their services as external directors pursuant to the provisions and limitations set forth in regulations promulgated under the Israeli Companies Law.</w:t>
      </w:r>
    </w:p>
    <w:p>
      <w:pPr>
        <w:spacing w:after="0" w:line="269" w:lineRule="exact"/>
        <w:rPr>
          <w:sz w:val="20"/>
          <w:szCs w:val="20"/>
          <w:color w:val="auto"/>
        </w:rPr>
      </w:pPr>
    </w:p>
    <w:p>
      <w:pPr>
        <w:ind w:left="60" w:right="1059" w:firstLine="257"/>
        <w:spacing w:after="0" w:line="257" w:lineRule="auto"/>
        <w:rPr>
          <w:sz w:val="20"/>
          <w:szCs w:val="20"/>
          <w:color w:val="auto"/>
        </w:rPr>
      </w:pPr>
      <w:r>
        <w:rPr>
          <w:rFonts w:ascii="Arial" w:cs="Arial" w:eastAsia="Arial" w:hAnsi="Arial"/>
          <w:sz w:val="17"/>
          <w:szCs w:val="17"/>
          <w:color w:val="auto"/>
        </w:rPr>
        <w:t>Pursuant to a recent amendment to the Israeli Companies Law which will become effective on September 15, 2011, a person may not serve as an external director if, (a) the person is a relative of a controlling shareholder of a company or (b) at the date of the person’s appointment or within the prior two years, the person, the person’s relatives, entities under the person’s control, the person’s partner, the person’s employer, or anyone to whom that person is subordinate, whether directly or indirectly, have or have had any affiliation with (1) a company, (2) a company’s controlling shareholder at the time of such person’s appointment or (3) any entity that is either controlled by the company or under common control with the company at the time of such appointment or during the prior two years.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affiliation includes:</w:t>
      </w:r>
    </w:p>
    <w:p>
      <w:pPr>
        <w:spacing w:after="0" w:line="113" w:lineRule="exact"/>
        <w:rPr>
          <w:sz w:val="20"/>
          <w:szCs w:val="20"/>
          <w:color w:val="auto"/>
        </w:rPr>
      </w:pPr>
    </w:p>
    <w:p>
      <w:pPr>
        <w:ind w:left="580" w:hanging="307"/>
        <w:spacing w:after="0"/>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employment relationship;</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control; and</w:t>
      </w:r>
    </w:p>
    <w:p>
      <w:pPr>
        <w:spacing w:after="0" w:line="113" w:lineRule="exact"/>
        <w:rPr>
          <w:rFonts w:ascii="Arial" w:cs="Arial" w:eastAsia="Arial" w:hAnsi="Arial"/>
          <w:sz w:val="17"/>
          <w:szCs w:val="17"/>
          <w:color w:val="auto"/>
        </w:rPr>
      </w:pPr>
    </w:p>
    <w:p>
      <w:pPr>
        <w:jc w:val="both"/>
        <w:ind w:left="580" w:right="1039" w:hanging="307"/>
        <w:spacing w:after="0" w:line="265" w:lineRule="auto"/>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200" w:lineRule="exact"/>
        <w:rPr>
          <w:sz w:val="20"/>
          <w:szCs w:val="20"/>
          <w:color w:val="auto"/>
        </w:rPr>
      </w:pPr>
    </w:p>
    <w:p>
      <w:pPr>
        <w:spacing w:after="0" w:line="29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259" w:firstLine="257"/>
        <w:spacing w:after="0" w:line="278" w:lineRule="auto"/>
        <w:rPr>
          <w:sz w:val="20"/>
          <w:szCs w:val="20"/>
          <w:color w:val="auto"/>
        </w:rPr>
      </w:pPr>
      <w:r>
        <w:rPr>
          <w:rFonts w:ascii="Arial" w:cs="Arial" w:eastAsia="Arial" w:hAnsi="Arial"/>
          <w:sz w:val="17"/>
          <w:szCs w:val="17"/>
          <w:color w:val="auto"/>
        </w:rPr>
        <w:t>The term relative is defined as a spouse, sibling, parent, grandparent or descendant; a spouse’s sibling, parent or descendant; and the spouse of each of such persons.</w:t>
      </w:r>
    </w:p>
    <w:p>
      <w:pPr>
        <w:spacing w:after="0" w:line="62"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color w:val="auto"/>
        </w:rPr>
        <w:t>In addition, no person may serve as an external director if that person’s professional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Furthermore, a person may not continue to serve as an external director if he or she received direct or indirect compensation from us for his or her role as a director. This prohibition does not apply to compensation paid or given in accordance with regulations promulgated under the Israeli Companies Law or amounts paid pursuant to indemnification and/or exculpation contracts or commitments and insurance coverage. If at the time an external director is appointed all current members of the board of directors not otherwise affiliated with the company are of the same gender, then that external director must be of the other gender. In addition, a director of a company may not be elected as an external director of another company if, at that time, a director of the other company is acting as an external director of the first company.</w:t>
      </w:r>
    </w:p>
    <w:p>
      <w:pPr>
        <w:spacing w:after="0" w:line="68" w:lineRule="exact"/>
        <w:rPr>
          <w:sz w:val="20"/>
          <w:szCs w:val="20"/>
          <w:color w:val="auto"/>
        </w:rPr>
      </w:pPr>
    </w:p>
    <w:p>
      <w:pPr>
        <w:ind w:left="60" w:right="1019" w:firstLine="257"/>
        <w:spacing w:after="0" w:line="277" w:lineRule="auto"/>
        <w:rPr>
          <w:sz w:val="20"/>
          <w:szCs w:val="20"/>
          <w:color w:val="auto"/>
        </w:rPr>
      </w:pPr>
      <w:r>
        <w:rPr>
          <w:rFonts w:ascii="Arial" w:cs="Arial" w:eastAsia="Arial" w:hAnsi="Arial"/>
          <w:sz w:val="16"/>
          <w:szCs w:val="16"/>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to serve as an executive officer or director of the company or a company controlled by its controlling shareholder or employment by, or providing services to, any such company for consideration, either directly or indirectly, including through a corporation controlled by the former external director, for a period of two years (and for a period of one year with respect to relatives of the former external director).</w:t>
      </w:r>
    </w:p>
    <w:p>
      <w:pPr>
        <w:spacing w:after="0" w:line="64"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If at the time an external director is appointed all members of the board of directors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73" w:lineRule="exact"/>
        <w:rPr>
          <w:sz w:val="20"/>
          <w:szCs w:val="20"/>
          <w:color w:val="auto"/>
        </w:rPr>
      </w:pPr>
    </w:p>
    <w:p>
      <w:pPr>
        <w:ind w:left="60" w:right="999" w:firstLine="257"/>
        <w:spacing w:after="0" w:line="289" w:lineRule="auto"/>
        <w:rPr>
          <w:sz w:val="20"/>
          <w:szCs w:val="20"/>
          <w:color w:val="auto"/>
        </w:rPr>
      </w:pPr>
      <w:r>
        <w:rPr>
          <w:rFonts w:ascii="Arial" w:cs="Arial" w:eastAsia="Arial" w:hAnsi="Arial"/>
          <w:sz w:val="15"/>
          <w:szCs w:val="15"/>
          <w:color w:val="auto"/>
        </w:rPr>
        <w:t>The Israeli Companies Law provides that an external director must meet certain professional qualifications or have financial and accounting expertise and that at least one external director must have financial and accounting expertise. However, if at least one of our other directors (1) meets the independence requirements of the Exchange Act, (2) meets the standards of the Nasdaq Marketplace Rules for membership on the audit committee and (3) has financial and accounting expertise as defined in the Israeli Companies Law and applicable regulations, then neither of our external directors is required to possess financial and accounting expertise as long as both possess other requisite professional qualifications. Our Board of Directors is required to determine whether a director possesses financial and accounting expertise by examining whether, due to the director’s education, experience and qualifications, the director is highly proficient and knowledgeable with regard to business-accounting issues and financial statements, to the extent that the director is able to engage in a discussion concerning the presentation of financial information in the company’s financial statements, among others. The regulations define a director with the requisite professional qualifications as a director who satisfies one of the following requirements: (1) the director holds an academic degree in either economics, business administration, accounting, law or public administration; (2) the director either holds an academic degree in any other field or has completed another form of higher education in the company’s primary field of business or in an area which is relevant to the office of an external director; or (3) the director has at least five years of experience serving in any one of the following, or at least five years of cumulative experience serving in two or more of the following capacities: (1) a senior business management position in a corporation with a substantial scope of business; (2) a senior position in the company’s primary field of business; or (3) a senior position in public administration. Our Board of Directors has determined that Nurit Benjamini possesses “accounting and financial” expertise, and that both of our external directors possess the requisite professional qualifications.</w:t>
      </w:r>
    </w:p>
    <w:p>
      <w:pPr>
        <w:spacing w:after="0" w:line="200" w:lineRule="exact"/>
        <w:rPr>
          <w:sz w:val="20"/>
          <w:szCs w:val="20"/>
          <w:color w:val="auto"/>
        </w:rPr>
      </w:pPr>
    </w:p>
    <w:p>
      <w:pPr>
        <w:spacing w:after="0" w:line="29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3" w:lineRule="exact"/>
        <w:rPr>
          <w:sz w:val="20"/>
          <w:szCs w:val="20"/>
          <w:color w:val="auto"/>
        </w:rPr>
      </w:pPr>
    </w:p>
    <w:p>
      <w:pPr>
        <w:ind w:left="60" w:right="1159" w:firstLine="257"/>
        <w:spacing w:after="0" w:line="261" w:lineRule="auto"/>
        <w:rPr>
          <w:sz w:val="20"/>
          <w:szCs w:val="20"/>
          <w:color w:val="auto"/>
        </w:rPr>
      </w:pPr>
      <w:r>
        <w:rPr>
          <w:rFonts w:ascii="Arial" w:cs="Arial" w:eastAsia="Arial" w:hAnsi="Arial"/>
          <w:sz w:val="17"/>
          <w:szCs w:val="17"/>
          <w:color w:val="auto"/>
        </w:rPr>
        <w:t>Under the Israeli Companies Law, the board of directors of a public company must appoint an audit committee. The audit committee must be comprised of at least three directors, including all of the external directors. Pursuant to a recent amendment to the Israeli Companies Law which will become effective on September 15, 2011, one of our external directors must serve as chairperson of the committee. The audit committee of a company may not include:</w:t>
      </w:r>
    </w:p>
    <w:p>
      <w:pPr>
        <w:spacing w:after="0" w:line="76" w:lineRule="exact"/>
        <w:rPr>
          <w:sz w:val="20"/>
          <w:szCs w:val="20"/>
          <w:color w:val="auto"/>
        </w:rPr>
      </w:pPr>
    </w:p>
    <w:p>
      <w:pPr>
        <w:ind w:left="580" w:hanging="307"/>
        <w:spacing w:after="0"/>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chairman of the company’s board of directors;</w:t>
      </w:r>
    </w:p>
    <w:p>
      <w:pPr>
        <w:spacing w:after="0" w:line="113" w:lineRule="exact"/>
        <w:rPr>
          <w:rFonts w:ascii="Arial" w:cs="Arial" w:eastAsia="Arial" w:hAnsi="Arial"/>
          <w:sz w:val="17"/>
          <w:szCs w:val="17"/>
          <w:color w:val="auto"/>
        </w:rPr>
      </w:pPr>
    </w:p>
    <w:p>
      <w:pPr>
        <w:ind w:left="580" w:right="1439" w:hanging="307"/>
        <w:spacing w:after="0" w:line="27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controlling shareholder or a relative of a controlling shareholder of the company (as each such term is defined in the Israeli Companies Law); or</w:t>
      </w:r>
    </w:p>
    <w:p>
      <w:pPr>
        <w:spacing w:after="0" w:line="61" w:lineRule="exact"/>
        <w:rPr>
          <w:rFonts w:ascii="Arial" w:cs="Arial" w:eastAsia="Arial" w:hAnsi="Arial"/>
          <w:sz w:val="17"/>
          <w:szCs w:val="17"/>
          <w:color w:val="auto"/>
        </w:rPr>
      </w:pPr>
    </w:p>
    <w:p>
      <w:pPr>
        <w:ind w:left="580" w:right="1099" w:hanging="307"/>
        <w:spacing w:after="0" w:line="259"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director employed by the company, by a controlling shareholder of the company or by any other entity controlled by a controlling shareholder of the company, or any director who provides services to the company, to a controlling shareholder of the company or to any other entity controlled by a controlling shareholder of the company on a regular basis (other than as a member of the board of directors), or any other director whose main source of income derives from a controlling shareholder of the company.</w:t>
      </w:r>
    </w:p>
    <w:p>
      <w:pPr>
        <w:spacing w:after="0" w:line="77"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w:t>
      </w:r>
    </w:p>
    <w:p>
      <w:pPr>
        <w:spacing w:after="0" w:line="76" w:lineRule="exact"/>
        <w:rPr>
          <w:sz w:val="20"/>
          <w:szCs w:val="20"/>
          <w:color w:val="auto"/>
        </w:rPr>
      </w:pPr>
    </w:p>
    <w:p>
      <w:pPr>
        <w:ind w:left="60" w:right="1059" w:firstLine="257"/>
        <w:spacing w:after="0" w:line="261" w:lineRule="auto"/>
        <w:rPr>
          <w:sz w:val="20"/>
          <w:szCs w:val="20"/>
          <w:color w:val="auto"/>
        </w:rPr>
      </w:pPr>
      <w:r>
        <w:rPr>
          <w:rFonts w:ascii="Arial" w:cs="Arial" w:eastAsia="Arial" w:hAnsi="Arial"/>
          <w:sz w:val="17"/>
          <w:szCs w:val="17"/>
          <w:color w:val="auto"/>
        </w:rPr>
        <w:t>Pursuant to a recent amendment to the Israeli Companies Law which will become effective on September 15, 2011, a majority of the total number of then-serving members of an audit committee shall constitute a quorum for the transaction of business at the audit committee meetings, provided, that the majority of the members present at such meeting are unaffiliated directors and at least one of such members is an external director.</w:t>
      </w:r>
    </w:p>
    <w:p>
      <w:pPr>
        <w:spacing w:after="0" w:line="76"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Pursuant to a recent amendment to the Israeli Companies Law which will become effective on September 15, 2011, the audit committee of a publicly-traded company must consist of a majority of unaffiliated directors. An “unaffiliated director” is defined as either an external director or as a director who meets the following criteria:</w:t>
      </w:r>
    </w:p>
    <w:p>
      <w:pPr>
        <w:spacing w:after="0" w:line="73" w:lineRule="exact"/>
        <w:rPr>
          <w:sz w:val="20"/>
          <w:szCs w:val="20"/>
          <w:color w:val="auto"/>
        </w:rPr>
      </w:pPr>
    </w:p>
    <w:p>
      <w:pPr>
        <w:ind w:left="580" w:right="1059" w:hanging="307"/>
        <w:spacing w:after="0" w:line="261"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he or she meets the qualifications for being appointed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and</w:t>
      </w:r>
    </w:p>
    <w:p>
      <w:pPr>
        <w:spacing w:after="0" w:line="75" w:lineRule="exact"/>
        <w:rPr>
          <w:rFonts w:ascii="Arial" w:cs="Arial" w:eastAsia="Arial" w:hAnsi="Arial"/>
          <w:sz w:val="17"/>
          <w:szCs w:val="17"/>
          <w:color w:val="auto"/>
        </w:rPr>
      </w:pPr>
    </w:p>
    <w:p>
      <w:pPr>
        <w:ind w:left="580" w:right="1339" w:hanging="307"/>
        <w:spacing w:after="0" w:line="347" w:lineRule="auto"/>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6" w:lineRule="exact"/>
        <w:rPr>
          <w:sz w:val="20"/>
          <w:szCs w:val="20"/>
          <w:color w:val="auto"/>
        </w:rPr>
      </w:pPr>
    </w:p>
    <w:p>
      <w:pPr>
        <w:ind w:left="60" w:right="1019" w:firstLine="257"/>
        <w:spacing w:after="0" w:line="290" w:lineRule="auto"/>
        <w:rPr>
          <w:sz w:val="20"/>
          <w:szCs w:val="20"/>
          <w:color w:val="auto"/>
        </w:rPr>
      </w:pPr>
      <w:r>
        <w:rPr>
          <w:rFonts w:ascii="Arial" w:cs="Arial" w:eastAsia="Arial" w:hAnsi="Arial"/>
          <w:sz w:val="15"/>
          <w:szCs w:val="15"/>
          <w:color w:val="auto"/>
        </w:rPr>
        <w:t>The members of our Audit Committee are Nurit Benjamini (Chairman), Dr. Avraham Molcho and Dr. Raphael Hofstein. Prior to the listing of our ADRs for trading on The NASDAQ Capital Market, we will evaluate whether the members of our Audit Committee meet the independence requirements set forth in the Marketplace Rules of The NASDAQ Stock Market. Pursuant to the Marketplace Rules of The NASDAQ Stock Market, our Board of Directors may appoint one director to our Audit Committee who</w:t>
      </w:r>
    </w:p>
    <w:p>
      <w:pPr>
        <w:spacing w:after="0" w:line="1" w:lineRule="exact"/>
        <w:rPr>
          <w:sz w:val="20"/>
          <w:szCs w:val="20"/>
          <w:color w:val="auto"/>
        </w:rPr>
      </w:pPr>
    </w:p>
    <w:p>
      <w:pPr>
        <w:ind w:left="60" w:right="1039" w:hanging="6"/>
        <w:spacing w:after="0" w:line="255" w:lineRule="auto"/>
        <w:tabs>
          <w:tab w:leader="none" w:pos="303"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 not an Independent Director as defined in NASDAQ Marketplace Rule 5605(a)(2), (2) meets the criteria set forth in Section 10A(m)(3) under the Exchange Act, and (3) is not one of our current officers or employees or “family member,” as defined in NASDAQ Marketplace Rule 5605(a)(2), of an officer or employee, if our Board of Directors, under exceptional and limited circumstances, determines that the appointment is in our best interests and the best interest of our shareholders, and our Board of Directors discloses, in our next annual report subsequent to the determination, the nature of the relationship and the reasons for that determination.</w:t>
      </w:r>
    </w:p>
    <w:p>
      <w:pPr>
        <w:spacing w:after="0" w:line="81" w:lineRule="exact"/>
        <w:rPr>
          <w:sz w:val="20"/>
          <w:szCs w:val="20"/>
          <w:color w:val="auto"/>
        </w:rPr>
      </w:pPr>
    </w:p>
    <w:p>
      <w:pPr>
        <w:ind w:left="60" w:right="1339" w:firstLine="257"/>
        <w:spacing w:after="0" w:line="278" w:lineRule="auto"/>
        <w:rPr>
          <w:sz w:val="20"/>
          <w:szCs w:val="20"/>
          <w:color w:val="auto"/>
        </w:rPr>
      </w:pPr>
      <w:r>
        <w:rPr>
          <w:rFonts w:ascii="Arial" w:cs="Arial" w:eastAsia="Arial" w:hAnsi="Arial"/>
          <w:sz w:val="17"/>
          <w:szCs w:val="17"/>
          <w:color w:val="auto"/>
        </w:rPr>
        <w:t>Our Board of Directors has determined that Nurit Benjamini (Chairman) qualifies as an audit committee financial expert as defined by rules of the SEC.</w:t>
      </w:r>
    </w:p>
    <w:p>
      <w:pPr>
        <w:spacing w:after="0" w:line="200" w:lineRule="exact"/>
        <w:rPr>
          <w:sz w:val="20"/>
          <w:szCs w:val="20"/>
          <w:color w:val="auto"/>
        </w:rPr>
      </w:pPr>
    </w:p>
    <w:p>
      <w:pPr>
        <w:spacing w:after="0" w:line="29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jc w:val="both"/>
        <w:ind w:left="60" w:right="1139" w:firstLine="257"/>
        <w:spacing w:after="0" w:line="265" w:lineRule="auto"/>
        <w:rPr>
          <w:sz w:val="20"/>
          <w:szCs w:val="20"/>
          <w:color w:val="auto"/>
        </w:rPr>
      </w:pPr>
      <w:r>
        <w:rPr>
          <w:rFonts w:ascii="Arial" w:cs="Arial" w:eastAsia="Arial" w:hAnsi="Arial"/>
          <w:sz w:val="17"/>
          <w:szCs w:val="17"/>
          <w:color w:val="auto"/>
        </w:rPr>
        <w:t>Our Board of Directors intends to adopt an audit committee charter that will add to the responsibilities of the audit committee under the Israeli Companies Law, setting forth the responsibilities of the audit committee consistent with the rules of the SEC and the Marketplace Rules of the NASDAQ Stock Market, including the following:</w:t>
      </w:r>
    </w:p>
    <w:p>
      <w:pPr>
        <w:spacing w:after="0" w:line="73" w:lineRule="exact"/>
        <w:rPr>
          <w:sz w:val="20"/>
          <w:szCs w:val="20"/>
          <w:color w:val="auto"/>
        </w:rPr>
      </w:pPr>
    </w:p>
    <w:p>
      <w:pPr>
        <w:ind w:left="580" w:right="1019" w:hanging="307"/>
        <w:spacing w:after="0" w:line="265"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oversight of the company’s independent registered public accounting firm and recommending the engagement, compensation or termination of engagement of the company’s independent registered public accounting firm to the board of directors in accordance with Israeli law;</w:t>
      </w:r>
    </w:p>
    <w:p>
      <w:pPr>
        <w:spacing w:after="0" w:line="72" w:lineRule="exact"/>
        <w:rPr>
          <w:rFonts w:ascii="Arial" w:cs="Arial" w:eastAsia="Arial" w:hAnsi="Arial"/>
          <w:sz w:val="17"/>
          <w:szCs w:val="17"/>
          <w:color w:val="auto"/>
        </w:rPr>
      </w:pPr>
    </w:p>
    <w:p>
      <w:pPr>
        <w:ind w:left="580" w:hanging="307"/>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recommending the engagement or termination of the office of the company’s internal auditor; and</w:t>
      </w:r>
    </w:p>
    <w:p>
      <w:pPr>
        <w:spacing w:after="0" w:line="113" w:lineRule="exact"/>
        <w:rPr>
          <w:rFonts w:ascii="Arial" w:cs="Arial" w:eastAsia="Arial" w:hAnsi="Arial"/>
          <w:sz w:val="17"/>
          <w:szCs w:val="17"/>
          <w:color w:val="auto"/>
        </w:rPr>
      </w:pPr>
    </w:p>
    <w:p>
      <w:pPr>
        <w:ind w:left="580" w:right="1099" w:hanging="307"/>
        <w:spacing w:after="0" w:line="27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recommending the terms of audit and non-audit services provided by the independent registered public accounting firm for pre-approval by the board of directors.</w:t>
      </w:r>
    </w:p>
    <w:p>
      <w:pPr>
        <w:spacing w:after="0" w:line="62" w:lineRule="exact"/>
        <w:rPr>
          <w:sz w:val="20"/>
          <w:szCs w:val="20"/>
          <w:color w:val="auto"/>
        </w:rPr>
      </w:pPr>
    </w:p>
    <w:p>
      <w:pPr>
        <w:ind w:left="60" w:right="999" w:firstLine="257"/>
        <w:spacing w:after="0" w:line="289" w:lineRule="auto"/>
        <w:rPr>
          <w:sz w:val="20"/>
          <w:szCs w:val="20"/>
          <w:color w:val="auto"/>
        </w:rPr>
      </w:pPr>
      <w:r>
        <w:rPr>
          <w:rFonts w:ascii="Arial" w:cs="Arial" w:eastAsia="Arial" w:hAnsi="Arial"/>
          <w:sz w:val="15"/>
          <w:szCs w:val="15"/>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The audit committee also oversees the audit efforts of our independent accountants and takes those actions as it deems necessary to satisfy itself that the accountants are independent of management. Pursuant to a recent amendment to the Israeli Companies Law which determines the role and responsibility of the audit committee and which will become effective on September 15, 2011, the audit committee of a company shall be responsible for: (i) determining whether there are delinquencies in the business management practices of a company, including in consultation with an internal auditor or independent auditor, and making recommendations to the company’s board of directors to improve such practices; (ii) determining whether to approve certain related party transactions (including compensation of office holders or transactions in which an office holder has a personal interest and whether such transaction is material or otherwise an extraordinary transaction); (iii) where the company’s board of directors approves the working plan of the internal auditor, examining such working plan before its submission to the board and proposing amendments thereto; (iv) examining internal controls and the internal auditor’s performance, including whether the internal auditor has sufficient resources and tools to dispose of his responsibilities (taking into consideration the special needs and size if a company);, (v) examining the scope of the auditor’s work and compensation and submitting its recommendation with respect thereto to the corporate body considering the appointment thereof (either the board or the general meeting of shareholders); and (vi) establishing procedures for the handling of employees’ complaints as to the management of the business and the protection to be provided to such employees. Under the Israeli Companies Law, the approval of the audit committee is required for specified actions and transactions with office holders and controlling shareholders. See “— Approval of Related Party Transactions under Israeli Law.”</w:t>
      </w:r>
    </w:p>
    <w:p>
      <w:pPr>
        <w:spacing w:after="0" w:line="2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Board of Directors does not currently have a compensation committee.</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Nominating Committee</w:t>
      </w:r>
    </w:p>
    <w:p>
      <w:pPr>
        <w:spacing w:after="0" w:line="113"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Our Board of Directors does not currently have a nominating committee. Prior to listing our ADRs on The NASDAQ Capital Market, our Board of Directors will determine whether it will form a nominating committee or avail our company of the exemption available to foreign private issuers under the Marketplace Rules of The NASDAQ Stock Market. See “— NASDAQ Listing Rules and Home Country Practices.”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Financial Statement Examination Committee</w:t>
      </w:r>
    </w:p>
    <w:p>
      <w:pPr>
        <w:spacing w:after="0" w:line="113" w:lineRule="exact"/>
        <w:rPr>
          <w:sz w:val="20"/>
          <w:szCs w:val="20"/>
          <w:color w:val="auto"/>
        </w:rPr>
      </w:pPr>
    </w:p>
    <w:p>
      <w:pPr>
        <w:ind w:left="60" w:right="1199" w:firstLine="257"/>
        <w:spacing w:after="0" w:line="298" w:lineRule="auto"/>
        <w:rPr>
          <w:sz w:val="20"/>
          <w:szCs w:val="20"/>
          <w:color w:val="auto"/>
        </w:rPr>
      </w:pPr>
      <w:r>
        <w:rPr>
          <w:rFonts w:ascii="Arial" w:cs="Arial" w:eastAsia="Arial" w:hAnsi="Arial"/>
          <w:sz w:val="15"/>
          <w:szCs w:val="15"/>
          <w:color w:val="auto"/>
        </w:rPr>
        <w:t>Under the Israeli Companies Law, the board of directors of a public company must appoint a financial statement examination committee, which consists of members with accounting and financial expertise or the ability to read and understand financial statements. According to a resolution of our Board of Directors, the Audit Committee has been assigned the responsibilities and duties of a financial statements examination committee, as permitted under relevant regulations promulgated under the Israeli Companies Law. From time to time as necessary and required to approve our financial statements, the Audit Committee holds separate meetings, prior to the scheduled meetings of the entire Board of Directors regarding financial statement</w:t>
      </w:r>
    </w:p>
    <w:p>
      <w:pPr>
        <w:spacing w:after="0" w:line="200" w:lineRule="exact"/>
        <w:rPr>
          <w:sz w:val="20"/>
          <w:szCs w:val="20"/>
          <w:color w:val="auto"/>
        </w:rPr>
      </w:pPr>
    </w:p>
    <w:p>
      <w:pPr>
        <w:spacing w:after="0" w:line="27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spacing w:after="0" w:line="296" w:lineRule="auto"/>
        <w:rPr>
          <w:sz w:val="20"/>
          <w:szCs w:val="20"/>
          <w:color w:val="auto"/>
        </w:rPr>
      </w:pPr>
      <w:r>
        <w:rPr>
          <w:rFonts w:ascii="Arial" w:cs="Arial" w:eastAsia="Arial" w:hAnsi="Arial"/>
          <w:sz w:val="15"/>
          <w:szCs w:val="15"/>
          <w:color w:val="auto"/>
        </w:rPr>
        <w:t>approval. The function of a financial statements examination committee is to discuss and provide recommendations to its board of directors (including the report of any deficiency found) with respect to the following issues: (1) estimations and assessments made in connection with the preparation of financial statements; (2) internal controls related to the financial statements; (3) completeness and propriety of the disclosure in the financial statements; (4) the accounting policies adopted and the accounting treatments implemented in material matters of the company; (5) value evaluations, including the assumptions and assessments on which evaluations are based and the supporting data in the financial statements. Our independent auditors and our internal auditors are invited to attend all meetings of Audit Committee when it is acting in the role of the financial statements examination committee.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Investment Monitoring Committee</w:t>
      </w:r>
    </w:p>
    <w:p>
      <w:pPr>
        <w:spacing w:after="0" w:line="113" w:lineRule="exact"/>
        <w:rPr>
          <w:sz w:val="20"/>
          <w:szCs w:val="20"/>
          <w:color w:val="auto"/>
        </w:rPr>
      </w:pPr>
    </w:p>
    <w:p>
      <w:pPr>
        <w:ind w:left="60" w:right="1039" w:firstLine="257"/>
        <w:spacing w:after="0" w:line="257" w:lineRule="auto"/>
        <w:rPr>
          <w:sz w:val="20"/>
          <w:szCs w:val="20"/>
          <w:color w:val="auto"/>
        </w:rPr>
      </w:pPr>
      <w:r>
        <w:rPr>
          <w:rFonts w:ascii="Arial" w:cs="Arial" w:eastAsia="Arial" w:hAnsi="Arial"/>
          <w:sz w:val="17"/>
          <w:szCs w:val="17"/>
          <w:color w:val="auto"/>
        </w:rPr>
        <w:t>Our Board of Directors has established an Investment Monitoring Committee consisting of two members; Phil Serlin, the Chief Financial Officer and Razi Fried, the Treasurer. The function of the Investment Monitoring Committee includes providing recommendations to the Board of Directors regarding investment guidelines and performing an on-going review of the fulfillment of established investment guidelines. The Investment Monitoring Committee convenes for a meeting in accordance with our needs, and in any event at least twice per year. The Investment Monitoring Committee reports to the Board of Directors on a semi-annual basis.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Internal Auditor</w:t>
      </w:r>
    </w:p>
    <w:p>
      <w:pPr>
        <w:spacing w:after="0" w:line="113" w:lineRule="exact"/>
        <w:rPr>
          <w:sz w:val="20"/>
          <w:szCs w:val="20"/>
          <w:color w:val="auto"/>
        </w:rPr>
      </w:pPr>
    </w:p>
    <w:p>
      <w:pPr>
        <w:ind w:left="60" w:right="1699" w:firstLine="257"/>
        <w:spacing w:after="0" w:line="347" w:lineRule="auto"/>
        <w:rPr>
          <w:sz w:val="20"/>
          <w:szCs w:val="20"/>
          <w:color w:val="auto"/>
        </w:rPr>
      </w:pPr>
      <w:r>
        <w:rPr>
          <w:rFonts w:ascii="Arial" w:cs="Arial" w:eastAsia="Arial" w:hAnsi="Arial"/>
          <w:sz w:val="15"/>
          <w:szCs w:val="15"/>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6" w:lineRule="exact"/>
        <w:rPr>
          <w:sz w:val="20"/>
          <w:szCs w:val="20"/>
          <w:color w:val="auto"/>
        </w:rPr>
      </w:pPr>
    </w:p>
    <w:p>
      <w:pPr>
        <w:ind w:left="580" w:hanging="307"/>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person (or a relative of a person) who holds more than 5% of the company’s shares;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executive officer or director of the company; or</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member of the company’s independent accounting firm.</w:t>
      </w:r>
    </w:p>
    <w:p>
      <w:pPr>
        <w:spacing w:after="0" w:line="113" w:lineRule="exact"/>
        <w:rPr>
          <w:sz w:val="20"/>
          <w:szCs w:val="20"/>
          <w:color w:val="auto"/>
        </w:rPr>
      </w:pPr>
    </w:p>
    <w:p>
      <w:pPr>
        <w:jc w:val="both"/>
        <w:ind w:left="60" w:right="1259" w:firstLine="257"/>
        <w:spacing w:after="0" w:line="265" w:lineRule="auto"/>
        <w:rPr>
          <w:sz w:val="20"/>
          <w:szCs w:val="20"/>
          <w:color w:val="auto"/>
        </w:rPr>
      </w:pPr>
      <w:r>
        <w:rPr>
          <w:rFonts w:ascii="Arial" w:cs="Arial" w:eastAsia="Arial" w:hAnsi="Arial"/>
          <w:sz w:val="17"/>
          <w:szCs w:val="17"/>
          <w:color w:val="auto"/>
        </w:rPr>
        <w:t>The role of the internal auditor is to examine, among other things, our compliance with applicable law and orderly business procedures. Our internal auditor is Linur Dloomy, CPA (Israel) a partner of Brightman Almagor Zohar &amp; Co. (a member firm of Deloitte).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Approval of Related Party Transactions under Israeli Law</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Fiduciary duties of office holders</w:t>
      </w:r>
    </w:p>
    <w:p>
      <w:pPr>
        <w:spacing w:after="0" w:line="113" w:lineRule="exact"/>
        <w:rPr>
          <w:sz w:val="20"/>
          <w:szCs w:val="20"/>
          <w:color w:val="auto"/>
        </w:rPr>
      </w:pPr>
    </w:p>
    <w:p>
      <w:pPr>
        <w:ind w:left="60" w:right="1039" w:firstLine="257"/>
        <w:spacing w:after="0" w:line="259" w:lineRule="auto"/>
        <w:rPr>
          <w:sz w:val="20"/>
          <w:szCs w:val="20"/>
          <w:color w:val="auto"/>
        </w:rPr>
      </w:pPr>
      <w:r>
        <w:rPr>
          <w:rFonts w:ascii="Arial" w:cs="Arial" w:eastAsia="Arial" w:hAnsi="Arial"/>
          <w:sz w:val="17"/>
          <w:szCs w:val="17"/>
          <w:color w:val="auto"/>
        </w:rPr>
        <w:t>The Companies Law imposes a duty of care and a duty of loyalty on all office holders of a company. The duty of care of an office holder is based on the duty of care set forth in connection 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 duty to use reasonable means, in light of the circumstances, to obtain:</w:t>
      </w:r>
    </w:p>
    <w:p>
      <w:pPr>
        <w:spacing w:after="0" w:line="77" w:lineRule="exact"/>
        <w:rPr>
          <w:sz w:val="20"/>
          <w:szCs w:val="20"/>
          <w:color w:val="auto"/>
        </w:rPr>
      </w:pPr>
    </w:p>
    <w:p>
      <w:pPr>
        <w:ind w:left="580" w:right="1579" w:hanging="307"/>
        <w:spacing w:after="0" w:line="278"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other important information pertaining to these actions.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the duty to:</w:t>
      </w:r>
    </w:p>
    <w:p>
      <w:pPr>
        <w:spacing w:after="0" w:line="125" w:lineRule="exact"/>
        <w:rPr>
          <w:sz w:val="20"/>
          <w:szCs w:val="20"/>
          <w:color w:val="auto"/>
        </w:rPr>
      </w:pPr>
    </w:p>
    <w:p>
      <w:pPr>
        <w:ind w:left="580" w:right="1119" w:hanging="307"/>
        <w:spacing w:after="0" w:line="278"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refrain from any act involving a conflict of interest between the performance of his or her duties in the company and his or her other duties or personal affairs;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refrain from any activity that is competitive with the business of the company;</w:t>
      </w:r>
    </w:p>
    <w:p>
      <w:pPr>
        <w:spacing w:after="0" w:line="200" w:lineRule="exact"/>
        <w:rPr>
          <w:sz w:val="20"/>
          <w:szCs w:val="20"/>
          <w:color w:val="auto"/>
        </w:rPr>
      </w:pPr>
    </w:p>
    <w:p>
      <w:pPr>
        <w:spacing w:after="0" w:line="3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580" w:right="1539" w:hanging="307"/>
        <w:spacing w:after="0" w:line="27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refrain from exploiting any business opportunity of the company for the purpose of gaining a personal advantage for himself or herself or others; and</w:t>
      </w:r>
    </w:p>
    <w:p>
      <w:pPr>
        <w:spacing w:after="0" w:line="61" w:lineRule="exact"/>
        <w:rPr>
          <w:rFonts w:ascii="Arial" w:cs="Arial" w:eastAsia="Arial" w:hAnsi="Arial"/>
          <w:sz w:val="17"/>
          <w:szCs w:val="17"/>
          <w:color w:val="auto"/>
        </w:rPr>
      </w:pPr>
    </w:p>
    <w:p>
      <w:pPr>
        <w:ind w:left="580" w:right="1059" w:hanging="307"/>
        <w:spacing w:after="0" w:line="27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disclose to the company any information or documents relating to the company’s affairs which the office holder received as a result of his or her position as an office holder.</w:t>
      </w:r>
    </w:p>
    <w:p>
      <w:pPr>
        <w:spacing w:after="0" w:line="62" w:lineRule="exact"/>
        <w:rPr>
          <w:sz w:val="20"/>
          <w:szCs w:val="20"/>
          <w:color w:val="auto"/>
        </w:rPr>
      </w:pPr>
    </w:p>
    <w:p>
      <w:pPr>
        <w:ind w:left="60" w:right="1239" w:firstLine="257"/>
        <w:spacing w:after="0" w:line="265" w:lineRule="auto"/>
        <w:rPr>
          <w:sz w:val="20"/>
          <w:szCs w:val="20"/>
          <w:color w:val="auto"/>
        </w:rPr>
      </w:pPr>
      <w:r>
        <w:rPr>
          <w:rFonts w:ascii="Arial" w:cs="Arial" w:eastAsia="Arial" w:hAnsi="Arial"/>
          <w:sz w:val="17"/>
          <w:szCs w:val="17"/>
          <w:color w:val="auto"/>
        </w:rPr>
        <w:t>We may approve an act performed in breach of the duty of loyalty of an office holder provided that the office holder acted in good faith, the act or its approval does not harm the company, and the office holder discloses his or her personal interest, as described below.</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Disclosure of personal interests of an office holder and approval of acts and transactions</w:t>
      </w:r>
    </w:p>
    <w:p>
      <w:pPr>
        <w:spacing w:after="0" w:line="113"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The Israeli Companies Law requires that an office holder promptly disclose to the company any personal interest that he or she may have and all related material information or documents relating to any existing or proposed transaction by the company. An interested office holder’s disclosure must be made promptly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as an extraordinary transaction.</w:t>
      </w:r>
    </w:p>
    <w:p>
      <w:pPr>
        <w:spacing w:after="0" w:line="82" w:lineRule="exact"/>
        <w:rPr>
          <w:sz w:val="20"/>
          <w:szCs w:val="20"/>
          <w:color w:val="auto"/>
        </w:rPr>
      </w:pPr>
    </w:p>
    <w:p>
      <w:pPr>
        <w:ind w:left="60" w:right="1079" w:firstLine="257"/>
        <w:spacing w:after="0" w:line="295" w:lineRule="auto"/>
        <w:rPr>
          <w:sz w:val="20"/>
          <w:szCs w:val="20"/>
          <w:color w:val="auto"/>
        </w:rPr>
      </w:pPr>
      <w:r>
        <w:rPr>
          <w:rFonts w:ascii="Arial" w:cs="Arial" w:eastAsia="Arial" w:hAnsi="Arial"/>
          <w:sz w:val="15"/>
          <w:szCs w:val="15"/>
          <w:color w:val="auto"/>
        </w:rPr>
        <w:t>The term personal interest is defined under the Israeli Companies Law to include the personal interest of a person in an action or in the business of a company, including the personal interest of such person’s relative or the interest of any corporation in which the person is an interested party, but excluding a personal interest stemming solely from the fact of holding shares in the company. Pursuant to a recent amendment to the Israeli Companies Law which became effective on May 15, 2011,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his or her relative in a transaction that is not considered an extraordinary transaction.</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the Israeli Companies Law, an extraordinary transaction which requires approval is defined as any of the following:</w:t>
      </w:r>
    </w:p>
    <w:p>
      <w:pPr>
        <w:spacing w:after="0" w:line="125" w:lineRule="exact"/>
        <w:rPr>
          <w:sz w:val="20"/>
          <w:szCs w:val="20"/>
          <w:color w:val="auto"/>
        </w:rPr>
      </w:pPr>
    </w:p>
    <w:p>
      <w:pPr>
        <w:ind w:left="580" w:hanging="307"/>
        <w:spacing w:after="0"/>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transaction other than in the ordinary course of business;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transaction that is not on market terms; or</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transaction that may have a material impact on the company’s profitability, assets or liabilities.</w:t>
      </w:r>
    </w:p>
    <w:p>
      <w:pPr>
        <w:spacing w:after="0" w:line="113" w:lineRule="exact"/>
        <w:rPr>
          <w:sz w:val="20"/>
          <w:szCs w:val="20"/>
          <w:color w:val="auto"/>
        </w:rPr>
      </w:pPr>
    </w:p>
    <w:p>
      <w:pPr>
        <w:ind w:left="60" w:right="1059" w:firstLine="257"/>
        <w:spacing w:after="0" w:line="259" w:lineRule="auto"/>
        <w:rPr>
          <w:sz w:val="20"/>
          <w:szCs w:val="20"/>
          <w:color w:val="auto"/>
        </w:rPr>
      </w:pPr>
      <w:r>
        <w:rPr>
          <w:rFonts w:ascii="Arial" w:cs="Arial" w:eastAsia="Arial" w:hAnsi="Arial"/>
          <w:sz w:val="17"/>
          <w:szCs w:val="17"/>
          <w:color w:val="auto"/>
        </w:rPr>
        <w:t>Under the Israeli Companies Law, once an office holder has complied with the disclosure requirement described above, a company may approve a transaction between the company and the office holder or a third party in which the office holder has a personal interest, or approve an action by the office holder that would otherwise be deemed a breach of duty of loyalty. However, a company may not approve a transaction or action that is adverse to the company’s interest or that is not performed by the office holder in good faith.</w:t>
      </w:r>
    </w:p>
    <w:p>
      <w:pPr>
        <w:spacing w:after="0" w:line="77"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color w:val="auto"/>
        </w:rPr>
        <w:t>Under the Israeli Companies Law, unless the articles of association of a company provide otherwise, a transaction with an office holder, a transaction with a third party in which the office holder has a personal interest, and an action of an office holder that would otherwise be deemed a breach of duty of loyalty requires approval by the board of directors. Our articles of association do not provide otherwise. If the transaction or action considered is (i) an extraordinary transaction, (ii) an action of an office holder that would otherwise be deemed a breach of duty of loyalty and may have a material impact on a company’s profitability, assets or liabilities, (iii) an undertaking to indemnify or insure an office holder who is not a director, or (iv) for matters considered after May 15, 2011, an undertaking concerning the terms of compensation of an office holder who is not a director, including, an undertaking to indemnify or insure such office holder, then audit committee approval is required prior to approval by the board of directors. Arrangements regarding the compensation, indemnification or insurance of a director require the approval of the audit committee, board of directors and shareholders, in that order.</w:t>
      </w:r>
    </w:p>
    <w:p>
      <w:pPr>
        <w:spacing w:after="0" w:line="200" w:lineRule="exact"/>
        <w:rPr>
          <w:sz w:val="20"/>
          <w:szCs w:val="20"/>
          <w:color w:val="auto"/>
        </w:rPr>
      </w:pPr>
    </w:p>
    <w:p>
      <w:pPr>
        <w:spacing w:after="0" w:line="305"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A director who has a personal interest in a matter that is considered at a meeting of the board of directors or the audit committee may generally not be present at the meeting or vote on the matter unless a majority of the directors or members of the audit committee have a personal interest in the matter, or for matters considered after September 15, 2011, unless the chairman of the audit committee or board of directors (as applicable) determines that he or she should be present to present the transaction that is subject to approval. If a majority of the directors have a personal interest in the matter, such matter also requires approval of the shareholders of the company.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Disclosure of personal interests of a controlling shareholder and approval of transactions</w:t>
      </w:r>
    </w:p>
    <w:p>
      <w:pPr>
        <w:spacing w:after="0" w:line="11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Under the Israeli Companies Law and a recent amendment thereto which became effective on May 15, 2011, the disclosure requirements that apply to an office holder also apply to a controlling shareholder of a public company. See “— Audit Committee” for a definition of controlling shareholder. Extraordinary transactions with a controlling shareholder or in which a controlling shareholder has a personal interest, including a private placement in which a controlling shareholder has a personal interest, as well as transactions approved after May 15, 2011 for the provision of services whether directly or indirectly by a controlling shareholder or his or her relative, or a company such controlling shareholder controls, and transactions concerning the terms of engagement of a controlling shareholder or a controlling shareholder’s relative, whether as an office holder or an employee, require the approval of the audit committee,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84" w:lineRule="exact"/>
        <w:rPr>
          <w:sz w:val="20"/>
          <w:szCs w:val="20"/>
          <w:color w:val="auto"/>
        </w:rPr>
      </w:pPr>
    </w:p>
    <w:p>
      <w:pPr>
        <w:ind w:left="580" w:right="1159" w:hanging="307"/>
        <w:spacing w:after="0" w:line="278" w:lineRule="auto"/>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 least a majority of the shares held by shareholders who have no personal interest in the transaction and are voting at the meeting must be voted in favor of approving the transaction, excluding abstentions; or</w:t>
      </w:r>
    </w:p>
    <w:p>
      <w:pPr>
        <w:spacing w:after="0" w:line="61" w:lineRule="exact"/>
        <w:rPr>
          <w:rFonts w:ascii="Arial" w:cs="Arial" w:eastAsia="Arial" w:hAnsi="Arial"/>
          <w:sz w:val="17"/>
          <w:szCs w:val="17"/>
          <w:color w:val="auto"/>
        </w:rPr>
      </w:pPr>
    </w:p>
    <w:p>
      <w:pPr>
        <w:ind w:left="580" w:right="1059" w:hanging="307"/>
        <w:spacing w:after="0" w:line="278" w:lineRule="auto"/>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shares voted by shareholders who have no personal interest in the transaction who vote against the transaction represent no more than 2% of the voting rights in the company.</w:t>
      </w:r>
    </w:p>
    <w:p>
      <w:pPr>
        <w:spacing w:after="0" w:line="62" w:lineRule="exact"/>
        <w:rPr>
          <w:sz w:val="20"/>
          <w:szCs w:val="20"/>
          <w:color w:val="auto"/>
        </w:rPr>
      </w:pPr>
    </w:p>
    <w:p>
      <w:pPr>
        <w:jc w:val="both"/>
        <w:ind w:left="60" w:right="1159" w:firstLine="257"/>
        <w:spacing w:after="0" w:line="265"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Duties of shareholders</w:t>
      </w:r>
    </w:p>
    <w:p>
      <w:pPr>
        <w:spacing w:after="0" w:line="113" w:lineRule="exact"/>
        <w:rPr>
          <w:sz w:val="20"/>
          <w:szCs w:val="20"/>
          <w:color w:val="auto"/>
        </w:rPr>
      </w:pPr>
    </w:p>
    <w:p>
      <w:pPr>
        <w:ind w:left="60" w:right="1059" w:firstLine="257"/>
        <w:spacing w:after="0" w:line="265" w:lineRule="auto"/>
        <w:rPr>
          <w:sz w:val="20"/>
          <w:szCs w:val="20"/>
          <w:color w:val="auto"/>
        </w:rPr>
      </w:pPr>
      <w:r>
        <w:rPr>
          <w:rFonts w:ascii="Arial" w:cs="Arial" w:eastAsia="Arial" w:hAnsi="Arial"/>
          <w:sz w:val="17"/>
          <w:szCs w:val="17"/>
          <w:color w:val="auto"/>
        </w:rPr>
        <w:t>Under the Israeli Companies Law, a shareholder has a duty to refrain from abusing its power in the company and to act in good faith and in an acceptable manner in exercising its rights and performing its obligations to the company and other shareholders, including, among other things, voting at general meetings of shareholders on the following matters:</w:t>
      </w:r>
    </w:p>
    <w:p>
      <w:pPr>
        <w:spacing w:after="0" w:line="73" w:lineRule="exact"/>
        <w:rPr>
          <w:sz w:val="20"/>
          <w:szCs w:val="20"/>
          <w:color w:val="auto"/>
        </w:rPr>
      </w:pPr>
    </w:p>
    <w:p>
      <w:pPr>
        <w:ind w:left="580" w:hanging="307"/>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amendment to the articles of association;</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increase in the company’s authorized share capital;</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merger; and</w:t>
      </w:r>
    </w:p>
    <w:p>
      <w:pPr>
        <w:spacing w:after="0" w:line="113" w:lineRule="exact"/>
        <w:rPr>
          <w:rFonts w:ascii="Arial" w:cs="Arial" w:eastAsia="Arial" w:hAnsi="Arial"/>
          <w:sz w:val="17"/>
          <w:szCs w:val="17"/>
          <w:color w:val="auto"/>
        </w:rPr>
      </w:pPr>
    </w:p>
    <w:p>
      <w:pPr>
        <w:ind w:left="320" w:right="2579" w:hanging="47"/>
        <w:spacing w:after="0" w:line="429" w:lineRule="auto"/>
        <w:tabs>
          <w:tab w:leader="none" w:pos="59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left="60" w:right="1019" w:firstLine="257"/>
        <w:spacing w:after="0" w:line="311" w:lineRule="auto"/>
        <w:rPr>
          <w:sz w:val="20"/>
          <w:szCs w:val="20"/>
          <w:color w:val="auto"/>
        </w:rPr>
      </w:pPr>
      <w:r>
        <w:rPr>
          <w:rFonts w:ascii="Arial" w:cs="Arial" w:eastAsia="Arial" w:hAnsi="Arial"/>
          <w:sz w:val="16"/>
          <w:szCs w:val="16"/>
          <w:color w:val="auto"/>
        </w:rPr>
        <w:t>The remedies generally available upon a breach of contract will also apply to a breach of the above mentioned duties, and in the event of discrimination against other shareholders, additional remedies are available to the injured shareholder.</w:t>
      </w:r>
    </w:p>
    <w:p>
      <w:pPr>
        <w:spacing w:after="0" w:line="38" w:lineRule="exact"/>
        <w:rPr>
          <w:sz w:val="20"/>
          <w:szCs w:val="20"/>
          <w:color w:val="auto"/>
        </w:rPr>
      </w:pPr>
    </w:p>
    <w:p>
      <w:pPr>
        <w:ind w:left="60" w:right="1059" w:firstLine="257"/>
        <w:spacing w:after="0" w:line="257" w:lineRule="auto"/>
        <w:rPr>
          <w:sz w:val="20"/>
          <w:szCs w:val="20"/>
          <w:color w:val="auto"/>
        </w:rPr>
      </w:pPr>
      <w:r>
        <w:rPr>
          <w:rFonts w:ascii="Arial" w:cs="Arial" w:eastAsia="Arial" w:hAnsi="Arial"/>
          <w:sz w:val="17"/>
          <w:szCs w:val="17"/>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Israeli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200" w:lineRule="exact"/>
        <w:rPr>
          <w:sz w:val="20"/>
          <w:szCs w:val="20"/>
          <w:color w:val="auto"/>
        </w:rPr>
      </w:pPr>
    </w:p>
    <w:p>
      <w:pPr>
        <w:spacing w:after="0" w:line="30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Exculpation, insurance and indemnification of office holders</w:t>
      </w:r>
    </w:p>
    <w:p>
      <w:pPr>
        <w:spacing w:after="0" w:line="113" w:lineRule="exact"/>
        <w:rPr>
          <w:sz w:val="20"/>
          <w:szCs w:val="20"/>
          <w:color w:val="auto"/>
        </w:rPr>
      </w:pPr>
    </w:p>
    <w:p>
      <w:pPr>
        <w:ind w:left="60" w:right="1139" w:firstLine="257"/>
        <w:spacing w:after="0" w:line="259"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inserted in its articles of association. Our articles of association include such a provision. An Israeli company may not exculpate a director from liability arising out of a prohibited dividend or distribution to shareholders.</w:t>
      </w:r>
    </w:p>
    <w:p>
      <w:pPr>
        <w:spacing w:after="0" w:line="77" w:lineRule="exact"/>
        <w:rPr>
          <w:sz w:val="20"/>
          <w:szCs w:val="20"/>
          <w:color w:val="auto"/>
        </w:rPr>
      </w:pPr>
    </w:p>
    <w:p>
      <w:pPr>
        <w:ind w:left="60" w:right="1579" w:firstLine="257"/>
        <w:spacing w:after="0" w:line="265" w:lineRule="auto"/>
        <w:rPr>
          <w:sz w:val="20"/>
          <w:szCs w:val="20"/>
          <w:color w:val="auto"/>
        </w:rPr>
      </w:pPr>
      <w:r>
        <w:rPr>
          <w:rFonts w:ascii="Arial" w:cs="Arial" w:eastAsia="Arial" w:hAnsi="Arial"/>
          <w:sz w:val="17"/>
          <w:szCs w:val="17"/>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73" w:lineRule="exact"/>
        <w:rPr>
          <w:sz w:val="20"/>
          <w:szCs w:val="20"/>
          <w:color w:val="auto"/>
        </w:rPr>
      </w:pPr>
    </w:p>
    <w:p>
      <w:pPr>
        <w:ind w:left="580" w:right="1039" w:hanging="307"/>
        <w:spacing w:after="0" w:line="257"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81" w:lineRule="exact"/>
        <w:rPr>
          <w:rFonts w:ascii="Arial" w:cs="Arial" w:eastAsia="Arial" w:hAnsi="Arial"/>
          <w:sz w:val="17"/>
          <w:szCs w:val="17"/>
          <w:color w:val="auto"/>
        </w:rPr>
      </w:pPr>
    </w:p>
    <w:p>
      <w:pPr>
        <w:ind w:left="580" w:right="1159" w:hanging="307"/>
        <w:spacing w:after="0" w:line="277"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an authority authorized to conduct such investigation or proceeding, provided that (1) no indictment was filed against such office holder as a result of such investigation or proceeding; and (2)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63" w:lineRule="exact"/>
        <w:rPr>
          <w:rFonts w:ascii="Arial" w:cs="Arial" w:eastAsia="Arial" w:hAnsi="Arial"/>
          <w:sz w:val="16"/>
          <w:szCs w:val="16"/>
          <w:color w:val="auto"/>
        </w:rPr>
      </w:pPr>
    </w:p>
    <w:p>
      <w:pPr>
        <w:ind w:left="580" w:right="1059" w:hanging="307"/>
        <w:spacing w:after="0" w:line="261" w:lineRule="auto"/>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76" w:lineRule="exact"/>
        <w:rPr>
          <w:sz w:val="20"/>
          <w:szCs w:val="20"/>
          <w:color w:val="auto"/>
        </w:rPr>
      </w:pPr>
    </w:p>
    <w:p>
      <w:pPr>
        <w:ind w:left="60" w:right="1099" w:firstLine="257"/>
        <w:spacing w:after="0" w:line="278" w:lineRule="auto"/>
        <w:rPr>
          <w:sz w:val="20"/>
          <w:szCs w:val="20"/>
          <w:color w:val="auto"/>
        </w:rPr>
      </w:pPr>
      <w:r>
        <w:rPr>
          <w:rFonts w:ascii="Arial" w:cs="Arial" w:eastAsia="Arial" w:hAnsi="Arial"/>
          <w:sz w:val="17"/>
          <w:szCs w:val="17"/>
          <w:color w:val="auto"/>
        </w:rPr>
        <w:t>An Israeli company may insure an office holder against the following liabilities incurred for acts performed as an office holder if and to the extent provided in the company’s articles of association:</w:t>
      </w:r>
    </w:p>
    <w:p>
      <w:pPr>
        <w:spacing w:after="0" w:line="62" w:lineRule="exact"/>
        <w:rPr>
          <w:sz w:val="20"/>
          <w:szCs w:val="20"/>
          <w:color w:val="auto"/>
        </w:rPr>
      </w:pPr>
    </w:p>
    <w:p>
      <w:pPr>
        <w:ind w:left="580" w:right="1019" w:hanging="307"/>
        <w:spacing w:after="0" w:line="27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breach of duty of loyalty to the company, to the extent that the office holder acted in good faith and had a reasonable basis to believe that the act would not prejudice the company;</w:t>
      </w:r>
    </w:p>
    <w:p>
      <w:pPr>
        <w:spacing w:after="0" w:line="61" w:lineRule="exact"/>
        <w:rPr>
          <w:rFonts w:ascii="Arial" w:cs="Arial" w:eastAsia="Arial" w:hAnsi="Arial"/>
          <w:sz w:val="17"/>
          <w:szCs w:val="17"/>
          <w:color w:val="auto"/>
        </w:rPr>
      </w:pPr>
    </w:p>
    <w:p>
      <w:pPr>
        <w:ind w:left="580" w:right="1299" w:hanging="307"/>
        <w:spacing w:after="0" w:line="27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breach of duty of care to the company or to a third party, including a breach arising out of the negligent conduct of the office holder; and</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financial liability imposed on the office holder in favor of a third party.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Israeli company may not indemnify or insure an office holder against any of the following:</w:t>
      </w:r>
    </w:p>
    <w:p>
      <w:pPr>
        <w:spacing w:after="0" w:line="113" w:lineRule="exact"/>
        <w:rPr>
          <w:sz w:val="20"/>
          <w:szCs w:val="20"/>
          <w:color w:val="auto"/>
        </w:rPr>
      </w:pPr>
    </w:p>
    <w:p>
      <w:pPr>
        <w:ind w:left="580" w:right="1459" w:hanging="307"/>
        <w:spacing w:after="0" w:line="278" w:lineRule="auto"/>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breach of duty of loyalty, except to the extent that the office holder acted in good faith and had a reasonable basis to believe that the act would not prejudice the company;</w:t>
      </w:r>
    </w:p>
    <w:p>
      <w:pPr>
        <w:spacing w:after="0" w:line="61" w:lineRule="exact"/>
        <w:rPr>
          <w:rFonts w:ascii="Arial" w:cs="Arial" w:eastAsia="Arial" w:hAnsi="Arial"/>
          <w:sz w:val="17"/>
          <w:szCs w:val="17"/>
          <w:color w:val="auto"/>
        </w:rPr>
      </w:pPr>
    </w:p>
    <w:p>
      <w:pPr>
        <w:ind w:left="580" w:right="1019" w:hanging="307"/>
        <w:spacing w:after="0" w:line="278" w:lineRule="auto"/>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act or omission committed with intent to derive illegal personal benefit; or</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fine or forfeit levied against the office holder.</w:t>
      </w:r>
    </w:p>
    <w:p>
      <w:pPr>
        <w:spacing w:after="0" w:line="113" w:lineRule="exact"/>
        <w:rPr>
          <w:sz w:val="20"/>
          <w:szCs w:val="20"/>
          <w:color w:val="auto"/>
        </w:rPr>
      </w:pPr>
    </w:p>
    <w:p>
      <w:pPr>
        <w:ind w:left="60" w:right="1159" w:firstLine="257"/>
        <w:spacing w:after="0" w:line="278" w:lineRule="auto"/>
        <w:rPr>
          <w:sz w:val="20"/>
          <w:szCs w:val="20"/>
          <w:color w:val="auto"/>
        </w:rPr>
      </w:pPr>
      <w:r>
        <w:rPr>
          <w:rFonts w:ascii="Arial" w:cs="Arial" w:eastAsia="Arial" w:hAnsi="Arial"/>
          <w:sz w:val="17"/>
          <w:szCs w:val="17"/>
          <w:color w:val="auto"/>
        </w:rPr>
        <w:t>Under the Israeli Companies Law, exculpation, indemnification and insurance of office holders must be approved by the audit committee and the board of directors and, with respect to directors, by shareholders.</w:t>
      </w:r>
    </w:p>
    <w:p>
      <w:pPr>
        <w:spacing w:after="0" w:line="200" w:lineRule="exact"/>
        <w:rPr>
          <w:sz w:val="20"/>
          <w:szCs w:val="20"/>
          <w:color w:val="auto"/>
        </w:rPr>
      </w:pPr>
    </w:p>
    <w:p>
      <w:pPr>
        <w:spacing w:after="0" w:line="29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139" w:firstLine="257"/>
        <w:spacing w:after="0" w:line="274" w:lineRule="auto"/>
        <w:rPr>
          <w:sz w:val="20"/>
          <w:szCs w:val="20"/>
          <w:color w:val="auto"/>
        </w:rPr>
      </w:pPr>
      <w:r>
        <w:rPr>
          <w:rFonts w:ascii="Arial" w:cs="Arial" w:eastAsia="Arial" w:hAnsi="Arial"/>
          <w:sz w:val="16"/>
          <w:szCs w:val="16"/>
          <w:color w:val="auto"/>
        </w:rPr>
        <w:t>Our articles of association allow us to indemnify and insure our office holders for any liability imposed on them as a consequence of an act (including any omission) which was performed by virtue of being an office holder. Our office holders are currently covered by a directors and officers’ liability insurance policy. As of the date of this offering, no claims for directors and officers’ liability insurance have been filed under this policy and we are not aware of any pending or threatened litigation or proceeding involving any of our directors or officers in which indemnification is sought. Pursuant to the approval of our shareholders which was obtained on November 5, 2009, we carry directors’ and officers’ insurance covering each of our directors and executive officers for acts and omissions. See also “Item 7. Major Shareholders and Related Party Transactions — Related Party Transactions — Agreements with Directors and Officers — Indemnification Agreements.”</w:t>
      </w:r>
    </w:p>
    <w:p>
      <w:pPr>
        <w:spacing w:after="0" w:line="69" w:lineRule="exact"/>
        <w:rPr>
          <w:sz w:val="20"/>
          <w:szCs w:val="20"/>
          <w:color w:val="auto"/>
        </w:rPr>
      </w:pPr>
    </w:p>
    <w:p>
      <w:pPr>
        <w:ind w:left="60" w:right="1019" w:firstLine="257"/>
        <w:spacing w:after="0" w:line="347" w:lineRule="auto"/>
        <w:rPr>
          <w:sz w:val="20"/>
          <w:szCs w:val="20"/>
          <w:color w:val="auto"/>
        </w:rPr>
      </w:pPr>
      <w:r>
        <w:rPr>
          <w:rFonts w:ascii="Arial" w:cs="Arial" w:eastAsia="Arial" w:hAnsi="Arial"/>
          <w:sz w:val="15"/>
          <w:szCs w:val="15"/>
          <w:color w:val="auto"/>
        </w:rPr>
        <w:t>There is no pending litigation or proceeding against any of our directors or officers as to which indemnification is being sought, nor are we aware of any pending or threatened litigation that may result in claims for indemnification by any director or officer.</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NASDAQ Listing Rules and Home Country Practices</w:t>
      </w:r>
    </w:p>
    <w:p>
      <w:pPr>
        <w:spacing w:after="0" w:line="113" w:lineRule="exact"/>
        <w:rPr>
          <w:sz w:val="20"/>
          <w:szCs w:val="20"/>
          <w:color w:val="auto"/>
        </w:rPr>
      </w:pPr>
    </w:p>
    <w:p>
      <w:pPr>
        <w:ind w:left="60" w:right="1079" w:firstLine="257"/>
        <w:spacing w:after="0" w:line="259" w:lineRule="auto"/>
        <w:rPr>
          <w:sz w:val="20"/>
          <w:szCs w:val="20"/>
          <w:color w:val="auto"/>
        </w:rPr>
      </w:pPr>
      <w:r>
        <w:rPr>
          <w:rFonts w:ascii="Arial" w:cs="Arial" w:eastAsia="Arial" w:hAnsi="Arial"/>
          <w:sz w:val="17"/>
          <w:szCs w:val="17"/>
          <w:color w:val="auto"/>
        </w:rPr>
        <w:t>The Sarbanes-Oxley Act, as well as related rules subsequently implemented by the SEC, requires foreign private issuers, such as us, to comply with various corporate governance practices. In complying with the Marketplace Rules of The NASDAQ Stock Market, we may elect to follow certain corporate governance practices permitted under the Israeli Companies Law and the rules of the TASE in lieu of compliance with certain corporate governance requirements otherwise required by the Marketplace Rules of The NASDAQ Stock Market.</w:t>
      </w:r>
    </w:p>
    <w:p>
      <w:pPr>
        <w:spacing w:after="0" w:line="77" w:lineRule="exact"/>
        <w:rPr>
          <w:sz w:val="20"/>
          <w:szCs w:val="20"/>
          <w:color w:val="auto"/>
        </w:rPr>
      </w:pPr>
    </w:p>
    <w:p>
      <w:pPr>
        <w:ind w:left="60" w:right="1019" w:firstLine="257"/>
        <w:spacing w:after="0" w:line="289"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Marketplace Rules of The NASDAQ Stock Market, if we list on The NASDAQ Capital Market we intend to follow the provisions of the Israeli Companies Law, rather than the Marketplace Rules of The NASDAQ Stock Market, with respect to the following requirements:</w:t>
      </w:r>
    </w:p>
    <w:p>
      <w:pPr>
        <w:spacing w:after="0" w:line="56" w:lineRule="exact"/>
        <w:rPr>
          <w:sz w:val="20"/>
          <w:szCs w:val="20"/>
          <w:color w:val="auto"/>
        </w:rPr>
      </w:pPr>
    </w:p>
    <w:p>
      <w:pPr>
        <w:ind w:left="580" w:right="1019" w:hanging="307"/>
        <w:spacing w:after="0" w:line="257"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Distribution of annual and quarterly reports to shareholders</w:t>
      </w:r>
      <w:r>
        <w:rPr>
          <w:rFonts w:ascii="Arial" w:cs="Arial" w:eastAsia="Arial" w:hAnsi="Arial"/>
          <w:sz w:val="17"/>
          <w:szCs w:val="17"/>
          <w:color w:val="auto"/>
        </w:rPr>
        <w:t>. Under Israeli law we are not required to distribute annual and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reports directly to shareholders and the generally accepted business practice in Israel is not to distribute such reports to shareholders but to make such reports publicly available through the website of the Israeli Securities Authority. In addition, we plan to make our audited financial statements available to our shareholders at our offices and to mail such reports to shareholders upon request. As a foreign private issuer, we are generally exempt from the SEC’s proxy solicitation rules.</w:t>
      </w:r>
    </w:p>
    <w:p>
      <w:pPr>
        <w:spacing w:after="0" w:line="81" w:lineRule="exact"/>
        <w:rPr>
          <w:rFonts w:ascii="Arial" w:cs="Arial" w:eastAsia="Arial" w:hAnsi="Arial"/>
          <w:sz w:val="17"/>
          <w:szCs w:val="17"/>
          <w:color w:val="auto"/>
        </w:rPr>
      </w:pPr>
    </w:p>
    <w:p>
      <w:pPr>
        <w:ind w:left="580" w:right="999" w:hanging="307"/>
        <w:spacing w:after="0" w:line="256"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While the Marketplace Rules of the NASDAQ Stock Market require that the quorum for purposes of any meeting</w:t>
      </w:r>
      <w:r>
        <w:rPr>
          <w:rFonts w:ascii="Arial" w:cs="Arial" w:eastAsia="Arial" w:hAnsi="Arial"/>
          <w:sz w:val="17"/>
          <w:szCs w:val="17"/>
          <w:i w:val="1"/>
          <w:iCs w:val="1"/>
          <w:color w:val="auto"/>
        </w:rPr>
        <w:t xml:space="preserve"> </w:t>
      </w:r>
      <w:r>
        <w:rPr>
          <w:rFonts w:ascii="Arial" w:cs="Arial" w:eastAsia="Arial" w:hAnsi="Arial"/>
          <w:sz w:val="17"/>
          <w:szCs w:val="17"/>
          <w:color w:val="auto"/>
        </w:rPr>
        <w:t>of the holders of a listed company’s common voting stock, as specified in the company’s bylaws, be no less than 33 1/3% of the company’s outstanding common voting stock, under Israeli law, a company is entitled to determine in its articles of association the number of shareholders and percentage of holdings required for a quorum at a shareholders meeting. Our Articles of Association provide that a quorum of two or more shareholders holding at least 25% of the voting rights in person or by proxy is required for commencement of business at a general meeting. However, the quorum set forth in our articles of association with respect to an adjourned meeting consists of any number of shareholders present in person or by proxy.</w:t>
      </w:r>
    </w:p>
    <w:p>
      <w:pPr>
        <w:spacing w:after="0" w:line="81" w:lineRule="exact"/>
        <w:rPr>
          <w:rFonts w:ascii="Arial" w:cs="Arial" w:eastAsia="Arial" w:hAnsi="Arial"/>
          <w:sz w:val="17"/>
          <w:szCs w:val="17"/>
          <w:color w:val="auto"/>
        </w:rPr>
      </w:pPr>
    </w:p>
    <w:p>
      <w:pPr>
        <w:ind w:left="580" w:right="1039" w:hanging="307"/>
        <w:spacing w:after="0" w:line="294" w:lineRule="auto"/>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Independent Directors</w:t>
      </w:r>
      <w:r>
        <w:rPr>
          <w:rFonts w:ascii="Arial" w:cs="Arial" w:eastAsia="Arial" w:hAnsi="Arial"/>
          <w:sz w:val="15"/>
          <w:szCs w:val="15"/>
          <w:color w:val="auto"/>
        </w:rPr>
        <w:t>. Our Board of Directors includes two external directors in accordance with the provisions contained</w:t>
      </w:r>
      <w:r>
        <w:rPr>
          <w:rFonts w:ascii="Arial" w:cs="Arial" w:eastAsia="Arial" w:hAnsi="Arial"/>
          <w:sz w:val="15"/>
          <w:szCs w:val="15"/>
          <w:i w:val="1"/>
          <w:iCs w:val="1"/>
          <w:color w:val="auto"/>
        </w:rPr>
        <w:t xml:space="preserve"> </w:t>
      </w:r>
      <w:r>
        <w:rPr>
          <w:rFonts w:ascii="Arial" w:cs="Arial" w:eastAsia="Arial" w:hAnsi="Arial"/>
          <w:sz w:val="15"/>
          <w:szCs w:val="15"/>
          <w:color w:val="auto"/>
        </w:rPr>
        <w:t>in Sections 239-249 of the Israeli Companies Law and Rule 10A-3 of the general rules and regulations promulgated under the Securities Act of 1933, rather than a majority of external directors. Israeli law does not require, nor do our independent directors conduct, regularly scheduled meetings at which only they are present. We are required, however, to ensure that all members of our Audit Committee are “independent” under the applicable NASDAQ and SEC criteria for independence (as a foreign private issuer we are not exempt from the SEC independence requirement),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Marketplace Rules of The NASDAQ Stock Market otherwise require.</w:t>
      </w:r>
    </w:p>
    <w:p>
      <w:pPr>
        <w:spacing w:after="0" w:line="200" w:lineRule="exact"/>
        <w:rPr>
          <w:sz w:val="20"/>
          <w:szCs w:val="20"/>
          <w:color w:val="auto"/>
        </w:rPr>
      </w:pPr>
    </w:p>
    <w:p>
      <w:pPr>
        <w:spacing w:after="0" w:line="29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580" w:right="1079" w:hanging="307"/>
        <w:spacing w:after="0" w:line="261" w:lineRule="auto"/>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Our Audit Committee complies with all of the requirements under Israeli law, and is composed of two</w:t>
      </w:r>
      <w:r>
        <w:rPr>
          <w:rFonts w:ascii="Arial" w:cs="Arial" w:eastAsia="Arial" w:hAnsi="Arial"/>
          <w:sz w:val="17"/>
          <w:szCs w:val="17"/>
          <w:i w:val="1"/>
          <w:iCs w:val="1"/>
          <w:color w:val="auto"/>
        </w:rPr>
        <w:t xml:space="preserve"> </w:t>
      </w:r>
      <w:r>
        <w:rPr>
          <w:rFonts w:ascii="Arial" w:cs="Arial" w:eastAsia="Arial" w:hAnsi="Arial"/>
          <w:sz w:val="17"/>
          <w:szCs w:val="17"/>
          <w:color w:val="auto"/>
        </w:rPr>
        <w:t>external directors, which are all of our external directors, and only one other director, who cannot be the chairman of the Board of Directors. Consistent with Israeli law, the independent auditors are elected at a meeting of shareholders instead of being appointed by the Audit Committee.</w:t>
      </w:r>
    </w:p>
    <w:p>
      <w:pPr>
        <w:spacing w:after="0" w:line="75" w:lineRule="exact"/>
        <w:rPr>
          <w:rFonts w:ascii="Arial" w:cs="Arial" w:eastAsia="Arial" w:hAnsi="Arial"/>
          <w:sz w:val="17"/>
          <w:szCs w:val="17"/>
          <w:color w:val="auto"/>
        </w:rPr>
      </w:pPr>
    </w:p>
    <w:p>
      <w:pPr>
        <w:ind w:left="580" w:right="999" w:hanging="307"/>
        <w:spacing w:after="0" w:line="27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Nomination of our Directors</w:t>
      </w:r>
      <w:r>
        <w:rPr>
          <w:rFonts w:ascii="Arial" w:cs="Arial" w:eastAsia="Arial" w:hAnsi="Arial"/>
          <w:sz w:val="16"/>
          <w:szCs w:val="16"/>
          <w:color w:val="auto"/>
        </w:rPr>
        <w:t>. With the exception of our external directors and directors elected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vacancy, our directors are elected by a general or special meeting of our shareholders, to hold office until they are removed from office by the majority of our shareholders at a general or special meeting of our shareholders. See “— Board of Directors.” The nominations for directors, which are presented to our shareholders, are generally made by our directors, but nominations may be made by one or more of our shareholders as provided in our Articles of Association, under the Israeli Companies law or in an agreement between us and our shareholders. Currently, there is no agreement between us and any shareholder regarding the nomination of directors. In accordance with our Articles of Association, under the Israeli Companies Law, any one or more shareholders holding, in the aggregate, either (1) 5% of our outstanding shares and 1% of our outstanding voting power or (2) 5% of our outstanding voting power, may nominate one or more persons for election as directors at a general or special meeting by delivering a written notice of such shareholder’s intent to make such nomination or nominations to our registered office. Each such notice must set forth all of the details and information as required to be provided in our Articles of Association.</w:t>
      </w:r>
    </w:p>
    <w:p>
      <w:pPr>
        <w:spacing w:after="0" w:line="70" w:lineRule="exact"/>
        <w:rPr>
          <w:rFonts w:ascii="Arial" w:cs="Arial" w:eastAsia="Arial" w:hAnsi="Arial"/>
          <w:sz w:val="16"/>
          <w:szCs w:val="16"/>
          <w:color w:val="auto"/>
        </w:rPr>
      </w:pPr>
    </w:p>
    <w:p>
      <w:pPr>
        <w:ind w:left="580" w:right="1019" w:hanging="307"/>
        <w:spacing w:after="0" w:line="27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Compensation of Officers</w:t>
      </w:r>
      <w:r>
        <w:rPr>
          <w:rFonts w:ascii="Arial" w:cs="Arial" w:eastAsia="Arial" w:hAnsi="Arial"/>
          <w:sz w:val="16"/>
          <w:szCs w:val="16"/>
          <w:color w:val="auto"/>
        </w:rPr>
        <w:t>. Provided that the executive officer does not serve on our board, Israeli law does not require and</w:t>
      </w:r>
      <w:r>
        <w:rPr>
          <w:rFonts w:ascii="Arial" w:cs="Arial" w:eastAsia="Arial" w:hAnsi="Arial"/>
          <w:sz w:val="16"/>
          <w:szCs w:val="16"/>
          <w:i w:val="1"/>
          <w:iCs w:val="1"/>
          <w:color w:val="auto"/>
        </w:rPr>
        <w:t xml:space="preserve"> </w:t>
      </w:r>
      <w:r>
        <w:rPr>
          <w:rFonts w:ascii="Arial" w:cs="Arial" w:eastAsia="Arial" w:hAnsi="Arial"/>
          <w:sz w:val="16"/>
          <w:szCs w:val="16"/>
          <w:color w:val="auto"/>
        </w:rPr>
        <w:t>we do not require that independent members of our Board of Directors determine the compensation of an executive officer. If, however, an executive officer is also a director, the terms of compensation must be approved by our Audit Committee, our Board of Directors and shareholders. Furthermore, if the executive officer is also a controlling shareholder of our company (including an affiliate thereof), the compensation needs to be approved by our Audit Committee, Board of Directors and shareholders, provided that the shareholder approval includes the holders of a majority of the shares held by all shareholders who have no personal interest in the transaction and who are voting on the subject matter (with abstentions being disregarded) or, alternatively, the total shares of shareholders who have no personal interest in the transaction and who vote against the transaction must not represent more than 2% of the voting rights in our company. To the extent that any such transaction with a controlling shareholder is for a period extending beyond three years, approval is required once every three years, unless our Audit Committee determines that the duration of the transaction is reasonable given the circumstances related thereto. A director or executive officer of an Israeli company may not be present when the company’s audit committee or board of directors discusses or votes upon the terms of his or her compensation, unless the chairman of the audit committee or board of directors (as applicable) determines that he or she should be present to present the transaction that is subject to approval.</w:t>
      </w:r>
    </w:p>
    <w:p>
      <w:pPr>
        <w:spacing w:after="0" w:line="73" w:lineRule="exact"/>
        <w:rPr>
          <w:rFonts w:ascii="Arial" w:cs="Arial" w:eastAsia="Arial" w:hAnsi="Arial"/>
          <w:sz w:val="16"/>
          <w:szCs w:val="16"/>
          <w:color w:val="auto"/>
        </w:rPr>
      </w:pPr>
    </w:p>
    <w:p>
      <w:pPr>
        <w:ind w:left="580" w:right="1159" w:hanging="307"/>
        <w:spacing w:after="0" w:line="301" w:lineRule="auto"/>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Approval of Related Party Transactions</w:t>
      </w:r>
      <w:r>
        <w:rPr>
          <w:rFonts w:ascii="Arial" w:cs="Arial" w:eastAsia="Arial" w:hAnsi="Arial"/>
          <w:sz w:val="15"/>
          <w:szCs w:val="15"/>
          <w:color w:val="auto"/>
        </w:rPr>
        <w:t>. All related party transactions are approved in accordance with the requirements</w:t>
      </w:r>
      <w:r>
        <w:rPr>
          <w:rFonts w:ascii="Arial" w:cs="Arial" w:eastAsia="Arial" w:hAnsi="Arial"/>
          <w:sz w:val="15"/>
          <w:szCs w:val="15"/>
          <w:i w:val="1"/>
          <w:iCs w:val="1"/>
          <w:color w:val="auto"/>
        </w:rPr>
        <w:t xml:space="preserve"> </w:t>
      </w:r>
      <w:r>
        <w:rPr>
          <w:rFonts w:ascii="Arial" w:cs="Arial" w:eastAsia="Arial" w:hAnsi="Arial"/>
          <w:sz w:val="15"/>
          <w:szCs w:val="15"/>
          <w:color w:val="auto"/>
        </w:rPr>
        <w:t>and procedures for approval of interested party acts and transactions, set forth in sections 268 to 275 of the Israeli Companies Law, and the regulations promulgated thereunder, which require the approval of the audit committee, board of directors and shareholders, for specified transactions, rather than approval by the audit committee or other independent body of our Board of Directors as required under the Marketplace Rules of The NASDAQ Stock Market.</w:t>
      </w:r>
    </w:p>
    <w:p>
      <w:pPr>
        <w:spacing w:after="0" w:line="50" w:lineRule="exact"/>
        <w:rPr>
          <w:rFonts w:ascii="Arial" w:cs="Arial" w:eastAsia="Arial" w:hAnsi="Arial"/>
          <w:sz w:val="15"/>
          <w:szCs w:val="15"/>
          <w:color w:val="auto"/>
        </w:rPr>
      </w:pPr>
    </w:p>
    <w:p>
      <w:pPr>
        <w:ind w:left="580" w:right="1139" w:hanging="307"/>
        <w:spacing w:after="0" w:line="261" w:lineRule="auto"/>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Shareholder Approval</w:t>
      </w:r>
      <w:r>
        <w:rPr>
          <w:rFonts w:ascii="Arial" w:cs="Arial" w:eastAsia="Arial" w:hAnsi="Arial"/>
          <w:sz w:val="17"/>
          <w:szCs w:val="17"/>
          <w:color w:val="auto"/>
        </w:rPr>
        <w:t>. We seek shareholder approval for all corporate actions requiring such approval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requirements of the Israeli Companies Law, which are different or in addition to the requirements for seeking shareholder approval under NASDAQ Listing Rule 5635, rather than seeking approval for corporation actions in accordance with such listing rules.</w:t>
      </w:r>
    </w:p>
    <w:p>
      <w:pPr>
        <w:spacing w:after="0" w:line="200" w:lineRule="exact"/>
        <w:rPr>
          <w:sz w:val="20"/>
          <w:szCs w:val="20"/>
          <w:color w:val="auto"/>
        </w:rPr>
      </w:pPr>
    </w:p>
    <w:p>
      <w:pPr>
        <w:spacing w:after="0" w:line="300"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 Employees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2010, we had 49 employees, all but one of which are employed in Israel. Of our employees, 21 hold M.D.</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or Ph.D. degrees.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9663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vMerge w:val="restart"/>
          </w:tcPr>
          <w:p>
            <w:pPr>
              <w:spacing w:after="0"/>
              <w:rPr>
                <w:sz w:val="20"/>
                <w:szCs w:val="20"/>
                <w:color w:val="auto"/>
              </w:rPr>
            </w:pPr>
            <w:r>
              <w:rPr>
                <w:rFonts w:ascii="Arial" w:cs="Arial" w:eastAsia="Arial" w:hAnsi="Arial"/>
                <w:sz w:val="17"/>
                <w:szCs w:val="17"/>
                <w:color w:val="auto"/>
              </w:rPr>
              <w:t>Management and administration</w:t>
            </w:r>
          </w:p>
        </w:tc>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980" w:type="dxa"/>
            <w:vAlign w:val="bottom"/>
            <w:gridSpan w:val="2"/>
          </w:tcPr>
          <w:p>
            <w:pPr>
              <w:jc w:val="right"/>
              <w:ind w:right="20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9"/>
        </w:trPr>
        <w:tc>
          <w:tcPr>
            <w:tcW w:w="4940" w:type="dxa"/>
            <w:vAlign w:val="bottom"/>
            <w:vMerge w:val="continue"/>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right"/>
              <w:ind w:right="83"/>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820" w:type="dxa"/>
            <w:vAlign w:val="bottom"/>
            <w:shd w:val="clear" w:color="auto" w:fill="CCFFCC"/>
          </w:tcPr>
          <w:p>
            <w:pPr>
              <w:jc w:val="right"/>
              <w:ind w:right="79"/>
              <w:spacing w:after="0"/>
              <w:rPr>
                <w:sz w:val="20"/>
                <w:szCs w:val="20"/>
                <w:color w:val="auto"/>
              </w:rPr>
            </w:pPr>
            <w:r>
              <w:rPr>
                <w:rFonts w:ascii="Arial" w:cs="Arial" w:eastAsia="Arial" w:hAnsi="Arial"/>
                <w:sz w:val="17"/>
                <w:szCs w:val="17"/>
                <w:color w:val="auto"/>
              </w:rPr>
              <w:t>45</w:t>
            </w:r>
          </w:p>
        </w:tc>
        <w:tc>
          <w:tcPr>
            <w:tcW w:w="980" w:type="dxa"/>
            <w:vAlign w:val="bottom"/>
            <w:gridSpan w:val="2"/>
            <w:shd w:val="clear" w:color="auto" w:fill="CCFFCC"/>
          </w:tcPr>
          <w:p>
            <w:pPr>
              <w:jc w:val="right"/>
              <w:ind w:right="83"/>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99"/>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7"/>
                <w:szCs w:val="17"/>
                <w:color w:val="auto"/>
              </w:rPr>
              <w:t>Sales and Marketing</w:t>
            </w:r>
          </w:p>
        </w:tc>
        <w:tc>
          <w:tcPr>
            <w:tcW w:w="820" w:type="dxa"/>
            <w:vAlign w:val="bottom"/>
          </w:tcPr>
          <w:p>
            <w:pPr>
              <w:jc w:val="right"/>
              <w:ind w:right="79"/>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3"/>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right="1059" w:firstLine="257"/>
        <w:spacing w:after="0" w:line="257" w:lineRule="auto"/>
        <w:rPr>
          <w:sz w:val="20"/>
          <w:szCs w:val="20"/>
          <w:color w:val="auto"/>
        </w:rPr>
      </w:pPr>
      <w:r>
        <w:rPr>
          <w:rFonts w:ascii="Arial" w:cs="Arial" w:eastAsia="Arial" w:hAnsi="Arial"/>
          <w:sz w:val="17"/>
          <w:szCs w:val="17"/>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These provisions primarily concern the length of the workday, minimum daily wages for professional workers, pension fund benefits for all employees, insurance for work-related accidents, procedures for dismissing employees, determination of severance pay and other conditions of employment. We generally provide our employees with benefits and working conditions beyond the required minimums.</w:t>
      </w:r>
    </w:p>
    <w:p>
      <w:pPr>
        <w:spacing w:after="0" w:line="78" w:lineRule="exact"/>
        <w:rPr>
          <w:sz w:val="20"/>
          <w:szCs w:val="20"/>
          <w:color w:val="auto"/>
        </w:rPr>
      </w:pPr>
    </w:p>
    <w:p>
      <w:pPr>
        <w:ind w:left="60" w:right="1139" w:firstLine="257"/>
        <w:spacing w:after="0" w:line="402" w:lineRule="auto"/>
        <w:rPr>
          <w:sz w:val="20"/>
          <w:szCs w:val="20"/>
          <w:color w:val="auto"/>
        </w:rPr>
      </w:pPr>
      <w:r>
        <w:rPr>
          <w:rFonts w:ascii="Arial" w:cs="Arial" w:eastAsia="Arial" w:hAnsi="Arial"/>
          <w:sz w:val="17"/>
          <w:szCs w:val="17"/>
          <w:color w:val="auto"/>
        </w:rPr>
        <w:t xml:space="preserve">We have never experienced any employment-related work stoppages and believe our relationship with our employees is good. </w:t>
      </w:r>
      <w:r>
        <w:rPr>
          <w:rFonts w:ascii="Arial" w:cs="Arial" w:eastAsia="Arial" w:hAnsi="Arial"/>
          <w:sz w:val="17"/>
          <w:szCs w:val="17"/>
          <w:b w:val="1"/>
          <w:bCs w:val="1"/>
          <w:color w:val="auto"/>
        </w:rPr>
        <w:t>E. Beneficial Ownership of Executive Officers and Directors</w:t>
      </w:r>
    </w:p>
    <w:p>
      <w:pPr>
        <w:spacing w:after="0" w:line="1" w:lineRule="exact"/>
        <w:rPr>
          <w:sz w:val="20"/>
          <w:szCs w:val="20"/>
          <w:color w:val="auto"/>
        </w:rPr>
      </w:pPr>
    </w:p>
    <w:p>
      <w:pPr>
        <w:ind w:left="60" w:right="1099" w:firstLine="257"/>
        <w:spacing w:after="0" w:line="270" w:lineRule="auto"/>
        <w:rPr>
          <w:sz w:val="20"/>
          <w:szCs w:val="20"/>
          <w:color w:val="auto"/>
        </w:rPr>
      </w:pPr>
      <w:r>
        <w:rPr>
          <w:rFonts w:ascii="Arial" w:cs="Arial" w:eastAsia="Arial" w:hAnsi="Arial"/>
          <w:sz w:val="17"/>
          <w:szCs w:val="17"/>
          <w:color w:val="auto"/>
        </w:rPr>
        <w:t>The following table sets forth information regarding the beneficial ownership of our outstanding ordinary shares as of June 30, 2011 of each of our directors and executive officers individually and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9663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59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2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Percent of</w:t>
            </w:r>
          </w:p>
        </w:tc>
      </w:tr>
      <w:tr>
        <w:trPr>
          <w:trHeight w:val="141"/>
        </w:trPr>
        <w:tc>
          <w:tcPr>
            <w:tcW w:w="590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920" w:type="dxa"/>
            <w:vAlign w:val="bottom"/>
          </w:tcPr>
          <w:p>
            <w:pPr>
              <w:jc w:val="right"/>
              <w:ind w:right="221"/>
              <w:spacing w:after="0" w:line="141" w:lineRule="exact"/>
              <w:rPr>
                <w:sz w:val="20"/>
                <w:szCs w:val="20"/>
                <w:color w:val="auto"/>
              </w:rPr>
            </w:pPr>
            <w:r>
              <w:rPr>
                <w:rFonts w:ascii="Arial" w:cs="Arial" w:eastAsia="Arial" w:hAnsi="Arial"/>
                <w:sz w:val="14"/>
                <w:szCs w:val="14"/>
                <w:b w:val="1"/>
                <w:bCs w:val="1"/>
                <w:color w:val="auto"/>
              </w:rPr>
              <w:t>Class</w:t>
            </w:r>
          </w:p>
        </w:tc>
      </w:tr>
      <w:tr>
        <w:trPr>
          <w:trHeight w:val="141"/>
        </w:trPr>
        <w:tc>
          <w:tcPr>
            <w:tcW w:w="590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4"/>
        </w:trPr>
        <w:tc>
          <w:tcPr>
            <w:tcW w:w="59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99"/>
        </w:trPr>
        <w:tc>
          <w:tcPr>
            <w:tcW w:w="59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Directors</w:t>
            </w:r>
          </w:p>
        </w:tc>
        <w:tc>
          <w:tcPr>
            <w:tcW w:w="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r>
      <w:tr>
        <w:trPr>
          <w:trHeight w:val="244"/>
        </w:trPr>
        <w:tc>
          <w:tcPr>
            <w:tcW w:w="5900" w:type="dxa"/>
            <w:vAlign w:val="bottom"/>
          </w:tcPr>
          <w:p>
            <w:pPr>
              <w:spacing w:after="0" w:line="245" w:lineRule="exact"/>
              <w:rPr>
                <w:sz w:val="20"/>
                <w:szCs w:val="20"/>
                <w:color w:val="auto"/>
              </w:rPr>
            </w:pPr>
            <w:r>
              <w:rPr>
                <w:rFonts w:ascii="Arial" w:cs="Arial" w:eastAsia="Arial" w:hAnsi="Arial"/>
                <w:sz w:val="17"/>
                <w:szCs w:val="17"/>
                <w:color w:val="auto"/>
              </w:rPr>
              <w:t>Kinneret Savitsky, Ph.D.</w:t>
            </w:r>
            <w:r>
              <w:rPr>
                <w:rFonts w:ascii="Arial" w:cs="Arial" w:eastAsia="Arial" w:hAnsi="Arial"/>
                <w:sz w:val="28"/>
                <w:szCs w:val="28"/>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7"/>
                <w:szCs w:val="17"/>
                <w:color w:val="auto"/>
              </w:rPr>
              <w:t>1,172,202</w:t>
            </w:r>
          </w:p>
        </w:tc>
        <w:tc>
          <w:tcPr>
            <w:tcW w:w="1080" w:type="dxa"/>
            <w:vAlign w:val="bottom"/>
            <w:gridSpan w:val="2"/>
          </w:tcPr>
          <w:p>
            <w:pPr>
              <w:jc w:val="right"/>
              <w:ind w:right="321"/>
              <w:spacing w:after="0"/>
              <w:rPr>
                <w:sz w:val="20"/>
                <w:szCs w:val="20"/>
                <w:color w:val="auto"/>
              </w:rPr>
            </w:pPr>
            <w:r>
              <w:rPr>
                <w:rFonts w:ascii="Arial" w:cs="Arial" w:eastAsia="Arial" w:hAnsi="Arial"/>
                <w:sz w:val="17"/>
                <w:szCs w:val="17"/>
                <w:color w:val="auto"/>
              </w:rPr>
              <w:t>*</w:t>
            </w:r>
          </w:p>
        </w:tc>
      </w:tr>
      <w:tr>
        <w:trPr>
          <w:trHeight w:val="206"/>
        </w:trPr>
        <w:tc>
          <w:tcPr>
            <w:tcW w:w="5900" w:type="dxa"/>
            <w:vAlign w:val="bottom"/>
            <w:shd w:val="clear" w:color="auto" w:fill="CCFFCC"/>
          </w:tcPr>
          <w:p>
            <w:pPr>
              <w:spacing w:after="0"/>
              <w:rPr>
                <w:sz w:val="20"/>
                <w:szCs w:val="20"/>
                <w:color w:val="auto"/>
              </w:rPr>
            </w:pPr>
            <w:r>
              <w:rPr>
                <w:rFonts w:ascii="Arial" w:cs="Arial" w:eastAsia="Arial" w:hAnsi="Arial"/>
                <w:sz w:val="17"/>
                <w:szCs w:val="17"/>
                <w:color w:val="auto"/>
              </w:rPr>
              <w:t>Aharon Schwartz, Ph.D.</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321"/>
              <w:spacing w:after="0"/>
              <w:rPr>
                <w:sz w:val="20"/>
                <w:szCs w:val="20"/>
                <w:color w:val="auto"/>
              </w:rPr>
            </w:pPr>
            <w:r>
              <w:rPr>
                <w:rFonts w:ascii="Arial" w:cs="Arial" w:eastAsia="Arial" w:hAnsi="Arial"/>
                <w:sz w:val="17"/>
                <w:szCs w:val="17"/>
                <w:color w:val="auto"/>
              </w:rPr>
              <w:t>—</w:t>
            </w:r>
          </w:p>
        </w:tc>
      </w:tr>
      <w:tr>
        <w:trPr>
          <w:trHeight w:val="244"/>
        </w:trPr>
        <w:tc>
          <w:tcPr>
            <w:tcW w:w="5900" w:type="dxa"/>
            <w:vAlign w:val="bottom"/>
          </w:tcPr>
          <w:p>
            <w:pPr>
              <w:spacing w:after="0" w:line="245" w:lineRule="exact"/>
              <w:rPr>
                <w:sz w:val="20"/>
                <w:szCs w:val="20"/>
                <w:color w:val="auto"/>
              </w:rPr>
            </w:pPr>
            <w:r>
              <w:rPr>
                <w:rFonts w:ascii="Arial" w:cs="Arial" w:eastAsia="Arial" w:hAnsi="Arial"/>
                <w:sz w:val="17"/>
                <w:szCs w:val="17"/>
                <w:color w:val="auto"/>
              </w:rPr>
              <w:t>Raphael Hofstein, Ph.D.</w:t>
            </w:r>
            <w:r>
              <w:rPr>
                <w:rFonts w:ascii="Arial" w:cs="Arial" w:eastAsia="Arial" w:hAnsi="Arial"/>
                <w:sz w:val="28"/>
                <w:szCs w:val="2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7"/>
                <w:szCs w:val="17"/>
                <w:color w:val="auto"/>
              </w:rPr>
              <w:t>87,500</w:t>
            </w:r>
          </w:p>
        </w:tc>
        <w:tc>
          <w:tcPr>
            <w:tcW w:w="1080" w:type="dxa"/>
            <w:vAlign w:val="bottom"/>
            <w:gridSpan w:val="2"/>
          </w:tcPr>
          <w:p>
            <w:pPr>
              <w:jc w:val="right"/>
              <w:ind w:right="321"/>
              <w:spacing w:after="0"/>
              <w:rPr>
                <w:sz w:val="20"/>
                <w:szCs w:val="20"/>
                <w:color w:val="auto"/>
              </w:rPr>
            </w:pPr>
            <w:r>
              <w:rPr>
                <w:rFonts w:ascii="Arial" w:cs="Arial" w:eastAsia="Arial" w:hAnsi="Arial"/>
                <w:sz w:val="17"/>
                <w:szCs w:val="17"/>
                <w:color w:val="auto"/>
              </w:rPr>
              <w:t>*</w:t>
            </w:r>
          </w:p>
        </w:tc>
      </w:tr>
      <w:tr>
        <w:trPr>
          <w:trHeight w:val="206"/>
        </w:trPr>
        <w:tc>
          <w:tcPr>
            <w:tcW w:w="5900" w:type="dxa"/>
            <w:vAlign w:val="bottom"/>
            <w:shd w:val="clear" w:color="auto" w:fill="CCFFCC"/>
          </w:tcPr>
          <w:p>
            <w:pPr>
              <w:spacing w:after="0"/>
              <w:rPr>
                <w:sz w:val="20"/>
                <w:szCs w:val="20"/>
                <w:color w:val="auto"/>
              </w:rPr>
            </w:pPr>
            <w:r>
              <w:rPr>
                <w:rFonts w:ascii="Arial" w:cs="Arial" w:eastAsia="Arial" w:hAnsi="Arial"/>
                <w:sz w:val="17"/>
                <w:szCs w:val="17"/>
                <w:color w:val="auto"/>
              </w:rPr>
              <w:t>Yakov Friedman</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jc w:val="right"/>
              <w:ind w:right="321"/>
              <w:spacing w:after="0"/>
              <w:rPr>
                <w:sz w:val="20"/>
                <w:szCs w:val="20"/>
                <w:color w:val="auto"/>
              </w:rPr>
            </w:pPr>
            <w:r>
              <w:rPr>
                <w:rFonts w:ascii="Arial" w:cs="Arial" w:eastAsia="Arial" w:hAnsi="Arial"/>
                <w:sz w:val="17"/>
                <w:szCs w:val="17"/>
                <w:color w:val="auto"/>
              </w:rPr>
              <w:t>—</w:t>
            </w:r>
          </w:p>
        </w:tc>
      </w:tr>
      <w:tr>
        <w:trPr>
          <w:trHeight w:val="206"/>
        </w:trPr>
        <w:tc>
          <w:tcPr>
            <w:tcW w:w="5900" w:type="dxa"/>
            <w:vAlign w:val="bottom"/>
          </w:tcPr>
          <w:p>
            <w:pPr>
              <w:spacing w:after="0"/>
              <w:rPr>
                <w:sz w:val="20"/>
                <w:szCs w:val="20"/>
                <w:color w:val="auto"/>
              </w:rPr>
            </w:pPr>
            <w:r>
              <w:rPr>
                <w:rFonts w:ascii="Arial" w:cs="Arial" w:eastAsia="Arial" w:hAnsi="Arial"/>
                <w:sz w:val="17"/>
                <w:szCs w:val="17"/>
                <w:color w:val="auto"/>
              </w:rPr>
              <w:t>Michael J. Anghel</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ind w:right="321"/>
              <w:spacing w:after="0"/>
              <w:rPr>
                <w:sz w:val="20"/>
                <w:szCs w:val="20"/>
                <w:color w:val="auto"/>
              </w:rPr>
            </w:pPr>
            <w:r>
              <w:rPr>
                <w:rFonts w:ascii="Arial" w:cs="Arial" w:eastAsia="Arial" w:hAnsi="Arial"/>
                <w:sz w:val="17"/>
                <w:szCs w:val="17"/>
                <w:color w:val="auto"/>
              </w:rPr>
              <w:t>—</w:t>
            </w:r>
          </w:p>
        </w:tc>
      </w:tr>
      <w:tr>
        <w:trPr>
          <w:trHeight w:val="244"/>
        </w:trPr>
        <w:tc>
          <w:tcPr>
            <w:tcW w:w="5900" w:type="dxa"/>
            <w:vAlign w:val="bottom"/>
            <w:shd w:val="clear" w:color="auto" w:fill="CCFFCC"/>
          </w:tcPr>
          <w:p>
            <w:pPr>
              <w:spacing w:after="0" w:line="245" w:lineRule="exact"/>
              <w:rPr>
                <w:sz w:val="20"/>
                <w:szCs w:val="20"/>
                <w:color w:val="auto"/>
              </w:rPr>
            </w:pPr>
            <w:r>
              <w:rPr>
                <w:rFonts w:ascii="Arial" w:cs="Arial" w:eastAsia="Arial" w:hAnsi="Arial"/>
                <w:sz w:val="17"/>
                <w:szCs w:val="17"/>
                <w:color w:val="auto"/>
              </w:rPr>
              <w:t>Avraham Molcho, M.D.</w:t>
            </w:r>
            <w:r>
              <w:rPr>
                <w:rFonts w:ascii="Arial" w:cs="Arial" w:eastAsia="Arial" w:hAnsi="Arial"/>
                <w:sz w:val="28"/>
                <w:szCs w:val="28"/>
                <w:color w:val="auto"/>
                <w:vertAlign w:val="superscript"/>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16,667</w:t>
            </w:r>
          </w:p>
        </w:tc>
        <w:tc>
          <w:tcPr>
            <w:tcW w:w="1080" w:type="dxa"/>
            <w:vAlign w:val="bottom"/>
            <w:gridSpan w:val="2"/>
            <w:shd w:val="clear" w:color="auto" w:fill="CCFFCC"/>
          </w:tcPr>
          <w:p>
            <w:pPr>
              <w:jc w:val="right"/>
              <w:ind w:right="321"/>
              <w:spacing w:after="0"/>
              <w:rPr>
                <w:sz w:val="20"/>
                <w:szCs w:val="20"/>
                <w:color w:val="auto"/>
              </w:rPr>
            </w:pPr>
            <w:r>
              <w:rPr>
                <w:rFonts w:ascii="Arial" w:cs="Arial" w:eastAsia="Arial" w:hAnsi="Arial"/>
                <w:sz w:val="17"/>
                <w:szCs w:val="17"/>
                <w:color w:val="auto"/>
              </w:rPr>
              <w:t>*</w:t>
            </w:r>
          </w:p>
        </w:tc>
      </w:tr>
      <w:tr>
        <w:trPr>
          <w:trHeight w:val="244"/>
        </w:trPr>
        <w:tc>
          <w:tcPr>
            <w:tcW w:w="5900" w:type="dxa"/>
            <w:vAlign w:val="bottom"/>
          </w:tcPr>
          <w:p>
            <w:pPr>
              <w:spacing w:after="0" w:line="245" w:lineRule="exact"/>
              <w:rPr>
                <w:sz w:val="20"/>
                <w:szCs w:val="20"/>
                <w:color w:val="auto"/>
              </w:rPr>
            </w:pPr>
            <w:r>
              <w:rPr>
                <w:rFonts w:ascii="Arial" w:cs="Arial" w:eastAsia="Arial" w:hAnsi="Arial"/>
                <w:sz w:val="17"/>
                <w:szCs w:val="17"/>
                <w:color w:val="auto"/>
              </w:rPr>
              <w:t>Nurit Benjamini</w:t>
            </w:r>
            <w:r>
              <w:rPr>
                <w:rFonts w:ascii="Arial" w:cs="Arial" w:eastAsia="Arial" w:hAnsi="Arial"/>
                <w:sz w:val="28"/>
                <w:szCs w:val="28"/>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7"/>
                <w:szCs w:val="17"/>
                <w:color w:val="auto"/>
              </w:rPr>
              <w:t>16,667</w:t>
            </w:r>
          </w:p>
        </w:tc>
        <w:tc>
          <w:tcPr>
            <w:tcW w:w="1080" w:type="dxa"/>
            <w:vAlign w:val="bottom"/>
            <w:gridSpan w:val="2"/>
          </w:tcPr>
          <w:p>
            <w:pPr>
              <w:jc w:val="right"/>
              <w:ind w:right="321"/>
              <w:spacing w:after="0"/>
              <w:rPr>
                <w:sz w:val="20"/>
                <w:szCs w:val="20"/>
                <w:color w:val="auto"/>
              </w:rPr>
            </w:pPr>
            <w:r>
              <w:rPr>
                <w:rFonts w:ascii="Arial" w:cs="Arial" w:eastAsia="Arial" w:hAnsi="Arial"/>
                <w:sz w:val="17"/>
                <w:szCs w:val="17"/>
                <w:color w:val="auto"/>
              </w:rPr>
              <w:t>*</w:t>
            </w:r>
          </w:p>
        </w:tc>
      </w:tr>
      <w:tr>
        <w:trPr>
          <w:trHeight w:val="206"/>
        </w:trPr>
        <w:tc>
          <w:tcPr>
            <w:tcW w:w="59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Executive officers</w:t>
            </w:r>
          </w:p>
        </w:tc>
        <w:tc>
          <w:tcPr>
            <w:tcW w:w="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r>
      <w:tr>
        <w:trPr>
          <w:trHeight w:val="244"/>
        </w:trPr>
        <w:tc>
          <w:tcPr>
            <w:tcW w:w="5900" w:type="dxa"/>
            <w:vAlign w:val="bottom"/>
          </w:tcPr>
          <w:p>
            <w:pPr>
              <w:spacing w:after="0" w:line="245" w:lineRule="exact"/>
              <w:rPr>
                <w:sz w:val="20"/>
                <w:szCs w:val="20"/>
                <w:color w:val="auto"/>
              </w:rPr>
            </w:pPr>
            <w:r>
              <w:rPr>
                <w:rFonts w:ascii="Arial" w:cs="Arial" w:eastAsia="Arial" w:hAnsi="Arial"/>
                <w:sz w:val="17"/>
                <w:szCs w:val="17"/>
                <w:color w:val="auto"/>
              </w:rPr>
              <w:t>Moshe Phillip, M.D.</w:t>
            </w:r>
            <w:r>
              <w:rPr>
                <w:rFonts w:ascii="Arial" w:cs="Arial" w:eastAsia="Arial" w:hAnsi="Arial"/>
                <w:sz w:val="28"/>
                <w:szCs w:val="2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7"/>
                <w:szCs w:val="17"/>
                <w:color w:val="auto"/>
              </w:rPr>
              <w:t>883,124</w:t>
            </w:r>
          </w:p>
        </w:tc>
        <w:tc>
          <w:tcPr>
            <w:tcW w:w="1080" w:type="dxa"/>
            <w:vAlign w:val="bottom"/>
            <w:gridSpan w:val="2"/>
          </w:tcPr>
          <w:p>
            <w:pPr>
              <w:jc w:val="right"/>
              <w:ind w:right="321"/>
              <w:spacing w:after="0"/>
              <w:rPr>
                <w:sz w:val="20"/>
                <w:szCs w:val="20"/>
                <w:color w:val="auto"/>
              </w:rPr>
            </w:pPr>
            <w:r>
              <w:rPr>
                <w:rFonts w:ascii="Arial" w:cs="Arial" w:eastAsia="Arial" w:hAnsi="Arial"/>
                <w:sz w:val="17"/>
                <w:szCs w:val="17"/>
                <w:color w:val="auto"/>
              </w:rPr>
              <w:t>*</w:t>
            </w:r>
          </w:p>
        </w:tc>
      </w:tr>
      <w:tr>
        <w:trPr>
          <w:trHeight w:val="244"/>
        </w:trPr>
        <w:tc>
          <w:tcPr>
            <w:tcW w:w="5900" w:type="dxa"/>
            <w:vAlign w:val="bottom"/>
            <w:shd w:val="clear" w:color="auto" w:fill="CCFFCC"/>
          </w:tcPr>
          <w:p>
            <w:pPr>
              <w:spacing w:after="0" w:line="245" w:lineRule="exact"/>
              <w:rPr>
                <w:sz w:val="20"/>
                <w:szCs w:val="20"/>
                <w:color w:val="auto"/>
              </w:rPr>
            </w:pPr>
            <w:r>
              <w:rPr>
                <w:rFonts w:ascii="Arial" w:cs="Arial" w:eastAsia="Arial" w:hAnsi="Arial"/>
                <w:sz w:val="17"/>
                <w:szCs w:val="17"/>
                <w:color w:val="auto"/>
              </w:rPr>
              <w:t>Philip Serlin</w:t>
            </w:r>
            <w:r>
              <w:rPr>
                <w:rFonts w:ascii="Arial" w:cs="Arial" w:eastAsia="Arial" w:hAnsi="Arial"/>
                <w:sz w:val="28"/>
                <w:szCs w:val="28"/>
                <w:color w:val="auto"/>
                <w:vertAlign w:val="superscript"/>
              </w:rPr>
              <w:t>(6)</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65,000</w:t>
            </w:r>
          </w:p>
        </w:tc>
        <w:tc>
          <w:tcPr>
            <w:tcW w:w="1080" w:type="dxa"/>
            <w:vAlign w:val="bottom"/>
            <w:gridSpan w:val="2"/>
            <w:shd w:val="clear" w:color="auto" w:fill="CCFFCC"/>
          </w:tcPr>
          <w:p>
            <w:pPr>
              <w:jc w:val="right"/>
              <w:ind w:right="321"/>
              <w:spacing w:after="0"/>
              <w:rPr>
                <w:sz w:val="20"/>
                <w:szCs w:val="20"/>
                <w:color w:val="auto"/>
              </w:rPr>
            </w:pPr>
            <w:r>
              <w:rPr>
                <w:rFonts w:ascii="Arial" w:cs="Arial" w:eastAsia="Arial" w:hAnsi="Arial"/>
                <w:sz w:val="17"/>
                <w:szCs w:val="17"/>
                <w:color w:val="auto"/>
              </w:rPr>
              <w:t>*</w:t>
            </w:r>
          </w:p>
        </w:tc>
      </w:tr>
      <w:tr>
        <w:trPr>
          <w:trHeight w:val="244"/>
        </w:trPr>
        <w:tc>
          <w:tcPr>
            <w:tcW w:w="5900" w:type="dxa"/>
            <w:vAlign w:val="bottom"/>
          </w:tcPr>
          <w:p>
            <w:pPr>
              <w:spacing w:after="0" w:line="245" w:lineRule="exact"/>
              <w:rPr>
                <w:sz w:val="20"/>
                <w:szCs w:val="20"/>
                <w:color w:val="auto"/>
              </w:rPr>
            </w:pPr>
            <w:r>
              <w:rPr>
                <w:rFonts w:ascii="Arial" w:cs="Arial" w:eastAsia="Arial" w:hAnsi="Arial"/>
                <w:sz w:val="17"/>
                <w:szCs w:val="17"/>
                <w:color w:val="auto"/>
              </w:rPr>
              <w:t>Nir Gamliel</w:t>
            </w:r>
            <w:r>
              <w:rPr>
                <w:rFonts w:ascii="Arial" w:cs="Arial" w:eastAsia="Arial" w:hAnsi="Arial"/>
                <w:sz w:val="28"/>
                <w:szCs w:val="2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7"/>
                <w:szCs w:val="17"/>
                <w:color w:val="auto"/>
              </w:rPr>
              <w:t>112,500</w:t>
            </w:r>
          </w:p>
        </w:tc>
        <w:tc>
          <w:tcPr>
            <w:tcW w:w="1080" w:type="dxa"/>
            <w:vAlign w:val="bottom"/>
            <w:gridSpan w:val="2"/>
          </w:tcPr>
          <w:p>
            <w:pPr>
              <w:jc w:val="right"/>
              <w:ind w:right="321"/>
              <w:spacing w:after="0"/>
              <w:rPr>
                <w:sz w:val="20"/>
                <w:szCs w:val="20"/>
                <w:color w:val="auto"/>
              </w:rPr>
            </w:pPr>
            <w:r>
              <w:rPr>
                <w:rFonts w:ascii="Arial" w:cs="Arial" w:eastAsia="Arial" w:hAnsi="Arial"/>
                <w:sz w:val="17"/>
                <w:szCs w:val="17"/>
                <w:color w:val="auto"/>
              </w:rPr>
              <w:t>*</w:t>
            </w:r>
          </w:p>
        </w:tc>
      </w:tr>
      <w:tr>
        <w:trPr>
          <w:trHeight w:val="244"/>
        </w:trPr>
        <w:tc>
          <w:tcPr>
            <w:tcW w:w="5900" w:type="dxa"/>
            <w:vAlign w:val="bottom"/>
            <w:shd w:val="clear" w:color="auto" w:fill="CCFFCC"/>
          </w:tcPr>
          <w:p>
            <w:pPr>
              <w:spacing w:after="0" w:line="245" w:lineRule="exact"/>
              <w:rPr>
                <w:sz w:val="20"/>
                <w:szCs w:val="20"/>
                <w:color w:val="auto"/>
              </w:rPr>
            </w:pPr>
            <w:r>
              <w:rPr>
                <w:rFonts w:ascii="Arial" w:cs="Arial" w:eastAsia="Arial" w:hAnsi="Arial"/>
                <w:sz w:val="17"/>
                <w:szCs w:val="17"/>
                <w:color w:val="auto"/>
              </w:rPr>
              <w:t>Leah Klapper</w:t>
            </w:r>
            <w:r>
              <w:rPr>
                <w:rFonts w:ascii="Arial" w:cs="Arial" w:eastAsia="Arial" w:hAnsi="Arial"/>
                <w:sz w:val="28"/>
                <w:szCs w:val="28"/>
                <w:color w:val="auto"/>
                <w:vertAlign w:val="superscript"/>
              </w:rPr>
              <w:t>(8)</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208,799</w:t>
            </w:r>
          </w:p>
        </w:tc>
        <w:tc>
          <w:tcPr>
            <w:tcW w:w="1080" w:type="dxa"/>
            <w:vAlign w:val="bottom"/>
            <w:gridSpan w:val="2"/>
            <w:shd w:val="clear" w:color="auto" w:fill="CCFFCC"/>
          </w:tcPr>
          <w:p>
            <w:pPr>
              <w:jc w:val="right"/>
              <w:ind w:right="321"/>
              <w:spacing w:after="0"/>
              <w:rPr>
                <w:sz w:val="20"/>
                <w:szCs w:val="20"/>
                <w:color w:val="auto"/>
              </w:rPr>
            </w:pPr>
            <w:r>
              <w:rPr>
                <w:rFonts w:ascii="Arial" w:cs="Arial" w:eastAsia="Arial" w:hAnsi="Arial"/>
                <w:sz w:val="17"/>
                <w:szCs w:val="17"/>
                <w:color w:val="auto"/>
              </w:rPr>
              <w:t>*</w:t>
            </w:r>
          </w:p>
        </w:tc>
      </w:tr>
      <w:tr>
        <w:trPr>
          <w:trHeight w:val="376"/>
        </w:trPr>
        <w:tc>
          <w:tcPr>
            <w:tcW w:w="5900" w:type="dxa"/>
            <w:vAlign w:val="bottom"/>
          </w:tcPr>
          <w:p>
            <w:pPr>
              <w:spacing w:after="0"/>
              <w:rPr>
                <w:sz w:val="20"/>
                <w:szCs w:val="20"/>
                <w:color w:val="auto"/>
              </w:rPr>
            </w:pPr>
            <w:r>
              <w:rPr>
                <w:rFonts w:ascii="Arial" w:cs="Arial" w:eastAsia="Arial" w:hAnsi="Arial"/>
                <w:sz w:val="17"/>
                <w:szCs w:val="17"/>
                <w:b w:val="1"/>
                <w:bCs w:val="1"/>
                <w:color w:val="auto"/>
              </w:rPr>
              <w:t>All directors and executive officers as a group (11 persons)</w:t>
            </w:r>
            <w:r>
              <w:rPr>
                <w:rFonts w:ascii="Arial" w:cs="Arial" w:eastAsia="Arial" w:hAnsi="Arial"/>
                <w:sz w:val="28"/>
                <w:szCs w:val="28"/>
                <w:b w:val="1"/>
                <w:bCs w:val="1"/>
                <w:color w:val="auto"/>
                <w:vertAlign w:val="superscript"/>
              </w:rPr>
              <w:t>(9)</w:t>
            </w:r>
          </w:p>
        </w:tc>
        <w:tc>
          <w:tcPr>
            <w:tcW w:w="840" w:type="dxa"/>
            <w:vAlign w:val="bottom"/>
          </w:tcPr>
          <w:p>
            <w:pPr>
              <w:jc w:val="right"/>
              <w:spacing w:after="0"/>
              <w:rPr>
                <w:sz w:val="20"/>
                <w:szCs w:val="20"/>
                <w:color w:val="auto"/>
              </w:rPr>
            </w:pPr>
            <w:r>
              <w:rPr>
                <w:rFonts w:ascii="Arial" w:cs="Arial" w:eastAsia="Arial" w:hAnsi="Arial"/>
                <w:sz w:val="17"/>
                <w:szCs w:val="17"/>
                <w:color w:val="auto"/>
              </w:rPr>
              <w:t>2,562,459</w:t>
            </w:r>
          </w:p>
        </w:tc>
        <w:tc>
          <w:tcPr>
            <w:tcW w:w="1080" w:type="dxa"/>
            <w:vAlign w:val="bottom"/>
            <w:gridSpan w:val="2"/>
          </w:tcPr>
          <w:p>
            <w:pPr>
              <w:jc w:val="right"/>
              <w:ind w:right="181"/>
              <w:spacing w:after="0"/>
              <w:rPr>
                <w:sz w:val="20"/>
                <w:szCs w:val="20"/>
                <w:color w:val="auto"/>
              </w:rPr>
            </w:pPr>
            <w:r>
              <w:rPr>
                <w:rFonts w:ascii="Arial" w:cs="Arial" w:eastAsia="Arial" w:hAnsi="Arial"/>
                <w:sz w:val="17"/>
                <w:szCs w:val="1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880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363" w:lineRule="exact"/>
        <w:rPr>
          <w:sz w:val="20"/>
          <w:szCs w:val="20"/>
          <w:color w:val="auto"/>
        </w:rPr>
      </w:pPr>
    </w:p>
    <w:p>
      <w:pPr>
        <w:ind w:left="280" w:hanging="264"/>
        <w:spacing w:after="0"/>
        <w:tabs>
          <w:tab w:leader="none" w:pos="2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113" w:lineRule="exact"/>
        <w:rPr>
          <w:sz w:val="20"/>
          <w:szCs w:val="20"/>
          <w:color w:val="auto"/>
        </w:rPr>
      </w:pPr>
    </w:p>
    <w:p>
      <w:pPr>
        <w:ind w:left="280" w:right="1239" w:hanging="264"/>
        <w:spacing w:after="0" w:line="265" w:lineRule="auto"/>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256,170 ordinary shares issuable upon exercise of outstanding options within 60 days of June 30, 2011. Does not include 500,000 ordinary shares issuable upon exercise of outstanding options that are not exercisable within 60 days of June 30, 2011.</w:t>
      </w:r>
    </w:p>
    <w:p>
      <w:pPr>
        <w:spacing w:after="0" w:line="72" w:lineRule="exact"/>
        <w:rPr>
          <w:rFonts w:ascii="Arial" w:cs="Arial" w:eastAsia="Arial" w:hAnsi="Arial"/>
          <w:sz w:val="17"/>
          <w:szCs w:val="17"/>
          <w:color w:val="auto"/>
        </w:rPr>
      </w:pPr>
    </w:p>
    <w:p>
      <w:pPr>
        <w:ind w:left="280" w:right="999" w:hanging="264"/>
        <w:spacing w:after="0" w:line="347" w:lineRule="auto"/>
        <w:tabs>
          <w:tab w:leader="none" w:pos="2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87,500 ordinary shares issuable upon exercise of outstanding options within 60 days of June 30, 2011. Does not include 112,500 ordinary shares issuable upon exercise of outstanding options that are not exercisable within 60 days of June 30, 2011.</w:t>
      </w:r>
    </w:p>
    <w:p>
      <w:pPr>
        <w:spacing w:after="0" w:line="15" w:lineRule="exact"/>
        <w:rPr>
          <w:rFonts w:ascii="Arial" w:cs="Arial" w:eastAsia="Arial" w:hAnsi="Arial"/>
          <w:sz w:val="15"/>
          <w:szCs w:val="15"/>
          <w:color w:val="auto"/>
        </w:rPr>
      </w:pPr>
    </w:p>
    <w:p>
      <w:pPr>
        <w:ind w:left="280" w:right="999" w:hanging="264"/>
        <w:spacing w:after="0" w:line="347" w:lineRule="auto"/>
        <w:tabs>
          <w:tab w:leader="none" w:pos="2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16,667 ordinary shares issuable upon exercise of outstanding options within 60 days of June 30, 2011. Does not include 33,333 ordinary shares issuable upon exercise of outstanding options that are not exercisable within 60 days of June 30, 2011.</w:t>
      </w:r>
    </w:p>
    <w:p>
      <w:pPr>
        <w:spacing w:after="0" w:line="200" w:lineRule="exact"/>
        <w:rPr>
          <w:sz w:val="20"/>
          <w:szCs w:val="20"/>
          <w:color w:val="auto"/>
        </w:rPr>
      </w:pPr>
    </w:p>
    <w:p>
      <w:pPr>
        <w:spacing w:after="0" w:line="25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280" w:right="999" w:hanging="264"/>
        <w:spacing w:after="0" w:line="347" w:lineRule="auto"/>
        <w:tabs>
          <w:tab w:leader="none" w:pos="2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16,667 ordinary shares issuable upon exercise of outstanding options within 60 days of June 30, 2011. Does not include 33,333 ordinary shares issuable upon exercise of outstanding options that are not exercisable within 60 days of June 30, 2011.</w:t>
      </w:r>
    </w:p>
    <w:p>
      <w:pPr>
        <w:spacing w:after="0" w:line="15" w:lineRule="exact"/>
        <w:rPr>
          <w:rFonts w:ascii="Arial" w:cs="Arial" w:eastAsia="Arial" w:hAnsi="Arial"/>
          <w:sz w:val="15"/>
          <w:szCs w:val="15"/>
          <w:color w:val="auto"/>
        </w:rPr>
      </w:pPr>
    </w:p>
    <w:p>
      <w:pPr>
        <w:ind w:left="280" w:right="1239" w:hanging="264"/>
        <w:spacing w:after="0" w:line="265" w:lineRule="auto"/>
        <w:tabs>
          <w:tab w:leader="none" w:pos="2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208,161 ordinary shares issuable upon exercise of outstanding options within 60 days of June 30, 2011. Does not include 371,350 ordinary shares issuable upon exercise of outstanding options that are not exercisable within 60 days of June 30, 2011.</w:t>
      </w:r>
    </w:p>
    <w:p>
      <w:pPr>
        <w:spacing w:after="0" w:line="72" w:lineRule="exact"/>
        <w:rPr>
          <w:rFonts w:ascii="Arial" w:cs="Arial" w:eastAsia="Arial" w:hAnsi="Arial"/>
          <w:sz w:val="17"/>
          <w:szCs w:val="17"/>
          <w:color w:val="auto"/>
        </w:rPr>
      </w:pPr>
    </w:p>
    <w:p>
      <w:pPr>
        <w:ind w:left="280" w:right="999" w:hanging="264"/>
        <w:spacing w:after="0" w:line="347" w:lineRule="auto"/>
        <w:tabs>
          <w:tab w:leader="none" w:pos="2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65,000 ordinary shares issuable upon exercise of outstanding options within 60 days of June 30, 2011. Does not include 489,200 ordinary shares issuable upon exercise of outstanding options that are not exercisable within 60 days of June 30, 2011.</w:t>
      </w:r>
    </w:p>
    <w:p>
      <w:pPr>
        <w:spacing w:after="0" w:line="15" w:lineRule="exact"/>
        <w:rPr>
          <w:rFonts w:ascii="Arial" w:cs="Arial" w:eastAsia="Arial" w:hAnsi="Arial"/>
          <w:sz w:val="15"/>
          <w:szCs w:val="15"/>
          <w:color w:val="auto"/>
        </w:rPr>
      </w:pPr>
    </w:p>
    <w:p>
      <w:pPr>
        <w:ind w:left="280" w:right="1239" w:hanging="264"/>
        <w:spacing w:after="0" w:line="265" w:lineRule="auto"/>
        <w:tabs>
          <w:tab w:leader="none" w:pos="2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112,500 ordinary shares issuable upon exercise of outstanding options within 60 days of June 30, 2011. Does not include 492,890 ordinary shares issuable upon exercise of outstanding options that are not exercisable within 60 days of June 30, 2011.</w:t>
      </w:r>
    </w:p>
    <w:p>
      <w:pPr>
        <w:spacing w:after="0" w:line="72" w:lineRule="exact"/>
        <w:rPr>
          <w:rFonts w:ascii="Arial" w:cs="Arial" w:eastAsia="Arial" w:hAnsi="Arial"/>
          <w:sz w:val="17"/>
          <w:szCs w:val="17"/>
          <w:color w:val="auto"/>
        </w:rPr>
      </w:pPr>
    </w:p>
    <w:p>
      <w:pPr>
        <w:ind w:left="280" w:right="999" w:hanging="264"/>
        <w:spacing w:after="0" w:line="347" w:lineRule="auto"/>
        <w:tabs>
          <w:tab w:leader="none" w:pos="2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17,525 ordinary shares issuable upon exercise of outstanding options within 60 days of June 30, 2011. Does not include 263,960 ordinary shares issuable upon exercise of outstanding options that are not exercisable within 60 days of June 30, 2011.</w:t>
      </w:r>
    </w:p>
    <w:p>
      <w:pPr>
        <w:spacing w:after="0" w:line="15" w:lineRule="exact"/>
        <w:rPr>
          <w:rFonts w:ascii="Arial" w:cs="Arial" w:eastAsia="Arial" w:hAnsi="Arial"/>
          <w:sz w:val="15"/>
          <w:szCs w:val="15"/>
          <w:color w:val="auto"/>
        </w:rPr>
      </w:pPr>
    </w:p>
    <w:p>
      <w:pPr>
        <w:ind w:left="280" w:right="1119" w:hanging="264"/>
        <w:spacing w:after="0" w:line="265" w:lineRule="auto"/>
        <w:tabs>
          <w:tab w:leader="none" w:pos="2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780,190 ordinary shares issuable upon exercise of outstanding options within 60 days of June 30, 2011. Does not include 2,296,566 ordinary shares issuable upon exercise of outstanding options that are not exercisable within 60 days of June 30, 2011.</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Stock Option Plans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2003 Share Option Plan</w:t>
      </w:r>
    </w:p>
    <w:p>
      <w:pPr>
        <w:spacing w:after="0" w:line="113" w:lineRule="exact"/>
        <w:rPr>
          <w:sz w:val="20"/>
          <w:szCs w:val="20"/>
          <w:color w:val="auto"/>
        </w:rPr>
      </w:pPr>
    </w:p>
    <w:p>
      <w:pPr>
        <w:ind w:left="60" w:right="1019" w:firstLine="257"/>
        <w:spacing w:after="0" w:line="259" w:lineRule="auto"/>
        <w:rPr>
          <w:sz w:val="20"/>
          <w:szCs w:val="20"/>
          <w:color w:val="auto"/>
        </w:rPr>
      </w:pPr>
      <w:r>
        <w:rPr>
          <w:rFonts w:ascii="Arial" w:cs="Arial" w:eastAsia="Arial" w:hAnsi="Arial"/>
          <w:sz w:val="17"/>
          <w:szCs w:val="17"/>
          <w:color w:val="auto"/>
        </w:rPr>
        <w:t>In 2003, we adopted the BioLineRx Ltd. 2003 Share Option Plan, or the Plan. The Plan provides for the granting of options and ordinary shares to our directors, employees, consultants and service providers, and to the directors, employees, consultants and service providers of our subsidiaries and affiliates. The Plan provides for options to be issued at the determination of our Board of Directors in accordance with applicable law. As of December 31, 2010, there were 7,026,767 ordinary shares issuable upon the exercise of outstanding options under the Plan.</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Administration of Our Share Option Plan</w:t>
      </w:r>
    </w:p>
    <w:p>
      <w:pPr>
        <w:spacing w:after="0" w:line="113" w:lineRule="exact"/>
        <w:rPr>
          <w:sz w:val="20"/>
          <w:szCs w:val="20"/>
          <w:color w:val="auto"/>
        </w:rPr>
      </w:pPr>
    </w:p>
    <w:p>
      <w:pPr>
        <w:ind w:left="60" w:right="1059" w:firstLine="257"/>
        <w:spacing w:after="0" w:line="293" w:lineRule="auto"/>
        <w:rPr>
          <w:sz w:val="20"/>
          <w:szCs w:val="20"/>
          <w:color w:val="auto"/>
        </w:rPr>
      </w:pPr>
      <w:r>
        <w:rPr>
          <w:rFonts w:ascii="Arial" w:cs="Arial" w:eastAsia="Arial" w:hAnsi="Arial"/>
          <w:sz w:val="15"/>
          <w:szCs w:val="15"/>
          <w:color w:val="auto"/>
        </w:rPr>
        <w:t>Our share option plan is administered by our Audit Committee, which makes recommendations to our Board of Directors regarding the granting of options and the terms of option grants, including exercise price, method of payment, vesting schedule, acceleration of vesting and the other matters necessary in the administration of these plans. Options granted under the Plan to eligible employees and office holders are granted under Section 102 of the Israel Income Tax Ordinance pursuant to which the options or the ordinary shares issued upon their exercise must be allocated or issued to a trustee and be held in trust for two years from the date upon which such options were granted, provided that options granted prior to January 1, 2006, or the ordinary shares issued upon their exercise, are subject to being held in trust for two years from the end of the year in which the options are granted.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w:t>
      </w:r>
    </w:p>
    <w:p>
      <w:pPr>
        <w:spacing w:after="0" w:line="55"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Options granted under our share option plan generally vest over four years, and they expire between seven to 10 years from the grant date. If we terminate an employee for cause, all of the employee’s vested and unvested options expire immediately from the time of delivery of the notice of discharge, unless determined otherwise by the Audit Committee or the Board of Directors. Upon termination of employment for any other reason, including due to death or disability of the employee, vested options may be exercised within three months of the termination date, unless otherwise determined by the Audit Committee or the Board of Directors. Vested options which are not exercised and unvested options return to the pool of reserved ordinary shares under the Plan for reissuance.</w:t>
      </w:r>
    </w:p>
    <w:p>
      <w:pPr>
        <w:spacing w:after="0" w:line="200" w:lineRule="exact"/>
        <w:rPr>
          <w:sz w:val="20"/>
          <w:szCs w:val="20"/>
          <w:color w:val="auto"/>
        </w:rPr>
      </w:pPr>
    </w:p>
    <w:p>
      <w:pPr>
        <w:spacing w:after="0" w:line="31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277" w:lineRule="auto"/>
        <w:rPr>
          <w:sz w:val="20"/>
          <w:szCs w:val="20"/>
          <w:color w:val="auto"/>
        </w:rPr>
      </w:pPr>
      <w:r>
        <w:rPr>
          <w:rFonts w:ascii="Arial" w:cs="Arial" w:eastAsia="Arial" w:hAnsi="Arial"/>
          <w:sz w:val="16"/>
          <w:szCs w:val="16"/>
          <w:color w:val="auto"/>
        </w:rPr>
        <w:t>In the event of a merger, consolidation, reorganization or similar transaction or our voluntary liquidation or dissolution, all of our unexercised vested options and any unvested options will be automatically terminated. However, in the event of a change of control, or merger, consolidation, reorganization or similar transaction resulting in the acquisition of at least 50% of our voting power, or the sale of all or substantially all of our assets, each option holder will be entitled to purchase the number of shares of the other corporation the option holder would have received if he or she had exercised the options immediately prior to such transaction or may sell or exchange their shares received pursuant to the exercise of an option.</w:t>
      </w:r>
    </w:p>
    <w:p>
      <w:pPr>
        <w:spacing w:after="0" w:line="200" w:lineRule="exact"/>
        <w:rPr>
          <w:sz w:val="20"/>
          <w:szCs w:val="20"/>
          <w:color w:val="auto"/>
        </w:rPr>
      </w:pPr>
    </w:p>
    <w:p>
      <w:pPr>
        <w:spacing w:after="0" w:line="288"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right="3979"/>
        <w:spacing w:after="0" w:line="406" w:lineRule="auto"/>
        <w:rPr>
          <w:sz w:val="20"/>
          <w:szCs w:val="20"/>
          <w:color w:val="auto"/>
        </w:rPr>
      </w:pPr>
      <w:r>
        <w:rPr>
          <w:rFonts w:ascii="Arial" w:cs="Arial" w:eastAsia="Arial" w:hAnsi="Arial"/>
          <w:sz w:val="17"/>
          <w:szCs w:val="17"/>
          <w:b w:val="1"/>
          <w:bCs w:val="1"/>
          <w:color w:val="auto"/>
        </w:rPr>
        <w:t>ITEM 7. MAJOR SHAREHOLDERS AND RELATED PARTY TRANSACTIONS A. Major Shareholders</w:t>
      </w:r>
    </w:p>
    <w:p>
      <w:pPr>
        <w:spacing w:after="0" w:line="1" w:lineRule="exact"/>
        <w:rPr>
          <w:sz w:val="20"/>
          <w:szCs w:val="20"/>
          <w:color w:val="auto"/>
        </w:rPr>
      </w:pPr>
    </w:p>
    <w:p>
      <w:pPr>
        <w:ind w:left="60" w:right="1079" w:firstLine="257"/>
        <w:spacing w:after="0" w:line="261" w:lineRule="auto"/>
        <w:rPr>
          <w:sz w:val="20"/>
          <w:szCs w:val="20"/>
          <w:color w:val="auto"/>
        </w:rPr>
      </w:pPr>
      <w:r>
        <w:rPr>
          <w:rFonts w:ascii="Arial" w:cs="Arial" w:eastAsia="Arial" w:hAnsi="Arial"/>
          <w:sz w:val="17"/>
          <w:szCs w:val="17"/>
          <w:color w:val="auto"/>
        </w:rPr>
        <w:t>The following table sets forth certain information regarding the beneficial ownership of our outstanding ordinary shares as of May 31, 2011, by each person who we know beneficially owns 5.0% or more of the outstanding ordinary shares. Each of our shareholders has identical voting rights with respect to its shares. All of the information with respect to beneficial ownership of the ordinary shares is given to the best of our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49663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3"/>
        </w:trPr>
        <w:tc>
          <w:tcPr>
            <w:tcW w:w="58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20" w:type="dxa"/>
            <w:vAlign w:val="bottom"/>
          </w:tcPr>
          <w:p>
            <w:pPr>
              <w:jc w:val="right"/>
              <w:ind w:right="91"/>
              <w:spacing w:after="0" w:line="143" w:lineRule="exact"/>
              <w:rPr>
                <w:sz w:val="20"/>
                <w:szCs w:val="20"/>
                <w:color w:val="auto"/>
              </w:rPr>
            </w:pPr>
            <w:r>
              <w:rPr>
                <w:rFonts w:ascii="Arial" w:cs="Arial" w:eastAsia="Arial" w:hAnsi="Arial"/>
                <w:sz w:val="14"/>
                <w:szCs w:val="14"/>
                <w:b w:val="1"/>
                <w:bCs w:val="1"/>
                <w:color w:val="auto"/>
              </w:rPr>
              <w:t>Percent of</w:t>
            </w:r>
          </w:p>
        </w:tc>
      </w:tr>
      <w:tr>
        <w:trPr>
          <w:trHeight w:val="141"/>
        </w:trPr>
        <w:tc>
          <w:tcPr>
            <w:tcW w:w="58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920" w:type="dxa"/>
            <w:vAlign w:val="bottom"/>
          </w:tcPr>
          <w:p>
            <w:pPr>
              <w:jc w:val="right"/>
              <w:ind w:right="231"/>
              <w:spacing w:after="0" w:line="141" w:lineRule="exact"/>
              <w:rPr>
                <w:sz w:val="20"/>
                <w:szCs w:val="20"/>
                <w:color w:val="auto"/>
              </w:rPr>
            </w:pPr>
            <w:r>
              <w:rPr>
                <w:rFonts w:ascii="Arial" w:cs="Arial" w:eastAsia="Arial" w:hAnsi="Arial"/>
                <w:sz w:val="14"/>
                <w:szCs w:val="14"/>
                <w:b w:val="1"/>
                <w:bCs w:val="1"/>
                <w:color w:val="auto"/>
              </w:rPr>
              <w:t>Class</w:t>
            </w:r>
          </w:p>
        </w:tc>
      </w:tr>
      <w:tr>
        <w:trPr>
          <w:trHeight w:val="141"/>
        </w:trPr>
        <w:tc>
          <w:tcPr>
            <w:tcW w:w="58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4"/>
        </w:trPr>
        <w:tc>
          <w:tcPr>
            <w:tcW w:w="58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Held</w:t>
            </w: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99"/>
        </w:trPr>
        <w:tc>
          <w:tcPr>
            <w:tcW w:w="5820" w:type="dxa"/>
            <w:vAlign w:val="bottom"/>
            <w:shd w:val="clear" w:color="auto" w:fill="CCFFCC"/>
          </w:tcPr>
          <w:p>
            <w:pPr>
              <w:spacing w:after="0"/>
              <w:rPr>
                <w:sz w:val="20"/>
                <w:szCs w:val="20"/>
                <w:color w:val="auto"/>
              </w:rPr>
            </w:pPr>
            <w:r>
              <w:rPr>
                <w:rFonts w:ascii="Arial" w:cs="Arial" w:eastAsia="Arial" w:hAnsi="Arial"/>
                <w:sz w:val="17"/>
                <w:szCs w:val="17"/>
                <w:color w:val="auto"/>
              </w:rPr>
              <w:t>Pan Atlantic Investments Limited</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16,421,762</w:t>
            </w:r>
          </w:p>
        </w:tc>
        <w:tc>
          <w:tcPr>
            <w:tcW w:w="1080" w:type="dxa"/>
            <w:vAlign w:val="bottom"/>
            <w:gridSpan w:val="2"/>
            <w:shd w:val="clear" w:color="auto" w:fill="CCFFCC"/>
          </w:tcPr>
          <w:p>
            <w:pPr>
              <w:jc w:val="right"/>
              <w:ind w:right="111"/>
              <w:spacing w:after="0"/>
              <w:rPr>
                <w:sz w:val="20"/>
                <w:szCs w:val="20"/>
                <w:color w:val="auto"/>
              </w:rPr>
            </w:pPr>
            <w:r>
              <w:rPr>
                <w:rFonts w:ascii="Arial" w:cs="Arial" w:eastAsia="Arial" w:hAnsi="Arial"/>
                <w:sz w:val="17"/>
                <w:szCs w:val="17"/>
                <w:color w:val="auto"/>
              </w:rPr>
              <w:t>13.3%</w:t>
            </w:r>
          </w:p>
        </w:tc>
      </w:tr>
      <w:tr>
        <w:trPr>
          <w:trHeight w:val="206"/>
        </w:trPr>
        <w:tc>
          <w:tcPr>
            <w:tcW w:w="5820" w:type="dxa"/>
            <w:vAlign w:val="bottom"/>
          </w:tcPr>
          <w:p>
            <w:pPr>
              <w:spacing w:after="0"/>
              <w:rPr>
                <w:sz w:val="20"/>
                <w:szCs w:val="20"/>
                <w:color w:val="auto"/>
              </w:rPr>
            </w:pPr>
            <w:r>
              <w:rPr>
                <w:rFonts w:ascii="Arial" w:cs="Arial" w:eastAsia="Arial" w:hAnsi="Arial"/>
                <w:sz w:val="17"/>
                <w:szCs w:val="17"/>
                <w:color w:val="auto"/>
              </w:rPr>
              <w:t>Teva Pharmaceutical Industries Ltd.</w:t>
            </w:r>
          </w:p>
        </w:tc>
        <w:tc>
          <w:tcPr>
            <w:tcW w:w="920" w:type="dxa"/>
            <w:vAlign w:val="bottom"/>
          </w:tcPr>
          <w:p>
            <w:pPr>
              <w:jc w:val="right"/>
              <w:spacing w:after="0"/>
              <w:rPr>
                <w:sz w:val="20"/>
                <w:szCs w:val="20"/>
                <w:color w:val="auto"/>
              </w:rPr>
            </w:pPr>
            <w:r>
              <w:rPr>
                <w:rFonts w:ascii="Arial" w:cs="Arial" w:eastAsia="Arial" w:hAnsi="Arial"/>
                <w:sz w:val="17"/>
                <w:szCs w:val="17"/>
                <w:color w:val="auto"/>
              </w:rPr>
              <w:t>11,889,535</w:t>
            </w:r>
          </w:p>
        </w:tc>
        <w:tc>
          <w:tcPr>
            <w:tcW w:w="1080" w:type="dxa"/>
            <w:vAlign w:val="bottom"/>
            <w:gridSpan w:val="2"/>
          </w:tcPr>
          <w:p>
            <w:pPr>
              <w:jc w:val="right"/>
              <w:ind w:right="271"/>
              <w:spacing w:after="0"/>
              <w:rPr>
                <w:sz w:val="20"/>
                <w:szCs w:val="20"/>
                <w:color w:val="auto"/>
              </w:rPr>
            </w:pPr>
            <w:r>
              <w:rPr>
                <w:rFonts w:ascii="Arial" w:cs="Arial" w:eastAsia="Arial" w:hAnsi="Arial"/>
                <w:sz w:val="17"/>
                <w:szCs w:val="17"/>
                <w:color w:val="auto"/>
              </w:rPr>
              <w:t>9.6</w:t>
            </w:r>
          </w:p>
        </w:tc>
      </w:tr>
      <w:tr>
        <w:trPr>
          <w:trHeight w:val="206"/>
        </w:trPr>
        <w:tc>
          <w:tcPr>
            <w:tcW w:w="5820" w:type="dxa"/>
            <w:vAlign w:val="bottom"/>
            <w:shd w:val="clear" w:color="auto" w:fill="CCFFCC"/>
          </w:tcPr>
          <w:p>
            <w:pPr>
              <w:spacing w:after="0"/>
              <w:rPr>
                <w:sz w:val="20"/>
                <w:szCs w:val="20"/>
                <w:color w:val="auto"/>
              </w:rPr>
            </w:pPr>
            <w:r>
              <w:rPr>
                <w:rFonts w:ascii="Arial" w:cs="Arial" w:eastAsia="Arial" w:hAnsi="Arial"/>
                <w:sz w:val="17"/>
                <w:szCs w:val="17"/>
                <w:color w:val="auto"/>
              </w:rPr>
              <w:t>Clal Insurance Group</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11,442,106</w:t>
            </w:r>
          </w:p>
        </w:tc>
        <w:tc>
          <w:tcPr>
            <w:tcW w:w="1080" w:type="dxa"/>
            <w:vAlign w:val="bottom"/>
            <w:gridSpan w:val="2"/>
            <w:shd w:val="clear" w:color="auto" w:fill="CCFFCC"/>
          </w:tcPr>
          <w:p>
            <w:pPr>
              <w:jc w:val="right"/>
              <w:ind w:right="271"/>
              <w:spacing w:after="0"/>
              <w:rPr>
                <w:sz w:val="20"/>
                <w:szCs w:val="20"/>
                <w:color w:val="auto"/>
              </w:rPr>
            </w:pPr>
            <w:r>
              <w:rPr>
                <w:rFonts w:ascii="Arial" w:cs="Arial" w:eastAsia="Arial" w:hAnsi="Arial"/>
                <w:sz w:val="17"/>
                <w:szCs w:val="17"/>
                <w:color w:val="auto"/>
              </w:rPr>
              <w:t>9.3</w:t>
            </w:r>
          </w:p>
        </w:tc>
      </w:tr>
      <w:tr>
        <w:trPr>
          <w:trHeight w:val="217"/>
        </w:trPr>
        <w:tc>
          <w:tcPr>
            <w:tcW w:w="5820" w:type="dxa"/>
            <w:vAlign w:val="bottom"/>
          </w:tcPr>
          <w:p>
            <w:pPr>
              <w:spacing w:after="0"/>
              <w:rPr>
                <w:sz w:val="20"/>
                <w:szCs w:val="20"/>
                <w:color w:val="auto"/>
              </w:rPr>
            </w:pPr>
            <w:r>
              <w:rPr>
                <w:rFonts w:ascii="Arial" w:cs="Arial" w:eastAsia="Arial" w:hAnsi="Arial"/>
                <w:sz w:val="17"/>
                <w:szCs w:val="17"/>
                <w:color w:val="auto"/>
              </w:rPr>
              <w:t>Migdal Insurance Group</w:t>
            </w:r>
          </w:p>
        </w:tc>
        <w:tc>
          <w:tcPr>
            <w:tcW w:w="920" w:type="dxa"/>
            <w:vAlign w:val="bottom"/>
          </w:tcPr>
          <w:p>
            <w:pPr>
              <w:jc w:val="right"/>
              <w:spacing w:after="0"/>
              <w:rPr>
                <w:sz w:val="20"/>
                <w:szCs w:val="20"/>
                <w:color w:val="auto"/>
              </w:rPr>
            </w:pPr>
            <w:r>
              <w:rPr>
                <w:rFonts w:ascii="Arial" w:cs="Arial" w:eastAsia="Arial" w:hAnsi="Arial"/>
                <w:sz w:val="17"/>
                <w:szCs w:val="17"/>
                <w:color w:val="auto"/>
              </w:rPr>
              <w:t>7,662,396</w:t>
            </w:r>
          </w:p>
        </w:tc>
        <w:tc>
          <w:tcPr>
            <w:tcW w:w="1080" w:type="dxa"/>
            <w:vAlign w:val="bottom"/>
            <w:gridSpan w:val="2"/>
          </w:tcPr>
          <w:p>
            <w:pPr>
              <w:jc w:val="right"/>
              <w:ind w:right="271"/>
              <w:spacing w:after="0"/>
              <w:rPr>
                <w:sz w:val="20"/>
                <w:szCs w:val="20"/>
                <w:color w:val="auto"/>
              </w:rPr>
            </w:pPr>
            <w:r>
              <w:rPr>
                <w:rFonts w:ascii="Arial" w:cs="Arial" w:eastAsia="Arial" w:hAnsi="Arial"/>
                <w:sz w:val="17"/>
                <w:szCs w:val="17"/>
                <w:color w:val="auto"/>
              </w:rPr>
              <w:t>6.2</w:t>
            </w: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Related Party Transactions</w:t>
      </w:r>
    </w:p>
    <w:p>
      <w:pPr>
        <w:spacing w:after="0" w:line="119" w:lineRule="exact"/>
        <w:rPr>
          <w:sz w:val="20"/>
          <w:szCs w:val="20"/>
          <w:color w:val="auto"/>
        </w:rPr>
      </w:pPr>
    </w:p>
    <w:p>
      <w:pPr>
        <w:ind w:left="60" w:right="1179" w:firstLine="257"/>
        <w:spacing w:after="0" w:line="278" w:lineRule="auto"/>
        <w:rPr>
          <w:sz w:val="20"/>
          <w:szCs w:val="20"/>
          <w:color w:val="auto"/>
        </w:rPr>
      </w:pPr>
      <w:r>
        <w:rPr>
          <w:rFonts w:ascii="Arial" w:cs="Arial" w:eastAsia="Arial" w:hAnsi="Arial"/>
          <w:sz w:val="17"/>
          <w:szCs w:val="17"/>
          <w:i w:val="1"/>
          <w:iCs w:val="1"/>
          <w:color w:val="auto"/>
        </w:rPr>
        <w:t>The following is a description of some of the transactions with related parties to which we, or our subsidiaries, are party. The descriptions provided below are summaries of the material terms of such agreements.</w:t>
      </w:r>
    </w:p>
    <w:p>
      <w:pPr>
        <w:spacing w:after="0" w:line="62" w:lineRule="exact"/>
        <w:rPr>
          <w:sz w:val="20"/>
          <w:szCs w:val="20"/>
          <w:color w:val="auto"/>
        </w:rPr>
      </w:pPr>
    </w:p>
    <w:p>
      <w:pPr>
        <w:ind w:left="60" w:right="1139" w:firstLine="257"/>
        <w:spacing w:after="0" w:line="279" w:lineRule="auto"/>
        <w:rPr>
          <w:sz w:val="20"/>
          <w:szCs w:val="20"/>
          <w:color w:val="auto"/>
        </w:rPr>
      </w:pPr>
      <w:r>
        <w:rPr>
          <w:rFonts w:ascii="Arial" w:cs="Arial" w:eastAsia="Arial" w:hAnsi="Arial"/>
          <w:sz w:val="16"/>
          <w:szCs w:val="16"/>
          <w:color w:val="auto"/>
        </w:rPr>
        <w:t>We believe that we have executed all of our transactions with related parties on terms no less favorable to us than those we could have obtained from unaffiliated third parties. We are required by Israeli law to ensure that all future transactions between us and our officers, directors and principal shareholders and their affiliates are approved by a majority of our Board of Directors, including a majority of the independent and disinterested members of our Board of Directors, and that they are on terms no less favorable to us than those that we could obtain from unaffiliated third parties.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Agreement with Morris Laster, M.D.</w:t>
      </w:r>
    </w:p>
    <w:p>
      <w:pPr>
        <w:spacing w:after="0" w:line="119" w:lineRule="exact"/>
        <w:rPr>
          <w:sz w:val="20"/>
          <w:szCs w:val="20"/>
          <w:color w:val="auto"/>
        </w:rPr>
      </w:pPr>
    </w:p>
    <w:p>
      <w:pPr>
        <w:ind w:left="60" w:right="1079" w:firstLine="257"/>
        <w:spacing w:after="0" w:line="294" w:lineRule="auto"/>
        <w:rPr>
          <w:sz w:val="20"/>
          <w:szCs w:val="20"/>
          <w:color w:val="auto"/>
        </w:rPr>
      </w:pPr>
      <w:r>
        <w:rPr>
          <w:rFonts w:ascii="Arial" w:cs="Arial" w:eastAsia="Arial" w:hAnsi="Arial"/>
          <w:sz w:val="15"/>
          <w:szCs w:val="15"/>
          <w:color w:val="auto"/>
        </w:rPr>
        <w:t>According to the employment agreement we entered into with Dr. Laster, dated May 1, 2003, Dr. Laster, our former Chief Executive Officer and director, was entitled to a separation payment equal to four months’ salary and related social benefits upon the end of his employment as Chief Executive Officer, which occurred on January 1, 2010. From January 1, 2010 through August 2010, Dr. Laster provided consulting services to the Company and served as a member of our Scientific Advisory Board. As required under Israeli law, the terms of Dr. Laster’s engagement with the Company were approved by our Audit Committee and Board of Directors and were approved by our shareholders in May 2010. In consideration for the services provided, Dr. Laster was entitled to NIS 30,000 per month, for the period commencing January 1, 2010 and ending June 30, 2010, and NIS 15,000 per month for the subsequent six-month period, against presentation of a valid VAT invoice. Dr. Laster’s tenure as a director ended in August 2010. Dr. Laster has agreed to provide us with consulting services from time to time.</w:t>
      </w:r>
    </w:p>
    <w:p>
      <w:pPr>
        <w:spacing w:after="0" w:line="54" w:lineRule="exact"/>
        <w:rPr>
          <w:sz w:val="20"/>
          <w:szCs w:val="20"/>
          <w:color w:val="auto"/>
        </w:rPr>
      </w:pPr>
    </w:p>
    <w:p>
      <w:pPr>
        <w:jc w:val="both"/>
        <w:ind w:left="60" w:right="1259" w:firstLine="257"/>
        <w:spacing w:after="0" w:line="265" w:lineRule="auto"/>
        <w:rPr>
          <w:sz w:val="20"/>
          <w:szCs w:val="20"/>
          <w:color w:val="auto"/>
        </w:rPr>
      </w:pPr>
      <w:r>
        <w:rPr>
          <w:rFonts w:ascii="Arial" w:cs="Arial" w:eastAsia="Arial" w:hAnsi="Arial"/>
          <w:sz w:val="17"/>
          <w:szCs w:val="17"/>
          <w:color w:val="auto"/>
        </w:rPr>
        <w:t>On February 24, 2010, our Board of Directors, upon recommendation of our Audit Committee, approved the payment to Dr. Laster of a bonus for his services as our chief executive officer during the year ended December 31, 2009 equal to NIS 150,000, which payment was approved by our shareholders in May 2010.</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Pan Atlantic Bridge Loan Agreement</w:t>
      </w:r>
    </w:p>
    <w:p>
      <w:pPr>
        <w:spacing w:after="0" w:line="119" w:lineRule="exact"/>
        <w:rPr>
          <w:sz w:val="20"/>
          <w:szCs w:val="20"/>
          <w:color w:val="auto"/>
        </w:rPr>
      </w:pPr>
    </w:p>
    <w:p>
      <w:pPr>
        <w:ind w:left="60" w:right="1099" w:firstLine="257"/>
        <w:spacing w:after="0" w:line="261" w:lineRule="auto"/>
        <w:rPr>
          <w:sz w:val="20"/>
          <w:szCs w:val="20"/>
          <w:color w:val="auto"/>
        </w:rPr>
      </w:pPr>
      <w:r>
        <w:rPr>
          <w:rFonts w:ascii="Arial" w:cs="Arial" w:eastAsia="Arial" w:hAnsi="Arial"/>
          <w:sz w:val="17"/>
          <w:szCs w:val="17"/>
          <w:color w:val="auto"/>
        </w:rPr>
        <w:t>On January 10, 2007, we entered into a convertible bridge loan agreement with Pan Atlantic Investments Limited, or Pan Atlantic, pursuant to which Pan Atlantic provided us with a $9.0 million convertible loan. Pursuant to the terms of the bridge loan agreement, the $9.0 million loan converted into 6,716,418 of our ordinary shares at a price per share of $1.34 immediately prior to our initial public offering on the TASE.</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Early Development Program Agreement</w:t>
      </w:r>
    </w:p>
    <w:p>
      <w:pPr>
        <w:spacing w:after="0" w:line="119" w:lineRule="exact"/>
        <w:rPr>
          <w:sz w:val="20"/>
          <w:szCs w:val="20"/>
          <w:color w:val="auto"/>
        </w:rPr>
      </w:pPr>
    </w:p>
    <w:p>
      <w:pPr>
        <w:ind w:left="60" w:right="1359" w:firstLine="257"/>
        <w:spacing w:after="0" w:line="265" w:lineRule="auto"/>
        <w:rPr>
          <w:sz w:val="20"/>
          <w:szCs w:val="20"/>
          <w:color w:val="auto"/>
        </w:rPr>
      </w:pPr>
      <w:r>
        <w:rPr>
          <w:rFonts w:ascii="Arial" w:cs="Arial" w:eastAsia="Arial" w:hAnsi="Arial"/>
          <w:sz w:val="17"/>
          <w:szCs w:val="17"/>
          <w:color w:val="auto"/>
        </w:rPr>
        <w:t>We entered into an agreement with Pan Atlantic pursuant to which Pan Atlantic committed to provide up to $5.0 million of funding for us to in-license and develop early development stage therapeutic candidates. Pursuant to this early development program, we are entitled to request from Pan Atlantic twice a year up to</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spacing w:after="0" w:line="279" w:lineRule="auto"/>
        <w:rPr>
          <w:sz w:val="20"/>
          <w:szCs w:val="20"/>
          <w:color w:val="auto"/>
        </w:rPr>
      </w:pPr>
      <w:r>
        <w:rPr>
          <w:rFonts w:ascii="Arial" w:cs="Arial" w:eastAsia="Arial" w:hAnsi="Arial"/>
          <w:sz w:val="16"/>
          <w:szCs w:val="16"/>
          <w:color w:val="auto"/>
        </w:rPr>
        <w:t>$625,000 for an aggregate of up to approximately $1.25 million per year, unless otherwise agreed by Pan Atlantic, for our early development research projects, provided that we match the program funds at a rate of $0.20 per every dollar invested by Pan Atlantic. Pan Atlantic is not obligated to transfer any funds under this program for any request made after April 1, 2011. Pan Atlantic does not have any rights to any products developed through our early development projects. As part of the agreement, Pan Atlantic will have the right to invest up to $5.0 million in our first public offering outside of Israel.</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Registration Rights Agreement</w:t>
      </w:r>
    </w:p>
    <w:p>
      <w:pPr>
        <w:spacing w:after="0" w:line="119"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On January 25, 2007, we entered into a registration rights agreement with Teva, the Jerusalem Development Authority, Pitango, Hadasit, Giza, the Star Group, Mr. Yehuda Zisapel and Pan Atlantic, which contains provisions regarding registration rights as follows: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13" w:lineRule="exact"/>
        <w:rPr>
          <w:sz w:val="20"/>
          <w:szCs w:val="20"/>
          <w:color w:val="auto"/>
        </w:rPr>
      </w:pPr>
    </w:p>
    <w:p>
      <w:pPr>
        <w:ind w:left="60" w:right="1339" w:firstLine="257"/>
        <w:spacing w:after="0" w:line="265" w:lineRule="auto"/>
        <w:rPr>
          <w:sz w:val="20"/>
          <w:szCs w:val="20"/>
          <w:color w:val="auto"/>
        </w:rPr>
      </w:pPr>
      <w:r>
        <w:rPr>
          <w:rFonts w:ascii="Arial" w:cs="Arial" w:eastAsia="Arial" w:hAnsi="Arial"/>
          <w:sz w:val="17"/>
          <w:szCs w:val="17"/>
          <w:color w:val="auto"/>
        </w:rPr>
        <w:t>Since August 8, 2007, we have been required to, at the request of the holders of a majority of the outstanding registrable securities held by our founders and investors, use our best efforts to register any or all of these shareholders’ ordinary shares as follows:</w:t>
      </w:r>
    </w:p>
    <w:p>
      <w:pPr>
        <w:spacing w:after="0" w:line="73" w:lineRule="exact"/>
        <w:rPr>
          <w:sz w:val="20"/>
          <w:szCs w:val="20"/>
          <w:color w:val="auto"/>
        </w:rPr>
      </w:pPr>
    </w:p>
    <w:p>
      <w:pPr>
        <w:ind w:left="580" w:right="1019" w:hanging="307"/>
        <w:spacing w:after="0" w:line="278"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are required to effect up to two such registrations, but only if the aggregate market value of the shares to be registered in each such registration is at least $5.0 million at the time of the request; and</w:t>
      </w:r>
    </w:p>
    <w:p>
      <w:pPr>
        <w:spacing w:after="0" w:line="61" w:lineRule="exact"/>
        <w:rPr>
          <w:rFonts w:ascii="Arial" w:cs="Arial" w:eastAsia="Arial" w:hAnsi="Arial"/>
          <w:sz w:val="17"/>
          <w:szCs w:val="17"/>
          <w:color w:val="auto"/>
        </w:rPr>
      </w:pPr>
    </w:p>
    <w:p>
      <w:pPr>
        <w:ind w:left="580" w:right="1079" w:hanging="307"/>
        <w:spacing w:after="0" w:line="265"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will not be required to effect a second demand registration within six months after the effective date of the first demand registration or any other registration statement pertaining to our ordinary shares, or such shorter periods if such shorter periods are acceptable to the underwriters of such offering.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3" w:lineRule="exact"/>
        <w:rPr>
          <w:sz w:val="20"/>
          <w:szCs w:val="20"/>
          <w:color w:val="auto"/>
        </w:rPr>
      </w:pPr>
    </w:p>
    <w:p>
      <w:pPr>
        <w:ind w:left="60" w:right="1659" w:firstLine="257"/>
        <w:spacing w:after="0" w:line="278" w:lineRule="auto"/>
        <w:rPr>
          <w:sz w:val="20"/>
          <w:szCs w:val="20"/>
          <w:color w:val="auto"/>
        </w:rPr>
      </w:pPr>
      <w:r>
        <w:rPr>
          <w:rFonts w:ascii="Arial" w:cs="Arial" w:eastAsia="Arial" w:hAnsi="Arial"/>
          <w:sz w:val="17"/>
          <w:szCs w:val="17"/>
          <w:color w:val="auto"/>
        </w:rPr>
        <w:t>All of our founders and investors also have the right to request that we include their ordinary shares in any registration statement we file in the future for the purposes of a public offering, subject to specified limitations.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Shelf Registration Rights</w:t>
      </w:r>
    </w:p>
    <w:p>
      <w:pPr>
        <w:spacing w:after="0" w:line="113" w:lineRule="exact"/>
        <w:rPr>
          <w:sz w:val="20"/>
          <w:szCs w:val="20"/>
          <w:color w:val="auto"/>
        </w:rPr>
      </w:pPr>
    </w:p>
    <w:p>
      <w:pPr>
        <w:jc w:val="both"/>
        <w:ind w:left="60" w:right="1119" w:firstLine="257"/>
        <w:spacing w:after="0" w:line="265" w:lineRule="auto"/>
        <w:rPr>
          <w:sz w:val="20"/>
          <w:szCs w:val="20"/>
          <w:color w:val="auto"/>
        </w:rPr>
      </w:pPr>
      <w:r>
        <w:rPr>
          <w:rFonts w:ascii="Arial" w:cs="Arial" w:eastAsia="Arial" w:hAnsi="Arial"/>
          <w:sz w:val="17"/>
          <w:szCs w:val="17"/>
          <w:color w:val="auto"/>
        </w:rPr>
        <w:t>At the request of any holder of registrable securities, we must use, subject to certain limitations, our best efforts to register any or all of these shareholders’ ordinary shares on a “shelf” registration statement under the Securities Act. We shall not be obligated to effect or take any action to effect a shelf registration:</w:t>
      </w:r>
    </w:p>
    <w:p>
      <w:pPr>
        <w:spacing w:after="0" w:line="73" w:lineRule="exact"/>
        <w:rPr>
          <w:sz w:val="20"/>
          <w:szCs w:val="20"/>
          <w:color w:val="auto"/>
        </w:rPr>
      </w:pPr>
    </w:p>
    <w:p>
      <w:pPr>
        <w:ind w:left="580" w:hanging="307"/>
        <w:spacing w:after="0"/>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within the 12 months proceeding such request we have already effected two shelf registrations;</w:t>
      </w:r>
    </w:p>
    <w:p>
      <w:pPr>
        <w:spacing w:after="0" w:line="113" w:lineRule="exact"/>
        <w:rPr>
          <w:rFonts w:ascii="Arial" w:cs="Arial" w:eastAsia="Arial" w:hAnsi="Arial"/>
          <w:sz w:val="17"/>
          <w:szCs w:val="17"/>
          <w:color w:val="auto"/>
        </w:rPr>
      </w:pPr>
    </w:p>
    <w:p>
      <w:pPr>
        <w:ind w:left="580" w:right="1179" w:hanging="307"/>
        <w:spacing w:after="0" w:line="278" w:lineRule="auto"/>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during the period ending 90 days after the effective date of any registration statement pertaining to our ordinary shares, or such shorter periods if such shorter periods are acceptable to the underwriters of such offering; and</w:t>
      </w:r>
    </w:p>
    <w:p>
      <w:pPr>
        <w:spacing w:after="0" w:line="61" w:lineRule="exact"/>
        <w:rPr>
          <w:rFonts w:ascii="Arial" w:cs="Arial" w:eastAsia="Arial" w:hAnsi="Arial"/>
          <w:sz w:val="17"/>
          <w:szCs w:val="17"/>
          <w:color w:val="auto"/>
        </w:rPr>
      </w:pPr>
    </w:p>
    <w:p>
      <w:pPr>
        <w:ind w:left="580" w:right="1359" w:hanging="307"/>
        <w:spacing w:after="0" w:line="278" w:lineRule="auto"/>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such request does not cover shares representing an aggregate market value of the shares to be registered in each such registration of at least $1.0 million.</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Cutbacks</w:t>
      </w:r>
    </w:p>
    <w:p>
      <w:pPr>
        <w:spacing w:after="0" w:line="113" w:lineRule="exact"/>
        <w:rPr>
          <w:sz w:val="20"/>
          <w:szCs w:val="20"/>
          <w:color w:val="auto"/>
        </w:rPr>
      </w:pPr>
    </w:p>
    <w:p>
      <w:pPr>
        <w:ind w:left="60" w:right="1119" w:firstLine="257"/>
        <w:spacing w:after="0" w:line="265" w:lineRule="auto"/>
        <w:rPr>
          <w:sz w:val="20"/>
          <w:szCs w:val="20"/>
          <w:color w:val="auto"/>
        </w:rPr>
      </w:pPr>
      <w:r>
        <w:rPr>
          <w:rFonts w:ascii="Arial" w:cs="Arial" w:eastAsia="Arial" w:hAnsi="Arial"/>
          <w:sz w:val="17"/>
          <w:szCs w:val="17"/>
          <w:color w:val="auto"/>
        </w:rPr>
        <w:t>In connection with demand registrations, the managing underwriters may limit the number of shares offered for marketing reasons. In such case, the managing underwriter must first exclude any shares to be registered by us, and, second, any shares to be registered by the founders and investors prior to the offering.</w:t>
      </w:r>
    </w:p>
    <w:p>
      <w:pPr>
        <w:spacing w:after="0" w:line="73"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In connection with piggyback registrations, the managing underwriters of an underwritten offering may limit the number of shares offered for marketing reasons. In such case, the managing underwriter must exclude first any shares not held by the founders and investors, and second, any share held by the founders and investors prior to the offering.</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Termination</w:t>
      </w:r>
    </w:p>
    <w:p>
      <w:pPr>
        <w:spacing w:after="0" w:line="113" w:lineRule="exact"/>
        <w:rPr>
          <w:sz w:val="20"/>
          <w:szCs w:val="20"/>
          <w:color w:val="auto"/>
        </w:rPr>
      </w:pPr>
    </w:p>
    <w:p>
      <w:pPr>
        <w:jc w:val="both"/>
        <w:ind w:left="60" w:right="1019" w:firstLine="257"/>
        <w:spacing w:after="0" w:line="265" w:lineRule="auto"/>
        <w:rPr>
          <w:sz w:val="20"/>
          <w:szCs w:val="20"/>
          <w:color w:val="auto"/>
        </w:rPr>
      </w:pPr>
      <w:r>
        <w:rPr>
          <w:rFonts w:ascii="Arial" w:cs="Arial" w:eastAsia="Arial" w:hAnsi="Arial"/>
          <w:sz w:val="17"/>
          <w:szCs w:val="17"/>
          <w:color w:val="auto"/>
        </w:rPr>
        <w:t>All registration rights terminate on the fifth anniversary of our initial public offering on the TASE (February 8, 2012), and with respect to any individual shareholder, at such time as all registrable securities of such shareholder may be sold pursuant to Rule 144 under the Securities Act during any 90-day period without restriction.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Expenses</w:t>
      </w:r>
    </w:p>
    <w:p>
      <w:pPr>
        <w:spacing w:after="0" w:line="113" w:lineRule="exact"/>
        <w:rPr>
          <w:sz w:val="20"/>
          <w:szCs w:val="20"/>
          <w:color w:val="auto"/>
        </w:rPr>
      </w:pPr>
    </w:p>
    <w:p>
      <w:pPr>
        <w:ind w:left="60" w:right="1059" w:firstLine="257"/>
        <w:spacing w:after="0" w:line="265" w:lineRule="auto"/>
        <w:rPr>
          <w:sz w:val="20"/>
          <w:szCs w:val="20"/>
          <w:color w:val="auto"/>
        </w:rPr>
      </w:pPr>
      <w:r>
        <w:rPr>
          <w:rFonts w:ascii="Arial" w:cs="Arial" w:eastAsia="Arial" w:hAnsi="Arial"/>
          <w:sz w:val="17"/>
          <w:szCs w:val="17"/>
          <w:color w:val="auto"/>
        </w:rPr>
        <w:t>We have agreed to pay all expenses incurred in carrying out the above registrations. However, each shareholder participating in such registration or sale is responsible for its pro rata portion of the customary and standard discounts or commissions payable to any underwriter.</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In-License Agreement with B.G. Negev Technologies</w:t>
      </w:r>
    </w:p>
    <w:p>
      <w:pPr>
        <w:spacing w:after="0" w:line="119" w:lineRule="exact"/>
        <w:rPr>
          <w:sz w:val="20"/>
          <w:szCs w:val="20"/>
          <w:color w:val="auto"/>
        </w:rPr>
      </w:pPr>
    </w:p>
    <w:p>
      <w:pPr>
        <w:ind w:left="60" w:right="999" w:firstLine="257"/>
        <w:spacing w:after="0" w:line="273" w:lineRule="auto"/>
        <w:rPr>
          <w:sz w:val="20"/>
          <w:szCs w:val="20"/>
          <w:color w:val="auto"/>
        </w:rPr>
      </w:pPr>
      <w:r>
        <w:rPr>
          <w:rFonts w:ascii="Arial" w:cs="Arial" w:eastAsia="Arial" w:hAnsi="Arial"/>
          <w:sz w:val="16"/>
          <w:szCs w:val="16"/>
          <w:color w:val="auto"/>
        </w:rPr>
        <w:t>In January 2005, we in-licensed the rights to BL-1040 under a license agreement with B.G. Negev Technologies. Under the agreement, B.G. Negev Technologies granted to us an exclusive, worldwide, sublicensable license to develop, manufacture, market and sell technology relating to our BL-1040 therapeutic candidate. We are required to pay B.G. Negev Technologies 28% of the revenues we receive as consideration in connection with any sublicensing, co-marketing or co-promotion, or a permitted assignment, of BL-1040, which includes the revenues we have and will receive under our licensing agreement with Ikaria. B.G. Negev Technologies may terminate this agreement upon a material breach on our part, including a failure to meet all of the progress milestones using commercially reasonable efforts. At the time we entered into this license agreement, Ilan Leviteh was the chairman of the board of directors of B.G. Negev Technologies and served as an external director on our Board of Directors. See “Item 4. Information on the Company — Business Overview — In-Licensing Agreements — BL-1040.”</w:t>
      </w:r>
    </w:p>
    <w:p>
      <w:pPr>
        <w:spacing w:after="0" w:line="72" w:lineRule="exact"/>
        <w:rPr>
          <w:sz w:val="20"/>
          <w:szCs w:val="20"/>
          <w:color w:val="auto"/>
        </w:rPr>
      </w:pPr>
    </w:p>
    <w:p>
      <w:pPr>
        <w:ind w:left="60" w:right="1119" w:firstLine="257"/>
        <w:spacing w:after="0" w:line="265" w:lineRule="auto"/>
        <w:rPr>
          <w:sz w:val="20"/>
          <w:szCs w:val="20"/>
          <w:color w:val="auto"/>
        </w:rPr>
      </w:pPr>
      <w:r>
        <w:rPr>
          <w:rFonts w:ascii="Arial" w:cs="Arial" w:eastAsia="Arial" w:hAnsi="Arial"/>
          <w:sz w:val="17"/>
          <w:szCs w:val="17"/>
          <w:color w:val="auto"/>
        </w:rPr>
        <w:t>We may in-license other technologies from B.G. Negev Technologies in the course of our business, from time to time. However, we have not in-licensed any other technologies from B.G. Negev Technologies in connection with any other therapeutic candidate in our current pipeline.</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In-License Agreement with Gene Vector Technologies Ltd.</w:t>
      </w:r>
    </w:p>
    <w:p>
      <w:pPr>
        <w:spacing w:after="0" w:line="119" w:lineRule="exact"/>
        <w:rPr>
          <w:sz w:val="20"/>
          <w:szCs w:val="20"/>
          <w:color w:val="auto"/>
        </w:rPr>
      </w:pPr>
    </w:p>
    <w:p>
      <w:pPr>
        <w:ind w:left="60" w:right="1119" w:firstLine="257"/>
        <w:spacing w:after="0" w:line="257" w:lineRule="auto"/>
        <w:rPr>
          <w:sz w:val="20"/>
          <w:szCs w:val="20"/>
          <w:color w:val="auto"/>
        </w:rPr>
      </w:pPr>
      <w:r>
        <w:rPr>
          <w:rFonts w:ascii="Arial" w:cs="Arial" w:eastAsia="Arial" w:hAnsi="Arial"/>
          <w:sz w:val="17"/>
          <w:szCs w:val="17"/>
          <w:color w:val="auto"/>
        </w:rPr>
        <w:t>In August 2007, BIJ L.P. in-licensed the rights to BL-4040 under a license agreement with Gene Vector Technologies, Ltd., or Gene Vector Technologies. Under the agreement, Gene Vector granted to us an exclusive, worldwide, sublicensable license to develop, manufacture, market and sell technology relating to our BL-4040 therapeutic candidate. Gene Vector Technologies may terminate this agreement upon a material breach on our part, including a failure to meet all of the progress milestones using commercially reasonable efforts. Raphael Hofstein, one of our directors, was the Chairman of Gene Vector Technologies when we entered into the license agreement.</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Agreements with Directors and Officers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13" w:lineRule="exact"/>
        <w:rPr>
          <w:sz w:val="20"/>
          <w:szCs w:val="20"/>
          <w:color w:val="auto"/>
        </w:rPr>
      </w:pPr>
    </w:p>
    <w:p>
      <w:pPr>
        <w:ind w:left="60" w:right="1099" w:firstLine="257"/>
        <w:spacing w:after="0" w:line="278" w:lineRule="auto"/>
        <w:rPr>
          <w:sz w:val="20"/>
          <w:szCs w:val="20"/>
          <w:color w:val="auto"/>
        </w:rPr>
      </w:pPr>
      <w:r>
        <w:rPr>
          <w:rFonts w:ascii="Arial" w:cs="Arial" w:eastAsia="Arial" w:hAnsi="Arial"/>
          <w:sz w:val="17"/>
          <w:szCs w:val="17"/>
          <w:color w:val="auto"/>
        </w:rPr>
        <w:t>We have entered into employment agreements with each of our executive officers. See “Item 6. Directors, Senior Management and Related Party Transactions — Compensation.”</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3" w:lineRule="exact"/>
        <w:rPr>
          <w:sz w:val="20"/>
          <w:szCs w:val="20"/>
          <w:color w:val="auto"/>
        </w:rPr>
      </w:pPr>
    </w:p>
    <w:p>
      <w:pPr>
        <w:ind w:left="60" w:right="999" w:firstLine="257"/>
        <w:spacing w:after="0" w:line="279" w:lineRule="auto"/>
        <w:rPr>
          <w:sz w:val="20"/>
          <w:szCs w:val="20"/>
          <w:color w:val="auto"/>
        </w:rPr>
      </w:pPr>
      <w:r>
        <w:rPr>
          <w:rFonts w:ascii="Arial" w:cs="Arial" w:eastAsia="Arial" w:hAnsi="Arial"/>
          <w:sz w:val="16"/>
          <w:szCs w:val="16"/>
          <w:color w:val="auto"/>
        </w:rPr>
        <w:t>Our Articles of Association permit us to exculpate, indemnify and insure our directors and officeholders to the fullest extent permitted by the Israeli Companies Law. We have entered into agreements with each of our office holders undertaking to indemnify them to the fullest extent permitted by law, including with respect to liabilities resulting from this offering to the extent that these liabilities are not covered by insurance. We have obtained Directors &amp; Officers insurance for each of our officers and directors. See “Item 6. Directors, Senior Management and Related Party Transactions — Compensation.”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Interests of Experts and Counsel</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8"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8. FINANCIAL INFORMATION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Consolidated Statements and other Financial Information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Item 18.</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not involved in any material legal proceedings.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Dividend Distributions</w:t>
      </w:r>
    </w:p>
    <w:p>
      <w:pPr>
        <w:spacing w:after="0" w:line="113" w:lineRule="exact"/>
        <w:rPr>
          <w:sz w:val="20"/>
          <w:szCs w:val="20"/>
          <w:color w:val="auto"/>
        </w:rPr>
      </w:pPr>
    </w:p>
    <w:p>
      <w:pPr>
        <w:ind w:left="60" w:right="1059" w:firstLine="257"/>
        <w:spacing w:after="0" w:line="259" w:lineRule="auto"/>
        <w:rPr>
          <w:sz w:val="20"/>
          <w:szCs w:val="20"/>
          <w:color w:val="auto"/>
        </w:rPr>
      </w:pPr>
      <w:r>
        <w:rPr>
          <w:rFonts w:ascii="Arial" w:cs="Arial" w:eastAsia="Arial" w:hAnsi="Arial"/>
          <w:sz w:val="17"/>
          <w:szCs w:val="17"/>
          <w:color w:val="auto"/>
        </w:rPr>
        <w:t>We have never declared or paid cash dividends to our shareholders. Currently we do not intend to pay cash dividends. We currently intend to reinvest any future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applicable Israeli law and other factors our Board of Directors may deem relevant.</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Significant Changes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8"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9. THE OFFER AND LISTING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Offer and Listing Details</w:t>
      </w:r>
    </w:p>
    <w:p>
      <w:pPr>
        <w:spacing w:after="0" w:line="119" w:lineRule="exact"/>
        <w:rPr>
          <w:sz w:val="20"/>
          <w:szCs w:val="20"/>
          <w:color w:val="auto"/>
        </w:rPr>
      </w:pPr>
    </w:p>
    <w:p>
      <w:pPr>
        <w:ind w:left="60" w:right="1139" w:firstLine="257"/>
        <w:spacing w:after="0" w:line="265" w:lineRule="auto"/>
        <w:rPr>
          <w:sz w:val="20"/>
          <w:szCs w:val="20"/>
          <w:color w:val="auto"/>
        </w:rPr>
      </w:pPr>
      <w:r>
        <w:rPr>
          <w:rFonts w:ascii="Arial" w:cs="Arial" w:eastAsia="Arial" w:hAnsi="Arial"/>
          <w:sz w:val="17"/>
          <w:szCs w:val="17"/>
          <w:color w:val="auto"/>
        </w:rPr>
        <w:t>Our ordinary shares have been trading on the TASE under the symbol “BLRX” since February 2007. No trading market currently exists for our ADRs or ordinary shares in the United States. We have applied to have our ADRs listed on The NASDAQ Capital Market under the symbol “BLRX.”</w:t>
      </w:r>
    </w:p>
    <w:p>
      <w:pPr>
        <w:spacing w:after="0" w:line="73" w:lineRule="exact"/>
        <w:rPr>
          <w:sz w:val="20"/>
          <w:szCs w:val="20"/>
          <w:color w:val="auto"/>
        </w:rPr>
      </w:pPr>
    </w:p>
    <w:p>
      <w:pPr>
        <w:ind w:left="60" w:right="1059" w:firstLine="257"/>
        <w:spacing w:after="0" w:line="259" w:lineRule="auto"/>
        <w:rPr>
          <w:sz w:val="20"/>
          <w:szCs w:val="20"/>
          <w:color w:val="auto"/>
        </w:rPr>
      </w:pPr>
      <w:r>
        <w:rPr>
          <w:rFonts w:ascii="Arial" w:cs="Arial" w:eastAsia="Arial" w:hAnsi="Arial"/>
          <w:sz w:val="17"/>
          <w:szCs w:val="17"/>
          <w:color w:val="auto"/>
        </w:rPr>
        <w:t>The following table sets forth, for the periods indicated, the reported high and low closing sale prices of our ordinary shares on the TASE in NIS and U.S. dollars. U.S. dollar per ordinary share amounts are calculated using the U.S. dollar representative rate of exchange on the date to which the high or low market price is applicable, as reported by the Bank of Israel. The prices set forth in this section do not give effect to the reverse stock split which we expect to complete immediately prior to the date of this Registration Statement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49663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3960" w:type="dxa"/>
            <w:vAlign w:val="bottom"/>
          </w:tcPr>
          <w:p>
            <w:pPr>
              <w:spacing w:after="0"/>
              <w:rPr>
                <w:sz w:val="12"/>
                <w:szCs w:val="12"/>
                <w:color w:val="auto"/>
              </w:rPr>
            </w:pPr>
          </w:p>
        </w:tc>
        <w:tc>
          <w:tcPr>
            <w:tcW w:w="1220" w:type="dxa"/>
            <w:vAlign w:val="bottom"/>
            <w:gridSpan w:val="3"/>
          </w:tcPr>
          <w:p>
            <w:pPr>
              <w:jc w:val="center"/>
              <w:ind w:left="517"/>
              <w:spacing w:after="0" w:line="145" w:lineRule="exact"/>
              <w:rPr>
                <w:sz w:val="20"/>
                <w:szCs w:val="20"/>
                <w:color w:val="auto"/>
              </w:rPr>
            </w:pPr>
            <w:r>
              <w:rPr>
                <w:rFonts w:ascii="Arial" w:cs="Arial" w:eastAsia="Arial" w:hAnsi="Arial"/>
                <w:sz w:val="14"/>
                <w:szCs w:val="14"/>
                <w:b w:val="1"/>
                <w:bCs w:val="1"/>
                <w:color w:val="auto"/>
                <w:w w:val="94"/>
              </w:rPr>
              <w:t>NIS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left="571"/>
              <w:spacing w:after="0" w:line="145" w:lineRule="exact"/>
              <w:rPr>
                <w:sz w:val="20"/>
                <w:szCs w:val="20"/>
                <w:color w:val="auto"/>
              </w:rPr>
            </w:pPr>
            <w:r>
              <w:rPr>
                <w:rFonts w:ascii="Arial" w:cs="Arial" w:eastAsia="Arial" w:hAnsi="Arial"/>
                <w:sz w:val="14"/>
                <w:szCs w:val="14"/>
                <w:b w:val="1"/>
                <w:bCs w:val="1"/>
                <w:color w:val="auto"/>
                <w:w w:val="85"/>
              </w:rPr>
              <w:t>U.S.$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1220" w:type="dxa"/>
            <w:vAlign w:val="bottom"/>
            <w:gridSpan w:val="3"/>
          </w:tcPr>
          <w:p>
            <w:pPr>
              <w:jc w:val="center"/>
              <w:ind w:left="517"/>
              <w:spacing w:after="0" w:line="141" w:lineRule="exact"/>
              <w:rPr>
                <w:sz w:val="20"/>
                <w:szCs w:val="20"/>
                <w:color w:val="auto"/>
              </w:rPr>
            </w:pPr>
            <w:r>
              <w:rPr>
                <w:rFonts w:ascii="Arial" w:cs="Arial" w:eastAsia="Arial" w:hAnsi="Arial"/>
                <w:sz w:val="14"/>
                <w:szCs w:val="14"/>
                <w:b w:val="1"/>
                <w:bCs w:val="1"/>
                <w:color w:val="auto"/>
                <w:w w:val="88"/>
              </w:rPr>
              <w:t>Price Per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left="571"/>
              <w:spacing w:after="0" w:line="141" w:lineRule="exact"/>
              <w:rPr>
                <w:sz w:val="20"/>
                <w:szCs w:val="20"/>
                <w:color w:val="auto"/>
              </w:rPr>
            </w:pPr>
            <w:r>
              <w:rPr>
                <w:rFonts w:ascii="Arial" w:cs="Arial" w:eastAsia="Arial" w:hAnsi="Arial"/>
                <w:sz w:val="14"/>
                <w:szCs w:val="14"/>
                <w:b w:val="1"/>
                <w:bCs w:val="1"/>
                <w:color w:val="auto"/>
                <w:w w:val="88"/>
              </w:rPr>
              <w:t>Price Per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60" w:type="dxa"/>
            <w:vAlign w:val="bottom"/>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Ordinary Share</w:t>
            </w:r>
          </w:p>
        </w:tc>
        <w:tc>
          <w:tcPr>
            <w:tcW w:w="160" w:type="dxa"/>
            <w:vAlign w:val="bottom"/>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Ordinary Share</w:t>
            </w:r>
          </w:p>
        </w:tc>
        <w:tc>
          <w:tcPr>
            <w:tcW w:w="0" w:type="dxa"/>
            <w:vAlign w:val="bottom"/>
          </w:tcPr>
          <w:p>
            <w:pPr>
              <w:spacing w:after="0"/>
              <w:rPr>
                <w:sz w:val="1"/>
                <w:szCs w:val="1"/>
                <w:color w:val="auto"/>
              </w:rPr>
            </w:pPr>
          </w:p>
        </w:tc>
      </w:tr>
      <w:tr>
        <w:trPr>
          <w:trHeight w:val="186"/>
        </w:trPr>
        <w:tc>
          <w:tcPr>
            <w:tcW w:w="3960" w:type="dxa"/>
            <w:vAlign w:val="bottom"/>
            <w:vMerge w:val="restart"/>
          </w:tcPr>
          <w:p>
            <w:pPr>
              <w:spacing w:after="0"/>
              <w:rPr>
                <w:sz w:val="20"/>
                <w:szCs w:val="20"/>
                <w:color w:val="auto"/>
              </w:rPr>
            </w:pPr>
            <w:r>
              <w:rPr>
                <w:rFonts w:ascii="Arial" w:cs="Arial" w:eastAsia="Arial" w:hAnsi="Arial"/>
                <w:sz w:val="17"/>
                <w:szCs w:val="17"/>
                <w:b w:val="1"/>
                <w:bCs w:val="1"/>
                <w:color w:val="auto"/>
              </w:rPr>
              <w:t>Annual:</w:t>
            </w:r>
          </w:p>
        </w:tc>
        <w:tc>
          <w:tcPr>
            <w:tcW w:w="1220" w:type="dxa"/>
            <w:vAlign w:val="bottom"/>
            <w:gridSpan w:val="3"/>
          </w:tcPr>
          <w:p>
            <w:pPr>
              <w:ind w:left="280"/>
              <w:spacing w:after="0"/>
              <w:rPr>
                <w:sz w:val="20"/>
                <w:szCs w:val="20"/>
                <w:color w:val="auto"/>
              </w:rPr>
            </w:pPr>
            <w:r>
              <w:rPr>
                <w:rFonts w:ascii="Arial" w:cs="Arial" w:eastAsia="Arial" w:hAnsi="Arial"/>
                <w:sz w:val="14"/>
                <w:szCs w:val="14"/>
                <w:b w:val="1"/>
                <w:bCs w:val="1"/>
                <w:color w:val="auto"/>
              </w:rPr>
              <w:t>High</w:t>
            </w: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6"/>
                <w:szCs w:val="16"/>
                <w:color w:val="auto"/>
              </w:rPr>
            </w:pP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High</w:t>
            </w: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8"/>
        </w:trPr>
        <w:tc>
          <w:tcPr>
            <w:tcW w:w="3960" w:type="dxa"/>
            <w:vAlign w:val="bottom"/>
            <w:vMerge w:val="continue"/>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2010</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4.75</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2.86</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1.26</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2009</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5.68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0.86</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1.53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2008</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4.25</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0.69</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0.17</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2007 (from February 8, 2007)</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6.65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3.80</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Quarterly:</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Second Quarter 2011</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2.54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1.58</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0.74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First Quarter 2011</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3.24</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2.15</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0.91</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Fourth Quarter 2010</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3.59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2.86</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0.99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Third Quarter 2010</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3.82</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3.21</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Second Quarter 2010</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4.69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3.00</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First Quarter 2010</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4.75</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3.80</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1.26</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Fourth Quarter 2009</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5.68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1.53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0.93</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Third Quarter 2009</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4.60</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1.74</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1.22</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Second Quarter 2009</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2.79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1.33</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0.72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First Quarter 2009</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1.86</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0.86</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0.47</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06"/>
        </w:trPr>
        <w:tc>
          <w:tcPr>
            <w:tcW w:w="3960" w:type="dxa"/>
            <w:vAlign w:val="bottom"/>
          </w:tcPr>
          <w:p>
            <w:pPr>
              <w:spacing w:after="0"/>
              <w:rPr>
                <w:sz w:val="20"/>
                <w:szCs w:val="20"/>
                <w:color w:val="auto"/>
              </w:rPr>
            </w:pPr>
            <w:r>
              <w:rPr>
                <w:rFonts w:ascii="Arial" w:cs="Arial" w:eastAsia="Arial" w:hAnsi="Arial"/>
                <w:sz w:val="17"/>
                <w:szCs w:val="17"/>
                <w:b w:val="1"/>
                <w:bCs w:val="1"/>
                <w:color w:val="auto"/>
              </w:rPr>
              <w:t>Most Recent Six Months: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June 2011</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1.67</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1.23</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0.49</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May 2011</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1.58</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April 2011</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2.54</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2.32</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0.74</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March 2011</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2.60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2.15</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0.72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February 2011</w:t>
            </w:r>
          </w:p>
        </w:tc>
        <w:tc>
          <w:tcPr>
            <w:tcW w:w="82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2.96</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2.69</w:t>
            </w:r>
          </w:p>
        </w:tc>
        <w:tc>
          <w:tcPr>
            <w:tcW w:w="98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0.82</w:t>
            </w:r>
          </w:p>
        </w:tc>
        <w:tc>
          <w:tcPr>
            <w:tcW w:w="1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5"/>
              <w:spacing w:after="0"/>
              <w:rPr>
                <w:sz w:val="20"/>
                <w:szCs w:val="20"/>
                <w:color w:val="auto"/>
              </w:rPr>
            </w:pPr>
            <w:r>
              <w:rPr>
                <w:rFonts w:ascii="Arial" w:cs="Arial" w:eastAsia="Arial" w:hAnsi="Arial"/>
                <w:sz w:val="17"/>
                <w:szCs w:val="17"/>
                <w:color w:val="auto"/>
              </w:rPr>
              <w:t>0.74</w:t>
            </w:r>
          </w:p>
        </w:tc>
        <w:tc>
          <w:tcPr>
            <w:tcW w:w="0" w:type="dxa"/>
            <w:vAlign w:val="bottom"/>
          </w:tcPr>
          <w:p>
            <w:pPr>
              <w:spacing w:after="0"/>
              <w:rPr>
                <w:sz w:val="1"/>
                <w:szCs w:val="1"/>
                <w:color w:val="auto"/>
              </w:rPr>
            </w:pPr>
          </w:p>
        </w:tc>
      </w:tr>
      <w:tr>
        <w:trPr>
          <w:trHeight w:val="217"/>
        </w:trPr>
        <w:tc>
          <w:tcPr>
            <w:tcW w:w="3960" w:type="dxa"/>
            <w:vAlign w:val="bottom"/>
          </w:tcPr>
          <w:p>
            <w:pPr>
              <w:ind w:left="180"/>
              <w:spacing w:after="0"/>
              <w:rPr>
                <w:sz w:val="20"/>
                <w:szCs w:val="20"/>
                <w:color w:val="auto"/>
              </w:rPr>
            </w:pPr>
            <w:r>
              <w:rPr>
                <w:rFonts w:ascii="Arial" w:cs="Arial" w:eastAsia="Arial" w:hAnsi="Arial"/>
                <w:sz w:val="17"/>
                <w:szCs w:val="17"/>
                <w:color w:val="auto"/>
              </w:rPr>
              <w:t>January 2011</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3.24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2.90</w:t>
            </w:r>
          </w:p>
        </w:tc>
        <w:tc>
          <w:tcPr>
            <w:tcW w:w="980" w:type="dxa"/>
            <w:vAlign w:val="bottom"/>
            <w:gridSpan w:val="2"/>
          </w:tcPr>
          <w:p>
            <w:pPr>
              <w:jc w:val="right"/>
              <w:ind w:right="51"/>
              <w:spacing w:after="0"/>
              <w:rPr>
                <w:sz w:val="20"/>
                <w:szCs w:val="20"/>
                <w:color w:val="auto"/>
              </w:rPr>
            </w:pPr>
            <w:r>
              <w:rPr>
                <w:rFonts w:ascii="Arial" w:cs="Arial" w:eastAsia="Arial" w:hAnsi="Arial"/>
                <w:sz w:val="17"/>
                <w:szCs w:val="17"/>
                <w:color w:val="auto"/>
              </w:rPr>
              <w:t>0.91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0.79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right="1059" w:firstLine="257"/>
        <w:spacing w:after="0" w:line="306" w:lineRule="auto"/>
        <w:rPr>
          <w:sz w:val="20"/>
          <w:szCs w:val="20"/>
          <w:color w:val="auto"/>
        </w:rPr>
      </w:pPr>
      <w:r>
        <w:rPr>
          <w:rFonts w:ascii="Arial" w:cs="Arial" w:eastAsia="Arial" w:hAnsi="Arial"/>
          <w:sz w:val="15"/>
          <w:szCs w:val="15"/>
          <w:color w:val="auto"/>
        </w:rPr>
        <w:t>On June 30, 2011, the last reported sales price of our ordinary shares on the TASE was NIS 1.64 per share, or $0.48 per share (based on the exchange rate reported by the Bank of Israel for such date). On June 30, 2011, the exchange rate of the NIS to the dollar was $1.00 = NIS 3.415, as reported by the Bank of Israel. As of June 30, 2011 there were three shareholders of record of our ordinary shares. The number of record holders is not representative of the number of beneficial holders of our ordinary shares.</w:t>
      </w:r>
    </w:p>
    <w:p>
      <w:pPr>
        <w:spacing w:after="0" w:line="46" w:lineRule="exact"/>
        <w:rPr>
          <w:sz w:val="20"/>
          <w:szCs w:val="20"/>
          <w:color w:val="auto"/>
        </w:rPr>
      </w:pPr>
    </w:p>
    <w:p>
      <w:pPr>
        <w:jc w:val="both"/>
        <w:ind w:left="60" w:right="1099" w:firstLine="257"/>
        <w:spacing w:after="0" w:line="301" w:lineRule="auto"/>
        <w:rPr>
          <w:sz w:val="20"/>
          <w:szCs w:val="20"/>
          <w:color w:val="auto"/>
        </w:rPr>
      </w:pPr>
      <w:r>
        <w:rPr>
          <w:rFonts w:ascii="Arial" w:cs="Arial" w:eastAsia="Arial" w:hAnsi="Arial"/>
          <w:sz w:val="15"/>
          <w:szCs w:val="15"/>
          <w:color w:val="auto"/>
        </w:rPr>
        <w:t>Our Series 2 Warrants are also traded on the TASE. Currently there are 7,528,946 Series 2 Warrants outstanding, all of which are exercisable for one ordinary share at a per share exercise price of NIS 6.08, or $1.78 (based on the exchange rate on June 30). The Series 2 Warrants were originally scheduled to expire on December 29, 2011. However, our Board of Directors has decided to extend the exercise period of the Series 2 Warrants until June 30, 2013, subject to court and other approvals. As of June 30, 2011, there was one shareholder of record of our Series 2 Warrants. The number of record holders of our Series 2 Warrants is</w:t>
      </w:r>
    </w:p>
    <w:p>
      <w:pPr>
        <w:spacing w:after="0" w:line="200" w:lineRule="exact"/>
        <w:rPr>
          <w:sz w:val="20"/>
          <w:szCs w:val="20"/>
          <w:color w:val="auto"/>
        </w:rPr>
      </w:pPr>
    </w:p>
    <w:p>
      <w:pPr>
        <w:spacing w:after="0" w:line="275"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59"/>
        <w:spacing w:after="0" w:line="265" w:lineRule="auto"/>
        <w:rPr>
          <w:sz w:val="20"/>
          <w:szCs w:val="20"/>
          <w:color w:val="auto"/>
        </w:rPr>
      </w:pPr>
      <w:r>
        <w:rPr>
          <w:rFonts w:ascii="Arial" w:cs="Arial" w:eastAsia="Arial" w:hAnsi="Arial"/>
          <w:sz w:val="17"/>
          <w:szCs w:val="17"/>
          <w:color w:val="auto"/>
        </w:rPr>
        <w:t>not representative of the number of beneficial holders of our Series 2 Warrants. On May 31, 2011, the last reported sales price of our Series 2 Warrants on the TASE was NIS 0.22, or $0.06 per share (based on the exchange rate reported by the Bank of Israel for such date).</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Plan of Distribution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Reasons for the Offer and Use of Proceeds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10. ADDITIONAL INFORMATION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Share Capital</w:t>
      </w:r>
    </w:p>
    <w:p>
      <w:pPr>
        <w:spacing w:after="0" w:line="119"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color w:val="auto"/>
        </w:rPr>
        <w:t>At December 31, 2010, our authorized share capital consisted of 250,000,000 ordinary shares, par value NIS 0.01 per share, of which 123,579,221 shares were issued and outstanding as of the date of this Registration Statement on Form 20-F. All of our outstanding ordinary shares have been validly issued, fully paid and non-assessable. Our ordinary shares are not redeemable and are not subject to any preemptive right.</w:t>
      </w:r>
    </w:p>
    <w:p>
      <w:pPr>
        <w:spacing w:after="0" w:line="76"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At December 31, 2010, an additional 7,026,767 ordinary shares are issuable upon the exercise of outstanding options to purchase our ordinary shares. The exercise price of the options and warrants outstanding is between $0.01 and $1.42 per share. See “Item 6: Directors, Senior Management and Employees — Share Ownership — Share Option Plans” for a more detailed discussion on our outstanding options.</w:t>
      </w:r>
    </w:p>
    <w:p>
      <w:pPr>
        <w:spacing w:after="0" w:line="76"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At December 31, 2010, an additional 7,528,946 ordinary shares are issuable upon the exercise of outstanding warrants to purchase our ordinary shares. All of such warrants have been designated as our Series 2 Warrants. The Series 2 Warrants have an exercise price of NIS 6.08, or $1.75 (based on the exchange rate for May 31, 2011). The Series 2 Warrants were originally scheduled to expire on December 29, 2011. However, our Board of Directors has decided to extend the exercise period of the Series 2 Warrants until June 30, 2013, subject to court and other approvals.</w:t>
      </w:r>
    </w:p>
    <w:p>
      <w:pPr>
        <w:spacing w:after="0" w:line="77" w:lineRule="exact"/>
        <w:rPr>
          <w:sz w:val="20"/>
          <w:szCs w:val="20"/>
          <w:color w:val="auto"/>
        </w:rPr>
      </w:pPr>
    </w:p>
    <w:p>
      <w:pPr>
        <w:ind w:left="60" w:right="1119" w:firstLine="257"/>
        <w:spacing w:after="0" w:line="261" w:lineRule="auto"/>
        <w:rPr>
          <w:sz w:val="20"/>
          <w:szCs w:val="20"/>
          <w:color w:val="auto"/>
        </w:rPr>
      </w:pPr>
      <w:r>
        <w:rPr>
          <w:rFonts w:ascii="Arial" w:cs="Arial" w:eastAsia="Arial" w:hAnsi="Arial"/>
          <w:sz w:val="17"/>
          <w:szCs w:val="17"/>
          <w:color w:val="auto"/>
        </w:rPr>
        <w:t>As of January 1, 2008, we had 62,504,883 ordinary shares issued and outstanding. During 2009, we issued an aggregate of 3,032,008 ordinary shares in connection with the exercise of warrants and stock options. Total aggregate consideration received in consideration for these issuances was approximately NIS 123,000, or $31,277 (based on an exchange rate of $1.00 to NIS 3.9326, the average rate reported by the Bank of Israel for 2009).</w:t>
      </w:r>
    </w:p>
    <w:p>
      <w:pPr>
        <w:spacing w:after="0" w:line="76" w:lineRule="exact"/>
        <w:rPr>
          <w:sz w:val="20"/>
          <w:szCs w:val="20"/>
          <w:color w:val="auto"/>
        </w:rPr>
      </w:pPr>
    </w:p>
    <w:p>
      <w:pPr>
        <w:ind w:left="60" w:right="1059" w:firstLine="257"/>
        <w:spacing w:after="0" w:line="265" w:lineRule="auto"/>
        <w:rPr>
          <w:sz w:val="20"/>
          <w:szCs w:val="20"/>
          <w:color w:val="auto"/>
        </w:rPr>
      </w:pPr>
      <w:r>
        <w:rPr>
          <w:rFonts w:ascii="Arial" w:cs="Arial" w:eastAsia="Arial" w:hAnsi="Arial"/>
          <w:sz w:val="17"/>
          <w:szCs w:val="17"/>
          <w:color w:val="auto"/>
        </w:rPr>
        <w:t>On July 2, 2009, we issued 46,666,719 shares in a rights offering to our shareholders by means of a shelf offering report published on June 10, 2009, under the shelf prospectus of May 3, 2009. The per share price at the issuance was NIS 1.13 per share, or approximately $0.29 (based on the exchange rate reported by the Bank of Israel for that date).</w:t>
      </w:r>
    </w:p>
    <w:p>
      <w:pPr>
        <w:spacing w:after="0" w:line="73" w:lineRule="exact"/>
        <w:rPr>
          <w:sz w:val="20"/>
          <w:szCs w:val="20"/>
          <w:color w:val="auto"/>
        </w:rPr>
      </w:pPr>
    </w:p>
    <w:p>
      <w:pPr>
        <w:ind w:left="60" w:right="999" w:firstLine="257"/>
        <w:spacing w:after="0" w:line="296" w:lineRule="auto"/>
        <w:rPr>
          <w:sz w:val="20"/>
          <w:szCs w:val="20"/>
          <w:color w:val="auto"/>
        </w:rPr>
      </w:pPr>
      <w:r>
        <w:rPr>
          <w:rFonts w:ascii="Arial" w:cs="Arial" w:eastAsia="Arial" w:hAnsi="Arial"/>
          <w:sz w:val="15"/>
          <w:szCs w:val="15"/>
          <w:color w:val="auto"/>
        </w:rPr>
        <w:t>On December 29, 2009, we issued 11,293,419 of our ordinary shares, and Series 2 Warrants exercisable for 7,528,946 of our ordinary shares, in a follow-on public offering in Israel, or the Israeli Follow-On Offering, on the TASE. The per share offering price of the Israeli Follow-On Offering was NIS 4.167, or approximately $1.10 (based on the exchange rate reported by the Bank of Israel for that date), and the ordinary shares were offered in units consisting of three ordinary shares and two Series 2 Warrants, which were offered for no further consideration. The ordinary shares and the Series 2 Warrants are both listed for trading on the TASE and the Series 2 Warrants trade separately from the ordinary shares. The exercise price of the Series 2 Warrants is NIS 6.08, or approximately $1.77 (based on the exchange rate reported by the Bank of Israel for May 31, 2011) per share.</w:t>
      </w:r>
    </w:p>
    <w:p>
      <w:pPr>
        <w:spacing w:after="0" w:line="54" w:lineRule="exact"/>
        <w:rPr>
          <w:sz w:val="20"/>
          <w:szCs w:val="20"/>
          <w:color w:val="auto"/>
        </w:rPr>
      </w:pPr>
    </w:p>
    <w:p>
      <w:pPr>
        <w:jc w:val="both"/>
        <w:ind w:left="60" w:right="999" w:firstLine="257"/>
        <w:spacing w:after="0" w:line="265" w:lineRule="auto"/>
        <w:rPr>
          <w:sz w:val="20"/>
          <w:szCs w:val="20"/>
          <w:color w:val="auto"/>
        </w:rPr>
      </w:pPr>
      <w:r>
        <w:rPr>
          <w:rFonts w:ascii="Arial" w:cs="Arial" w:eastAsia="Arial" w:hAnsi="Arial"/>
          <w:sz w:val="17"/>
          <w:szCs w:val="17"/>
          <w:color w:val="auto"/>
        </w:rPr>
        <w:t>During 2010, we issued an aggregate of 82,192 ordinary shares in connection with the exercise of stock options. Total aggregate consideration received in consideration for these issuances was approximately NIS 24,000, or $6,400 (based on an exchange rate of $1.00 to NIS 3.732, the average rate reported by the Bank of Israel for 2010).</w:t>
      </w:r>
    </w:p>
    <w:p>
      <w:pPr>
        <w:spacing w:after="0" w:line="200" w:lineRule="exact"/>
        <w:rPr>
          <w:sz w:val="20"/>
          <w:szCs w:val="20"/>
          <w:color w:val="auto"/>
        </w:rPr>
      </w:pPr>
    </w:p>
    <w:p>
      <w:pPr>
        <w:spacing w:after="0" w:line="3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Memorandum and Articles of Association</w:t>
      </w:r>
    </w:p>
    <w:p>
      <w:pPr>
        <w:spacing w:after="0" w:line="119" w:lineRule="exact"/>
        <w:rPr>
          <w:sz w:val="20"/>
          <w:szCs w:val="20"/>
          <w:color w:val="auto"/>
        </w:rPr>
      </w:pPr>
    </w:p>
    <w:p>
      <w:pPr>
        <w:ind w:left="60" w:right="1439" w:firstLine="257"/>
        <w:spacing w:after="0" w:line="278" w:lineRule="auto"/>
        <w:rPr>
          <w:sz w:val="20"/>
          <w:szCs w:val="20"/>
          <w:color w:val="auto"/>
        </w:rPr>
      </w:pPr>
      <w:r>
        <w:rPr>
          <w:rFonts w:ascii="Arial" w:cs="Arial" w:eastAsia="Arial" w:hAnsi="Arial"/>
          <w:sz w:val="17"/>
          <w:szCs w:val="17"/>
          <w:color w:val="auto"/>
        </w:rPr>
        <w:t>Our number with the Israeli Registrar of Companies is 513398750. Our purpose is set forth in Section 2 of our Articles of Association and includes every lawful purpose.</w:t>
      </w:r>
    </w:p>
    <w:p>
      <w:pPr>
        <w:spacing w:after="0" w:line="62" w:lineRule="exact"/>
        <w:rPr>
          <w:sz w:val="20"/>
          <w:szCs w:val="20"/>
          <w:color w:val="auto"/>
        </w:rPr>
      </w:pPr>
    </w:p>
    <w:p>
      <w:pPr>
        <w:ind w:left="60" w:right="1019" w:firstLine="257"/>
        <w:spacing w:after="0" w:line="25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Articles of Association, unless the transfer is restricted or prohibited by applicable law or the rules of a stock exchange on which the shares are traded.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77" w:lineRule="exact"/>
        <w:rPr>
          <w:sz w:val="20"/>
          <w:szCs w:val="20"/>
          <w:color w:val="auto"/>
        </w:rPr>
      </w:pPr>
    </w:p>
    <w:p>
      <w:pPr>
        <w:jc w:val="both"/>
        <w:ind w:left="60" w:right="1239" w:firstLine="257"/>
        <w:spacing w:after="0" w:line="265" w:lineRule="auto"/>
        <w:rPr>
          <w:sz w:val="20"/>
          <w:szCs w:val="20"/>
          <w:color w:val="auto"/>
        </w:rPr>
      </w:pPr>
      <w:r>
        <w:rPr>
          <w:rFonts w:ascii="Arial" w:cs="Arial" w:eastAsia="Arial" w:hAnsi="Arial"/>
          <w:sz w:val="17"/>
          <w:szCs w:val="17"/>
          <w:color w:val="auto"/>
        </w:rPr>
        <w:t>Pursuant to the Israeli Companies Law and our Articles of Association, our Board of Directors may exercise all powers and take all actions that are not required under law or under our Articles of Association to be exercised or taken by our shareholders, including the power to borrow money for company purposes.</w:t>
      </w:r>
    </w:p>
    <w:p>
      <w:pPr>
        <w:spacing w:after="0" w:line="73" w:lineRule="exact"/>
        <w:rPr>
          <w:sz w:val="20"/>
          <w:szCs w:val="20"/>
          <w:color w:val="auto"/>
        </w:rPr>
      </w:pPr>
    </w:p>
    <w:p>
      <w:pPr>
        <w:ind w:left="60" w:right="999" w:firstLine="257"/>
        <w:spacing w:after="0" w:line="279" w:lineRule="auto"/>
        <w:rPr>
          <w:sz w:val="20"/>
          <w:szCs w:val="20"/>
          <w:color w:val="auto"/>
        </w:rPr>
      </w:pPr>
      <w:r>
        <w:rPr>
          <w:rFonts w:ascii="Arial" w:cs="Arial" w:eastAsia="Arial" w:hAnsi="Arial"/>
          <w:sz w:val="16"/>
          <w:szCs w:val="16"/>
          <w:color w:val="auto"/>
        </w:rPr>
        <w:t>Our Articles of Association enable us to increase or reduce our share capital. Any such changes are subject to the provisions of the Israeli Companies Law and must be approved by a resolution duly passed by our shareholders at a general or special meeting by voting on such change in the capital. In addition, transactions that have the effect of reducing capital, such as the declaration and payment of dividends in the absence of sufficient retained earnings and profits and an issuance of shares for less than their nominal value, require a resolution of our Board of Directors and court approval.</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Dividends</w:t>
      </w:r>
    </w:p>
    <w:p>
      <w:pPr>
        <w:spacing w:after="0" w:line="113"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77" w:lineRule="exact"/>
        <w:rPr>
          <w:sz w:val="20"/>
          <w:szCs w:val="20"/>
          <w:color w:val="auto"/>
        </w:rPr>
      </w:pPr>
    </w:p>
    <w:p>
      <w:pPr>
        <w:ind w:left="60" w:right="1079" w:firstLine="257"/>
        <w:spacing w:after="0" w:line="279" w:lineRule="auto"/>
        <w:rPr>
          <w:sz w:val="20"/>
          <w:szCs w:val="20"/>
          <w:color w:val="auto"/>
        </w:rPr>
      </w:pPr>
      <w:r>
        <w:rPr>
          <w:rFonts w:ascii="Arial" w:cs="Arial" w:eastAsia="Arial" w:hAnsi="Arial"/>
          <w:sz w:val="16"/>
          <w:szCs w:val="16"/>
          <w:color w:val="auto"/>
        </w:rPr>
        <w:t>Pursuant to the Israeli Companies Law, we may only distribute dividends from our profits accrued over the previous two years, as defined in the Israeli Companies Law, according to our then last reviewed or audited financial reports, provided that the date of the financial reports is not more than six months prior to the date of distribution, or we may distribute dividends with court approval. In each case, we are only permitted to pay a dividend if there is no reasonable concern that payment of the dividend will prevent us from satisfying our existing and foreseeable obligations as they become due.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Election of Directors</w:t>
      </w:r>
    </w:p>
    <w:p>
      <w:pPr>
        <w:spacing w:after="0" w:line="113" w:lineRule="exact"/>
        <w:rPr>
          <w:sz w:val="20"/>
          <w:szCs w:val="20"/>
          <w:color w:val="auto"/>
        </w:rPr>
      </w:pPr>
    </w:p>
    <w:p>
      <w:pPr>
        <w:ind w:left="60" w:right="999" w:firstLine="257"/>
        <w:spacing w:after="0" w:line="261" w:lineRule="auto"/>
        <w:rPr>
          <w:sz w:val="20"/>
          <w:szCs w:val="20"/>
          <w:color w:val="auto"/>
        </w:rPr>
      </w:pPr>
      <w:r>
        <w:rPr>
          <w:rFonts w:ascii="Arial" w:cs="Arial" w:eastAsia="Arial" w:hAnsi="Arial"/>
          <w:sz w:val="17"/>
          <w:szCs w:val="17"/>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“Item 6. Directors, Senior Management and Related Party Transactions — Board Practices — External Directors.”</w:t>
      </w:r>
    </w:p>
    <w:p>
      <w:pPr>
        <w:spacing w:after="0" w:line="76" w:lineRule="exact"/>
        <w:rPr>
          <w:sz w:val="20"/>
          <w:szCs w:val="20"/>
          <w:color w:val="auto"/>
        </w:rPr>
      </w:pPr>
    </w:p>
    <w:p>
      <w:pPr>
        <w:ind w:left="60" w:right="1019" w:firstLine="257"/>
        <w:spacing w:after="0" w:line="255" w:lineRule="auto"/>
        <w:rPr>
          <w:sz w:val="20"/>
          <w:szCs w:val="20"/>
          <w:color w:val="auto"/>
        </w:rPr>
      </w:pPr>
      <w:r>
        <w:rPr>
          <w:rFonts w:ascii="Arial" w:cs="Arial" w:eastAsia="Arial" w:hAnsi="Arial"/>
          <w:sz w:val="17"/>
          <w:szCs w:val="17"/>
          <w:color w:val="auto"/>
        </w:rPr>
        <w:t>Pursuant to our Articles of Association, other than the external directors, for whom special election requirements apply under the Israeli Companies Law, our directors are elected at a general or special meeting of our shareholders and serve on the Board of Directors until they are removed by the majority of our shareholders at a general or special meeting of our shareholders or upon the occurrence of certain events, in accordance with the Israeli Companies Law and our Articles of Association. In addition, our Articles of Association allow our Board of Directors to appoint directors to fill vacancies on the Board of Directors to serve until the next general meeting or special meeting, or earlier if required by our Articles of Association or applicable law. We have held elections for each of our non-external directors at each annual meeting of our shareholders since our initial public offering in Israel. External directors are elected for an initial term of three years and may be removed from office pursuant to the terms of the Israeli Companies Law. See “Item 6. Directors, Senior Management and Related Party Transactions — Board Practices — External Directors.”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Shareholder Meetings</w:t>
      </w:r>
    </w:p>
    <w:p>
      <w:pPr>
        <w:spacing w:after="0" w:line="113" w:lineRule="exact"/>
        <w:rPr>
          <w:sz w:val="20"/>
          <w:szCs w:val="20"/>
          <w:color w:val="auto"/>
        </w:rPr>
      </w:pPr>
    </w:p>
    <w:p>
      <w:pPr>
        <w:ind w:left="60" w:right="999" w:firstLine="257"/>
        <w:spacing w:after="0" w:line="265"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w:t>
      </w:r>
    </w:p>
    <w:p>
      <w:pPr>
        <w:spacing w:after="0" w:line="200" w:lineRule="exact"/>
        <w:rPr>
          <w:sz w:val="20"/>
          <w:szCs w:val="20"/>
          <w:color w:val="auto"/>
        </w:rPr>
      </w:pPr>
    </w:p>
    <w:p>
      <w:pPr>
        <w:spacing w:after="0" w:line="3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spacing w:after="0" w:line="259" w:lineRule="auto"/>
        <w:rPr>
          <w:sz w:val="20"/>
          <w:szCs w:val="20"/>
          <w:color w:val="auto"/>
        </w:rPr>
      </w:pPr>
      <w:r>
        <w:rPr>
          <w:rFonts w:ascii="Arial" w:cs="Arial" w:eastAsia="Arial" w:hAnsi="Arial"/>
          <w:sz w:val="17"/>
          <w:szCs w:val="17"/>
          <w:color w:val="auto"/>
        </w:rPr>
        <w:t>of Directors may call special meetings whenever it sees fit, at such time and place, within or outside of Israel, as it may determine. In addition, the Israeli Companies Law and our Articles of Association provide that our Board of Directors is required to convene a special meeting upon the written request of (a) any two of our directors or one quarter of our Board of Directors or (b) one or more shareholders holding, in the aggregate, either (1) 5% of our outstanding shares and 1% of our outstanding voting power or (2) 5% of our outstanding voting power.</w:t>
      </w:r>
    </w:p>
    <w:p>
      <w:pPr>
        <w:spacing w:after="0" w:line="77" w:lineRule="exact"/>
        <w:rPr>
          <w:sz w:val="20"/>
          <w:szCs w:val="20"/>
          <w:color w:val="auto"/>
        </w:rPr>
      </w:pPr>
    </w:p>
    <w:p>
      <w:pPr>
        <w:ind w:left="60" w:right="1039" w:firstLine="257"/>
        <w:spacing w:after="0" w:line="306"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and our Articles of Association require that resolutions regarding the following matters must be passed at a general meeting of our shareholders:</w:t>
      </w:r>
    </w:p>
    <w:p>
      <w:pPr>
        <w:spacing w:after="0" w:line="46" w:lineRule="exact"/>
        <w:rPr>
          <w:sz w:val="20"/>
          <w:szCs w:val="20"/>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amendments to our Articles of Association;</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appointment or termination of our auditors;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appointment of directors and appointment and dismissal of external directors;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approval of acts and transactions requiring general meeting approval pursuant to the Israeli Companies Law;</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director compensation, indemnification and change of the principal executive officer;</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increases or reductions of our authorized share capital;</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merger; and</w:t>
      </w:r>
    </w:p>
    <w:p>
      <w:pPr>
        <w:spacing w:after="0" w:line="113" w:lineRule="exact"/>
        <w:rPr>
          <w:rFonts w:ascii="Arial" w:cs="Arial" w:eastAsia="Arial" w:hAnsi="Arial"/>
          <w:sz w:val="17"/>
          <w:szCs w:val="17"/>
          <w:color w:val="auto"/>
        </w:rPr>
      </w:pPr>
    </w:p>
    <w:p>
      <w:pPr>
        <w:ind w:left="580" w:right="1419" w:hanging="307"/>
        <w:spacing w:after="0" w:line="278" w:lineRule="auto"/>
        <w:tabs>
          <w:tab w:leader="none" w:pos="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exercise of our Board of Director’s powers by a general meeting, if our Board of Directors is unable to exercise its powers and the exercise of any of its powers is required for our proper management.</w:t>
      </w:r>
    </w:p>
    <w:p>
      <w:pPr>
        <w:spacing w:after="0" w:line="62" w:lineRule="exact"/>
        <w:rPr>
          <w:sz w:val="20"/>
          <w:szCs w:val="20"/>
          <w:color w:val="auto"/>
        </w:rPr>
      </w:pPr>
    </w:p>
    <w:p>
      <w:pPr>
        <w:ind w:left="60" w:right="1059" w:firstLine="257"/>
        <w:spacing w:after="0" w:line="261" w:lineRule="auto"/>
        <w:rPr>
          <w:sz w:val="20"/>
          <w:szCs w:val="20"/>
          <w:color w:val="auto"/>
        </w:rPr>
      </w:pPr>
      <w:r>
        <w:rPr>
          <w:rFonts w:ascii="Arial" w:cs="Arial" w:eastAsia="Arial" w:hAnsi="Arial"/>
          <w:sz w:val="17"/>
          <w:szCs w:val="17"/>
          <w:color w:val="auto"/>
        </w:rPr>
        <w:t>The Israeli Companies Law requires that a notice of any annual or special shareholders meeting be provided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76" w:lineRule="exact"/>
        <w:rPr>
          <w:sz w:val="20"/>
          <w:szCs w:val="20"/>
          <w:color w:val="auto"/>
        </w:rPr>
      </w:pPr>
    </w:p>
    <w:p>
      <w:pPr>
        <w:ind w:left="60" w:right="1139" w:firstLine="257"/>
        <w:spacing w:after="0" w:line="347" w:lineRule="auto"/>
        <w:rPr>
          <w:sz w:val="20"/>
          <w:szCs w:val="20"/>
          <w:color w:val="auto"/>
        </w:rPr>
      </w:pPr>
      <w:r>
        <w:rPr>
          <w:rFonts w:ascii="Arial" w:cs="Arial" w:eastAsia="Arial" w:hAnsi="Arial"/>
          <w:sz w:val="15"/>
          <w:szCs w:val="15"/>
          <w:color w:val="auto"/>
        </w:rPr>
        <w:t>The Israeli Companies Law does not allow shareholders of publicly traded companies to approve corporate matters by written consent. Consequently, our Articles of Association does not allow shareholders to approve corporate matters by written consent.</w:t>
      </w:r>
    </w:p>
    <w:p>
      <w:pPr>
        <w:spacing w:after="0" w:line="16" w:lineRule="exact"/>
        <w:rPr>
          <w:sz w:val="20"/>
          <w:szCs w:val="20"/>
          <w:color w:val="auto"/>
        </w:rPr>
      </w:pPr>
    </w:p>
    <w:p>
      <w:pPr>
        <w:ind w:left="60" w:right="1039" w:firstLine="257"/>
        <w:spacing w:after="0" w:line="278" w:lineRule="auto"/>
        <w:rPr>
          <w:sz w:val="20"/>
          <w:szCs w:val="20"/>
          <w:color w:val="auto"/>
        </w:rPr>
      </w:pPr>
      <w:r>
        <w:rPr>
          <w:rFonts w:ascii="Arial" w:cs="Arial" w:eastAsia="Arial" w:hAnsi="Arial"/>
          <w:sz w:val="17"/>
          <w:szCs w:val="17"/>
          <w:color w:val="auto"/>
        </w:rPr>
        <w:t>Pursuant to our Articles of Association, holders of our ordinary shares have one vote for each ordinary share held on all matters submitted to a vote before the shareholders at a general meeting.</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Quorum</w:t>
      </w:r>
    </w:p>
    <w:p>
      <w:pPr>
        <w:spacing w:after="0" w:line="113" w:lineRule="exact"/>
        <w:rPr>
          <w:sz w:val="20"/>
          <w:szCs w:val="20"/>
          <w:color w:val="auto"/>
        </w:rPr>
      </w:pPr>
    </w:p>
    <w:p>
      <w:pPr>
        <w:ind w:left="60" w:right="1099" w:firstLine="257"/>
        <w:spacing w:after="0" w:line="311"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25% of the total outstanding voting rights.</w:t>
      </w:r>
    </w:p>
    <w:p>
      <w:pPr>
        <w:spacing w:after="0" w:line="38" w:lineRule="exact"/>
        <w:rPr>
          <w:sz w:val="20"/>
          <w:szCs w:val="20"/>
          <w:color w:val="auto"/>
        </w:rPr>
      </w:pPr>
    </w:p>
    <w:p>
      <w:pPr>
        <w:ind w:left="60" w:right="1099" w:firstLine="257"/>
        <w:spacing w:after="0" w:line="265" w:lineRule="auto"/>
        <w:rPr>
          <w:sz w:val="20"/>
          <w:szCs w:val="20"/>
          <w:color w:val="auto"/>
        </w:rPr>
      </w:pPr>
      <w:r>
        <w:rPr>
          <w:rFonts w:ascii="Arial" w:cs="Arial" w:eastAsia="Arial" w:hAnsi="Arial"/>
          <w:sz w:val="17"/>
          <w:szCs w:val="17"/>
          <w:color w:val="auto"/>
        </w:rPr>
        <w:t>A meeting adjourned for lack of a quorum is adjourned to the same day in the following week at the same time and place or on a later date if so specified in the summons or notice of the meeting. At the reconvened meeting, any number of our shareholders present in person or by proxy shall constitute a lawful quorum.</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Resolutions</w:t>
      </w:r>
    </w:p>
    <w:p>
      <w:pPr>
        <w:spacing w:after="0" w:line="113" w:lineRule="exact"/>
        <w:rPr>
          <w:sz w:val="20"/>
          <w:szCs w:val="20"/>
          <w:color w:val="auto"/>
        </w:rPr>
      </w:pPr>
    </w:p>
    <w:p>
      <w:pPr>
        <w:ind w:left="60" w:right="1319" w:firstLine="257"/>
        <w:spacing w:after="0" w:line="278" w:lineRule="auto"/>
        <w:rPr>
          <w:sz w:val="20"/>
          <w:szCs w:val="20"/>
          <w:color w:val="auto"/>
        </w:rPr>
      </w:pPr>
      <w:r>
        <w:rPr>
          <w:rFonts w:ascii="Arial" w:cs="Arial" w:eastAsia="Arial" w:hAnsi="Arial"/>
          <w:sz w:val="17"/>
          <w:szCs w:val="17"/>
          <w:color w:val="auto"/>
        </w:rPr>
        <w:t>Our Articles of Association provide that all resolutions of our shareholders require a simple majority vote, unless otherwise required by applicable law.</w:t>
      </w:r>
    </w:p>
    <w:p>
      <w:pPr>
        <w:spacing w:after="0" w:line="200" w:lineRule="exact"/>
        <w:rPr>
          <w:sz w:val="20"/>
          <w:szCs w:val="20"/>
          <w:color w:val="auto"/>
        </w:rPr>
      </w:pPr>
    </w:p>
    <w:p>
      <w:pPr>
        <w:spacing w:after="0" w:line="286"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79" w:firstLine="257"/>
        <w:spacing w:after="0" w:line="311"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written ballot in which the shareholder indicates how he or she votes on resolutions relating to the following matters:</w:t>
      </w:r>
    </w:p>
    <w:p>
      <w:pPr>
        <w:spacing w:after="0" w:line="38" w:lineRule="exact"/>
        <w:rPr>
          <w:sz w:val="20"/>
          <w:szCs w:val="20"/>
          <w:color w:val="auto"/>
        </w:rPr>
      </w:pPr>
    </w:p>
    <w:p>
      <w:pPr>
        <w:ind w:left="580" w:hanging="307"/>
        <w:spacing w:after="0"/>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appointment or removal of directors;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approval of transactions with office holders or interested or related parties;</w:t>
      </w:r>
    </w:p>
    <w:p>
      <w:pPr>
        <w:spacing w:after="0" w:line="113" w:lineRule="exact"/>
        <w:rPr>
          <w:rFonts w:ascii="Arial" w:cs="Arial" w:eastAsia="Arial" w:hAnsi="Arial"/>
          <w:sz w:val="17"/>
          <w:szCs w:val="17"/>
          <w:color w:val="auto"/>
        </w:rPr>
      </w:pPr>
    </w:p>
    <w:p>
      <w:pPr>
        <w:ind w:left="580" w:right="1159" w:hanging="307"/>
        <w:spacing w:after="0" w:line="278"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approval of a merger or any other matter in respect of which there is a provision in the articles of association providing that decisions of the general meeting may also be passed by written ballot; and</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 matters which may be prescribed by Israel’s Minister of Justice.</w:t>
      </w:r>
    </w:p>
    <w:p>
      <w:pPr>
        <w:spacing w:after="0" w:line="113"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The provision allowing the vote by written ballot does not apply where the voting power of the controlling shareholder is sufficient to determine the vote. Our Articles of Association provides that our Board of Directors may prevent voting by means of a written ballot and this determination is required to be stated in the notice convening the general meeting.</w:t>
      </w:r>
    </w:p>
    <w:p>
      <w:pPr>
        <w:spacing w:after="0" w:line="73" w:lineRule="exact"/>
        <w:rPr>
          <w:sz w:val="20"/>
          <w:szCs w:val="20"/>
          <w:color w:val="auto"/>
        </w:rPr>
      </w:pPr>
    </w:p>
    <w:p>
      <w:pPr>
        <w:ind w:left="60" w:right="1099" w:firstLine="257"/>
        <w:spacing w:after="0" w:line="273" w:lineRule="auto"/>
        <w:rPr>
          <w:sz w:val="20"/>
          <w:szCs w:val="20"/>
          <w:color w:val="auto"/>
        </w:rPr>
      </w:pPr>
      <w:r>
        <w:rPr>
          <w:rFonts w:ascii="Arial" w:cs="Arial" w:eastAsia="Arial" w:hAnsi="Arial"/>
          <w:sz w:val="16"/>
          <w:szCs w:val="16"/>
          <w:color w:val="auto"/>
        </w:rPr>
        <w:t>The Israeli Companies Law provides that a shareholder, in exercising his or her rights and performing his or her obligations toward the company and its other shareholders, must act in good faith and in a customary manner, and avoid abusing his or her power. This is required when voting at general meetings on matters such as changes to the articles of association, increasing the company’s registered capital, mergers and approval of related party transactions. A shareholder also has a general duty to refrain from depriving any other shareholder of its rights as a shareholder. In addition, any controlling shareholder, any shareholder who knows that its vote can determine the outcome of a shareholder vote and any shareholder who, under the company’s articles of association, can appoint or prevent the appointment of an office holder, is required to act with fairness towards the company. The Israeli Companies Law does not describe the substance of this duty except to state that the remedies generally available upon a breach of contract will also apply to a breach of the duty to act with fairness, and, to the best of our knowledge, there is no binding case law that addresses this subject directly.</w:t>
      </w:r>
    </w:p>
    <w:p>
      <w:pPr>
        <w:spacing w:after="0" w:line="68" w:lineRule="exact"/>
        <w:rPr>
          <w:sz w:val="20"/>
          <w:szCs w:val="20"/>
          <w:color w:val="auto"/>
        </w:rPr>
      </w:pPr>
    </w:p>
    <w:p>
      <w:pPr>
        <w:ind w:left="60" w:right="1139" w:firstLine="257"/>
        <w:spacing w:after="0" w:line="279" w:lineRule="auto"/>
        <w:rPr>
          <w:sz w:val="20"/>
          <w:szCs w:val="20"/>
          <w:color w:val="auto"/>
        </w:rPr>
      </w:pPr>
      <w:r>
        <w:rPr>
          <w:rFonts w:ascii="Arial" w:cs="Arial" w:eastAsia="Arial" w:hAnsi="Arial"/>
          <w:sz w:val="16"/>
          <w:szCs w:val="16"/>
          <w:color w:val="auto"/>
        </w:rPr>
        <w:t>An ordinary resolution at a shareholders meeting requires approval by a simple majority of the voting rights represented at the meeting, in person, by proxy or written ballot, and voting on the resolution. Under the Israeli Companies Law, unless otherwise provided in a company’s articles of association or under applicable law, all resolutions of the shareholders of a company require a simple majority. A resolution for the voluntary winding up of the company requires the approval of holders of 75% of the voting rights represented at the meeting, in person, by proxy or by written ballot and voting on the resolution.</w:t>
      </w:r>
    </w:p>
    <w:p>
      <w:pPr>
        <w:spacing w:after="0" w:line="63" w:lineRule="exact"/>
        <w:rPr>
          <w:sz w:val="20"/>
          <w:szCs w:val="20"/>
          <w:color w:val="auto"/>
        </w:rPr>
      </w:pPr>
    </w:p>
    <w:p>
      <w:pPr>
        <w:ind w:left="60" w:right="1039" w:firstLine="257"/>
        <w:spacing w:after="0" w:line="261" w:lineRule="auto"/>
        <w:rPr>
          <w:sz w:val="20"/>
          <w:szCs w:val="20"/>
          <w:color w:val="auto"/>
        </w:rPr>
      </w:pPr>
      <w:r>
        <w:rPr>
          <w:rFonts w:ascii="Arial" w:cs="Arial" w:eastAsia="Arial" w:hAnsi="Arial"/>
          <w:sz w:val="17"/>
          <w:szCs w:val="17"/>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Access to Corporate Records</w:t>
      </w:r>
    </w:p>
    <w:p>
      <w:pPr>
        <w:spacing w:after="0" w:line="113" w:lineRule="exact"/>
        <w:rPr>
          <w:sz w:val="20"/>
          <w:szCs w:val="20"/>
          <w:color w:val="auto"/>
        </w:rPr>
      </w:pPr>
    </w:p>
    <w:p>
      <w:pPr>
        <w:ind w:left="60" w:right="1079" w:firstLine="257"/>
        <w:spacing w:after="0" w:line="296" w:lineRule="auto"/>
        <w:rPr>
          <w:sz w:val="20"/>
          <w:szCs w:val="20"/>
          <w:color w:val="auto"/>
        </w:rPr>
      </w:pPr>
      <w:r>
        <w:rPr>
          <w:rFonts w:ascii="Arial" w:cs="Arial" w:eastAsia="Arial" w:hAnsi="Arial"/>
          <w:sz w:val="15"/>
          <w:szCs w:val="15"/>
          <w:color w:val="auto"/>
        </w:rPr>
        <w:t>Under the Israeli Companies Law, all shareholders of a company generally have the right to review minutes of the company’s general meetings, its shareholders register and principal shareholders register, articles of association, financial statements and any document it is required by law to file publicly with the Israeli Companies Registrar and the Israeli Securities Authority. Any of our shareholders may request access to review any document in our possession that relates to any action or transaction with a related party, interested party or office holder that requires shareholder approval under the Israeli Companies Law. We may deny a request to review a document if we determine that the request was not made in good faith, that the document contains a commercial secret or a patent or that the document’s disclosure may otherwise prejudice our interests.</w:t>
      </w:r>
    </w:p>
    <w:p>
      <w:pPr>
        <w:spacing w:after="0" w:line="200" w:lineRule="exact"/>
        <w:rPr>
          <w:sz w:val="20"/>
          <w:szCs w:val="20"/>
          <w:color w:val="auto"/>
        </w:rPr>
      </w:pPr>
    </w:p>
    <w:p>
      <w:pPr>
        <w:spacing w:after="0" w:line="29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Acquisitions under Israeli Law</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Full Tender Offer</w:t>
      </w:r>
    </w:p>
    <w:p>
      <w:pPr>
        <w:spacing w:after="0" w:line="113" w:lineRule="exact"/>
        <w:rPr>
          <w:sz w:val="20"/>
          <w:szCs w:val="20"/>
          <w:color w:val="auto"/>
        </w:rPr>
      </w:pPr>
    </w:p>
    <w:p>
      <w:pPr>
        <w:ind w:left="60" w:right="1039" w:firstLine="257"/>
        <w:spacing w:after="0" w:line="265" w:lineRule="auto"/>
        <w:rPr>
          <w:sz w:val="20"/>
          <w:szCs w:val="20"/>
          <w:color w:val="auto"/>
        </w:rPr>
      </w:pPr>
      <w:r>
        <w:rPr>
          <w:rFonts w:ascii="Arial" w:cs="Arial" w:eastAsia="Arial" w:hAnsi="Arial"/>
          <w:sz w:val="17"/>
          <w:szCs w:val="17"/>
          <w:color w:val="auto"/>
        </w:rPr>
        <w:t>The rights attached to any class of share, such as voting, liquidation and dividend rights, may be amended by written consent of the holders of a majority of the issued shares of that class, or by adoption of a resolution by the holders of a majority of the shares of that class present at a separate class meeting.</w:t>
      </w:r>
    </w:p>
    <w:p>
      <w:pPr>
        <w:spacing w:after="0" w:line="73" w:lineRule="exact"/>
        <w:rPr>
          <w:sz w:val="20"/>
          <w:szCs w:val="20"/>
          <w:color w:val="auto"/>
        </w:rPr>
      </w:pPr>
    </w:p>
    <w:p>
      <w:pPr>
        <w:ind w:left="60" w:right="1039" w:firstLine="257"/>
        <w:spacing w:after="0" w:line="289" w:lineRule="auto"/>
        <w:rPr>
          <w:sz w:val="20"/>
          <w:szCs w:val="20"/>
          <w:color w:val="auto"/>
        </w:rPr>
      </w:pPr>
      <w:r>
        <w:rPr>
          <w:rFonts w:ascii="Arial" w:cs="Arial" w:eastAsia="Arial" w:hAnsi="Arial"/>
          <w:sz w:val="15"/>
          <w:szCs w:val="15"/>
          <w:color w:val="auto"/>
        </w:rPr>
        <w:t>A person wishing to acquire shares of a public Israeli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 If the shareholders who do not accept the offer hold less than 5% of the issued and outstanding share capital of the company or of the applicable class, all of the shares that the acquirer offered to purchase will be transferred to the acquirer by operation of law (provided that, pursuant to an amendment to the Israeli Companies Law that became effective on May 15, 2011, a majority of the offerees that do not have a personal interest in such tender offer shall have approved the tender offer except that if the total votes to reject the tender offer represent less than 2% of the company’s issued and outstanding share capital, in the aggregate, approval by a majority of the offerees that do not have a personal interest in such tender offer is not required to complete the tender offer). However, a shareholder that had its shares so transferred may petition the court within six months from the date of acceptance of the full tender offer, whether or not such shareholder agreed to the tender, to determine whether the tender offer was for less than fair value and whether the fair value should be paid as determined by the court unless the acquirer stipulated in the tender offer that a shareholder that accepts the offer may not seek appraisal rights. If the shareholders who did not accept the tender offer hold 5% or more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Special Tender Offer</w:t>
      </w:r>
    </w:p>
    <w:p>
      <w:pPr>
        <w:spacing w:after="0" w:line="113" w:lineRule="exact"/>
        <w:rPr>
          <w:sz w:val="20"/>
          <w:szCs w:val="20"/>
          <w:color w:val="auto"/>
        </w:rPr>
      </w:pPr>
    </w:p>
    <w:p>
      <w:pPr>
        <w:ind w:left="60" w:right="1059" w:firstLine="257"/>
        <w:spacing w:after="0" w:line="296" w:lineRule="auto"/>
        <w:rPr>
          <w:sz w:val="20"/>
          <w:szCs w:val="20"/>
          <w:color w:val="auto"/>
        </w:rPr>
      </w:pPr>
      <w:r>
        <w:rPr>
          <w:rFonts w:ascii="Arial" w:cs="Arial" w:eastAsia="Arial" w:hAnsi="Arial"/>
          <w:sz w:val="15"/>
          <w:szCs w:val="15"/>
          <w:color w:val="auto"/>
        </w:rPr>
        <w:t>The Israeli Companies Law provides that an acquisition of shares of a public Israeli company must be made by means of a special tender offer if as a result of the acquisition the purchaser would become a holder of 25% or more of the voting rights in the company, unless one of the exemptions in the Israeli Companies Law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would become a holder of 45% or more of the voting rights in the company, if there is no other shareholder of the company who holds 45% or more of the voting rights in the company, unless one of the exemptions in the Israeli Companies Law is met.</w:t>
      </w:r>
    </w:p>
    <w:p>
      <w:pPr>
        <w:spacing w:after="0" w:line="54"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w:t>
      </w:r>
    </w:p>
    <w:p>
      <w:pPr>
        <w:spacing w:after="0" w:line="77" w:lineRule="exact"/>
        <w:rPr>
          <w:sz w:val="20"/>
          <w:szCs w:val="20"/>
          <w:color w:val="auto"/>
        </w:rPr>
      </w:pPr>
    </w:p>
    <w:p>
      <w:pPr>
        <w:ind w:left="60" w:right="1139" w:firstLine="257"/>
        <w:spacing w:after="0" w:line="282" w:lineRule="auto"/>
        <w:rPr>
          <w:sz w:val="20"/>
          <w:szCs w:val="20"/>
          <w:color w:val="auto"/>
        </w:rPr>
      </w:pPr>
      <w:r>
        <w:rPr>
          <w:rFonts w:ascii="Arial" w:cs="Arial" w:eastAsia="Arial" w:hAnsi="Arial"/>
          <w:sz w:val="16"/>
          <w:szCs w:val="16"/>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00" w:lineRule="exact"/>
        <w:rPr>
          <w:sz w:val="20"/>
          <w:szCs w:val="20"/>
          <w:color w:val="auto"/>
        </w:rPr>
      </w:pPr>
    </w:p>
    <w:p>
      <w:pPr>
        <w:spacing w:after="0" w:line="29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Merger</w:t>
      </w:r>
    </w:p>
    <w:p>
      <w:pPr>
        <w:spacing w:after="0" w:line="113"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The Israeli Companies Law permits merger transactions if approved by each party’s board of directors and, unless certain requirements described under the Israeli Companies Law are met, a majority of each party’s shares voted on the proposed merger at a shareholders’ meeting called with at least 35 days’ prior notice.</w:t>
      </w:r>
    </w:p>
    <w:p>
      <w:pPr>
        <w:spacing w:after="0" w:line="73" w:lineRule="exact"/>
        <w:rPr>
          <w:sz w:val="20"/>
          <w:szCs w:val="20"/>
          <w:color w:val="auto"/>
        </w:rPr>
      </w:pPr>
    </w:p>
    <w:p>
      <w:pPr>
        <w:ind w:left="60" w:right="1039" w:firstLine="257"/>
        <w:spacing w:after="0" w:line="275"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shares represented at the shareholders meeting that are held by parties other than the other party to the merger, or by any person who holds 25% or more of the outstanding shares or the right to appoint 25% or more of the directors of the other party, vote against the merger.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w:t>
      </w:r>
    </w:p>
    <w:p>
      <w:pPr>
        <w:spacing w:after="0" w:line="68" w:lineRule="exact"/>
        <w:rPr>
          <w:sz w:val="20"/>
          <w:szCs w:val="20"/>
          <w:color w:val="auto"/>
        </w:rPr>
      </w:pPr>
    </w:p>
    <w:p>
      <w:pPr>
        <w:jc w:val="both"/>
        <w:ind w:left="60" w:right="1059" w:firstLine="257"/>
        <w:spacing w:after="0" w:line="289"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56" w:lineRule="exact"/>
        <w:rPr>
          <w:sz w:val="20"/>
          <w:szCs w:val="20"/>
          <w:color w:val="auto"/>
        </w:rPr>
      </w:pPr>
    </w:p>
    <w:p>
      <w:pPr>
        <w:ind w:left="60" w:right="1019" w:firstLine="257"/>
        <w:spacing w:after="0" w:line="265"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was filed by each party with the Israeli Registrar of Companies and 30 days have passed from the date the merger was approved by the shareholders of each party.</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Antitakeover Measures</w:t>
      </w:r>
    </w:p>
    <w:p>
      <w:pPr>
        <w:spacing w:after="0" w:line="113" w:lineRule="exact"/>
        <w:rPr>
          <w:sz w:val="20"/>
          <w:szCs w:val="20"/>
          <w:color w:val="auto"/>
        </w:rPr>
      </w:pPr>
    </w:p>
    <w:p>
      <w:pPr>
        <w:ind w:left="60" w:right="1039" w:firstLine="257"/>
        <w:spacing w:after="0" w:line="273"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date of this prospectus, we do not have any authorized or issued shares other than our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shares at a general meeting. In addition, the rules and regulations of the TASE also limit the terms permitted with respect to a new class of shares and prohibit any such new class of shares from having voting rights. Shareholders voting in such meeting will be subject to the restrictions provided in the Israeli Companies Law as described above.</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Material Contracts</w:t>
      </w:r>
    </w:p>
    <w:p>
      <w:pPr>
        <w:spacing w:after="0" w:line="119" w:lineRule="exact"/>
        <w:rPr>
          <w:sz w:val="20"/>
          <w:szCs w:val="20"/>
          <w:color w:val="auto"/>
        </w:rPr>
      </w:pPr>
    </w:p>
    <w:p>
      <w:pPr>
        <w:ind w:left="60" w:right="1139" w:firstLine="257"/>
        <w:spacing w:after="0" w:line="317" w:lineRule="auto"/>
        <w:rPr>
          <w:sz w:val="20"/>
          <w:szCs w:val="20"/>
          <w:color w:val="auto"/>
        </w:rPr>
      </w:pPr>
      <w:r>
        <w:rPr>
          <w:rFonts w:ascii="Arial" w:cs="Arial" w:eastAsia="Arial" w:hAnsi="Arial"/>
          <w:sz w:val="15"/>
          <w:szCs w:val="15"/>
          <w:color w:val="auto"/>
        </w:rPr>
        <w:t>For a discussion of our out-licensing and in-licensing agreements, see Item 4. The following are summary descriptions of certain other material agreements to which we are a party. The descriptions provided below do not purport to be complete and are qualified in their entirety by the complete agreements, which are attached as exhibits to this Registration Statement on Form 20-F.</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Incubator Agreement</w:t>
      </w:r>
    </w:p>
    <w:p>
      <w:pPr>
        <w:spacing w:after="0" w:line="113" w:lineRule="exact"/>
        <w:rPr>
          <w:sz w:val="20"/>
          <w:szCs w:val="20"/>
          <w:color w:val="auto"/>
        </w:rPr>
      </w:pPr>
    </w:p>
    <w:p>
      <w:pPr>
        <w:ind w:left="60" w:right="999" w:firstLine="257"/>
        <w:spacing w:after="0" w:line="255" w:lineRule="auto"/>
        <w:rPr>
          <w:sz w:val="20"/>
          <w:szCs w:val="20"/>
          <w:color w:val="auto"/>
        </w:rPr>
      </w:pPr>
      <w:r>
        <w:rPr>
          <w:rFonts w:ascii="Arial" w:cs="Arial" w:eastAsia="Arial" w:hAnsi="Arial"/>
          <w:sz w:val="17"/>
          <w:szCs w:val="17"/>
          <w:color w:val="auto"/>
        </w:rPr>
        <w:t>We entered into an incubator agreement with the OCS in January 2005 to operate a biotechnology incubator. Our wholly-owned subsidiaries, BIJ Ltd. and BIJ L.P., operate the incubator. Under the arrangement, the OCS agreed to loan funds to the incubator in connection with in-licensing the rights to the therapeutic candidates. We in-license, through the incubator, certain, but not all, of the therapeutic candidates that we eventually incorporate into our pipeline. As of December 31, 2010, we received approximately $11.4 million in loans from the OCS under the incubator agreement, which does not include $5.7 million we have received from the OCS outside of the incubator agreement, as of that date. The OCS funds have been used to initiate 21 different development projects, 15 of which have terminated. Five of our current development projects have been funded under the incubator agreement, including BL-1021, BL-1040, BL-4040, BL-5040 and BL-6010. Other projects may be funded by the OCS outside of the incubator agreement.</w:t>
      </w:r>
    </w:p>
    <w:p>
      <w:pPr>
        <w:spacing w:after="0" w:line="200" w:lineRule="exact"/>
        <w:rPr>
          <w:sz w:val="20"/>
          <w:szCs w:val="20"/>
          <w:color w:val="auto"/>
        </w:rPr>
      </w:pPr>
    </w:p>
    <w:p>
      <w:pPr>
        <w:spacing w:after="0" w:line="323"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firstLine="257"/>
        <w:spacing w:after="0" w:line="306" w:lineRule="auto"/>
        <w:rPr>
          <w:sz w:val="20"/>
          <w:szCs w:val="20"/>
          <w:color w:val="auto"/>
        </w:rPr>
      </w:pPr>
      <w:r>
        <w:rPr>
          <w:rFonts w:ascii="Arial" w:cs="Arial" w:eastAsia="Arial" w:hAnsi="Arial"/>
          <w:sz w:val="15"/>
          <w:szCs w:val="15"/>
          <w:color w:val="auto"/>
        </w:rPr>
        <w:t>The incubator agreement had a six-year term ending on December 31, 2010 and has been renewed for an additional two-year term, with an option to renew for an additional one-year period, subject to OCS approval. If the incubator agreement terminates or expires, we will no longer be eligible for funding from the OCS through the incubator for new projects in the incubator, but projects and the terms of any outstanding loans at the time of expiration or termination will not be affected by the termination or expiration.</w:t>
      </w:r>
    </w:p>
    <w:p>
      <w:pPr>
        <w:spacing w:after="0" w:line="46" w:lineRule="exact"/>
        <w:rPr>
          <w:sz w:val="20"/>
          <w:szCs w:val="20"/>
          <w:color w:val="auto"/>
        </w:rPr>
      </w:pPr>
    </w:p>
    <w:p>
      <w:pPr>
        <w:ind w:left="60" w:right="999" w:firstLine="257"/>
        <w:spacing w:after="0" w:line="279" w:lineRule="auto"/>
        <w:rPr>
          <w:sz w:val="20"/>
          <w:szCs w:val="20"/>
          <w:color w:val="auto"/>
        </w:rPr>
      </w:pPr>
      <w:r>
        <w:rPr>
          <w:rFonts w:ascii="Arial" w:cs="Arial" w:eastAsia="Arial" w:hAnsi="Arial"/>
          <w:sz w:val="16"/>
          <w:szCs w:val="16"/>
          <w:color w:val="auto"/>
        </w:rPr>
        <w:t>Under the incubator program, the Biotechnology Incubators Committee of the OCS is required to approve each project we intend to perform through the incubator and has broad discretionary powers with respect to approving equipment purchases and the general operation of the incubator. All of the restrictions placed on OCS-funded technology apply as well to all intellectual property derived from the incubator project. See “Item 4. Information on the Company — Business Overview — Government Funding for Development Programs — Israel Office of the Chief Scientist — Research and Development Grants.”</w:t>
      </w:r>
    </w:p>
    <w:p>
      <w:pPr>
        <w:spacing w:after="0" w:line="63" w:lineRule="exact"/>
        <w:rPr>
          <w:sz w:val="20"/>
          <w:szCs w:val="20"/>
          <w:color w:val="auto"/>
        </w:rPr>
      </w:pPr>
    </w:p>
    <w:p>
      <w:pPr>
        <w:ind w:left="60" w:right="1019" w:firstLine="257"/>
        <w:spacing w:after="0" w:line="298" w:lineRule="auto"/>
        <w:rPr>
          <w:sz w:val="20"/>
          <w:szCs w:val="20"/>
          <w:color w:val="auto"/>
        </w:rPr>
      </w:pPr>
      <w:r>
        <w:rPr>
          <w:rFonts w:ascii="Arial" w:cs="Arial" w:eastAsia="Arial" w:hAnsi="Arial"/>
          <w:sz w:val="15"/>
          <w:szCs w:val="15"/>
          <w:color w:val="auto"/>
        </w:rPr>
        <w:t>If we elect to terminate an incubator project for drug development, we are required to provide to the OCS the reasons that led to the termination of the project together with a financial and technical report relating to the drug development. We are also obligated to send notice to the entity that in-licensed to us the technology used for developing the drug. If the licensor is interested in continuing the development of the therapeutic candidate, the licensor is required to execute an agreement with the OCS and us to assume all rights and obligations relating to the funding received from the OCS. We expect that upon termination of a project and fulfillment of all OCS requirements for such termination, all loans associated with such project will be forgiven by the OCS.</w:t>
      </w:r>
    </w:p>
    <w:p>
      <w:pPr>
        <w:spacing w:after="0" w:line="53" w:lineRule="exact"/>
        <w:rPr>
          <w:sz w:val="20"/>
          <w:szCs w:val="20"/>
          <w:color w:val="auto"/>
        </w:rPr>
      </w:pPr>
    </w:p>
    <w:p>
      <w:pPr>
        <w:ind w:left="60" w:right="1239" w:firstLine="257"/>
        <w:spacing w:after="0" w:line="290" w:lineRule="auto"/>
        <w:rPr>
          <w:sz w:val="20"/>
          <w:szCs w:val="20"/>
          <w:color w:val="auto"/>
        </w:rPr>
      </w:pPr>
      <w:r>
        <w:rPr>
          <w:rFonts w:ascii="Arial" w:cs="Arial" w:eastAsia="Arial" w:hAnsi="Arial"/>
          <w:sz w:val="15"/>
          <w:szCs w:val="15"/>
          <w:color w:val="auto"/>
        </w:rPr>
        <w:t>The funding provided to us under the incubator agreement is in the form of a separate loan for each project, which is to be repaid solely out of the revenues generated by such project, with interest, until the full repayment of the loan. Revenue derived from a product developed in the incubator is subject to royalty payments at the same rates as set forth in the Research Law, as described in this prospectus, and until the loans provided for that project are repaid. However, if a loan is not repaid within two years following the completion of the applicable incubator project the interest rate for that loan will be doubled for the third through fifth years after completion of the project. The loan and all accrued interest is repayable upon demand if we violate the terms of the incubator agreement, with accrued interest. We initially provided the OCS with a bank guarantee in the sum of approximately NIS 8.1 million to cover all of our undertakings made under the agreement. The amount of the guarantee was reduced and is currently approximately NIS 3.0 million. Every year, the amount of the guarantee is reduced by an amount equivalent to 50% of the incubator operating costs, subject to a minimum guarantee of approximately NIS 1.5 million. Our obligation to maintain the bank guarantee terminates three months after the expiration of the term of the incubator agreement. In addition, all intellectual property held or developed by the incubator in connection with the incubator program is pledged as security for our obligations under the agreement. The intellectual property rights pledged may be realized by the State of Israel eight years after the date of approval of the relevant incubator program, or earlier in the event of a breach of the incubator agreement by us, or in the event liquidation or dissolution of our biotechnology incubator.</w:t>
      </w:r>
    </w:p>
    <w:p>
      <w:pPr>
        <w:spacing w:after="0" w:line="64"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color w:val="auto"/>
        </w:rPr>
        <w:t>We operate a “type-2” technological incubator, also known as a “project incubator,” in which the incubator itself operates the project, and the intellectual property of the project is owned by the incubator. There are restrictions regarding the transfer of rights to intellectual property held by the incubator to any third party, and transfers of intellectual property must comply with the requirements of the Research Law, including those published by the Director-General of the OCS. There is a floating charge in favor of the OCS covering all of the assets and equipment of the incubator. Type-2 incubators may sell the incubator’s assets, but at least 25% of the earnings from the sale must be used to repay the loan. If there is a sale of all of the technology, or an exclusive license for all of the intellectual property assets, of a particular project, the loan must be repaid in full. In all cases, the amount used to repay any loan shall not exceed the full principal amount of the loan plus accrued interest and adjustments to the principal amount based on the common price index. In addition, the transfer of any intellectual property by any project company remains subject to the restrictions on transfers of OCS-funded technology out of Israel. See “— Government Regulation and Funding — Israeli Government Programs — Israel Office of the Chief Scientist.”</w:t>
      </w:r>
    </w:p>
    <w:p>
      <w:pPr>
        <w:spacing w:after="0" w:line="200" w:lineRule="exact"/>
        <w:rPr>
          <w:sz w:val="20"/>
          <w:szCs w:val="20"/>
          <w:color w:val="auto"/>
        </w:rPr>
      </w:pPr>
    </w:p>
    <w:p>
      <w:pPr>
        <w:spacing w:after="0" w:line="29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Early Development Program Agreement</w:t>
      </w:r>
    </w:p>
    <w:p>
      <w:pPr>
        <w:spacing w:after="0" w:line="113" w:lineRule="exact"/>
        <w:rPr>
          <w:sz w:val="20"/>
          <w:szCs w:val="20"/>
          <w:color w:val="auto"/>
        </w:rPr>
      </w:pPr>
    </w:p>
    <w:p>
      <w:pPr>
        <w:ind w:left="60" w:right="1019" w:firstLine="257"/>
        <w:spacing w:after="0" w:line="291" w:lineRule="auto"/>
        <w:rPr>
          <w:sz w:val="20"/>
          <w:szCs w:val="20"/>
          <w:color w:val="auto"/>
        </w:rPr>
      </w:pPr>
      <w:r>
        <w:rPr>
          <w:rFonts w:ascii="Arial" w:cs="Arial" w:eastAsia="Arial" w:hAnsi="Arial"/>
          <w:sz w:val="15"/>
          <w:szCs w:val="15"/>
          <w:color w:val="auto"/>
        </w:rPr>
        <w:t>We have entered into an agreement with our shareholder, Pan Atlantic Bank and Trust Limited, or Pan Atlantic, pursuant to which Pan Atlantic committed to provide us with up to $5.0 million to be used in connection with the in-licensing and development of early development stage therapeutic candidates, our Early Development Program. At least 70% of the research projects performed under the Early Development Program must originate inside Israel. We operate our Early Development Program independently from our biotechnology incubator. Pursuant to our Early Development Program, we are entitled to request from Pan Atlantic, twice a year, up to $625,000 for an aggregate of up to $1.25 million per year, unless otherwise agreed by Pan Atlantic, for our early development research projects, provided that we match the program funds at a rate of $0.20 per every dollar invested by Pan Atlantic. Pan Atlantic is not obligated to transfer any funds under this program for any request made after April 1, 2011. Pan Atlantic does not have any rights to any products developed through our early development projects. As part of the agreement, Pan Atlantic has the right to invest up to $5.0 million in our first public offering outside of Israel, including this offering. Currently, there is a liability on our balance sheet of $1.1 million, representing cumulative amounts received from Pan Atlantic in excess of the cumulative amounts spent on our Early Development Program as of December 31, 2010.</w:t>
      </w:r>
    </w:p>
    <w:p>
      <w:pPr>
        <w:spacing w:after="0" w:line="63" w:lineRule="exact"/>
        <w:rPr>
          <w:sz w:val="20"/>
          <w:szCs w:val="20"/>
          <w:color w:val="auto"/>
        </w:rPr>
      </w:pPr>
    </w:p>
    <w:p>
      <w:pPr>
        <w:ind w:left="60" w:right="1039" w:firstLine="257"/>
        <w:spacing w:after="0" w:line="257" w:lineRule="auto"/>
        <w:rPr>
          <w:sz w:val="20"/>
          <w:szCs w:val="20"/>
          <w:color w:val="auto"/>
        </w:rPr>
      </w:pPr>
      <w:r>
        <w:rPr>
          <w:rFonts w:ascii="Arial" w:cs="Arial" w:eastAsia="Arial" w:hAnsi="Arial"/>
          <w:sz w:val="17"/>
          <w:szCs w:val="17"/>
          <w:color w:val="auto"/>
        </w:rPr>
        <w:t>The term of the Early Development Program Agreement continues through the earlier of (i) the completion of the disbursement of all of the funds provided in the agreement and the completion of all research programs funded thereby and (ii) the termination of the agreement by either party. Each party to the agreement may terminate the agreement due to the default of the other party with respect to a material term of the agreement, which default is not cured within 30 days of the defaulting party’s receipt of notice of default, or to the occurrence of specified bankruptcy events with respect to the other party to the agreement or if the other party engages in a sale of all or substantially all of its assets as would cause that party to be unwilling to fulfill its obligations under the agreement.</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 Exchange Controls</w:t>
      </w:r>
    </w:p>
    <w:p>
      <w:pPr>
        <w:spacing w:after="0" w:line="119" w:lineRule="exact"/>
        <w:rPr>
          <w:sz w:val="20"/>
          <w:szCs w:val="20"/>
          <w:color w:val="auto"/>
        </w:rPr>
      </w:pPr>
    </w:p>
    <w:p>
      <w:pPr>
        <w:ind w:left="60" w:right="1159" w:firstLine="257"/>
        <w:spacing w:after="0" w:line="261" w:lineRule="auto"/>
        <w:rPr>
          <w:sz w:val="20"/>
          <w:szCs w:val="20"/>
          <w:color w:val="auto"/>
        </w:rPr>
      </w:pPr>
      <w:r>
        <w:rPr>
          <w:rFonts w:ascii="Arial" w:cs="Arial" w:eastAsia="Arial" w:hAnsi="Arial"/>
          <w:sz w:val="17"/>
          <w:szCs w:val="17"/>
          <w:color w:val="auto"/>
        </w:rPr>
        <w:t>There are no Israeli government laws, decrees or regulations that restrict or that affect our export or import of capital or the remittance of dividends, interest or other payments to non-resident holders of our securities, including the availability of cash and cash equivalents for use by us and our wholly-owned subsidiaries, except or otherwise as set forth under “Item 10E. Additional Information — Taxation.”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 Taxation</w:t>
      </w:r>
    </w:p>
    <w:p>
      <w:pPr>
        <w:spacing w:after="0" w:line="119" w:lineRule="exact"/>
        <w:rPr>
          <w:sz w:val="20"/>
          <w:szCs w:val="20"/>
          <w:color w:val="auto"/>
        </w:rPr>
      </w:pPr>
    </w:p>
    <w:p>
      <w:pPr>
        <w:ind w:left="60" w:right="1099" w:firstLine="257"/>
        <w:spacing w:after="0" w:line="261" w:lineRule="auto"/>
        <w:rPr>
          <w:sz w:val="20"/>
          <w:szCs w:val="20"/>
          <w:color w:val="auto"/>
        </w:rPr>
      </w:pPr>
      <w:r>
        <w:rPr>
          <w:rFonts w:ascii="Arial" w:cs="Arial" w:eastAsia="Arial" w:hAnsi="Arial"/>
          <w:sz w:val="17"/>
          <w:szCs w:val="17"/>
          <w:i w:val="1"/>
          <w:iCs w:val="1"/>
          <w:color w:val="auto"/>
        </w:rPr>
        <w:t>The following description is not intended to constitute a complete analysis of all tax consequences relating to the ownership or disposition of our ordinary shares or ADRs, both referred to in this Item 10E as the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Israeli Tax Considerations</w:t>
      </w:r>
    </w:p>
    <w:p>
      <w:pPr>
        <w:spacing w:after="0" w:line="119" w:lineRule="exact"/>
        <w:rPr>
          <w:sz w:val="20"/>
          <w:szCs w:val="20"/>
          <w:color w:val="auto"/>
        </w:rPr>
      </w:pPr>
    </w:p>
    <w:p>
      <w:pPr>
        <w:ind w:left="60" w:right="999" w:firstLine="257"/>
        <w:spacing w:after="0" w:line="296" w:lineRule="auto"/>
        <w:rPr>
          <w:sz w:val="20"/>
          <w:szCs w:val="20"/>
          <w:color w:val="auto"/>
        </w:rPr>
      </w:pPr>
      <w:r>
        <w:rPr>
          <w:rFonts w:ascii="Arial" w:cs="Arial" w:eastAsia="Arial" w:hAnsi="Arial"/>
          <w:sz w:val="15"/>
          <w:szCs w:val="15"/>
          <w:color w:val="auto"/>
        </w:rPr>
        <w:t>The following is a summary of the material Israeli tax laws applicable to us. This section also contains a discussion of material Israeli tax consequences concerning the ownership and disposition of our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Because certain parts of this discussion are based on new tax legislation that has not yet been subject to judicial or administrative interpretation, we cannot assure you that the appropriate tax authorities or the courts will accept the views expressed in this discussion.</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 Corporate Tax Structure in Israel</w:t>
      </w:r>
    </w:p>
    <w:p>
      <w:pPr>
        <w:spacing w:after="0" w:line="119" w:lineRule="exact"/>
        <w:rPr>
          <w:sz w:val="20"/>
          <w:szCs w:val="20"/>
          <w:color w:val="auto"/>
        </w:rPr>
      </w:pPr>
    </w:p>
    <w:p>
      <w:pPr>
        <w:ind w:left="60" w:right="1179" w:firstLine="257"/>
        <w:spacing w:after="0" w:line="261" w:lineRule="auto"/>
        <w:rPr>
          <w:sz w:val="20"/>
          <w:szCs w:val="20"/>
          <w:color w:val="auto"/>
        </w:rPr>
      </w:pPr>
      <w:r>
        <w:rPr>
          <w:rFonts w:ascii="Arial" w:cs="Arial" w:eastAsia="Arial" w:hAnsi="Arial"/>
          <w:sz w:val="17"/>
          <w:szCs w:val="17"/>
          <w:color w:val="auto"/>
        </w:rPr>
        <w:t>Israeli companies are generally subject to a corporate tax at the rate of 25% of their taxable income in 2010 and 24% in 2011. The corporate tax rate is scheduled to decline to 23% in 2012, 22% in 2013, 21% in 2014, 20% in 2015 and 18% in 2016 and thereafter. Capital gains derived by an Israeli company are generally subject to tax at a rate of 25%, or at the prevailing corporate tax rate, whichever is lower.</w:t>
      </w:r>
    </w:p>
    <w:p>
      <w:pPr>
        <w:spacing w:after="0" w:line="200" w:lineRule="exact"/>
        <w:rPr>
          <w:sz w:val="20"/>
          <w:szCs w:val="20"/>
          <w:color w:val="auto"/>
        </w:rPr>
      </w:pPr>
    </w:p>
    <w:p>
      <w:pPr>
        <w:spacing w:after="0" w:line="30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Tax Benefits and Grants for Research and Development</w:t>
      </w:r>
    </w:p>
    <w:p>
      <w:pPr>
        <w:spacing w:after="0" w:line="119" w:lineRule="exact"/>
        <w:rPr>
          <w:sz w:val="20"/>
          <w:szCs w:val="20"/>
          <w:color w:val="auto"/>
        </w:rPr>
      </w:pPr>
    </w:p>
    <w:p>
      <w:pPr>
        <w:ind w:left="60" w:right="1039" w:firstLine="257"/>
        <w:spacing w:after="0" w:line="295" w:lineRule="auto"/>
        <w:rPr>
          <w:sz w:val="20"/>
          <w:szCs w:val="20"/>
          <w:color w:val="auto"/>
        </w:rPr>
      </w:pPr>
      <w:r>
        <w:rPr>
          <w:rFonts w:ascii="Arial" w:cs="Arial" w:eastAsia="Arial" w:hAnsi="Arial"/>
          <w:sz w:val="15"/>
          <w:szCs w:val="15"/>
          <w:color w:val="auto"/>
        </w:rPr>
        <w:t>Israeli tax law allows, under certain conditions, a tax deduction for research and development expenditures, including capital expenditures, for the year in which they are incurred. These expenses must relate to scientific research and development projects and must be approved by the relevant Israeli government ministry, determined by the field of research. Furthermore, the research and development must be for the promotion of the company and carried out by or on behalf of the company seeking such tax deduction. The amount of such deductible expenses is reduced by the sum of any funds received through government grants for the funding of the scientific research and development projects. No deduction under these research and development deduction rules is allowed if such deduction is related to an expense invested in an asset depreciable under the general depreciation rules of the Income Tax Ordinance, 1961. Expenditures not so approved are deductible in equal amounts over three years.</w:t>
      </w:r>
    </w:p>
    <w:p>
      <w:pPr>
        <w:spacing w:after="0" w:line="53" w:lineRule="exact"/>
        <w:rPr>
          <w:sz w:val="20"/>
          <w:szCs w:val="20"/>
          <w:color w:val="auto"/>
        </w:rPr>
      </w:pPr>
    </w:p>
    <w:p>
      <w:pPr>
        <w:ind w:left="60" w:right="999" w:firstLine="257"/>
        <w:spacing w:after="0" w:line="265" w:lineRule="auto"/>
        <w:rPr>
          <w:sz w:val="20"/>
          <w:szCs w:val="20"/>
          <w:color w:val="auto"/>
        </w:rPr>
      </w:pPr>
      <w:r>
        <w:rPr>
          <w:rFonts w:ascii="Arial" w:cs="Arial" w:eastAsia="Arial" w:hAnsi="Arial"/>
          <w:sz w:val="17"/>
          <w:szCs w:val="17"/>
          <w:color w:val="auto"/>
        </w:rPr>
        <w:t>On a yearly basis, we evaluate the applicability of the above tax deduction for research and development expenditures and, based on our evaluation, determine whether to apply to the OCS for approval of a tax deduction. There can be no assurance that any application for a tax deduction will be accepted.</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Taxation of our Shareholders</w:t>
      </w:r>
    </w:p>
    <w:p>
      <w:pPr>
        <w:spacing w:after="0" w:line="119" w:lineRule="exact"/>
        <w:rPr>
          <w:sz w:val="20"/>
          <w:szCs w:val="20"/>
          <w:color w:val="auto"/>
        </w:rPr>
      </w:pPr>
    </w:p>
    <w:p>
      <w:pPr>
        <w:ind w:left="60" w:right="1039" w:firstLine="257"/>
        <w:spacing w:after="0" w:line="257" w:lineRule="auto"/>
        <w:rPr>
          <w:sz w:val="20"/>
          <w:szCs w:val="20"/>
          <w:color w:val="auto"/>
        </w:rPr>
      </w:pPr>
      <w:r>
        <w:rPr>
          <w:rFonts w:ascii="Arial" w:cs="Arial" w:eastAsia="Arial" w:hAnsi="Arial"/>
          <w:sz w:val="17"/>
          <w:szCs w:val="17"/>
          <w:i w:val="1"/>
          <w:iCs w:val="1"/>
          <w:color w:val="auto"/>
        </w:rPr>
        <w:t>Capital Gains Taxes Applicable to Non-Israeli Resident Shareholders</w:t>
      </w:r>
      <w:r>
        <w:rPr>
          <w:rFonts w:ascii="Arial" w:cs="Arial" w:eastAsia="Arial" w:hAnsi="Arial"/>
          <w:sz w:val="17"/>
          <w:szCs w:val="17"/>
          <w:color w:val="auto"/>
        </w:rPr>
        <w:t>. Shareholders that are not Israeli residents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exempt from Israeli capital gains tax on any gains derived from the sale, exchange or disposition of our Shares, provided that such shareholders did not acquire their Shares prior to our initial public offering on the TASE and such gains were not derived from a permanent establishment or business activity of such shareholders in Israel. However, non-Israeli corporations will not be entitled to the foregoing exemptions if an Israeli resident (a) has a controlling interest of 25% or more in such non-Israeli corporation or (b) is the beneficiary of or is entitled to 25% or more of the revenues or profits of such non-Israeli corporation, whether directly or indirectly.</w:t>
      </w:r>
    </w:p>
    <w:p>
      <w:pPr>
        <w:spacing w:after="0" w:line="78" w:lineRule="exact"/>
        <w:rPr>
          <w:sz w:val="20"/>
          <w:szCs w:val="20"/>
          <w:color w:val="auto"/>
        </w:rPr>
      </w:pPr>
    </w:p>
    <w:p>
      <w:pPr>
        <w:ind w:left="60" w:right="1039" w:firstLine="257"/>
        <w:spacing w:after="0" w:line="295" w:lineRule="auto"/>
        <w:rPr>
          <w:sz w:val="20"/>
          <w:szCs w:val="20"/>
          <w:color w:val="auto"/>
        </w:rPr>
      </w:pPr>
      <w:r>
        <w:rPr>
          <w:rFonts w:ascii="Arial" w:cs="Arial" w:eastAsia="Arial" w:hAnsi="Arial"/>
          <w:sz w:val="15"/>
          <w:szCs w:val="15"/>
          <w:color w:val="auto"/>
        </w:rPr>
        <w:t>In addition, under the U.S.-Israel Tax Treaty, the sale, exchange or disposition of our Shares by a shareholder who is a U.S. resident (for purposes of the U.S.-Israel Tax Treaty) holding the Shares as a capital asset is exempt from Israeli capital gains tax unless either (1) the shareholder holds, directly or indirectly, shares representing 10% or more of our voting capital during any part of the 12-month period preceding such sale, exchange or disposition or (2) the capital gains arising from such sale are attributable to a permanent establishment of the shareholder located in Israel. In either case, the sale, exchange or disposition of Shares would be subject to Israeli tax, to the extent applicable; however, under the U.S.-Israel Tax Treaty, the U.S. resident would be permitted to claim a credit for the tax against the U.S. federal income tax imposed with respect to the sale, exchange or disposition, subject to the limitations in U.S. laws applicable to foreign tax credits. The U.S.-Israel Tax Treaty does not relate to U.S. state or local taxes.</w:t>
      </w:r>
    </w:p>
    <w:p>
      <w:pPr>
        <w:spacing w:after="0" w:line="53" w:lineRule="exact"/>
        <w:rPr>
          <w:sz w:val="20"/>
          <w:szCs w:val="20"/>
          <w:color w:val="auto"/>
        </w:rPr>
      </w:pPr>
    </w:p>
    <w:p>
      <w:pPr>
        <w:ind w:left="60" w:right="1079" w:firstLine="257"/>
        <w:spacing w:after="0" w:line="278" w:lineRule="auto"/>
        <w:rPr>
          <w:sz w:val="20"/>
          <w:szCs w:val="20"/>
          <w:color w:val="auto"/>
        </w:rPr>
      </w:pPr>
      <w:r>
        <w:rPr>
          <w:rFonts w:ascii="Arial" w:cs="Arial" w:eastAsia="Arial" w:hAnsi="Arial"/>
          <w:sz w:val="17"/>
          <w:szCs w:val="17"/>
          <w:color w:val="auto"/>
        </w:rPr>
        <w:t>Shareholders may be required to demonstrate that they are exempt from tax on their capital gains in order to avoid withholding at source at the time of sale.</w:t>
      </w:r>
    </w:p>
    <w:p>
      <w:pPr>
        <w:spacing w:after="0" w:line="62"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Non-residents of Israel are generally subject to Israeli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on the receipt of dividends paid on our Shares at the rate of 20%, which tax will be withheld at the source, unless a different rate is provided in a tax treaty between Israel and the shareholder’s country of residence. With respect to a person who is a “substantial shareholder” at the time receiving the dividend or on any date in the 12 months preceding such date, the applicable tax rate is 25%. A “substantial shareholder” is generally a person who alone, or together with his relative or another person who collaborates with him on a permanent basis, holds, directly or indirectly, at least 10% of any of the “means of control” of the corporation. “Means of control” generally include the right to vote, receive profits, nominate a director or an officer, receive assets upon liquidation, or order someone who holds any of the aforesaid rights how to act, and all regardless of the source of such right. Under the U.S.-Israel Tax Treaty, the maximum rate of tax withheld in Israel on dividends paid to a holder of our Shares who is a U.S. resident (for purposes of the U.S.-Israel Tax Treaty) is 25%. However, generally, the maximum rate of withholding tax on dividends that are paid to a U.S. corporation holding 10% or more of our outstanding voting capital throughout the tax year in which the dividend is distributed as well as the previous tax year is 12.5%.</w:t>
      </w:r>
    </w:p>
    <w:p>
      <w:pPr>
        <w:spacing w:after="0" w:line="200" w:lineRule="exact"/>
        <w:rPr>
          <w:sz w:val="20"/>
          <w:szCs w:val="20"/>
          <w:color w:val="auto"/>
        </w:rPr>
      </w:pPr>
    </w:p>
    <w:p>
      <w:pPr>
        <w:spacing w:after="0" w:line="295"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jc w:val="both"/>
        <w:ind w:left="60" w:right="1079" w:firstLine="257"/>
        <w:spacing w:after="0" w:line="265" w:lineRule="auto"/>
        <w:rPr>
          <w:sz w:val="20"/>
          <w:szCs w:val="20"/>
          <w:color w:val="auto"/>
        </w:rPr>
      </w:pPr>
      <w:r>
        <w:rPr>
          <w:rFonts w:ascii="Arial" w:cs="Arial" w:eastAsia="Arial" w:hAnsi="Arial"/>
          <w:sz w:val="17"/>
          <w:szCs w:val="17"/>
          <w:color w:val="auto"/>
        </w:rPr>
        <w:t>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U.S. Federal Income Tax Considerations</w:t>
      </w:r>
    </w:p>
    <w:p>
      <w:pPr>
        <w:spacing w:after="0" w:line="119" w:lineRule="exact"/>
        <w:rPr>
          <w:sz w:val="20"/>
          <w:szCs w:val="20"/>
          <w:color w:val="auto"/>
        </w:rPr>
      </w:pPr>
    </w:p>
    <w:p>
      <w:pPr>
        <w:ind w:left="60" w:right="999" w:firstLine="257"/>
        <w:spacing w:after="0" w:line="291" w:lineRule="auto"/>
        <w:rPr>
          <w:sz w:val="20"/>
          <w:szCs w:val="20"/>
          <w:color w:val="auto"/>
        </w:rPr>
      </w:pPr>
      <w:r>
        <w:rPr>
          <w:rFonts w:ascii="Arial" w:cs="Arial" w:eastAsia="Arial" w:hAnsi="Arial"/>
          <w:sz w:val="15"/>
          <w:szCs w:val="15"/>
          <w:color w:val="auto"/>
        </w:rPr>
        <w:t>The following is a general summary of the material U.S. federal income tax considerations relating to the purchase, ownership and disposition of our Shares by U.S. Investors (as defined below) that hold such Shares as capital assets. This summary is based on the Internal Revenue Code, or the Code, the regulations of the U.S. Department of the Treasury issued pursuant to the Code, or the Treasury Regulations, and administrative and judicial interpretations thereof, all as in effect on the date hereof and all of which are subject to change, possibly with retroactive effect, or to different interpretation. This summary is for general information only and does not address all of the tax considerations that may be relevant to specific U.S. Investors in light of their particular circumstances or to U.S. Investors subject to special treatment under U.S. federal income tax law (such as banks, insurance companies, tax-exempt entities, retirement plans, regulated investment companies, partnerships, dealers in securities, brokers, real estate investment trusts, certain former citizens or residents of the United States, persons who acquire Shares as part of a straddle, hedge, conversion transaction or other integrated investment, persons that have a “functional currency” other than the U.S. dollar, persons that own (or are deemed to own, indirectly or by attribution) 10% or more of our shares or persons that generally mark their securities to market for U.S. federal income tax purposes). This summary does not address any U.S. state or local or non-U.S. tax considerations or any U.S. federal estate, gift or alternative minimum tax considerations.</w:t>
      </w:r>
    </w:p>
    <w:p>
      <w:pPr>
        <w:spacing w:after="0" w:line="60" w:lineRule="exact"/>
        <w:rPr>
          <w:sz w:val="20"/>
          <w:szCs w:val="20"/>
          <w:color w:val="auto"/>
        </w:rPr>
      </w:pPr>
    </w:p>
    <w:p>
      <w:pPr>
        <w:ind w:left="60" w:right="999" w:firstLine="257"/>
        <w:spacing w:after="0" w:line="275" w:lineRule="auto"/>
        <w:rPr>
          <w:sz w:val="20"/>
          <w:szCs w:val="20"/>
          <w:color w:val="auto"/>
        </w:rPr>
      </w:pPr>
      <w:r>
        <w:rPr>
          <w:rFonts w:ascii="Arial" w:cs="Arial" w:eastAsia="Arial" w:hAnsi="Arial"/>
          <w:sz w:val="16"/>
          <w:szCs w:val="16"/>
          <w:color w:val="auto"/>
        </w:rPr>
        <w:t>As used in this summary, the term “U.S. Investor” means a beneficial owner of Shares that is, for U.S. federal income tax purposes, (i) an individual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 regardless of its source or (iv) a trust with respect to which a court within the United States is able to exercise primary supervision over its administration and one or more U.S. persons have the authority to control all of its substantial decisions, or an electing trust that was in existence on August 19, 1996 and was treated as a domestic trust on that date.</w:t>
      </w:r>
    </w:p>
    <w:p>
      <w:pPr>
        <w:spacing w:after="0" w:line="68" w:lineRule="exact"/>
        <w:rPr>
          <w:sz w:val="20"/>
          <w:szCs w:val="20"/>
          <w:color w:val="auto"/>
        </w:rPr>
      </w:pPr>
    </w:p>
    <w:p>
      <w:pPr>
        <w:ind w:left="60" w:right="1039" w:firstLine="257"/>
        <w:spacing w:after="0" w:line="282" w:lineRule="auto"/>
        <w:rPr>
          <w:sz w:val="20"/>
          <w:szCs w:val="20"/>
          <w:color w:val="auto"/>
        </w:rPr>
      </w:pPr>
      <w:r>
        <w:rPr>
          <w:rFonts w:ascii="Arial" w:cs="Arial" w:eastAsia="Arial" w:hAnsi="Arial"/>
          <w:sz w:val="16"/>
          <w:szCs w:val="16"/>
          <w:color w:val="auto"/>
        </w:rPr>
        <w:t>If an entity treated as a partnership for U.S. federal income tax purposes holds Shares, the tax treatment of such partnership and each partner thereof will generally depend upon the status and activities of the partnership and such partner. A holder that is treated as a partnership for U.S. federal income tax purposes should consult its own tax advisor regarding the U.S. federal income tax considerations applicable to it and its partners of the purchase, ownership and disposition of Shares.</w:t>
      </w:r>
    </w:p>
    <w:p>
      <w:pPr>
        <w:spacing w:after="0" w:line="55" w:lineRule="exact"/>
        <w:rPr>
          <w:sz w:val="20"/>
          <w:szCs w:val="20"/>
          <w:color w:val="auto"/>
        </w:rPr>
      </w:pPr>
    </w:p>
    <w:p>
      <w:pPr>
        <w:ind w:left="60" w:right="1019" w:firstLine="257"/>
        <w:spacing w:after="0" w:line="263" w:lineRule="auto"/>
        <w:rPr>
          <w:sz w:val="20"/>
          <w:szCs w:val="20"/>
          <w:color w:val="auto"/>
        </w:rPr>
      </w:pPr>
      <w:r>
        <w:rPr>
          <w:rFonts w:ascii="Arial" w:cs="Arial" w:eastAsia="Arial" w:hAnsi="Arial"/>
          <w:sz w:val="17"/>
          <w:szCs w:val="17"/>
          <w:b w:val="1"/>
          <w:bCs w:val="1"/>
          <w:color w:val="auto"/>
        </w:rPr>
        <w:t>Prospective investors should be aware that this summary does not address the tax consequences to investors who are not U.S. Investors. Prospective investors should consult their own tax advisors as to the particular tax considerations applicable to them relating to the purchase, ownership and disposition of Shares, including the applicability of U.S. federal, state and local tax laws and non-U.S. tax laws</w:t>
      </w:r>
      <w:r>
        <w:rPr>
          <w:rFonts w:ascii="Arial" w:cs="Arial" w:eastAsia="Arial" w:hAnsi="Arial"/>
          <w:sz w:val="17"/>
          <w:szCs w:val="17"/>
          <w:color w:val="auto"/>
        </w:rPr>
        <w: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Taxation of U.S. Investors</w:t>
      </w:r>
    </w:p>
    <w:p>
      <w:pPr>
        <w:spacing w:after="0" w:line="119" w:lineRule="exact"/>
        <w:rPr>
          <w:sz w:val="20"/>
          <w:szCs w:val="20"/>
          <w:color w:val="auto"/>
        </w:rPr>
      </w:pPr>
    </w:p>
    <w:p>
      <w:pPr>
        <w:ind w:left="60" w:right="1239" w:firstLine="257"/>
        <w:spacing w:after="0" w:line="259" w:lineRule="auto"/>
        <w:rPr>
          <w:sz w:val="20"/>
          <w:szCs w:val="20"/>
          <w:color w:val="auto"/>
        </w:rPr>
      </w:pPr>
      <w:r>
        <w:rPr>
          <w:rFonts w:ascii="Arial" w:cs="Arial" w:eastAsia="Arial" w:hAnsi="Arial"/>
          <w:sz w:val="17"/>
          <w:szCs w:val="17"/>
          <w:color w:val="auto"/>
        </w:rPr>
        <w:t>The discussions under “— Distributions” and under “— Sale, Exchange or Other Disposition of Ordinary Shares” below assumes that we will not be treated as a passive foreign investment company, or PFIC, for U.S. federal income tax purposes. However, we have not determined whether we will be a PFIC in 2011, and it is possible that we will be a PFIC in 2011 or in any subsequent year. For a discussion of the rules that would apply if we are treated as a PFIC, see the discussion under “— Passive Foreign Investment Company.”</w:t>
      </w:r>
    </w:p>
    <w:p>
      <w:pPr>
        <w:spacing w:after="0" w:line="77" w:lineRule="exact"/>
        <w:rPr>
          <w:sz w:val="20"/>
          <w:szCs w:val="20"/>
          <w:color w:val="auto"/>
        </w:rPr>
      </w:pPr>
    </w:p>
    <w:p>
      <w:pPr>
        <w:ind w:left="60" w:right="1019" w:firstLine="257"/>
        <w:spacing w:after="0" w:line="259"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We have no current plans to pay dividends. To the extent we pay any dividends, a U.S. Investor will be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include in gross income as a taxable dividend the amount of any distributions made on the Shares, including the amount of any Israeli taxes withheld, to the extent that those distributions are paid out of our current or accumulated earnings and profits as determined for U.S. federal income tax purposes. Any distributions in excess of our earnings and profits will be applied against and will reduce the</w:t>
      </w:r>
    </w:p>
    <w:p>
      <w:pPr>
        <w:spacing w:after="0" w:line="200" w:lineRule="exact"/>
        <w:rPr>
          <w:sz w:val="20"/>
          <w:szCs w:val="20"/>
          <w:color w:val="auto"/>
        </w:rPr>
      </w:pPr>
    </w:p>
    <w:p>
      <w:pPr>
        <w:spacing w:after="0" w:line="30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19"/>
        <w:spacing w:after="0" w:line="272" w:lineRule="auto"/>
        <w:rPr>
          <w:sz w:val="20"/>
          <w:szCs w:val="20"/>
          <w:color w:val="auto"/>
        </w:rPr>
      </w:pPr>
      <w:r>
        <w:rPr>
          <w:rFonts w:ascii="Arial" w:cs="Arial" w:eastAsia="Arial" w:hAnsi="Arial"/>
          <w:sz w:val="16"/>
          <w:szCs w:val="16"/>
          <w:color w:val="auto"/>
        </w:rPr>
        <w:t>U.S. Investor’s tax basis in its Shares and to the extent they exceed that tax basis, will be treated as gain from the sale or exchange of those Shares. If we were to pay dividends, we expect to pay such dividends in NIS; however, dividends paid to holders of our ADRs will be paid in U.S. Dollars. A dividend paid in NIS, including the amount of any Israeli taxes withheld, will be includible in a U.S. Investor’s income as a U.S. dollar amount calculated by reference to the exchange rate in effect on the date such dividend is received, regardless of whether the payment is in fact converted into U.S. dollars. If the dividend is converted to U.S. dollars on the date of receipt, a U.S. Investor generally will not recognize a foreign currency gain or loss. However, if the U.S. Investor converts the NIS into U.S. dollars on a later date, the U.S. Investor must include, in computing its income, any gain or loss resulting from any exchange rate fluctuations. The gain or loss will be equal to the difference between (i) the U.S. dollar value of the amount included in income when the dividend was received and (ii) the amount received on the conversion of the NIS into U.S. dollars. Such gain or loss will generally be ordinary income or loss and United States source for U.S. foreign tax credit purposes. U.S. Investors should consult their own tax advisors regarding the tax consequences to them if we pay dividends in NIS or any other non-U.S. currency.</w:t>
      </w:r>
    </w:p>
    <w:p>
      <w:pPr>
        <w:spacing w:after="0" w:line="70" w:lineRule="exact"/>
        <w:rPr>
          <w:sz w:val="20"/>
          <w:szCs w:val="20"/>
          <w:color w:val="auto"/>
        </w:rPr>
      </w:pPr>
    </w:p>
    <w:p>
      <w:pPr>
        <w:ind w:left="60" w:right="1099" w:firstLine="257"/>
        <w:spacing w:after="0" w:line="257" w:lineRule="auto"/>
        <w:rPr>
          <w:sz w:val="20"/>
          <w:szCs w:val="20"/>
          <w:color w:val="auto"/>
        </w:rPr>
      </w:pPr>
      <w:r>
        <w:rPr>
          <w:rFonts w:ascii="Arial" w:cs="Arial" w:eastAsia="Arial" w:hAnsi="Arial"/>
          <w:sz w:val="17"/>
          <w:szCs w:val="17"/>
          <w:color w:val="auto"/>
        </w:rPr>
        <w:t>Subject to certain significant conditions and limitations, including potential limitations under the United States-Israel income tax treaty, any Israeli taxes paid on or withheld from distributions from us and not refundable to a U.S. Investor may be credited against the investor’s U.S. federal income tax liability or, alternatively, may be deducted from the investor’s taxable income. This election is made on a year-by-year basis and applies to all foreign taxes paid by a U.S. Investor or withheld from a U.S. Investor that year. Dividends paid on the Shares generally will constitute income from sources outside the United States and be categorized as “passive category income” or, in the case of some U.S. Investors, as “general category income” for U.S. foreign tax credit purposes.</w:t>
      </w:r>
    </w:p>
    <w:p>
      <w:pPr>
        <w:spacing w:after="0" w:line="78" w:lineRule="exact"/>
        <w:rPr>
          <w:sz w:val="20"/>
          <w:szCs w:val="20"/>
          <w:color w:val="auto"/>
        </w:rPr>
      </w:pPr>
    </w:p>
    <w:p>
      <w:pPr>
        <w:ind w:left="60" w:right="999" w:firstLine="257"/>
        <w:spacing w:after="0" w:line="279" w:lineRule="auto"/>
        <w:rPr>
          <w:sz w:val="20"/>
          <w:szCs w:val="20"/>
          <w:color w:val="auto"/>
        </w:rPr>
      </w:pPr>
      <w:r>
        <w:rPr>
          <w:rFonts w:ascii="Arial" w:cs="Arial" w:eastAsia="Arial" w:hAnsi="Arial"/>
          <w:sz w:val="16"/>
          <w:szCs w:val="16"/>
          <w:color w:val="auto"/>
        </w:rPr>
        <w:t>Since the rules governing foreign tax credits are complex, U.S. Investors should consult their own tax advisor regarding the availability of foreign tax credits in their particular circumstances. In addition, the U.S. Treasury Department has expressed concerns that parties to whom ADRs are pre-released may be taking actions that are inconsistent with the claiming of foreign tax credits by U.S. holders of ADRs. Accordingly, the creditability of Israeli taxes could be affected by future actions that may be taken by the U.S. Treasury Department or parties to whom ADRs are pre-released.</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Dividends paid on the Shares will not be eligible for the “dividends-received” deduction generally allowed to corporate U.S.</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Investors with respect to dividends received from U.S. corporations.</w:t>
      </w:r>
    </w:p>
    <w:p>
      <w:pPr>
        <w:spacing w:after="0" w:line="102" w:lineRule="exact"/>
        <w:rPr>
          <w:sz w:val="20"/>
          <w:szCs w:val="20"/>
          <w:color w:val="auto"/>
        </w:rPr>
      </w:pPr>
    </w:p>
    <w:p>
      <w:pPr>
        <w:ind w:left="60" w:right="1039" w:firstLine="257"/>
        <w:spacing w:after="0" w:line="275" w:lineRule="auto"/>
        <w:rPr>
          <w:sz w:val="20"/>
          <w:szCs w:val="20"/>
          <w:color w:val="auto"/>
        </w:rPr>
      </w:pPr>
      <w:r>
        <w:rPr>
          <w:rFonts w:ascii="Arial" w:cs="Arial" w:eastAsia="Arial" w:hAnsi="Arial"/>
          <w:sz w:val="16"/>
          <w:szCs w:val="16"/>
          <w:color w:val="auto"/>
        </w:rPr>
        <w:t>For taxable years beginning before January 1, 2013, distributions treated as dividends that are received by an individual U.S. Investor from “qualified foreign corporations” generally qualify for a 15% reduced maximum tax rate so long as certain holding period and other requirements are met. Dividends paid by us in a taxable year in which we are not a PFIC are expected to be eligible for the 15% reduced maximum tax rate. However, any dividend paid by us in a taxable year in which we are a PFIC will be subject to tax at regular ordinary income rates. As mentioned above, we have not determined whether we are currently a PFIC or not. Unless the reduced rate provision is extended or made permanent by subsequent legislation, for tax years beginning on or after January 1, 2013, dividends will be taxed at regular ordinary income rates.</w:t>
      </w:r>
    </w:p>
    <w:p>
      <w:pPr>
        <w:spacing w:after="0" w:line="68" w:lineRule="exact"/>
        <w:rPr>
          <w:sz w:val="20"/>
          <w:szCs w:val="20"/>
          <w:color w:val="auto"/>
        </w:rPr>
      </w:pPr>
    </w:p>
    <w:p>
      <w:pPr>
        <w:ind w:left="60" w:right="1019" w:firstLine="257"/>
        <w:spacing w:after="0" w:line="256" w:lineRule="auto"/>
        <w:rPr>
          <w:sz w:val="20"/>
          <w:szCs w:val="20"/>
          <w:color w:val="auto"/>
        </w:rPr>
      </w:pPr>
      <w:r>
        <w:rPr>
          <w:rFonts w:ascii="Arial" w:cs="Arial" w:eastAsia="Arial" w:hAnsi="Arial"/>
          <w:sz w:val="17"/>
          <w:szCs w:val="17"/>
          <w:i w:val="1"/>
          <w:iCs w:val="1"/>
          <w:color w:val="auto"/>
        </w:rPr>
        <w:t xml:space="preserve">Sale, Exchange or Other Disposition of Ordinary Shares. </w:t>
      </w:r>
      <w:r>
        <w:rPr>
          <w:rFonts w:ascii="Arial" w:cs="Arial" w:eastAsia="Arial" w:hAnsi="Arial"/>
          <w:sz w:val="17"/>
          <w:szCs w:val="17"/>
          <w:color w:val="auto"/>
        </w:rPr>
        <w:t>Subject to the discussion under “— Passive Foreign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below, a U.S. Investor generally will recognize capital gain or loss upon the sale, exchange or other disposition of Shares in an amount equal to the difference between the amount realized on the sale, exchange or other disposition and the U.S. Investor’s adjusted tax basis in such Shares. This capital gain or loss will be long-term capital gain or loss if the U.S. Investor’s holding period in the Shares exceeds one year. Preferential tax rates for long-term capital gain (currently, with a maximum rate of 15% for taxable years beginning before January 1, 2013) will apply to individual U.S. Investors. The deductibility of capital losses is subject to limitations. The gain or loss will generally be income or loss from sources within the United States for U.S. foreign tax credit purposes.</w:t>
      </w:r>
    </w:p>
    <w:p>
      <w:pPr>
        <w:spacing w:after="0" w:line="81" w:lineRule="exact"/>
        <w:rPr>
          <w:sz w:val="20"/>
          <w:szCs w:val="20"/>
          <w:color w:val="auto"/>
        </w:rPr>
      </w:pPr>
    </w:p>
    <w:p>
      <w:pPr>
        <w:ind w:left="60" w:right="1099" w:firstLine="257"/>
        <w:spacing w:after="0" w:line="278" w:lineRule="auto"/>
        <w:rPr>
          <w:sz w:val="20"/>
          <w:szCs w:val="20"/>
          <w:color w:val="auto"/>
        </w:rPr>
      </w:pPr>
      <w:r>
        <w:rPr>
          <w:rFonts w:ascii="Arial" w:cs="Arial" w:eastAsia="Arial" w:hAnsi="Arial"/>
          <w:sz w:val="17"/>
          <w:szCs w:val="17"/>
          <w:color w:val="auto"/>
        </w:rPr>
        <w:t>U.S. Investors should consult their own tax advisors regarding the U.S. federal income tax consequences of receiving currency other than U.S. dollars upon the disposition of Shares.</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Passive Foreign Investment Company</w:t>
      </w:r>
    </w:p>
    <w:p>
      <w:pPr>
        <w:spacing w:after="0" w:line="119" w:lineRule="exact"/>
        <w:rPr>
          <w:sz w:val="20"/>
          <w:szCs w:val="20"/>
          <w:color w:val="auto"/>
        </w:rPr>
      </w:pPr>
    </w:p>
    <w:p>
      <w:pPr>
        <w:ind w:left="60" w:right="1079" w:firstLine="257"/>
        <w:spacing w:after="0" w:line="274" w:lineRule="auto"/>
        <w:rPr>
          <w:sz w:val="20"/>
          <w:szCs w:val="20"/>
          <w:color w:val="auto"/>
        </w:rPr>
      </w:pPr>
      <w:r>
        <w:rPr>
          <w:rFonts w:ascii="Arial" w:cs="Arial" w:eastAsia="Arial" w:hAnsi="Arial"/>
          <w:sz w:val="16"/>
          <w:szCs w:val="16"/>
          <w:color w:val="auto"/>
        </w:rPr>
        <w:t>In general, a corporation organized outside the United States will be treated as a PFIC for U.S. federal income tax purposes in any taxable year in which either (i) at least 75% of its gross income is “passive income” or (ii) on average at least 50% of its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the public offering. In determining whether a non-U.S. corporation is a PFIC, a proportionate share of the income and assets of each corporation in which it owns, directly or indirectly, at least a 25% interest (by value) is taken into account.</w:t>
      </w:r>
    </w:p>
    <w:p>
      <w:pPr>
        <w:spacing w:after="0" w:line="69" w:lineRule="exact"/>
        <w:rPr>
          <w:sz w:val="20"/>
          <w:szCs w:val="20"/>
          <w:color w:val="auto"/>
        </w:rPr>
      </w:pPr>
    </w:p>
    <w:p>
      <w:pPr>
        <w:ind w:left="60" w:right="1119" w:firstLine="257"/>
        <w:spacing w:after="0" w:line="278" w:lineRule="auto"/>
        <w:rPr>
          <w:sz w:val="20"/>
          <w:szCs w:val="20"/>
          <w:color w:val="auto"/>
        </w:rPr>
      </w:pPr>
      <w:r>
        <w:rPr>
          <w:rFonts w:ascii="Arial" w:cs="Arial" w:eastAsia="Arial" w:hAnsi="Arial"/>
          <w:sz w:val="17"/>
          <w:szCs w:val="17"/>
          <w:color w:val="auto"/>
        </w:rPr>
        <w:t>Under the tests described above, whether or not we are a PFIC will be determined annually based upon the composition of our income and the composition and valuation of our assets, all of which are subject to change.</w:t>
      </w:r>
    </w:p>
    <w:p>
      <w:pPr>
        <w:spacing w:after="0" w:line="62" w:lineRule="exact"/>
        <w:rPr>
          <w:sz w:val="20"/>
          <w:szCs w:val="20"/>
          <w:color w:val="auto"/>
        </w:rPr>
      </w:pPr>
    </w:p>
    <w:p>
      <w:pPr>
        <w:jc w:val="both"/>
        <w:ind w:left="60" w:right="1059" w:firstLine="257"/>
        <w:spacing w:after="0" w:line="306" w:lineRule="auto"/>
        <w:rPr>
          <w:sz w:val="20"/>
          <w:szCs w:val="20"/>
          <w:color w:val="auto"/>
        </w:rPr>
      </w:pPr>
      <w:r>
        <w:rPr>
          <w:rFonts w:ascii="Arial" w:cs="Arial" w:eastAsia="Arial" w:hAnsi="Arial"/>
          <w:sz w:val="15"/>
          <w:szCs w:val="15"/>
          <w:color w:val="auto"/>
        </w:rPr>
        <w:t>We believe that we were a PFIC for U.S. federal income tax purposes for years prior to 2009. We were not a PFIC in 2009 and 2010, and we have not determined whether we will be a PFIC in 2011. Because the PFIC determination is highly fact intensive and made at the end of each taxable year, there can be no assurance that we will not be a PFIC in 2011 or in any subsequent year. Upon request, we will annually inform U.S. Investors if we and any of our subsidiaries were a PFIC with respect to the preceding year.</w:t>
      </w:r>
    </w:p>
    <w:p>
      <w:pPr>
        <w:spacing w:after="0" w:line="46" w:lineRule="exact"/>
        <w:rPr>
          <w:sz w:val="20"/>
          <w:szCs w:val="20"/>
          <w:color w:val="auto"/>
        </w:rPr>
      </w:pPr>
    </w:p>
    <w:p>
      <w:pPr>
        <w:ind w:left="60" w:right="1059" w:firstLine="257"/>
        <w:spacing w:after="0" w:line="259" w:lineRule="auto"/>
        <w:rPr>
          <w:sz w:val="20"/>
          <w:szCs w:val="20"/>
          <w:color w:val="auto"/>
        </w:rPr>
      </w:pPr>
      <w:r>
        <w:rPr>
          <w:rFonts w:ascii="Arial" w:cs="Arial" w:eastAsia="Arial" w:hAnsi="Arial"/>
          <w:sz w:val="17"/>
          <w:szCs w:val="17"/>
          <w:color w:val="auto"/>
        </w:rPr>
        <w:t>U.S. Investors should be aware of certain tax consequences of investing directly or indirectly in us if we are a PFIC. A U.S. Investor is subject to different rules depending on whether the U.S. Investor makes an election to treat us as a “qualified electing fund,” known as a QEF election, for the first taxable year that the U.S. Investor holds Shares, which is referred to in this disclosure as a “timely QEF election,” makes a “mark-to-market” election with respect to the Shares (if such election is available) or makes neither election.</w:t>
      </w:r>
    </w:p>
    <w:p>
      <w:pPr>
        <w:spacing w:after="0" w:line="77" w:lineRule="exact"/>
        <w:rPr>
          <w:sz w:val="20"/>
          <w:szCs w:val="20"/>
          <w:color w:val="auto"/>
        </w:rPr>
      </w:pPr>
    </w:p>
    <w:p>
      <w:pPr>
        <w:ind w:left="60" w:right="1039" w:firstLine="257"/>
        <w:spacing w:after="0" w:line="291" w:lineRule="auto"/>
        <w:rPr>
          <w:sz w:val="20"/>
          <w:szCs w:val="20"/>
          <w:color w:val="auto"/>
        </w:rPr>
      </w:pPr>
      <w:r>
        <w:rPr>
          <w:rFonts w:ascii="Arial" w:cs="Arial" w:eastAsia="Arial" w:hAnsi="Arial"/>
          <w:sz w:val="15"/>
          <w:szCs w:val="15"/>
          <w:i w:val="1"/>
          <w:iCs w:val="1"/>
          <w:color w:val="auto"/>
        </w:rPr>
        <w:t xml:space="preserve">QEF Election. </w:t>
      </w:r>
      <w:r>
        <w:rPr>
          <w:rFonts w:ascii="Arial" w:cs="Arial" w:eastAsia="Arial" w:hAnsi="Arial"/>
          <w:sz w:val="15"/>
          <w:szCs w:val="15"/>
          <w:color w:val="auto"/>
        </w:rPr>
        <w:t>A U.S. Investor who makes a timely QEF election, referred to in this disclosure as an “Electing U.S. Investor,”</w:t>
      </w:r>
      <w:r>
        <w:rPr>
          <w:rFonts w:ascii="Arial" w:cs="Arial" w:eastAsia="Arial" w:hAnsi="Arial"/>
          <w:sz w:val="15"/>
          <w:szCs w:val="15"/>
          <w:i w:val="1"/>
          <w:iCs w:val="1"/>
          <w:color w:val="auto"/>
        </w:rPr>
        <w:t xml:space="preserve"> </w:t>
      </w:r>
      <w:r>
        <w:rPr>
          <w:rFonts w:ascii="Arial" w:cs="Arial" w:eastAsia="Arial" w:hAnsi="Arial"/>
          <w:sz w:val="15"/>
          <w:szCs w:val="15"/>
          <w:color w:val="auto"/>
        </w:rPr>
        <w:t>with respect to us must report for U.S. federal income tax purposes his pro rata share of our ordinary earnings and net capital gain, if any, for our taxable year that ends with or within the taxable year of the Electing U.S. Investor. The “net capital gain” of a PFIC is the excess, if any, of the PFIC’s net long-term capital gains over its net short-term capital losses. The amount so included in income generally will be treated as ordinary income to the extent of such Electing U.S. Investor’s allocable share of the PFIC’s ordinary earnings and as long-term capital gain to the extent of such Electing U.S. Investor’s allocable share of the PFIC’s net capital gains. Such Electing U.S. Investor generally will be required to translate such income into U.S. dollars based on the average exchange rate for the PFIC’s taxable year with respect to the PFIC’s functional currency. Such income generally will be treated as income from sources outside the United States for U.S. foreign tax credit purposes. Amounts previously included in income by such Electing U.S. Investor under the QEF rules generally will not be subject to tax when they are distributed to such Electing U.S. Investor. The Electing U.S. Investor’s tax basis in Shares generally will increase by any amounts so included under the QEF rules and decrease by any amounts not included in income when distributed.</w:t>
      </w:r>
    </w:p>
    <w:p>
      <w:pPr>
        <w:spacing w:after="0" w:line="63" w:lineRule="exact"/>
        <w:rPr>
          <w:sz w:val="20"/>
          <w:szCs w:val="20"/>
          <w:color w:val="auto"/>
        </w:rPr>
      </w:pPr>
    </w:p>
    <w:p>
      <w:pPr>
        <w:ind w:left="60" w:right="1179" w:firstLine="257"/>
        <w:spacing w:after="0" w:line="259" w:lineRule="auto"/>
        <w:rPr>
          <w:sz w:val="20"/>
          <w:szCs w:val="20"/>
          <w:color w:val="auto"/>
        </w:rPr>
      </w:pPr>
      <w:r>
        <w:rPr>
          <w:rFonts w:ascii="Arial" w:cs="Arial" w:eastAsia="Arial" w:hAnsi="Arial"/>
          <w:sz w:val="17"/>
          <w:szCs w:val="17"/>
          <w:color w:val="auto"/>
        </w:rPr>
        <w:t>An Electing U.S. Investor will be subject to U.S. federal income tax on such amounts for each taxable year in which we are a PFIC, regardless of whether such amounts are actually distributed to such Electing U.S. Investor. However, an Electing U.S. Investor may, subject to certain limitations, elect to defer payment of current U.S. federal income tax on such amounts, subject to an interest charge. If an Electing U.S. Investor is an individual, any such interest will be treated as non-deductible “personal interest.”</w:t>
      </w:r>
    </w:p>
    <w:p>
      <w:pPr>
        <w:spacing w:after="0" w:line="77" w:lineRule="exact"/>
        <w:rPr>
          <w:sz w:val="20"/>
          <w:szCs w:val="20"/>
          <w:color w:val="auto"/>
        </w:rPr>
      </w:pPr>
    </w:p>
    <w:p>
      <w:pPr>
        <w:ind w:left="60" w:right="1019" w:firstLine="257"/>
        <w:spacing w:after="0" w:line="317" w:lineRule="auto"/>
        <w:rPr>
          <w:sz w:val="20"/>
          <w:szCs w:val="20"/>
          <w:color w:val="auto"/>
        </w:rPr>
      </w:pPr>
      <w:r>
        <w:rPr>
          <w:rFonts w:ascii="Arial" w:cs="Arial" w:eastAsia="Arial" w:hAnsi="Arial"/>
          <w:sz w:val="15"/>
          <w:szCs w:val="15"/>
          <w:color w:val="auto"/>
        </w:rPr>
        <w:t>Any net operating losses or net capital losses of a PFIC will not pass through to the Electing U.S. Investor and will not offset any ordinary earnings or net capital gain of a PFIC recognized by Electing U.S. Investors in subsequent years (although such losses would ultimately reduce the gain, or increase the loss, recognized by the Electing U.S. Investor on its disposition of the Shares).</w:t>
      </w:r>
    </w:p>
    <w:p>
      <w:pPr>
        <w:spacing w:after="0" w:line="37" w:lineRule="exact"/>
        <w:rPr>
          <w:sz w:val="20"/>
          <w:szCs w:val="20"/>
          <w:color w:val="auto"/>
        </w:rPr>
      </w:pPr>
    </w:p>
    <w:p>
      <w:pPr>
        <w:ind w:left="60" w:right="1199" w:firstLine="257"/>
        <w:spacing w:after="0" w:line="265" w:lineRule="auto"/>
        <w:rPr>
          <w:sz w:val="20"/>
          <w:szCs w:val="20"/>
          <w:color w:val="auto"/>
        </w:rPr>
      </w:pPr>
      <w:r>
        <w:rPr>
          <w:rFonts w:ascii="Arial" w:cs="Arial" w:eastAsia="Arial" w:hAnsi="Arial"/>
          <w:sz w:val="17"/>
          <w:szCs w:val="17"/>
          <w:color w:val="auto"/>
        </w:rPr>
        <w:t>So long as an Electing U.S. Investor’s QEF election with respect to us is in effect with respect to the entire holding period for Shares, any gain or loss recognized by such Electing U.S. Investor on the sale, exchange or other disposition of such Shares generally will be long-term capital gain or loss if such Electing</w:t>
      </w:r>
    </w:p>
    <w:p>
      <w:pPr>
        <w:spacing w:after="0" w:line="200" w:lineRule="exact"/>
        <w:rPr>
          <w:sz w:val="20"/>
          <w:szCs w:val="20"/>
          <w:color w:val="auto"/>
        </w:rPr>
      </w:pPr>
    </w:p>
    <w:p>
      <w:pPr>
        <w:spacing w:after="0" w:line="310"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jc w:val="both"/>
        <w:ind w:left="60" w:right="1199"/>
        <w:spacing w:after="0" w:line="289" w:lineRule="auto"/>
        <w:rPr>
          <w:sz w:val="20"/>
          <w:szCs w:val="20"/>
          <w:color w:val="auto"/>
        </w:rPr>
      </w:pPr>
      <w:r>
        <w:rPr>
          <w:rFonts w:ascii="Arial" w:cs="Arial" w:eastAsia="Arial" w:hAnsi="Arial"/>
          <w:sz w:val="16"/>
          <w:szCs w:val="16"/>
          <w:color w:val="auto"/>
        </w:rPr>
        <w:t>U.S. Investor has held such Shares for more than one year at the time of such sale, exchange or other disposition. Preferential tax rates for long-term capital gain (currently, with a maximum rate of 15% for taxable years beginning before January 1, 2011) will apply to individual U.S. Investors. The deductibility of capital losses is subject to limitations.</w:t>
      </w:r>
    </w:p>
    <w:p>
      <w:pPr>
        <w:spacing w:after="0" w:line="56" w:lineRule="exact"/>
        <w:rPr>
          <w:sz w:val="20"/>
          <w:szCs w:val="20"/>
          <w:color w:val="auto"/>
        </w:rPr>
      </w:pPr>
    </w:p>
    <w:p>
      <w:pPr>
        <w:ind w:left="60" w:right="1059" w:firstLine="257"/>
        <w:spacing w:after="0" w:line="257" w:lineRule="auto"/>
        <w:rPr>
          <w:sz w:val="20"/>
          <w:szCs w:val="20"/>
          <w:color w:val="auto"/>
        </w:rPr>
      </w:pPr>
      <w:r>
        <w:rPr>
          <w:rFonts w:ascii="Arial" w:cs="Arial" w:eastAsia="Arial" w:hAnsi="Arial"/>
          <w:sz w:val="17"/>
          <w:szCs w:val="17"/>
          <w:color w:val="auto"/>
        </w:rPr>
        <w:t>A U.S. Investor makes a QEF election by completing the relevant portions of and filing IRS Form 8621 in accordance with the instructions thereto. Upon request, we will annually furnish U.S. Investors with information needed in order to complete IRS Form 8621 (which form would be required to be filed with the IRS on an annual basis by the U.S. Investor) and to make and maintain a valid QEF election for any year in which we or any of our subsidiaries are a PFIC. A QEF election will not apply to any taxable year during which we are not a PFIC, but will remain in effect with respect to any subsequent taxable year in which we become a PFIC. Each U.S. Investor is encouraged to consult its own tax advisor with respect to tax consequences of a QEF election with respect to us.</w:t>
      </w:r>
    </w:p>
    <w:p>
      <w:pPr>
        <w:spacing w:after="0" w:line="78" w:lineRule="exact"/>
        <w:rPr>
          <w:sz w:val="20"/>
          <w:szCs w:val="20"/>
          <w:color w:val="auto"/>
        </w:rPr>
      </w:pPr>
    </w:p>
    <w:p>
      <w:pPr>
        <w:ind w:left="60" w:right="1039" w:firstLine="257"/>
        <w:spacing w:after="0" w:line="272" w:lineRule="auto"/>
        <w:rPr>
          <w:sz w:val="20"/>
          <w:szCs w:val="20"/>
          <w:color w:val="auto"/>
        </w:rPr>
      </w:pPr>
      <w:r>
        <w:rPr>
          <w:rFonts w:ascii="Arial" w:cs="Arial" w:eastAsia="Arial" w:hAnsi="Arial"/>
          <w:sz w:val="16"/>
          <w:szCs w:val="16"/>
          <w:i w:val="1"/>
          <w:iCs w:val="1"/>
          <w:color w:val="auto"/>
        </w:rPr>
        <w:t>Mark-to-Market Election</w:t>
      </w:r>
      <w:r>
        <w:rPr>
          <w:rFonts w:ascii="Arial" w:cs="Arial" w:eastAsia="Arial" w:hAnsi="Arial"/>
          <w:sz w:val="16"/>
          <w:szCs w:val="16"/>
          <w:color w:val="auto"/>
        </w:rPr>
        <w:t>. Alternatively, if our Shares are treated as “marketable stock,” a U.S. Investor would be allowed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a “mark-to-market” election with respect to our Shares, provided the U.S. Investor completes and files IRS Form 8621 in accordance with the relevant instructions and related Treasury Regulations. If that election is made, the U.S. Investor generally would include as ordinary income in each taxable year the excess, if any, of the fair market value of the Shares at the end of the taxable year over such holder’s adjusted tax basis in the Shares. The U.S. Investor would also be permitted an ordinary loss in respect of the excess, if any, of the U.S. Investor’s adjusted tax basis in the Shares over their fair market value at the end of the taxable year, but only to the extent of the net amount previously included in income as a result of the mark-to-market election. A U.S. Investor’s tax basis in the Shares would be adjusted to reflect any such income or loss amount. Gain realized on the sale, exchange or other disposition of the Shares would be treated as ordinary income, and any loss realized on the sale, exchange or other disposition of the Shares would be treated as ordinary loss to the extent that such loss does not exceed the net mark-to-market gains previously included in income by the U.S. Investor, and any loss in excess of such amount will be treated as capital loss. Amounts treated as ordinary income will not be eligible for the favorable tax rates applicable to qualified dividend income or long-term capital gains.</w:t>
      </w:r>
    </w:p>
    <w:p>
      <w:pPr>
        <w:spacing w:after="0" w:line="68"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color w:val="auto"/>
        </w:rPr>
        <w:t xml:space="preserve">Generally, stock will be considered marketable stock if it is “regularly traded” on a “qualified exchange” within the meaning of applicable Treasury regulations. A class of stock is regularly traded on an exchange during any calendar year during which such class of stock is traded, other than 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Our ADRs will be marketable stock as long as they remain listed on the NASDAQ Capital Market and are regularly traded. A mark-to-market election will not apply to our ADRs held by a U.S. Investor for any taxable year during which we are not a PFIC, but will remain in effect with respect to any subsequent taxable year in which we become a PFIC. Such election will not apply to any PFIC subsidiary that we own. Each U.S. Investor is encouraged to consult its own tax advisor with respect to the availability and tax consequences of a mark-to-market election with respect to our ADRs.</w:t>
      </w:r>
    </w:p>
    <w:p>
      <w:pPr>
        <w:spacing w:after="0" w:line="69"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i w:val="1"/>
          <w:iCs w:val="1"/>
          <w:color w:val="auto"/>
        </w:rPr>
        <w:t>Default PFIC Rules</w:t>
      </w:r>
      <w:r>
        <w:rPr>
          <w:rFonts w:ascii="Arial" w:cs="Arial" w:eastAsia="Arial" w:hAnsi="Arial"/>
          <w:sz w:val="17"/>
          <w:szCs w:val="17"/>
          <w:color w:val="auto"/>
        </w:rPr>
        <w:t>. A U.S. Investor who does not make a timely QEF election or a mark-to-market election, referred to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as a “Non-Electing U.S. Investor,” will be subject to special rules with respect to (a) any “excess distribution” (generally, the portion of any distributions received by the Non-Electing U.S. Investor on the Shares in a taxable year in excess of 125% of the average annual distributions received by the Non-Electing U.S. Investor in the three preceding taxable years, or, if shorter, the Non-Electing U.S. Investor’s holding period for his Shares), and (b) any gain realized on the sale or other disposition of such Shares. Under these rules:</w:t>
      </w:r>
    </w:p>
    <w:p>
      <w:pPr>
        <w:spacing w:after="0" w:line="82" w:lineRule="exact"/>
        <w:rPr>
          <w:sz w:val="20"/>
          <w:szCs w:val="20"/>
          <w:color w:val="auto"/>
        </w:rPr>
      </w:pPr>
    </w:p>
    <w:p>
      <w:pPr>
        <w:ind w:left="580" w:right="1419" w:hanging="307"/>
        <w:spacing w:after="0" w:line="278"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excess distribution or gain would be allocated ratably over the Non-Electing U.S. Investor’s holding period for the Shares;</w:t>
      </w:r>
    </w:p>
    <w:p>
      <w:pPr>
        <w:spacing w:after="0" w:line="61" w:lineRule="exact"/>
        <w:rPr>
          <w:rFonts w:ascii="Arial" w:cs="Arial" w:eastAsia="Arial" w:hAnsi="Arial"/>
          <w:sz w:val="17"/>
          <w:szCs w:val="17"/>
          <w:color w:val="auto"/>
        </w:rPr>
      </w:pPr>
    </w:p>
    <w:p>
      <w:pPr>
        <w:ind w:left="580" w:right="1439" w:hanging="307"/>
        <w:spacing w:after="0" w:line="278"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 allocated to the current taxable year and any year prior to us becoming a PFIC would be taxed as ordinary income; and</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jc w:val="both"/>
        <w:ind w:left="580" w:right="1359" w:hanging="307"/>
        <w:spacing w:after="0" w:line="265"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73" w:lineRule="exact"/>
        <w:rPr>
          <w:sz w:val="20"/>
          <w:szCs w:val="20"/>
          <w:color w:val="auto"/>
        </w:rPr>
      </w:pPr>
    </w:p>
    <w:p>
      <w:pPr>
        <w:jc w:val="both"/>
        <w:ind w:left="60" w:right="1099" w:firstLine="257"/>
        <w:spacing w:after="0" w:line="265" w:lineRule="auto"/>
        <w:rPr>
          <w:sz w:val="20"/>
          <w:szCs w:val="20"/>
          <w:color w:val="auto"/>
        </w:rPr>
      </w:pPr>
      <w:r>
        <w:rPr>
          <w:rFonts w:ascii="Arial" w:cs="Arial" w:eastAsia="Arial" w:hAnsi="Arial"/>
          <w:sz w:val="17"/>
          <w:szCs w:val="17"/>
          <w:color w:val="auto"/>
        </w:rPr>
        <w:t>If a Non-Electing U.S. Investor who is an individual dies while owning our Shares, the Non-Electing U.S. Investor’s successor would be ineligible to receive a step-up in tax basis of the Shares. Non-Electing U.S. Investors are encouraged to consult their tax advisors regarding the application of the PFIC rules to their specific situation.</w:t>
      </w:r>
    </w:p>
    <w:p>
      <w:pPr>
        <w:spacing w:after="0" w:line="73" w:lineRule="exact"/>
        <w:rPr>
          <w:sz w:val="20"/>
          <w:szCs w:val="20"/>
          <w:color w:val="auto"/>
        </w:rPr>
      </w:pPr>
    </w:p>
    <w:p>
      <w:pPr>
        <w:ind w:left="60" w:right="1019" w:firstLine="257"/>
        <w:spacing w:after="0" w:line="257" w:lineRule="auto"/>
        <w:rPr>
          <w:sz w:val="20"/>
          <w:szCs w:val="20"/>
          <w:color w:val="auto"/>
        </w:rPr>
      </w:pPr>
      <w:r>
        <w:rPr>
          <w:rFonts w:ascii="Arial" w:cs="Arial" w:eastAsia="Arial" w:hAnsi="Arial"/>
          <w:sz w:val="17"/>
          <w:szCs w:val="17"/>
          <w:color w:val="auto"/>
        </w:rPr>
        <w:t>A Non-Electing U.S. Investor who wishes to make a QEF election for a subsequent year may be able to make a special “purging election” pursuant to Section 1291(d) of the Code. Pursuant to this election, a Non-Electing U.S. Investor would be treated as selling his or her stock for fair market value on the first day of the taxable year for which the QEF election is made. Any gain on such deemed sale would be subject to tax under the rules for Non-Electing U.S. Investors as discussed above. Non-Electing U.S. Investors are encouraged to consult their tax advisors regarding the availability of a “purging election” as well as other available elections.</w:t>
      </w:r>
    </w:p>
    <w:p>
      <w:pPr>
        <w:spacing w:after="0" w:line="82" w:lineRule="exact"/>
        <w:rPr>
          <w:sz w:val="20"/>
          <w:szCs w:val="20"/>
          <w:color w:val="auto"/>
        </w:rPr>
      </w:pPr>
    </w:p>
    <w:p>
      <w:pPr>
        <w:ind w:left="60" w:right="999" w:firstLine="257"/>
        <w:spacing w:after="0" w:line="272" w:lineRule="auto"/>
        <w:rPr>
          <w:sz w:val="20"/>
          <w:szCs w:val="20"/>
          <w:color w:val="auto"/>
        </w:rPr>
      </w:pPr>
      <w:r>
        <w:rPr>
          <w:rFonts w:ascii="Arial" w:cs="Arial" w:eastAsia="Arial" w:hAnsi="Arial"/>
          <w:sz w:val="16"/>
          <w:szCs w:val="16"/>
          <w:color w:val="auto"/>
        </w:rPr>
        <w:t>To the extent a distribution on our Shares does not constitute an excess distribution to a Non-Electing U.S. Investor, such Non-Electing U.S. Investor generally will be required to include the amount of such distribution in gross income as a dividend to the extent of our current or accumulated earnings and profits (as determined for U.S. federal income tax purposes) that are not allocated to excess distributions. The tax consequences of such distributions are discussed above under “— Taxation of U.S.</w:t>
      </w:r>
    </w:p>
    <w:p>
      <w:pPr>
        <w:ind w:left="60"/>
        <w:spacing w:after="0"/>
        <w:rPr>
          <w:sz w:val="20"/>
          <w:szCs w:val="20"/>
          <w:color w:val="auto"/>
        </w:rPr>
      </w:pPr>
      <w:r>
        <w:rPr>
          <w:rFonts w:ascii="Arial" w:cs="Arial" w:eastAsia="Arial" w:hAnsi="Arial"/>
          <w:sz w:val="16"/>
          <w:szCs w:val="16"/>
          <w:color w:val="auto"/>
        </w:rPr>
        <w:t>Investors — Distributions.” Each U.S. Holder is encouraged to consult its own tax advisor with respect to the appropriate U.S.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federal income tax treatment of any distribution on our Shares.</w:t>
      </w:r>
    </w:p>
    <w:p>
      <w:pPr>
        <w:spacing w:after="0" w:line="102" w:lineRule="exact"/>
        <w:rPr>
          <w:sz w:val="20"/>
          <w:szCs w:val="20"/>
          <w:color w:val="auto"/>
        </w:rPr>
      </w:pPr>
    </w:p>
    <w:p>
      <w:pPr>
        <w:ind w:left="60" w:right="1139" w:firstLine="257"/>
        <w:spacing w:after="0" w:line="277" w:lineRule="auto"/>
        <w:rPr>
          <w:sz w:val="20"/>
          <w:szCs w:val="20"/>
          <w:color w:val="auto"/>
        </w:rPr>
      </w:pPr>
      <w:r>
        <w:rPr>
          <w:rFonts w:ascii="Arial" w:cs="Arial" w:eastAsia="Arial" w:hAnsi="Arial"/>
          <w:sz w:val="16"/>
          <w:szCs w:val="16"/>
          <w:color w:val="auto"/>
        </w:rPr>
        <w:t>If we are treated as a PFIC for any taxable year during the holding period of a Non-Electing U.S. Investor, we will continue to be treated as a PFIC for all succeeding years during which the Non-Electing U.S. Investor is treated as a direct or indirect Non-Electing U.S. Investor even if we are not a PFIC for such years. A U.S. Investor is encouraged to consult its tax advisor with respect to any available elections that may be applicable in such a situation, including the “deemed sale” election of Code Section 1298(b)(1). In addition, U.S. Investors should consult their tax advisors regarding the IRS information reporting and filing obligations that may arise as a result of the ownership of shares in a PFIC.</w:t>
      </w:r>
    </w:p>
    <w:p>
      <w:pPr>
        <w:spacing w:after="0" w:line="64" w:lineRule="exact"/>
        <w:rPr>
          <w:sz w:val="20"/>
          <w:szCs w:val="20"/>
          <w:color w:val="auto"/>
        </w:rPr>
      </w:pPr>
    </w:p>
    <w:p>
      <w:pPr>
        <w:ind w:left="60" w:right="999" w:firstLine="257"/>
        <w:spacing w:after="0" w:line="257" w:lineRule="auto"/>
        <w:rPr>
          <w:sz w:val="20"/>
          <w:szCs w:val="20"/>
          <w:color w:val="auto"/>
        </w:rPr>
      </w:pPr>
      <w:r>
        <w:rPr>
          <w:rFonts w:ascii="Arial" w:cs="Arial" w:eastAsia="Arial" w:hAnsi="Arial"/>
          <w:sz w:val="17"/>
          <w:szCs w:val="17"/>
          <w:color w:val="auto"/>
        </w:rPr>
        <w:t>We may invest in the equity of foreign corporations that are PFICs or may own subsidiaries that own PFICs. U.S. Investors will be subject to the PFIC rules with respect to their indirect ownership interests in such PFICs, such that a disposition of the shares of the PFIC or receipt by us of a distribution from the PFIC generally will be treated as a deemed disposition of such shares or the deemed receipt of such distribution by the U.S. Investor, subject to taxation under the PFIC rules. There can be no assurance that a U.S. Investor will be able to make a QEF election or a mark-to-market election with respect to PFICs in which we invest. Each U.S. Investor is encouraged to consult its own tax advisor with respect to tax consequences of an investment by us in a corporation that is a PFIC.</w:t>
      </w:r>
    </w:p>
    <w:p>
      <w:pPr>
        <w:spacing w:after="0" w:line="72" w:lineRule="exact"/>
        <w:rPr>
          <w:sz w:val="20"/>
          <w:szCs w:val="20"/>
          <w:color w:val="auto"/>
        </w:rPr>
      </w:pPr>
    </w:p>
    <w:p>
      <w:pPr>
        <w:ind w:left="60" w:right="1279" w:firstLine="257"/>
        <w:spacing w:after="0" w:line="321" w:lineRule="auto"/>
        <w:rPr>
          <w:sz w:val="20"/>
          <w:szCs w:val="20"/>
          <w:color w:val="auto"/>
        </w:rPr>
      </w:pPr>
      <w:r>
        <w:rPr>
          <w:rFonts w:ascii="Arial" w:cs="Arial" w:eastAsia="Arial" w:hAnsi="Arial"/>
          <w:sz w:val="15"/>
          <w:szCs w:val="15"/>
          <w:b w:val="1"/>
          <w:bCs w:val="1"/>
          <w:color w:val="auto"/>
        </w:rPr>
        <w:t>The U.S. federal income tax rules relating to PFICs are complex. U.S. Investors are urged to consult their own tax advisors with respect to the purchase, ownership and disposition of Shares, any elections available with respect to such Shares and the IRS information reporting obligations with respect to the purchase, ownership and disposition of Shares.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Certain Reporting Requirements</w:t>
      </w:r>
    </w:p>
    <w:p>
      <w:pPr>
        <w:spacing w:after="0" w:line="119"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color w:val="auto"/>
        </w:rPr>
        <w:t>Certain U.S. Investors are required to file IRS Form 926, Return by U.S. Transferor of Property to a Foreign Corporation, and certain U.S. Investors may be required to file IRS Form 5471, Information Return of U.S. Persons With Respect to Certain Foreign Corporations, reporting transfers of cash or other property to us and information relating to the U.S. Investor and us. Substantial penalties may be imposed upon a U.S. Investor that fails to comply. Each U.S. Investor should consult its own tax advisor regarding these requirements.</w:t>
      </w:r>
    </w:p>
    <w:p>
      <w:pPr>
        <w:spacing w:after="0" w:line="200" w:lineRule="exact"/>
        <w:rPr>
          <w:sz w:val="20"/>
          <w:szCs w:val="20"/>
          <w:color w:val="auto"/>
        </w:rPr>
      </w:pPr>
    </w:p>
    <w:p>
      <w:pPr>
        <w:spacing w:after="0" w:line="315"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Backup Withholding Tax and Information Reporting Requirements</w:t>
      </w:r>
    </w:p>
    <w:p>
      <w:pPr>
        <w:spacing w:after="0" w:line="119" w:lineRule="exact"/>
        <w:rPr>
          <w:sz w:val="20"/>
          <w:szCs w:val="20"/>
          <w:color w:val="auto"/>
        </w:rPr>
      </w:pPr>
    </w:p>
    <w:p>
      <w:pPr>
        <w:jc w:val="both"/>
        <w:ind w:left="60" w:right="1239" w:firstLine="257"/>
        <w:spacing w:after="0" w:line="291" w:lineRule="auto"/>
        <w:rPr>
          <w:sz w:val="20"/>
          <w:szCs w:val="20"/>
          <w:color w:val="auto"/>
        </w:rPr>
      </w:pPr>
      <w:r>
        <w:rPr>
          <w:rFonts w:ascii="Arial" w:cs="Arial" w:eastAsia="Arial" w:hAnsi="Arial"/>
          <w:sz w:val="15"/>
          <w:szCs w:val="15"/>
          <w:color w:val="auto"/>
        </w:rPr>
        <w:t>Generally, information reporting requirements will apply to distributions on our Shares or proceeds on the disposition of our Shares paid within the United States (and, in certain cases, outside the United States) to U.S. Investors other than certain exempt recipients, such as corporations. Furthermore, backup withholding (currently at 28%) may apply to such amounts if the U.S.</w:t>
      </w:r>
    </w:p>
    <w:p>
      <w:pPr>
        <w:spacing w:after="0" w:line="1" w:lineRule="exact"/>
        <w:rPr>
          <w:sz w:val="20"/>
          <w:szCs w:val="20"/>
          <w:color w:val="auto"/>
        </w:rPr>
      </w:pPr>
    </w:p>
    <w:p>
      <w:pPr>
        <w:ind w:left="60" w:right="1019"/>
        <w:spacing w:after="0" w:line="259" w:lineRule="auto"/>
        <w:rPr>
          <w:sz w:val="20"/>
          <w:szCs w:val="20"/>
          <w:color w:val="auto"/>
        </w:rPr>
      </w:pPr>
      <w:r>
        <w:rPr>
          <w:rFonts w:ascii="Arial" w:cs="Arial" w:eastAsia="Arial" w:hAnsi="Arial"/>
          <w:sz w:val="17"/>
          <w:szCs w:val="17"/>
          <w:color w:val="auto"/>
        </w:rPr>
        <w:t>Investor fails to (i) provide a correct taxpayer identification number, (ii) report interest and dividends required to be shown on its U.S. federal income tax return, or (iii) make other appropriate certifications in the required manner. U.S. Investors who are required to establish their exempt status generally must provide such certification on IRS Form W-9.</w:t>
      </w:r>
    </w:p>
    <w:p>
      <w:pPr>
        <w:spacing w:after="0" w:line="77" w:lineRule="exact"/>
        <w:rPr>
          <w:sz w:val="20"/>
          <w:szCs w:val="20"/>
          <w:color w:val="auto"/>
        </w:rPr>
      </w:pPr>
    </w:p>
    <w:p>
      <w:pPr>
        <w:ind w:left="60" w:right="1039" w:firstLine="257"/>
        <w:spacing w:after="0" w:line="289" w:lineRule="auto"/>
        <w:rPr>
          <w:sz w:val="20"/>
          <w:szCs w:val="20"/>
          <w:color w:val="auto"/>
        </w:rPr>
      </w:pPr>
      <w:r>
        <w:rPr>
          <w:rFonts w:ascii="Arial" w:cs="Arial" w:eastAsia="Arial" w:hAnsi="Arial"/>
          <w:sz w:val="16"/>
          <w:szCs w:val="16"/>
          <w:color w:val="auto"/>
        </w:rPr>
        <w:t>Backup withholding is not an additional tax. Amounts withheld as backup withholding from a payment may be credited against a U.S. Investor’s U.S. federal income tax liability and such U.S. Investor may obtain a refund of any excess amounts withheld by filing the appropriate claim for refund with the IRS and furnishing any required information in a timely manner.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New Legislative Developments</w:t>
      </w:r>
    </w:p>
    <w:p>
      <w:pPr>
        <w:spacing w:after="0" w:line="119" w:lineRule="exact"/>
        <w:rPr>
          <w:sz w:val="20"/>
          <w:szCs w:val="20"/>
          <w:color w:val="auto"/>
        </w:rPr>
      </w:pPr>
    </w:p>
    <w:p>
      <w:pPr>
        <w:jc w:val="both"/>
        <w:ind w:left="60" w:right="1259" w:firstLine="257"/>
        <w:spacing w:after="0" w:line="301" w:lineRule="auto"/>
        <w:rPr>
          <w:sz w:val="20"/>
          <w:szCs w:val="20"/>
          <w:color w:val="auto"/>
        </w:rPr>
      </w:pPr>
      <w:r>
        <w:rPr>
          <w:rFonts w:ascii="Arial" w:cs="Arial" w:eastAsia="Arial" w:hAnsi="Arial"/>
          <w:sz w:val="15"/>
          <w:szCs w:val="15"/>
          <w:color w:val="auto"/>
        </w:rPr>
        <w:t>Recently enacted legislation imposes new reporting requirements for the holder of certain foreign financial assets, including equity of foreign entities, if the aggregate value of all of these assets exceeds $50,000. The Shares are expected to be subject to these new reporting requirements unless the Shares are held in an account at a domestic financial institution. The requirement to file a report is effective for taxable years beginning after March 18, 2010. Penalties apply to any failure to file a required report. U.S. Investors should consult their own tax advisors regarding the application of this legislation.</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with respect to taxable years beginning after December 31, 2012, certain U.S. persons, including individuals,</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5"/>
          <w:szCs w:val="15"/>
          <w:color w:val="auto"/>
        </w:rPr>
        <w:t>estates and trusts, will be subject to an additional 3.8% Medicare tax on unearned income. For individuals, the additional Medicare</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 applies to the lesser of (i) “net investment income” or (ii) the excess of “modified adjusted gross income” over $200,000</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($250,000 if married and filing jointly or $125,000 if married and filing separately). “Net investment income” generally equals the</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taxpayer’s gross investment income reduced by the deductions that are allocable to such income. Investment income generally</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includes passive income such as interest, dividends, annuities, royalties, rents, and capital gains. U.S. Investors are urged to consult</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their own tax advisors regarding the implications of the additional Medicare tax resulting from their ownership and disposition of</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Shares.</w:t>
      </w:r>
    </w:p>
    <w:p>
      <w:pPr>
        <w:spacing w:after="0" w:line="96" w:lineRule="exact"/>
        <w:rPr>
          <w:sz w:val="20"/>
          <w:szCs w:val="20"/>
          <w:color w:val="auto"/>
        </w:rPr>
      </w:pPr>
    </w:p>
    <w:p>
      <w:pPr>
        <w:ind w:left="60" w:right="1759" w:firstLine="257"/>
        <w:spacing w:after="0" w:line="286" w:lineRule="auto"/>
        <w:rPr>
          <w:sz w:val="20"/>
          <w:szCs w:val="20"/>
          <w:color w:val="auto"/>
        </w:rPr>
      </w:pPr>
      <w:r>
        <w:rPr>
          <w:rFonts w:ascii="Arial" w:cs="Arial" w:eastAsia="Arial" w:hAnsi="Arial"/>
          <w:sz w:val="17"/>
          <w:szCs w:val="17"/>
          <w:b w:val="1"/>
          <w:bCs w:val="1"/>
          <w:color w:val="auto"/>
        </w:rPr>
        <w:t>U.S. Investors should consult their own tax advisors concerning the tax consequences relating to the purchase, ownership and disposition of the Shares.</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F. Dividends and Paying Agents</w:t>
      </w:r>
    </w:p>
    <w:p>
      <w:pPr>
        <w:spacing w:after="0" w:line="119" w:lineRule="exact"/>
        <w:rPr>
          <w:sz w:val="20"/>
          <w:szCs w:val="20"/>
          <w:color w:val="auto"/>
        </w:rPr>
      </w:pPr>
    </w:p>
    <w:p>
      <w:pPr>
        <w:ind w:left="60" w:right="1059" w:firstLine="257"/>
        <w:spacing w:after="0" w:line="279" w:lineRule="auto"/>
        <w:rPr>
          <w:sz w:val="20"/>
          <w:szCs w:val="20"/>
          <w:color w:val="auto"/>
        </w:rPr>
      </w:pPr>
      <w:r>
        <w:rPr>
          <w:rFonts w:ascii="Arial" w:cs="Arial" w:eastAsia="Arial" w:hAnsi="Arial"/>
          <w:sz w:val="16"/>
          <w:szCs w:val="16"/>
          <w:color w:val="auto"/>
        </w:rPr>
        <w:t>We have never declared or paid cash dividends to our shareholders. Currently we do not intend to pay cash dividends. We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applicable Israeli law and other factors our Board of Directors may deem relevant. Accordingly, we have not appointed any paying agent.</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 Statement by Experts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H. Documents on Display</w:t>
      </w:r>
    </w:p>
    <w:p>
      <w:pPr>
        <w:spacing w:after="0" w:line="119" w:lineRule="exact"/>
        <w:rPr>
          <w:sz w:val="20"/>
          <w:szCs w:val="20"/>
          <w:color w:val="auto"/>
        </w:rPr>
      </w:pPr>
    </w:p>
    <w:p>
      <w:pPr>
        <w:ind w:left="60" w:right="999" w:firstLine="257"/>
        <w:spacing w:after="0" w:line="275" w:lineRule="auto"/>
        <w:rPr>
          <w:sz w:val="20"/>
          <w:szCs w:val="20"/>
          <w:color w:val="auto"/>
        </w:rPr>
      </w:pPr>
      <w:r>
        <w:rPr>
          <w:rFonts w:ascii="Arial" w:cs="Arial" w:eastAsia="Arial" w:hAnsi="Arial"/>
          <w:sz w:val="16"/>
          <w:szCs w:val="16"/>
          <w:color w:val="auto"/>
        </w:rPr>
        <w:t>When this Registration Statement on Form 20-F becomes effective, we will be subject to the information reporting requirements of the Exchange Act,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w:t>
      </w:r>
    </w:p>
    <w:p>
      <w:pPr>
        <w:spacing w:after="0" w:line="200" w:lineRule="exact"/>
        <w:rPr>
          <w:sz w:val="20"/>
          <w:szCs w:val="20"/>
          <w:color w:val="auto"/>
        </w:rPr>
      </w:pPr>
    </w:p>
    <w:p>
      <w:pPr>
        <w:spacing w:after="0" w:line="29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999"/>
        <w:spacing w:after="0" w:line="261" w:lineRule="auto"/>
        <w:rPr>
          <w:sz w:val="20"/>
          <w:szCs w:val="20"/>
          <w:color w:val="auto"/>
        </w:rPr>
      </w:pPr>
      <w:r>
        <w:rPr>
          <w:rFonts w:ascii="Arial" w:cs="Arial" w:eastAsia="Arial" w:hAnsi="Arial"/>
          <w:sz w:val="17"/>
          <w:szCs w:val="17"/>
          <w:color w:val="auto"/>
        </w:rPr>
        <w:t>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a Form 6-K, unaudited quarterly financial information.</w:t>
      </w:r>
    </w:p>
    <w:p>
      <w:pPr>
        <w:spacing w:after="0" w:line="76" w:lineRule="exact"/>
        <w:rPr>
          <w:sz w:val="20"/>
          <w:szCs w:val="20"/>
          <w:color w:val="auto"/>
        </w:rPr>
      </w:pPr>
    </w:p>
    <w:p>
      <w:pPr>
        <w:ind w:left="60" w:right="1119" w:firstLine="257"/>
        <w:spacing w:after="0" w:line="306" w:lineRule="auto"/>
        <w:rPr>
          <w:sz w:val="20"/>
          <w:szCs w:val="20"/>
          <w:color w:val="auto"/>
        </w:rPr>
      </w:pPr>
      <w:r>
        <w:rPr>
          <w:rFonts w:ascii="Arial" w:cs="Arial" w:eastAsia="Arial" w:hAnsi="Arial"/>
          <w:sz w:val="15"/>
          <w:szCs w:val="15"/>
          <w:color w:val="auto"/>
        </w:rPr>
        <w:t>In addition, since our ordinary shares are traded on the TASE, we have filed Hebrew language periodic and immediate reports with, and furnish information to, the TASE and the Israel Securities Authority, or the ISA, as required under Chapter Six of the Israel Securities Law, 1968. Copies of our filings with the Israeli Securities Authority can be retrieved electronically through the MAGNA distribution site of the Israeli Securities Authority (</w:t>
      </w:r>
      <w:r>
        <w:rPr>
          <w:rFonts w:ascii="Arial" w:cs="Arial" w:eastAsia="Arial" w:hAnsi="Arial"/>
          <w:sz w:val="15"/>
          <w:szCs w:val="15"/>
          <w:i w:val="1"/>
          <w:iCs w:val="1"/>
          <w:color w:val="auto"/>
        </w:rPr>
        <w:t>www.magna.isa.gov.il</w:t>
      </w:r>
      <w:r>
        <w:rPr>
          <w:rFonts w:ascii="Arial" w:cs="Arial" w:eastAsia="Arial" w:hAnsi="Arial"/>
          <w:sz w:val="15"/>
          <w:szCs w:val="15"/>
          <w:color w:val="auto"/>
        </w:rPr>
        <w:t>) and the TASE website (</w:t>
      </w:r>
      <w:r>
        <w:rPr>
          <w:rFonts w:ascii="Arial" w:cs="Arial" w:eastAsia="Arial" w:hAnsi="Arial"/>
          <w:sz w:val="15"/>
          <w:szCs w:val="15"/>
          <w:i w:val="1"/>
          <w:iCs w:val="1"/>
          <w:color w:val="auto"/>
        </w:rPr>
        <w:t>www.maya.tase.co.il</w:t>
      </w:r>
      <w:r>
        <w:rPr>
          <w:rFonts w:ascii="Arial" w:cs="Arial" w:eastAsia="Arial" w:hAnsi="Arial"/>
          <w:sz w:val="15"/>
          <w:szCs w:val="15"/>
          <w:color w:val="auto"/>
        </w:rPr>
        <w:t>).</w:t>
      </w:r>
    </w:p>
    <w:p>
      <w:pPr>
        <w:spacing w:after="0" w:line="46" w:lineRule="exact"/>
        <w:rPr>
          <w:sz w:val="20"/>
          <w:szCs w:val="20"/>
          <w:color w:val="auto"/>
        </w:rPr>
      </w:pPr>
    </w:p>
    <w:p>
      <w:pPr>
        <w:ind w:left="60" w:right="1079" w:firstLine="257"/>
        <w:spacing w:after="0" w:line="265" w:lineRule="auto"/>
        <w:rPr>
          <w:sz w:val="20"/>
          <w:szCs w:val="20"/>
          <w:color w:val="auto"/>
        </w:rPr>
      </w:pPr>
      <w:r>
        <w:rPr>
          <w:rFonts w:ascii="Arial" w:cs="Arial" w:eastAsia="Arial" w:hAnsi="Arial"/>
          <w:sz w:val="17"/>
          <w:szCs w:val="17"/>
          <w:color w:val="auto"/>
        </w:rPr>
        <w:t xml:space="preserve">We maintain a corporate website at </w:t>
      </w:r>
      <w:r>
        <w:rPr>
          <w:rFonts w:ascii="Arial" w:cs="Arial" w:eastAsia="Arial" w:hAnsi="Arial"/>
          <w:sz w:val="17"/>
          <w:szCs w:val="17"/>
          <w:i w:val="1"/>
          <w:iCs w:val="1"/>
          <w:color w:val="auto"/>
        </w:rPr>
        <w:t>www.biolinerx.com.</w:t>
      </w:r>
      <w:r>
        <w:rPr>
          <w:rFonts w:ascii="Arial" w:cs="Arial" w:eastAsia="Arial" w:hAnsi="Arial"/>
          <w:sz w:val="17"/>
          <w:szCs w:val="17"/>
          <w:color w:val="auto"/>
        </w:rPr>
        <w:t xml:space="preserve"> Information contained on, or that can be accessed through, our website does not constitute a part of this Registration Statement on Form 20-F. We have included our website address in this Registration Statement on Form 20-F solely as an inactive textual reference.</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 Subsidiary Information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11. QUANTITATIVE AND QUALITATIVE DISCLOSURE ON MARKET RISK</w:t>
      </w:r>
    </w:p>
    <w:p>
      <w:pPr>
        <w:spacing w:after="0" w:line="119" w:lineRule="exact"/>
        <w:rPr>
          <w:sz w:val="20"/>
          <w:szCs w:val="20"/>
          <w:color w:val="auto"/>
        </w:rPr>
      </w:pPr>
    </w:p>
    <w:p>
      <w:pPr>
        <w:ind w:left="60" w:right="1599" w:firstLine="257"/>
        <w:spacing w:after="0" w:line="347" w:lineRule="auto"/>
        <w:rPr>
          <w:sz w:val="20"/>
          <w:szCs w:val="20"/>
          <w:color w:val="auto"/>
        </w:rPr>
      </w:pPr>
      <w:r>
        <w:rPr>
          <w:rFonts w:ascii="Arial" w:cs="Arial" w:eastAsia="Arial" w:hAnsi="Arial"/>
          <w:sz w:val="15"/>
          <w:szCs w:val="15"/>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Risk of Interest Rate Fluctuation</w:t>
      </w:r>
    </w:p>
    <w:p>
      <w:pPr>
        <w:spacing w:after="0" w:line="113" w:lineRule="exact"/>
        <w:rPr>
          <w:sz w:val="20"/>
          <w:szCs w:val="20"/>
          <w:color w:val="auto"/>
        </w:rPr>
      </w:pPr>
    </w:p>
    <w:p>
      <w:pPr>
        <w:ind w:left="60" w:right="1079" w:firstLine="257"/>
        <w:spacing w:after="0" w:line="273" w:lineRule="auto"/>
        <w:rPr>
          <w:sz w:val="20"/>
          <w:szCs w:val="20"/>
          <w:color w:val="auto"/>
        </w:rPr>
      </w:pPr>
      <w:r>
        <w:rPr>
          <w:rFonts w:ascii="Arial" w:cs="Arial" w:eastAsia="Arial" w:hAnsi="Arial"/>
          <w:sz w:val="16"/>
          <w:szCs w:val="16"/>
          <w:color w:val="auto"/>
        </w:rPr>
        <w:t>Following this offering, we do not anticipate undertaking any significant long-term borrowings. At present, our investments consist primarily of cash and cash equivalents. Following this offering, we may also invest in investment-grade marketable securities with maturities of up to three years, including commercial paper, money market funds, and government/non-government debt securities. The primary objective of our investment activities is to preserve principal while maximizing the income that we receive from our investments without significantly increasing risk and loss. Our investments are exposed to market risk due to fluctuation in interest rates, which may affect our interest income and the fair market value of our investments. We manage this exposure by performing ongoing evaluations of our investments. Due to the short-term maturities of our investments to date, their carrying value has always approximated their fair value. It will be our policy to hold investments to maturity in order to limit our exposure to interest rate fluctuations.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3"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color w:val="auto"/>
        </w:rPr>
        <w:t>Our foreign currency exposures give rise to market risk associated with exchange rate movements of the NIS, our functional and reporting currency, mainly against the dollar and the euro. Although the NIS is our functional currency, a significant portion of our expenses are denominated in both dollars and euros and currently all of our revenues are denominated in dollars. Our dollar and euro expenses consist principally of payments made to sub-contractors and consultants for preclinical studies, clinical trials and other research and development activities. We anticipate that a sizable portion of our expenses will continue to be denominated in currencies other than the NIS. If the NIS fluctuates significantly against either the dollar or the euro, it may have a negative impact on our results of operations. To date, fluctuations in the exchange rates have not materially affected our results of operations or financial condition for the periods under review.</w:t>
      </w:r>
    </w:p>
    <w:p>
      <w:pPr>
        <w:spacing w:after="0" w:line="69" w:lineRule="exact"/>
        <w:rPr>
          <w:sz w:val="20"/>
          <w:szCs w:val="20"/>
          <w:color w:val="auto"/>
        </w:rPr>
      </w:pPr>
    </w:p>
    <w:p>
      <w:pPr>
        <w:jc w:val="both"/>
        <w:ind w:left="60" w:right="1599" w:firstLine="257"/>
        <w:spacing w:after="0" w:line="317" w:lineRule="auto"/>
        <w:rPr>
          <w:sz w:val="20"/>
          <w:szCs w:val="20"/>
          <w:color w:val="auto"/>
        </w:rPr>
      </w:pPr>
      <w:r>
        <w:rPr>
          <w:rFonts w:ascii="Arial" w:cs="Arial" w:eastAsia="Arial" w:hAnsi="Arial"/>
          <w:sz w:val="15"/>
          <w:szCs w:val="15"/>
          <w:color w:val="auto"/>
        </w:rPr>
        <w:t>To date, we have not engaged in hedging transactions. In the future, we may enter into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200" w:lineRule="exact"/>
        <w:rPr>
          <w:sz w:val="20"/>
          <w:szCs w:val="20"/>
          <w:color w:val="auto"/>
        </w:rPr>
      </w:pPr>
    </w:p>
    <w:p>
      <w:pPr>
        <w:spacing w:after="0" w:line="26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DESCRIPTION OF SECURITIES OTHER THAN EQUITY SECURITIES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 Debt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 Warrants and Rights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 Other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 American Depositary Shares</w:t>
      </w:r>
    </w:p>
    <w:p>
      <w:pPr>
        <w:spacing w:after="0" w:line="119" w:lineRule="exact"/>
        <w:rPr>
          <w:sz w:val="20"/>
          <w:szCs w:val="20"/>
          <w:color w:val="auto"/>
        </w:rPr>
      </w:pPr>
    </w:p>
    <w:p>
      <w:pPr>
        <w:ind w:left="60" w:right="1259" w:firstLine="257"/>
        <w:spacing w:after="0" w:line="311" w:lineRule="auto"/>
        <w:rPr>
          <w:sz w:val="20"/>
          <w:szCs w:val="20"/>
          <w:color w:val="auto"/>
        </w:rPr>
      </w:pPr>
      <w:r>
        <w:rPr>
          <w:rFonts w:ascii="Arial" w:cs="Arial" w:eastAsia="Arial" w:hAnsi="Arial"/>
          <w:sz w:val="16"/>
          <w:szCs w:val="16"/>
          <w:color w:val="auto"/>
        </w:rPr>
        <w:t>Set forth below is a summary of the material terms of the deposit agreement, as amended, among our company, The Bank of New York Mellon as depositary, or the Depositary, and the owners and holders from time to time of our ADRs.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Description of the ADSs</w:t>
      </w:r>
    </w:p>
    <w:p>
      <w:pPr>
        <w:spacing w:after="0" w:line="113" w:lineRule="exact"/>
        <w:rPr>
          <w:sz w:val="20"/>
          <w:szCs w:val="20"/>
          <w:color w:val="auto"/>
        </w:rPr>
      </w:pPr>
    </w:p>
    <w:p>
      <w:pPr>
        <w:ind w:left="60" w:right="1219" w:firstLine="257"/>
        <w:spacing w:after="0" w:line="278" w:lineRule="auto"/>
        <w:rPr>
          <w:sz w:val="20"/>
          <w:szCs w:val="20"/>
          <w:color w:val="auto"/>
        </w:rPr>
      </w:pPr>
      <w:r>
        <w:rPr>
          <w:rFonts w:ascii="Arial" w:cs="Arial" w:eastAsia="Arial" w:hAnsi="Arial"/>
          <w:sz w:val="17"/>
          <w:szCs w:val="17"/>
          <w:color w:val="auto"/>
        </w:rPr>
        <w:t>Each of our American Depositary Shares, or ADSs, represents 10 of our ordinary shares. Our ADSs will trade on the Nasdaq Capital Market.</w:t>
      </w:r>
    </w:p>
    <w:p>
      <w:pPr>
        <w:spacing w:after="0" w:line="62" w:lineRule="exact"/>
        <w:rPr>
          <w:sz w:val="20"/>
          <w:szCs w:val="20"/>
          <w:color w:val="auto"/>
        </w:rPr>
      </w:pPr>
    </w:p>
    <w:p>
      <w:pPr>
        <w:ind w:left="60" w:right="999" w:firstLine="257"/>
        <w:spacing w:after="0" w:line="301" w:lineRule="auto"/>
        <w:rPr>
          <w:sz w:val="20"/>
          <w:szCs w:val="20"/>
          <w:color w:val="auto"/>
        </w:rPr>
      </w:pPr>
      <w:r>
        <w:rPr>
          <w:rFonts w:ascii="Arial" w:cs="Arial" w:eastAsia="Arial" w:hAnsi="Arial"/>
          <w:sz w:val="15"/>
          <w:szCs w:val="15"/>
          <w:color w:val="auto"/>
        </w:rPr>
        <w:t>The form of the deposit agreement for the ADS and the form of American Depositary Receipt (ADR) that represents an ADS will be filed as exhibits to the registration statement on Form F-6 that we will file with the Securities and Exchange Commission on or about July 5, 2011. Copies of the deposit agreement are available for inspection at the principal office of The Bank of New York Mellon, located at 101 Barclay Street, New York, New York 10286, and at the principal office of our custodians, Bank Leumi Le-Israel, 34 Yehuda Halevi St., Tel-Aviv 65546, Israel and Bank Hapoalim B.M., 104 Hayarkon Street, Tel Aviv 63432, Israel.</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Dividends, Other Distributions and Rights</w:t>
      </w:r>
    </w:p>
    <w:p>
      <w:pPr>
        <w:spacing w:after="0" w:line="113" w:lineRule="exact"/>
        <w:rPr>
          <w:sz w:val="20"/>
          <w:szCs w:val="20"/>
          <w:color w:val="auto"/>
        </w:rPr>
      </w:pPr>
    </w:p>
    <w:p>
      <w:pPr>
        <w:ind w:left="60" w:right="1039" w:firstLine="257"/>
        <w:spacing w:after="0" w:line="279" w:lineRule="auto"/>
        <w:rPr>
          <w:sz w:val="20"/>
          <w:szCs w:val="20"/>
          <w:color w:val="auto"/>
        </w:rPr>
      </w:pPr>
      <w:r>
        <w:rPr>
          <w:rFonts w:ascii="Arial" w:cs="Arial" w:eastAsia="Arial" w:hAnsi="Arial"/>
          <w:sz w:val="16"/>
          <w:szCs w:val="16"/>
          <w:color w:val="auto"/>
        </w:rPr>
        <w:t>Amounts distributed to ADS holders will be reduced by any taxes or other governmental charges required to be withheld by the custodian or the Depositary. If the Depositary determines that any distribution in cash or property is subject to any tax or governmental charges that the Depositary or the custodian is obligated to withhold, the Depositary may use the cash or sell or otherwise dispose of all or a portion of that property to pay the taxes or governmental charges. The Depositary will then distribute the balance of the cash and/or property to the ADS holders entitled to the distribution, in proportion to their holdings.</w:t>
      </w:r>
    </w:p>
    <w:p>
      <w:pPr>
        <w:spacing w:after="0" w:line="63" w:lineRule="exact"/>
        <w:rPr>
          <w:sz w:val="20"/>
          <w:szCs w:val="20"/>
          <w:color w:val="auto"/>
        </w:rPr>
      </w:pPr>
    </w:p>
    <w:p>
      <w:pPr>
        <w:ind w:left="60" w:right="1119" w:firstLine="257"/>
        <w:spacing w:after="0" w:line="257" w:lineRule="auto"/>
        <w:rPr>
          <w:sz w:val="20"/>
          <w:szCs w:val="20"/>
          <w:color w:val="auto"/>
        </w:rPr>
      </w:pPr>
      <w:r>
        <w:rPr>
          <w:rFonts w:ascii="Arial" w:cs="Arial" w:eastAsia="Arial" w:hAnsi="Arial"/>
          <w:sz w:val="17"/>
          <w:szCs w:val="17"/>
          <w:i w:val="1"/>
          <w:iCs w:val="1"/>
          <w:color w:val="auto"/>
        </w:rPr>
        <w:t xml:space="preserve">Cash dividends and cash distributions. </w:t>
      </w:r>
      <w:r>
        <w:rPr>
          <w:rFonts w:ascii="Arial" w:cs="Arial" w:eastAsia="Arial" w:hAnsi="Arial"/>
          <w:sz w:val="17"/>
          <w:szCs w:val="17"/>
          <w:color w:val="auto"/>
        </w:rPr>
        <w:t>The Depositary will convert into dollars all cash dividends and other cash distributions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or the custodian receives in a foreign currency. The Depositary will distribute to the ADS holders the amount it receives, after deducting any currency conversion expenses. If the Depositary determines that any foreign currency it receives cannot be converted and transferred on a reasonable basis, it may distribute the foreign currency (or an appropriate document evidencing the right to receive the currency), or hold that foreign currency uninvested, without liability for interest, for the accounts of the ADS holders entitled to receive it.</w:t>
      </w:r>
    </w:p>
    <w:p>
      <w:pPr>
        <w:spacing w:after="0" w:line="82" w:lineRule="exact"/>
        <w:rPr>
          <w:sz w:val="20"/>
          <w:szCs w:val="20"/>
          <w:color w:val="auto"/>
        </w:rPr>
      </w:pPr>
    </w:p>
    <w:p>
      <w:pPr>
        <w:ind w:left="60" w:right="999" w:firstLine="257"/>
        <w:spacing w:after="0" w:line="259" w:lineRule="auto"/>
        <w:rPr>
          <w:sz w:val="20"/>
          <w:szCs w:val="20"/>
          <w:color w:val="auto"/>
        </w:rPr>
      </w:pPr>
      <w:r>
        <w:rPr>
          <w:rFonts w:ascii="Arial" w:cs="Arial" w:eastAsia="Arial" w:hAnsi="Arial"/>
          <w:sz w:val="17"/>
          <w:szCs w:val="17"/>
          <w:i w:val="1"/>
          <w:iCs w:val="1"/>
          <w:color w:val="auto"/>
        </w:rPr>
        <w:t xml:space="preserve">Distributions of ordinary shares. </w:t>
      </w:r>
      <w:r>
        <w:rPr>
          <w:rFonts w:ascii="Arial" w:cs="Arial" w:eastAsia="Arial" w:hAnsi="Arial"/>
          <w:sz w:val="17"/>
          <w:szCs w:val="17"/>
          <w:color w:val="auto"/>
        </w:rPr>
        <w:t>If we distribute ordinary shares as a dividend or free distribution, the Depositary may,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and will, at our request, distribute to ADS holders new ADSs representing the ordinary shares. The Depositary will distribute only whole ADSs. It will sell the ordinary shares that would have required it to use fractional ADSs and then distribute the proceeds in the same way it distributes cash. If the Depositary deposits the ordinary shares but does not distribute additional ADSs, the existing ADSs will also represent the new ordinary shares.</w:t>
      </w:r>
    </w:p>
    <w:p>
      <w:pPr>
        <w:spacing w:after="0" w:line="77" w:lineRule="exact"/>
        <w:rPr>
          <w:sz w:val="20"/>
          <w:szCs w:val="20"/>
          <w:color w:val="auto"/>
        </w:rPr>
      </w:pPr>
    </w:p>
    <w:p>
      <w:pPr>
        <w:ind w:left="60" w:right="1079" w:firstLine="257"/>
        <w:spacing w:after="0" w:line="278" w:lineRule="auto"/>
        <w:rPr>
          <w:sz w:val="20"/>
          <w:szCs w:val="20"/>
          <w:color w:val="auto"/>
        </w:rPr>
      </w:pPr>
      <w:r>
        <w:rPr>
          <w:rFonts w:ascii="Arial" w:cs="Arial" w:eastAsia="Arial" w:hAnsi="Arial"/>
          <w:sz w:val="17"/>
          <w:szCs w:val="17"/>
          <w:color w:val="auto"/>
        </w:rPr>
        <w:t>If holders of ordinary shares have the option of receiving a dividend in cash or in shares, we may also grant that option to ADS holders.</w:t>
      </w:r>
    </w:p>
    <w:p>
      <w:pPr>
        <w:spacing w:after="0" w:line="62" w:lineRule="exact"/>
        <w:rPr>
          <w:sz w:val="20"/>
          <w:szCs w:val="20"/>
          <w:color w:val="auto"/>
        </w:rPr>
      </w:pPr>
    </w:p>
    <w:p>
      <w:pPr>
        <w:ind w:left="60" w:right="1259" w:firstLine="257"/>
        <w:spacing w:after="0" w:line="265" w:lineRule="auto"/>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If the Depositary or the custodian receives a distribution of anything other than cash or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will distribute the property or securities to the ADS holder, in proportion to such holder’s holdings. If the Depositary determines that it cannot distribute the property or securities in this</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039"/>
        <w:spacing w:after="0" w:line="265" w:lineRule="auto"/>
        <w:rPr>
          <w:sz w:val="20"/>
          <w:szCs w:val="20"/>
          <w:color w:val="auto"/>
        </w:rPr>
      </w:pPr>
      <w:r>
        <w:rPr>
          <w:rFonts w:ascii="Arial" w:cs="Arial" w:eastAsia="Arial" w:hAnsi="Arial"/>
          <w:sz w:val="17"/>
          <w:szCs w:val="17"/>
          <w:color w:val="auto"/>
        </w:rPr>
        <w:t>manner or that it is not feasible to do so, then, after consultation with us, it may distribute the property or securities by any means it thinks is equitable and practical, or it may sell the property or securities and distribute the net proceeds of the sale to the ADS holders.</w:t>
      </w:r>
    </w:p>
    <w:p>
      <w:pPr>
        <w:spacing w:after="0" w:line="73" w:lineRule="exact"/>
        <w:rPr>
          <w:sz w:val="20"/>
          <w:szCs w:val="20"/>
          <w:color w:val="auto"/>
        </w:rPr>
      </w:pPr>
    </w:p>
    <w:p>
      <w:pPr>
        <w:ind w:left="60" w:right="1399" w:firstLine="257"/>
        <w:spacing w:after="0" w:line="278" w:lineRule="auto"/>
        <w:rPr>
          <w:sz w:val="20"/>
          <w:szCs w:val="20"/>
          <w:color w:val="auto"/>
        </w:rPr>
      </w:pPr>
      <w:r>
        <w:rPr>
          <w:rFonts w:ascii="Arial" w:cs="Arial" w:eastAsia="Arial" w:hAnsi="Arial"/>
          <w:sz w:val="17"/>
          <w:szCs w:val="17"/>
          <w:i w:val="1"/>
          <w:iCs w:val="1"/>
          <w:color w:val="auto"/>
        </w:rPr>
        <w:t xml:space="preserve">Rights to subscribe for additional ordinary shares and other rights. </w:t>
      </w:r>
      <w:r>
        <w:rPr>
          <w:rFonts w:ascii="Arial" w:cs="Arial" w:eastAsia="Arial" w:hAnsi="Arial"/>
          <w:sz w:val="17"/>
          <w:szCs w:val="17"/>
          <w:color w:val="auto"/>
        </w:rPr>
        <w:t>If we offer our holders of ordinary shares any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 for additional ordinary shares or any other rights, the Depositary will, if requested by us:</w:t>
      </w:r>
    </w:p>
    <w:p>
      <w:pPr>
        <w:spacing w:after="0" w:line="62" w:lineRule="exact"/>
        <w:rPr>
          <w:sz w:val="20"/>
          <w:szCs w:val="20"/>
          <w:color w:val="auto"/>
        </w:rPr>
      </w:pPr>
    </w:p>
    <w:p>
      <w:pPr>
        <w:ind w:left="580" w:right="1339" w:hanging="307"/>
        <w:spacing w:after="0" w:line="278" w:lineRule="auto"/>
        <w:tabs>
          <w:tab w:leader="none" w:pos="5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make the rights available to all or certain holders of ADSs, by means of warrants or otherwise, if lawful and practically feasible; or</w:t>
      </w:r>
    </w:p>
    <w:p>
      <w:pPr>
        <w:spacing w:after="0" w:line="61" w:lineRule="exact"/>
        <w:rPr>
          <w:rFonts w:ascii="Arial" w:cs="Arial" w:eastAsia="Arial" w:hAnsi="Arial"/>
          <w:sz w:val="17"/>
          <w:szCs w:val="17"/>
          <w:color w:val="auto"/>
        </w:rPr>
      </w:pPr>
    </w:p>
    <w:p>
      <w:pPr>
        <w:ind w:left="580" w:right="1619" w:hanging="307"/>
        <w:spacing w:after="0" w:line="278" w:lineRule="auto"/>
        <w:tabs>
          <w:tab w:leader="none" w:pos="5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it is not lawful or practically feasible to make the rights available, attempt to sell those rights or warrants or other instruments.</w:t>
      </w:r>
    </w:p>
    <w:p>
      <w:pPr>
        <w:spacing w:after="0" w:line="62" w:lineRule="exact"/>
        <w:rPr>
          <w:sz w:val="20"/>
          <w:szCs w:val="20"/>
          <w:color w:val="auto"/>
        </w:rPr>
      </w:pPr>
    </w:p>
    <w:p>
      <w:pPr>
        <w:ind w:left="60" w:right="1179"/>
        <w:spacing w:after="0" w:line="311" w:lineRule="auto"/>
        <w:rPr>
          <w:sz w:val="20"/>
          <w:szCs w:val="20"/>
          <w:color w:val="auto"/>
        </w:rPr>
      </w:pPr>
      <w:r>
        <w:rPr>
          <w:rFonts w:ascii="Arial" w:cs="Arial" w:eastAsia="Arial" w:hAnsi="Arial"/>
          <w:sz w:val="16"/>
          <w:szCs w:val="16"/>
          <w:color w:val="auto"/>
        </w:rPr>
        <w:t>In that case, the Depositary will allocate the net proceeds of the sales to the account of the ADS holders entitled to the rights. The allocation will be made on an averaged or other practicable basis without regard to any distinctions among holders.</w:t>
      </w:r>
    </w:p>
    <w:p>
      <w:pPr>
        <w:spacing w:after="0" w:line="38" w:lineRule="exact"/>
        <w:rPr>
          <w:sz w:val="20"/>
          <w:szCs w:val="20"/>
          <w:color w:val="auto"/>
        </w:rPr>
      </w:pPr>
    </w:p>
    <w:p>
      <w:pPr>
        <w:ind w:left="60" w:right="1099" w:firstLine="257"/>
        <w:spacing w:after="0" w:line="257" w:lineRule="auto"/>
        <w:rPr>
          <w:sz w:val="20"/>
          <w:szCs w:val="20"/>
          <w:color w:val="auto"/>
        </w:rPr>
      </w:pPr>
      <w:r>
        <w:rPr>
          <w:rFonts w:ascii="Arial" w:cs="Arial" w:eastAsia="Arial" w:hAnsi="Arial"/>
          <w:sz w:val="17"/>
          <w:szCs w:val="17"/>
          <w:color w:val="auto"/>
        </w:rPr>
        <w:t>If registration under the Securities Act of 1933, as amended, is required in order to offer or sell to the ADS holders the securities represented by any rights, the Depositary will not make the rights available to ADS holders unless a registration statement is in effect or such securities are exempt from registration. We do not, however, have any obligation to file a registration statement or to have a registration statement declared effective. If the Depositary cannot make any rights available to ADS holders and cannot dispose of the rights and make the net proceeds available to ADS holders, then it will allow the rights to lapse, and the ADS holders will not receive any value for them.</w:t>
      </w:r>
    </w:p>
    <w:p>
      <w:pPr>
        <w:spacing w:after="0" w:line="82" w:lineRule="exact"/>
        <w:rPr>
          <w:sz w:val="20"/>
          <w:szCs w:val="20"/>
          <w:color w:val="auto"/>
        </w:rPr>
      </w:pPr>
    </w:p>
    <w:p>
      <w:pPr>
        <w:ind w:left="60" w:right="1039" w:firstLine="257"/>
        <w:spacing w:after="0" w:line="257" w:lineRule="auto"/>
        <w:rPr>
          <w:sz w:val="20"/>
          <w:szCs w:val="20"/>
          <w:color w:val="auto"/>
        </w:rPr>
      </w:pPr>
      <w:r>
        <w:rPr>
          <w:rFonts w:ascii="Arial" w:cs="Arial" w:eastAsia="Arial" w:hAnsi="Arial"/>
          <w:sz w:val="17"/>
          <w:szCs w:val="17"/>
          <w:i w:val="1"/>
          <w:iCs w:val="1"/>
          <w:color w:val="auto"/>
        </w:rPr>
        <w:t xml:space="preserve">Voting of the underlying shares. </w:t>
      </w:r>
      <w:r>
        <w:rPr>
          <w:rFonts w:ascii="Arial" w:cs="Arial" w:eastAsia="Arial" w:hAnsi="Arial"/>
          <w:sz w:val="17"/>
          <w:szCs w:val="17"/>
          <w:color w:val="auto"/>
        </w:rPr>
        <w:t>Under the deposit agreement, an ADS holder is entitled, subject to any applicable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Israeli law, our articles of association and bylaws and the deposited securities, to exercise voting rights pertaining to the shares represented by its ADSs. The Depositary will send to ADS holders such information as is contained in the notice of meeting that the Depositary receives from us, as well as a statement that holders of as the close of business on the specified record date will be entitled to instruct the Depositary as to the exercise of voting rights and a statement as to the manner in which the such instructions may be given.</w:t>
      </w:r>
    </w:p>
    <w:p>
      <w:pPr>
        <w:spacing w:after="0" w:line="82" w:lineRule="exact"/>
        <w:rPr>
          <w:sz w:val="20"/>
          <w:szCs w:val="20"/>
          <w:color w:val="auto"/>
        </w:rPr>
      </w:pPr>
    </w:p>
    <w:p>
      <w:pPr>
        <w:ind w:left="60" w:right="1039" w:firstLine="257"/>
        <w:spacing w:after="0" w:line="298" w:lineRule="auto"/>
        <w:rPr>
          <w:sz w:val="20"/>
          <w:szCs w:val="20"/>
          <w:color w:val="auto"/>
        </w:rPr>
      </w:pPr>
      <w:r>
        <w:rPr>
          <w:rFonts w:ascii="Arial" w:cs="Arial" w:eastAsia="Arial" w:hAnsi="Arial"/>
          <w:sz w:val="15"/>
          <w:szCs w:val="15"/>
          <w:i w:val="1"/>
          <w:iCs w:val="1"/>
          <w:color w:val="auto"/>
        </w:rPr>
        <w:t xml:space="preserve">Changes affecting deposited securities. </w:t>
      </w:r>
      <w:r>
        <w:rPr>
          <w:rFonts w:ascii="Arial" w:cs="Arial" w:eastAsia="Arial" w:hAnsi="Arial"/>
          <w:sz w:val="15"/>
          <w:szCs w:val="15"/>
          <w:color w:val="auto"/>
        </w:rPr>
        <w:t>If there is any change in nominal value or any split - up, consolidation, cancellation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reclassification of deposited securities, or any recapitalization, reorganization, business combination or consolidation or sale of assets involving us, then any securities that the Depositary receives in respect of deposited securities will become new deposited securities. Each ADS will automatically represent its share of the new deposited securities, unless the Depositary delivers new ADSs as described in the following sentence. The Depositary may, with our approval, and will, at our request, distribute new ADSs or ask ADS holders to surrender their outstanding ADRs in exchange for new ADRs describing the new deposited securities.</w:t>
      </w:r>
    </w:p>
    <w:p>
      <w:pPr>
        <w:spacing w:after="0" w:line="53" w:lineRule="exact"/>
        <w:rPr>
          <w:sz w:val="20"/>
          <w:szCs w:val="20"/>
          <w:color w:val="auto"/>
        </w:rPr>
      </w:pPr>
    </w:p>
    <w:p>
      <w:pPr>
        <w:ind w:left="60" w:right="999" w:firstLine="257"/>
        <w:spacing w:after="0" w:line="274" w:lineRule="auto"/>
        <w:rPr>
          <w:sz w:val="20"/>
          <w:szCs w:val="20"/>
          <w:color w:val="auto"/>
        </w:rPr>
      </w:pPr>
      <w:r>
        <w:rPr>
          <w:rFonts w:ascii="Arial" w:cs="Arial" w:eastAsia="Arial" w:hAnsi="Arial"/>
          <w:sz w:val="16"/>
          <w:szCs w:val="16"/>
          <w:i w:val="1"/>
          <w:iCs w:val="1"/>
          <w:color w:val="auto"/>
        </w:rPr>
        <w:t xml:space="preserve">Amendment of the deposit agreement. </w:t>
      </w:r>
      <w:r>
        <w:rPr>
          <w:rFonts w:ascii="Arial" w:cs="Arial" w:eastAsia="Arial" w:hAnsi="Arial"/>
          <w:sz w:val="16"/>
          <w:szCs w:val="16"/>
          <w:color w:val="auto"/>
        </w:rPr>
        <w:t>The Depositary and we may agree to amend the form of the ADRs and the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at any time, without the consent of the ADS holders. If the amendment adds or increases any fees or charges (other than taxes or other governmental charges) or prejudices an important right of ADS holders, it will not take effect as to outstanding ADSs until three months after the Depositary has sent the ADS holders a notice of the amendment. At the expiration of that three-month period, each ADS holder will be considered by continuing to hold its ADSs to agree to the amendment and to be bound by the deposit agreement as so amended. The Depositary and we may not amend the deposit agreement or the form of ADRs to impair the ADS holder’s right to surrender its ADSs and receive the ordinary shares and any other property represented by the ADRs, except to comply with mandatory provisions of applicable law.</w:t>
      </w:r>
    </w:p>
    <w:p>
      <w:pPr>
        <w:spacing w:after="0" w:line="69" w:lineRule="exact"/>
        <w:rPr>
          <w:sz w:val="20"/>
          <w:szCs w:val="20"/>
          <w:color w:val="auto"/>
        </w:rPr>
      </w:pPr>
    </w:p>
    <w:p>
      <w:pPr>
        <w:ind w:left="60" w:right="1059" w:firstLine="257"/>
        <w:spacing w:after="0" w:line="259" w:lineRule="auto"/>
        <w:rPr>
          <w:sz w:val="20"/>
          <w:szCs w:val="20"/>
          <w:color w:val="auto"/>
        </w:rPr>
      </w:pPr>
      <w:r>
        <w:rPr>
          <w:rFonts w:ascii="Arial" w:cs="Arial" w:eastAsia="Arial" w:hAnsi="Arial"/>
          <w:sz w:val="17"/>
          <w:szCs w:val="17"/>
          <w:i w:val="1"/>
          <w:iCs w:val="1"/>
          <w:color w:val="auto"/>
        </w:rPr>
        <w:t xml:space="preserve">Termination of the deposit agreement. </w:t>
      </w:r>
      <w:r>
        <w:rPr>
          <w:rFonts w:ascii="Arial" w:cs="Arial" w:eastAsia="Arial" w:hAnsi="Arial"/>
          <w:sz w:val="17"/>
          <w:szCs w:val="17"/>
          <w:color w:val="auto"/>
        </w:rPr>
        <w:t>The Depositary will terminate the deposit agreement if we ask it to do so and will notify</w:t>
      </w:r>
      <w:r>
        <w:rPr>
          <w:rFonts w:ascii="Arial" w:cs="Arial" w:eastAsia="Arial" w:hAnsi="Arial"/>
          <w:sz w:val="17"/>
          <w:szCs w:val="17"/>
          <w:i w:val="1"/>
          <w:iCs w:val="1"/>
          <w:color w:val="auto"/>
        </w:rPr>
        <w:t xml:space="preserve"> </w:t>
      </w:r>
      <w:r>
        <w:rPr>
          <w:rFonts w:ascii="Arial" w:cs="Arial" w:eastAsia="Arial" w:hAnsi="Arial"/>
          <w:sz w:val="17"/>
          <w:szCs w:val="17"/>
          <w:color w:val="auto"/>
        </w:rPr>
        <w:t>the ADS holders at least 30 days before the date of termination. The Depositary may also terminate the deposit agreement if it resigns and a successor depositary has not been appointed by us and accepted its appointment within 60 days after the Depositary has given us notice of its resignation. After termination of the deposit agreement, the Depositary will no longer register transfers of ADSs, distribute</w:t>
      </w:r>
    </w:p>
    <w:p>
      <w:pPr>
        <w:spacing w:after="0" w:line="200" w:lineRule="exact"/>
        <w:rPr>
          <w:sz w:val="20"/>
          <w:szCs w:val="20"/>
          <w:color w:val="auto"/>
        </w:rPr>
      </w:pPr>
    </w:p>
    <w:p>
      <w:pPr>
        <w:spacing w:after="0" w:line="30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83" w:lineRule="exact"/>
        <w:rPr>
          <w:sz w:val="20"/>
          <w:szCs w:val="20"/>
          <w:color w:val="auto"/>
        </w:rPr>
      </w:pPr>
    </w:p>
    <w:p>
      <w:pPr>
        <w:ind w:left="60" w:right="1359"/>
        <w:spacing w:after="0" w:line="278" w:lineRule="auto"/>
        <w:rPr>
          <w:sz w:val="20"/>
          <w:szCs w:val="20"/>
          <w:color w:val="auto"/>
        </w:rPr>
      </w:pPr>
      <w:r>
        <w:rPr>
          <w:rFonts w:ascii="Arial" w:cs="Arial" w:eastAsia="Arial" w:hAnsi="Arial"/>
          <w:sz w:val="17"/>
          <w:szCs w:val="17"/>
          <w:color w:val="auto"/>
        </w:rPr>
        <w:t>dividends to the ADS holders, accept deposits of ordinary shares, give any notices, or perform any other acts under the deposit agreement whatsoever, except that the Depositary will continue to:</w:t>
      </w:r>
    </w:p>
    <w:p>
      <w:pPr>
        <w:spacing w:after="0" w:line="62" w:lineRule="exact"/>
        <w:rPr>
          <w:sz w:val="20"/>
          <w:szCs w:val="20"/>
          <w:color w:val="auto"/>
        </w:rPr>
      </w:pPr>
    </w:p>
    <w:p>
      <w:pPr>
        <w:ind w:left="580" w:hanging="307"/>
        <w:spacing w:after="0"/>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collect dividends and other distributions pertaining to deposited securities;</w:t>
      </w:r>
    </w:p>
    <w:p>
      <w:pPr>
        <w:spacing w:after="0" w:line="113" w:lineRule="exact"/>
        <w:rPr>
          <w:rFonts w:ascii="Arial" w:cs="Arial" w:eastAsia="Arial" w:hAnsi="Arial"/>
          <w:sz w:val="17"/>
          <w:szCs w:val="17"/>
          <w:color w:val="auto"/>
        </w:rPr>
      </w:pPr>
    </w:p>
    <w:p>
      <w:pPr>
        <w:ind w:left="580" w:right="1259" w:hanging="307"/>
        <w:spacing w:after="0" w:line="278"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sell rights as described under the heading “Dividends, other distributions and rights — Rights to subscribe for additional shares and other rights” above; and</w:t>
      </w:r>
    </w:p>
    <w:p>
      <w:pPr>
        <w:spacing w:after="0" w:line="61" w:lineRule="exact"/>
        <w:rPr>
          <w:rFonts w:ascii="Arial" w:cs="Arial" w:eastAsia="Arial" w:hAnsi="Arial"/>
          <w:sz w:val="17"/>
          <w:szCs w:val="17"/>
          <w:color w:val="auto"/>
        </w:rPr>
      </w:pPr>
    </w:p>
    <w:p>
      <w:pPr>
        <w:ind w:left="580" w:right="1359" w:hanging="307"/>
        <w:spacing w:after="0" w:line="278"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deliver deposited securities, together with any dividends or other distributions received with respect thereto and the net proceeds of the sale of any rights or other property, in exchange for surrendered ADRs.</w:t>
      </w:r>
    </w:p>
    <w:p>
      <w:pPr>
        <w:spacing w:after="0" w:line="62" w:lineRule="exact"/>
        <w:rPr>
          <w:sz w:val="20"/>
          <w:szCs w:val="20"/>
          <w:color w:val="auto"/>
        </w:rPr>
      </w:pPr>
    </w:p>
    <w:p>
      <w:pPr>
        <w:ind w:left="60" w:right="1099" w:firstLine="257"/>
        <w:spacing w:after="0" w:line="265" w:lineRule="auto"/>
        <w:rPr>
          <w:sz w:val="20"/>
          <w:szCs w:val="20"/>
          <w:color w:val="auto"/>
        </w:rPr>
      </w:pPr>
      <w:r>
        <w:rPr>
          <w:rFonts w:ascii="Arial" w:cs="Arial" w:eastAsia="Arial" w:hAnsi="Arial"/>
          <w:sz w:val="17"/>
          <w:szCs w:val="17"/>
          <w:color w:val="auto"/>
        </w:rPr>
        <w:t>Four months after termination, the Depositary may sell the deposited securities and hold the proceeds of the sale, together with any other cash then held by it, for the pro rata benefit of ADS holders that have not surrendered their ADSs. The Depositary will not have liability for interest on the sale proceeds or any cash it holds.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Charges of Depositary</w:t>
      </w:r>
    </w:p>
    <w:p>
      <w:pPr>
        <w:spacing w:after="0" w:line="113" w:lineRule="exact"/>
        <w:rPr>
          <w:sz w:val="20"/>
          <w:szCs w:val="20"/>
          <w:color w:val="auto"/>
        </w:rPr>
      </w:pPr>
    </w:p>
    <w:p>
      <w:pPr>
        <w:ind w:left="60" w:right="1139" w:firstLine="257"/>
        <w:spacing w:after="0" w:line="301" w:lineRule="auto"/>
        <w:rPr>
          <w:sz w:val="20"/>
          <w:szCs w:val="20"/>
          <w:color w:val="auto"/>
        </w:rPr>
      </w:pPr>
      <w:r>
        <w:rPr>
          <w:rFonts w:ascii="Arial" w:cs="Arial" w:eastAsia="Arial" w:hAnsi="Arial"/>
          <w:sz w:val="15"/>
          <w:szCs w:val="15"/>
          <w:color w:val="auto"/>
        </w:rPr>
        <w:t>We will pay the fees, reasonable expenses and out-of-pocket charges of the Depositary and those of any registrar only in accordance with agreements in writing entered into between us and the Depositary from time to time. The following charges shall be incurred by any party depositing or withdrawing ordinary shares or by any party surrendering ADRs or to whom ADRs are issued (including, without limitation, issuance pursuant to a stock dividend or stock split declared by us or an exchange of stock regarding the ADRs or deposited ordinary shares or a distribution of ADRs pursuant to the terms of the deposit agreement):</w:t>
      </w:r>
    </w:p>
    <w:p>
      <w:pPr>
        <w:spacing w:after="0" w:line="50" w:lineRule="exact"/>
        <w:rPr>
          <w:sz w:val="20"/>
          <w:szCs w:val="20"/>
          <w:color w:val="auto"/>
        </w:rPr>
      </w:pPr>
    </w:p>
    <w:p>
      <w:pPr>
        <w:ind w:left="580" w:hanging="307"/>
        <w:spacing w:after="0"/>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taxes and other governmental charges;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applicable transfer or registration fees;</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certain cable, telex and facsimile transmission charges as provided in the Deposit Agreement;</w:t>
      </w:r>
    </w:p>
    <w:p>
      <w:pPr>
        <w:spacing w:after="0" w:line="113" w:lineRule="exact"/>
        <w:rPr>
          <w:rFonts w:ascii="Arial" w:cs="Arial" w:eastAsia="Arial" w:hAnsi="Arial"/>
          <w:sz w:val="17"/>
          <w:szCs w:val="17"/>
          <w:color w:val="auto"/>
        </w:rPr>
      </w:pPr>
    </w:p>
    <w:p>
      <w:pPr>
        <w:ind w:left="580" w:hanging="307"/>
        <w:spacing w:after="0"/>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expenses incurred in the conversion of foreign currency;</w:t>
      </w:r>
    </w:p>
    <w:p>
      <w:pPr>
        <w:spacing w:after="0" w:line="113" w:lineRule="exact"/>
        <w:rPr>
          <w:rFonts w:ascii="Arial" w:cs="Arial" w:eastAsia="Arial" w:hAnsi="Arial"/>
          <w:sz w:val="17"/>
          <w:szCs w:val="17"/>
          <w:color w:val="auto"/>
        </w:rPr>
      </w:pPr>
    </w:p>
    <w:p>
      <w:pPr>
        <w:ind w:left="580" w:right="1419" w:hanging="307"/>
        <w:spacing w:after="0" w:line="278"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fee of $5.00 or less per 100 ADSs (or a portion thereof) for the execution and delivery of ADRs and the surrender of ADRs;</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fee of $.05 or less per ADS (or portion thereof) for any cash distribution made pursuant to the Deposit Agreement;</w:t>
      </w:r>
    </w:p>
    <w:p>
      <w:pPr>
        <w:spacing w:after="0" w:line="124" w:lineRule="exact"/>
        <w:rPr>
          <w:rFonts w:ascii="Arial" w:cs="Arial" w:eastAsia="Arial" w:hAnsi="Arial"/>
          <w:sz w:val="16"/>
          <w:szCs w:val="16"/>
          <w:color w:val="auto"/>
        </w:rPr>
      </w:pPr>
    </w:p>
    <w:p>
      <w:pPr>
        <w:ind w:left="580" w:hanging="307"/>
        <w:spacing w:after="0"/>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fee for the distribution of securities pursuant to the Deposit Agreement;</w:t>
      </w:r>
    </w:p>
    <w:p>
      <w:pPr>
        <w:spacing w:after="0" w:line="113" w:lineRule="exact"/>
        <w:rPr>
          <w:rFonts w:ascii="Arial" w:cs="Arial" w:eastAsia="Arial" w:hAnsi="Arial"/>
          <w:sz w:val="17"/>
          <w:szCs w:val="17"/>
          <w:color w:val="auto"/>
        </w:rPr>
      </w:pPr>
    </w:p>
    <w:p>
      <w:pPr>
        <w:ind w:left="580" w:right="1239" w:hanging="307"/>
        <w:spacing w:after="0" w:line="278"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addition to any fee charged under clause 6, a fee of $.05 or less per ADS (or portion thereof) per annum for depositary services, which will be payable as provided in clause 10 below;</w:t>
      </w:r>
    </w:p>
    <w:p>
      <w:pPr>
        <w:spacing w:after="0" w:line="61" w:lineRule="exact"/>
        <w:rPr>
          <w:rFonts w:ascii="Arial" w:cs="Arial" w:eastAsia="Arial" w:hAnsi="Arial"/>
          <w:sz w:val="17"/>
          <w:szCs w:val="17"/>
          <w:color w:val="auto"/>
        </w:rPr>
      </w:pPr>
    </w:p>
    <w:p>
      <w:pPr>
        <w:ind w:left="580" w:hanging="307"/>
        <w:spacing w:after="0"/>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fee for the distribution of proceeds of rights that the Depositary sells pursuant to the Deposit Agreement; and</w:t>
      </w:r>
    </w:p>
    <w:p>
      <w:pPr>
        <w:spacing w:after="0" w:line="113" w:lineRule="exact"/>
        <w:rPr>
          <w:rFonts w:ascii="Arial" w:cs="Arial" w:eastAsia="Arial" w:hAnsi="Arial"/>
          <w:sz w:val="17"/>
          <w:szCs w:val="17"/>
          <w:color w:val="auto"/>
        </w:rPr>
      </w:pPr>
    </w:p>
    <w:p>
      <w:pPr>
        <w:ind w:left="580" w:right="1399" w:hanging="307"/>
        <w:spacing w:after="0" w:line="278"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other charges payable by the Depositary, any of the Depositary's agents, or the agents of the Depositary's agents in connection with the servicing of Shares or other Deposited Securities.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Depositary may own and deal in our securities and in our ADRs.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Liability of Holders for Taxes, Duties or Other Charges</w:t>
      </w:r>
    </w:p>
    <w:p>
      <w:pPr>
        <w:spacing w:after="0" w:line="113" w:lineRule="exact"/>
        <w:rPr>
          <w:sz w:val="20"/>
          <w:szCs w:val="20"/>
          <w:color w:val="auto"/>
        </w:rPr>
      </w:pPr>
    </w:p>
    <w:p>
      <w:pPr>
        <w:ind w:left="60" w:right="1039" w:firstLine="257"/>
        <w:spacing w:after="0" w:line="277" w:lineRule="auto"/>
        <w:rPr>
          <w:sz w:val="20"/>
          <w:szCs w:val="20"/>
          <w:color w:val="auto"/>
        </w:rPr>
      </w:pPr>
      <w:r>
        <w:rPr>
          <w:rFonts w:ascii="Arial" w:cs="Arial" w:eastAsia="Arial" w:hAnsi="Arial"/>
          <w:sz w:val="16"/>
          <w:szCs w:val="16"/>
          <w:color w:val="auto"/>
        </w:rPr>
        <w:t>Any tax or other governmental charge with respect to ADRs or any deposited ordinary shares represented by any ADR shall be payable by the holder of such ADR to the Depositary. The Depositary may refuse to effect transfer of such ADR or any withdrawal of deposited ordinary shares represented by such ADR until such payment is made, and may withhold any dividends or other distributions or may sell for the account of the holder any part or all of the deposited ordinary shares represented by such ADR and may apply such dividends or distributions or the proceeds of any such sale in payment of any such tax or other governmental charge and the holder of such ADR shall remain liable for any deficiency.</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DEFAULTS, DIVIDENDS AND DELIQUENCIES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14. MATERIAL MODIFICATIONS TO THE RIGHTS OF SECURITY HOLDERS AND USE OF PROCEEDS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15. CONTROLS AND PROCEDURES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 [RESERVED]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16A. AUDIT COMMITTEE FINANCIAL EXPERTS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16B. CODE OF ETHICS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16C. PRINCIPAL ACCOUNTANT FEES AND SERVICES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16D. EXEMPTIONS FROM THE LISTING STANDARDS FOR AUDIT COMMITTEES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16E. PURCHASE OF EQUITY SECURITIES BY THE ISSUER AND AFFILIATED PURCHASERS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16F. CHANGE IN REGISTRANT’S CERTIFYING ACCOUNTANT</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16G. CORPORATE GOVERNANCE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17. FINANCIAL STATEMENTS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8"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18. FINANCIAL STATEMENTS</w:t>
      </w:r>
    </w:p>
    <w:p>
      <w:pPr>
        <w:spacing w:after="0" w:line="119" w:lineRule="exact"/>
        <w:rPr>
          <w:sz w:val="20"/>
          <w:szCs w:val="20"/>
          <w:color w:val="auto"/>
        </w:rPr>
      </w:pPr>
    </w:p>
    <w:p>
      <w:pPr>
        <w:jc w:val="both"/>
        <w:ind w:left="60" w:right="1260" w:firstLine="257"/>
        <w:spacing w:after="0" w:line="265" w:lineRule="auto"/>
        <w:rPr>
          <w:sz w:val="20"/>
          <w:szCs w:val="20"/>
          <w:color w:val="auto"/>
        </w:rPr>
      </w:pPr>
      <w:r>
        <w:rPr>
          <w:rFonts w:ascii="Arial" w:cs="Arial" w:eastAsia="Arial" w:hAnsi="Arial"/>
          <w:sz w:val="17"/>
          <w:szCs w:val="17"/>
          <w:color w:val="auto"/>
        </w:rPr>
        <w:t>See the financial statements beginning on page F-</w:t>
      </w:r>
      <w:r>
        <w:rPr>
          <w:rFonts w:ascii="Arial" w:cs="Arial" w:eastAsia="Arial" w:hAnsi="Arial"/>
          <w:sz w:val="17"/>
          <w:szCs w:val="17"/>
          <w:u w:val="single" w:color="auto"/>
          <w:color w:val="0000EE"/>
        </w:rPr>
        <w:t>1</w:t>
      </w:r>
      <w:r>
        <w:rPr>
          <w:rFonts w:ascii="Arial" w:cs="Arial" w:eastAsia="Arial" w:hAnsi="Arial"/>
          <w:sz w:val="17"/>
          <w:szCs w:val="17"/>
          <w:color w:val="auto"/>
        </w:rPr>
        <w:t>. The following financial statements and financial statement schedules are filed as part of this Registration Statement on Form 20-F together with the report of the independent registered public accounting firm:</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Financial Statements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BioLine Rx Ltd. and its Consolidated Subsidiaries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gridSpan w:val="8"/>
          </w:tcPr>
          <w:p>
            <w:pPr>
              <w:ind w:left="60"/>
              <w:spacing w:after="0"/>
              <w:rPr>
                <w:sz w:val="20"/>
                <w:szCs w:val="20"/>
                <w:color w:val="auto"/>
              </w:rPr>
            </w:pPr>
            <w:r>
              <w:rPr>
                <w:rFonts w:ascii="Arial" w:cs="Arial" w:eastAsia="Arial" w:hAnsi="Arial"/>
                <w:sz w:val="17"/>
                <w:szCs w:val="17"/>
                <w:b w:val="1"/>
                <w:bCs w:val="1"/>
                <w:color w:val="auto"/>
              </w:rPr>
              <w:t>Unaudited Consolidated Financial Statements as of March 31, 2011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180" w:type="dxa"/>
            <w:vAlign w:val="bottom"/>
          </w:tcPr>
          <w:p>
            <w:pPr>
              <w:spacing w:after="0"/>
              <w:rPr>
                <w:sz w:val="15"/>
                <w:szCs w:val="15"/>
                <w:color w:val="auto"/>
              </w:rPr>
            </w:pPr>
          </w:p>
        </w:tc>
        <w:tc>
          <w:tcPr>
            <w:tcW w:w="4520" w:type="dxa"/>
            <w:vAlign w:val="bottom"/>
            <w:gridSpan w:val="5"/>
          </w:tcPr>
          <w:p>
            <w:pPr>
              <w:spacing w:after="0" w:line="180" w:lineRule="exact"/>
              <w:rPr>
                <w:sz w:val="20"/>
                <w:szCs w:val="20"/>
                <w:color w:val="auto"/>
              </w:rPr>
            </w:pPr>
            <w:r>
              <w:rPr>
                <w:rFonts w:ascii="Arial" w:cs="Arial" w:eastAsia="Arial" w:hAnsi="Arial"/>
                <w:sz w:val="17"/>
                <w:szCs w:val="17"/>
                <w:color w:val="0000EE"/>
                <w:w w:val="90"/>
              </w:rPr>
              <w:t>Condensed Consolidated Interim Statements of Financial Position</w:t>
            </w:r>
          </w:p>
        </w:tc>
        <w:tc>
          <w:tcPr>
            <w:tcW w:w="2800" w:type="dxa"/>
            <w:vAlign w:val="bottom"/>
            <w:gridSpan w:val="2"/>
          </w:tcPr>
          <w:p>
            <w:pPr>
              <w:spacing w:after="0"/>
              <w:rPr>
                <w:sz w:val="15"/>
                <w:szCs w:val="15"/>
                <w:color w:val="auto"/>
              </w:rPr>
            </w:pPr>
          </w:p>
        </w:tc>
        <w:tc>
          <w:tcPr>
            <w:tcW w:w="320" w:type="dxa"/>
            <w:vAlign w:val="bottom"/>
            <w:gridSpan w:val="2"/>
          </w:tcPr>
          <w:p>
            <w:pPr>
              <w:spacing w:after="0" w:line="180" w:lineRule="exact"/>
              <w:rPr>
                <w:sz w:val="20"/>
                <w:szCs w:val="20"/>
                <w:color w:val="auto"/>
              </w:rPr>
            </w:pPr>
            <w:r>
              <w:rPr>
                <w:rFonts w:ascii="Arial" w:cs="Arial" w:eastAsia="Arial" w:hAnsi="Arial"/>
                <w:sz w:val="17"/>
                <w:szCs w:val="17"/>
                <w:color w:val="0000EE"/>
              </w:rPr>
              <w:t>F-1</w:t>
            </w:r>
          </w:p>
        </w:tc>
      </w:tr>
      <w:tr>
        <w:trPr>
          <w:trHeight w:val="29"/>
        </w:trPr>
        <w:tc>
          <w:tcPr>
            <w:tcW w:w="180" w:type="dxa"/>
            <w:vAlign w:val="bottom"/>
          </w:tcPr>
          <w:p>
            <w:pPr>
              <w:spacing w:after="0"/>
              <w:rPr>
                <w:sz w:val="2"/>
                <w:szCs w:val="2"/>
                <w:color w:val="auto"/>
              </w:rPr>
            </w:pPr>
          </w:p>
        </w:tc>
        <w:tc>
          <w:tcPr>
            <w:tcW w:w="230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4720" w:type="dxa"/>
            <w:vAlign w:val="bottom"/>
            <w:gridSpan w:val="6"/>
            <w:shd w:val="clear" w:color="auto" w:fill="CCFFCC"/>
          </w:tcPr>
          <w:p>
            <w:pPr>
              <w:spacing w:after="0" w:line="176" w:lineRule="exact"/>
              <w:rPr>
                <w:sz w:val="20"/>
                <w:szCs w:val="20"/>
                <w:color w:val="auto"/>
              </w:rPr>
            </w:pPr>
            <w:r>
              <w:rPr>
                <w:rFonts w:ascii="Arial" w:cs="Arial" w:eastAsia="Arial" w:hAnsi="Arial"/>
                <w:sz w:val="17"/>
                <w:szCs w:val="17"/>
                <w:color w:val="0000EE"/>
                <w:w w:val="90"/>
              </w:rPr>
              <w:t>Condensed Consolidated Interim Statements of Comprehensive Loss</w:t>
            </w:r>
          </w:p>
        </w:tc>
        <w:tc>
          <w:tcPr>
            <w:tcW w:w="2600" w:type="dxa"/>
            <w:vAlign w:val="bottom"/>
            <w:shd w:val="clear" w:color="auto" w:fill="CCFFCC"/>
          </w:tcPr>
          <w:p>
            <w:pPr>
              <w:spacing w:after="0"/>
              <w:rPr>
                <w:sz w:val="15"/>
                <w:szCs w:val="15"/>
                <w:color w:val="auto"/>
              </w:rPr>
            </w:pPr>
          </w:p>
        </w:tc>
        <w:tc>
          <w:tcPr>
            <w:tcW w:w="320" w:type="dxa"/>
            <w:vAlign w:val="bottom"/>
            <w:gridSpan w:val="2"/>
            <w:shd w:val="clear" w:color="auto" w:fill="CCFFCC"/>
          </w:tcPr>
          <w:p>
            <w:pPr>
              <w:spacing w:after="0" w:line="176" w:lineRule="exact"/>
              <w:rPr>
                <w:sz w:val="20"/>
                <w:szCs w:val="20"/>
                <w:color w:val="auto"/>
              </w:rPr>
            </w:pPr>
            <w:r>
              <w:rPr>
                <w:rFonts w:ascii="Arial" w:cs="Arial" w:eastAsia="Arial" w:hAnsi="Arial"/>
                <w:sz w:val="17"/>
                <w:szCs w:val="17"/>
                <w:color w:val="0000EE"/>
              </w:rPr>
              <w:t>F-2</w:t>
            </w:r>
          </w:p>
        </w:tc>
      </w:tr>
      <w:tr>
        <w:trPr>
          <w:trHeight w:val="39"/>
        </w:trPr>
        <w:tc>
          <w:tcPr>
            <w:tcW w:w="180" w:type="dxa"/>
            <w:vAlign w:val="bottom"/>
            <w:shd w:val="clear" w:color="auto" w:fill="CCFFCC"/>
          </w:tcPr>
          <w:p>
            <w:pPr>
              <w:spacing w:after="0"/>
              <w:rPr>
                <w:sz w:val="3"/>
                <w:szCs w:val="3"/>
                <w:color w:val="auto"/>
              </w:rPr>
            </w:pPr>
          </w:p>
        </w:tc>
        <w:tc>
          <w:tcPr>
            <w:tcW w:w="2300" w:type="dxa"/>
            <w:vAlign w:val="bottom"/>
            <w:shd w:val="clear" w:color="auto" w:fill="0000EE"/>
          </w:tcPr>
          <w:p>
            <w:pPr>
              <w:spacing w:after="0"/>
              <w:rPr>
                <w:sz w:val="3"/>
                <w:szCs w:val="3"/>
                <w:color w:val="auto"/>
              </w:rPr>
            </w:pPr>
          </w:p>
        </w:tc>
        <w:tc>
          <w:tcPr>
            <w:tcW w:w="13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3600" w:type="dxa"/>
            <w:vAlign w:val="bottom"/>
            <w:gridSpan w:val="2"/>
          </w:tcPr>
          <w:p>
            <w:pPr>
              <w:spacing w:after="0" w:line="167" w:lineRule="exact"/>
              <w:rPr>
                <w:sz w:val="20"/>
                <w:szCs w:val="20"/>
                <w:color w:val="auto"/>
              </w:rPr>
            </w:pPr>
            <w:r>
              <w:rPr>
                <w:rFonts w:ascii="Arial" w:cs="Arial" w:eastAsia="Arial" w:hAnsi="Arial"/>
                <w:sz w:val="17"/>
                <w:szCs w:val="17"/>
                <w:color w:val="0000EE"/>
                <w:w w:val="90"/>
              </w:rPr>
              <w:t>Condensed Interim Statements of Changes in Equity</w:t>
            </w:r>
          </w:p>
        </w:tc>
        <w:tc>
          <w:tcPr>
            <w:tcW w:w="1120" w:type="dxa"/>
            <w:vAlign w:val="bottom"/>
            <w:gridSpan w:val="4"/>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gridSpan w:val="2"/>
          </w:tcPr>
          <w:p>
            <w:pPr>
              <w:spacing w:after="0" w:line="167" w:lineRule="exact"/>
              <w:rPr>
                <w:sz w:val="20"/>
                <w:szCs w:val="20"/>
                <w:color w:val="auto"/>
              </w:rPr>
            </w:pPr>
            <w:r>
              <w:rPr>
                <w:rFonts w:ascii="Arial" w:cs="Arial" w:eastAsia="Arial" w:hAnsi="Arial"/>
                <w:sz w:val="17"/>
                <w:szCs w:val="17"/>
                <w:color w:val="0000EE"/>
              </w:rPr>
              <w:t>F-3</w:t>
            </w:r>
          </w:p>
        </w:tc>
      </w:tr>
      <w:tr>
        <w:trPr>
          <w:trHeight w:val="29"/>
        </w:trPr>
        <w:tc>
          <w:tcPr>
            <w:tcW w:w="180" w:type="dxa"/>
            <w:vAlign w:val="bottom"/>
          </w:tcPr>
          <w:p>
            <w:pPr>
              <w:spacing w:after="0"/>
              <w:rPr>
                <w:sz w:val="2"/>
                <w:szCs w:val="2"/>
                <w:color w:val="auto"/>
              </w:rPr>
            </w:pPr>
          </w:p>
        </w:tc>
        <w:tc>
          <w:tcPr>
            <w:tcW w:w="230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7320" w:type="dxa"/>
            <w:vAlign w:val="bottom"/>
            <w:gridSpan w:val="7"/>
            <w:shd w:val="clear" w:color="auto" w:fill="CCFFCC"/>
          </w:tcPr>
          <w:p>
            <w:pPr>
              <w:spacing w:after="0" w:line="176" w:lineRule="exact"/>
              <w:rPr>
                <w:sz w:val="20"/>
                <w:szCs w:val="20"/>
                <w:color w:val="auto"/>
              </w:rPr>
            </w:pPr>
            <w:r>
              <w:rPr>
                <w:rFonts w:ascii="Arial" w:cs="Arial" w:eastAsia="Arial" w:hAnsi="Arial"/>
                <w:sz w:val="17"/>
                <w:szCs w:val="17"/>
                <w:color w:val="0000EE"/>
              </w:rPr>
              <w:t>Condensed Consolidated Interim Cash Flow Statements</w:t>
            </w:r>
          </w:p>
        </w:tc>
        <w:tc>
          <w:tcPr>
            <w:tcW w:w="320" w:type="dxa"/>
            <w:vAlign w:val="bottom"/>
            <w:gridSpan w:val="2"/>
            <w:shd w:val="clear" w:color="auto" w:fill="CCFFCC"/>
          </w:tcPr>
          <w:p>
            <w:pPr>
              <w:spacing w:after="0" w:line="176" w:lineRule="exact"/>
              <w:rPr>
                <w:sz w:val="20"/>
                <w:szCs w:val="20"/>
                <w:color w:val="auto"/>
              </w:rPr>
            </w:pPr>
            <w:r>
              <w:rPr>
                <w:rFonts w:ascii="Arial" w:cs="Arial" w:eastAsia="Arial" w:hAnsi="Arial"/>
                <w:sz w:val="17"/>
                <w:szCs w:val="17"/>
                <w:color w:val="0000EE"/>
              </w:rPr>
              <w:t>F-4</w:t>
            </w:r>
          </w:p>
        </w:tc>
      </w:tr>
      <w:tr>
        <w:trPr>
          <w:trHeight w:val="39"/>
        </w:trPr>
        <w:tc>
          <w:tcPr>
            <w:tcW w:w="180" w:type="dxa"/>
            <w:vAlign w:val="bottom"/>
            <w:shd w:val="clear" w:color="auto" w:fill="CCFFCC"/>
          </w:tcPr>
          <w:p>
            <w:pPr>
              <w:spacing w:after="0"/>
              <w:rPr>
                <w:sz w:val="3"/>
                <w:szCs w:val="3"/>
                <w:color w:val="auto"/>
              </w:rPr>
            </w:pPr>
          </w:p>
        </w:tc>
        <w:tc>
          <w:tcPr>
            <w:tcW w:w="2300" w:type="dxa"/>
            <w:vAlign w:val="bottom"/>
            <w:shd w:val="clear" w:color="auto" w:fill="0000EE"/>
          </w:tcPr>
          <w:p>
            <w:pPr>
              <w:spacing w:after="0"/>
              <w:rPr>
                <w:sz w:val="3"/>
                <w:szCs w:val="3"/>
                <w:color w:val="auto"/>
              </w:rPr>
            </w:pPr>
          </w:p>
        </w:tc>
        <w:tc>
          <w:tcPr>
            <w:tcW w:w="13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2300" w:type="dxa"/>
            <w:vAlign w:val="bottom"/>
          </w:tcPr>
          <w:p>
            <w:pPr>
              <w:spacing w:after="0" w:line="167" w:lineRule="exact"/>
              <w:rPr>
                <w:sz w:val="20"/>
                <w:szCs w:val="20"/>
                <w:color w:val="auto"/>
              </w:rPr>
            </w:pPr>
            <w:r>
              <w:rPr>
                <w:rFonts w:ascii="Arial" w:cs="Arial" w:eastAsia="Arial" w:hAnsi="Arial"/>
                <w:sz w:val="17"/>
                <w:szCs w:val="17"/>
                <w:color w:val="0000EE"/>
                <w:w w:val="89"/>
              </w:rPr>
              <w:t>Notes to the Financial Statements</w:t>
            </w:r>
          </w:p>
        </w:tc>
        <w:tc>
          <w:tcPr>
            <w:tcW w:w="1520" w:type="dxa"/>
            <w:vAlign w:val="bottom"/>
            <w:gridSpan w:val="2"/>
          </w:tcPr>
          <w:p>
            <w:pPr>
              <w:spacing w:after="0"/>
              <w:rPr>
                <w:sz w:val="14"/>
                <w:szCs w:val="14"/>
                <w:color w:val="auto"/>
              </w:rPr>
            </w:pPr>
          </w:p>
        </w:tc>
        <w:tc>
          <w:tcPr>
            <w:tcW w:w="3500" w:type="dxa"/>
            <w:vAlign w:val="bottom"/>
            <w:gridSpan w:val="4"/>
          </w:tcPr>
          <w:p>
            <w:pPr>
              <w:spacing w:after="0"/>
              <w:rPr>
                <w:sz w:val="14"/>
                <w:szCs w:val="14"/>
                <w:color w:val="auto"/>
              </w:rPr>
            </w:pPr>
          </w:p>
        </w:tc>
        <w:tc>
          <w:tcPr>
            <w:tcW w:w="320" w:type="dxa"/>
            <w:vAlign w:val="bottom"/>
            <w:gridSpan w:val="2"/>
          </w:tcPr>
          <w:p>
            <w:pPr>
              <w:spacing w:after="0" w:line="167" w:lineRule="exact"/>
              <w:rPr>
                <w:sz w:val="20"/>
                <w:szCs w:val="20"/>
                <w:color w:val="auto"/>
              </w:rPr>
            </w:pPr>
            <w:r>
              <w:rPr>
                <w:rFonts w:ascii="Arial" w:cs="Arial" w:eastAsia="Arial" w:hAnsi="Arial"/>
                <w:sz w:val="17"/>
                <w:szCs w:val="17"/>
                <w:color w:val="0000EE"/>
              </w:rPr>
              <w:t>F-6</w:t>
            </w:r>
          </w:p>
        </w:tc>
      </w:tr>
      <w:tr>
        <w:trPr>
          <w:trHeight w:val="20"/>
        </w:trPr>
        <w:tc>
          <w:tcPr>
            <w:tcW w:w="1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4300" w:type="dxa"/>
            <w:vAlign w:val="bottom"/>
            <w:gridSpan w:val="5"/>
          </w:tcPr>
          <w:p>
            <w:pPr>
              <w:spacing w:after="0" w:line="186" w:lineRule="exact"/>
              <w:rPr>
                <w:sz w:val="20"/>
                <w:szCs w:val="20"/>
                <w:color w:val="auto"/>
              </w:rPr>
            </w:pPr>
            <w:r>
              <w:rPr>
                <w:rFonts w:ascii="Arial" w:cs="Arial" w:eastAsia="Arial" w:hAnsi="Arial"/>
                <w:sz w:val="17"/>
                <w:szCs w:val="17"/>
                <w:b w:val="1"/>
                <w:bCs w:val="1"/>
                <w:color w:val="0000EE"/>
                <w:w w:val="91"/>
              </w:rPr>
              <w:t>Report of Independent Registered Public Accounting Firm</w:t>
            </w:r>
          </w:p>
        </w:tc>
        <w:tc>
          <w:tcPr>
            <w:tcW w:w="3200" w:type="dxa"/>
            <w:vAlign w:val="bottom"/>
            <w:gridSpan w:val="3"/>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7"/>
                <w:szCs w:val="17"/>
                <w:color w:val="0000EE"/>
              </w:rPr>
              <w:t>F-8</w:t>
            </w:r>
          </w:p>
        </w:tc>
      </w:tr>
      <w:tr>
        <w:trPr>
          <w:trHeight w:val="20"/>
        </w:trPr>
        <w:tc>
          <w:tcPr>
            <w:tcW w:w="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-840740</wp:posOffset>
            </wp:positionV>
            <wp:extent cx="49663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66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-187325</wp:posOffset>
            </wp:positionV>
            <wp:extent cx="49663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116" w:lineRule="exact"/>
        <w:rPr>
          <w:sz w:val="20"/>
          <w:szCs w:val="20"/>
          <w:color w:val="auto"/>
        </w:rPr>
      </w:pPr>
    </w:p>
    <w:p>
      <w:pPr>
        <w:ind w:left="60" w:right="1180"/>
        <w:spacing w:after="0" w:line="263" w:lineRule="auto"/>
        <w:rPr>
          <w:sz w:val="20"/>
          <w:szCs w:val="20"/>
          <w:color w:val="auto"/>
        </w:rPr>
      </w:pPr>
      <w:r>
        <w:rPr>
          <w:rFonts w:ascii="Arial" w:cs="Arial" w:eastAsia="Arial" w:hAnsi="Arial"/>
          <w:sz w:val="17"/>
          <w:szCs w:val="17"/>
          <w:b w:val="1"/>
          <w:bCs w:val="1"/>
          <w:color w:val="auto"/>
        </w:rPr>
        <w:t>Audited Consolidated Financial Statements as of December 31, 2009 and 2010 and for each of the three years in the period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49580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58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180" w:type="dxa"/>
            <w:vAlign w:val="bottom"/>
          </w:tcPr>
          <w:p>
            <w:pPr>
              <w:spacing w:after="0"/>
              <w:rPr>
                <w:sz w:val="14"/>
                <w:szCs w:val="14"/>
                <w:color w:val="auto"/>
              </w:rPr>
            </w:pPr>
          </w:p>
        </w:tc>
        <w:tc>
          <w:tcPr>
            <w:tcW w:w="4080" w:type="dxa"/>
            <w:vAlign w:val="bottom"/>
            <w:gridSpan w:val="6"/>
          </w:tcPr>
          <w:p>
            <w:pPr>
              <w:spacing w:after="0" w:line="169" w:lineRule="exact"/>
              <w:rPr>
                <w:sz w:val="20"/>
                <w:szCs w:val="20"/>
                <w:color w:val="auto"/>
              </w:rPr>
            </w:pPr>
            <w:r>
              <w:rPr>
                <w:rFonts w:ascii="Arial" w:cs="Arial" w:eastAsia="Arial" w:hAnsi="Arial"/>
                <w:sz w:val="17"/>
                <w:szCs w:val="17"/>
                <w:color w:val="0000EE"/>
              </w:rPr>
              <w:t>Consolidated Statements of Financial Position</w:t>
            </w: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80"/>
              <w:spacing w:after="0" w:line="169" w:lineRule="exact"/>
              <w:rPr>
                <w:sz w:val="20"/>
                <w:szCs w:val="20"/>
                <w:color w:val="auto"/>
              </w:rPr>
            </w:pPr>
            <w:r>
              <w:rPr>
                <w:rFonts w:ascii="Arial" w:cs="Arial" w:eastAsia="Arial" w:hAnsi="Arial"/>
                <w:sz w:val="17"/>
                <w:szCs w:val="17"/>
                <w:color w:val="0000EE"/>
                <w:w w:val="86"/>
              </w:rPr>
              <w:t>F-9</w:t>
            </w:r>
          </w:p>
        </w:tc>
        <w:tc>
          <w:tcPr>
            <w:tcW w:w="234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4080" w:type="dxa"/>
            <w:vAlign w:val="bottom"/>
            <w:tcBorders>
              <w:right w:val="single" w:sz="8" w:color="CCFFCC"/>
            </w:tcBorders>
            <w:gridSpan w:val="6"/>
            <w:shd w:val="clear" w:color="auto" w:fill="CCFFCC"/>
          </w:tcPr>
          <w:p>
            <w:pPr>
              <w:spacing w:after="0" w:line="176" w:lineRule="exact"/>
              <w:rPr>
                <w:sz w:val="20"/>
                <w:szCs w:val="20"/>
                <w:color w:val="auto"/>
              </w:rPr>
            </w:pPr>
            <w:r>
              <w:rPr>
                <w:rFonts w:ascii="Arial" w:cs="Arial" w:eastAsia="Arial" w:hAnsi="Arial"/>
                <w:sz w:val="17"/>
                <w:szCs w:val="17"/>
                <w:color w:val="0000EE"/>
                <w:w w:val="90"/>
              </w:rPr>
              <w:t>Consolidated Statements of Comprehensive Income (Loss)</w:t>
            </w:r>
          </w:p>
        </w:tc>
        <w:tc>
          <w:tcPr>
            <w:tcW w:w="3160" w:type="dxa"/>
            <w:vAlign w:val="bottom"/>
            <w:shd w:val="clear" w:color="auto" w:fill="CCFFCC"/>
          </w:tcPr>
          <w:p>
            <w:pPr>
              <w:spacing w:after="0"/>
              <w:rPr>
                <w:sz w:val="15"/>
                <w:szCs w:val="15"/>
                <w:color w:val="auto"/>
              </w:rPr>
            </w:pPr>
          </w:p>
        </w:tc>
        <w:tc>
          <w:tcPr>
            <w:tcW w:w="40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7"/>
                <w:szCs w:val="17"/>
                <w:color w:val="0000EE"/>
                <w:w w:val="85"/>
              </w:rPr>
              <w:t>F-10</w:t>
            </w:r>
          </w:p>
        </w:tc>
        <w:tc>
          <w:tcPr>
            <w:tcW w:w="2340" w:type="dxa"/>
            <w:vAlign w:val="bottom"/>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920" w:type="dxa"/>
            <w:vAlign w:val="bottom"/>
            <w:tcBorders>
              <w:right w:val="single" w:sz="8" w:color="CCFFCC"/>
            </w:tcBorders>
            <w:shd w:val="clear" w:color="auto" w:fill="0000EE"/>
          </w:tcPr>
          <w:p>
            <w:pPr>
              <w:spacing w:after="0"/>
              <w:rPr>
                <w:sz w:val="3"/>
                <w:szCs w:val="3"/>
                <w:color w:val="auto"/>
              </w:rPr>
            </w:pPr>
          </w:p>
        </w:tc>
        <w:tc>
          <w:tcPr>
            <w:tcW w:w="316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340" w:type="dxa"/>
            <w:vAlign w:val="bottom"/>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4080" w:type="dxa"/>
            <w:vAlign w:val="bottom"/>
            <w:gridSpan w:val="6"/>
          </w:tcPr>
          <w:p>
            <w:pPr>
              <w:spacing w:after="0" w:line="167" w:lineRule="exact"/>
              <w:rPr>
                <w:sz w:val="20"/>
                <w:szCs w:val="20"/>
                <w:color w:val="auto"/>
              </w:rPr>
            </w:pPr>
            <w:r>
              <w:rPr>
                <w:rFonts w:ascii="Arial" w:cs="Arial" w:eastAsia="Arial" w:hAnsi="Arial"/>
                <w:sz w:val="17"/>
                <w:szCs w:val="17"/>
                <w:color w:val="0000EE"/>
              </w:rPr>
              <w:t>Statements of Changes in Equity</w:t>
            </w:r>
          </w:p>
        </w:tc>
        <w:tc>
          <w:tcPr>
            <w:tcW w:w="3160" w:type="dxa"/>
            <w:vAlign w:val="bottom"/>
          </w:tcPr>
          <w:p>
            <w:pPr>
              <w:spacing w:after="0"/>
              <w:rPr>
                <w:sz w:val="14"/>
                <w:szCs w:val="14"/>
                <w:color w:val="auto"/>
              </w:rPr>
            </w:pPr>
          </w:p>
        </w:tc>
        <w:tc>
          <w:tcPr>
            <w:tcW w:w="400" w:type="dxa"/>
            <w:vAlign w:val="bottom"/>
            <w:gridSpan w:val="3"/>
          </w:tcPr>
          <w:p>
            <w:pPr>
              <w:jc w:val="right"/>
              <w:ind w:right="80"/>
              <w:spacing w:after="0" w:line="167" w:lineRule="exact"/>
              <w:rPr>
                <w:sz w:val="20"/>
                <w:szCs w:val="20"/>
                <w:color w:val="auto"/>
              </w:rPr>
            </w:pPr>
            <w:r>
              <w:rPr>
                <w:rFonts w:ascii="Arial" w:cs="Arial" w:eastAsia="Arial" w:hAnsi="Arial"/>
                <w:sz w:val="17"/>
                <w:szCs w:val="17"/>
                <w:color w:val="0000EE"/>
                <w:w w:val="85"/>
              </w:rPr>
              <w:t>F-11</w:t>
            </w:r>
          </w:p>
        </w:tc>
        <w:tc>
          <w:tcPr>
            <w:tcW w:w="2340" w:type="dxa"/>
            <w:vAlign w:val="bottom"/>
          </w:tcPr>
          <w:p>
            <w:pPr>
              <w:spacing w:after="0"/>
              <w:rPr>
                <w:sz w:val="14"/>
                <w:szCs w:val="14"/>
                <w:color w:val="auto"/>
              </w:rPr>
            </w:pPr>
          </w:p>
        </w:tc>
      </w:tr>
      <w:tr>
        <w:trPr>
          <w:trHeight w:val="29"/>
        </w:trPr>
        <w:tc>
          <w:tcPr>
            <w:tcW w:w="180" w:type="dxa"/>
            <w:vAlign w:val="bottom"/>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177"/>
        </w:trPr>
        <w:tc>
          <w:tcPr>
            <w:tcW w:w="180" w:type="dxa"/>
            <w:vAlign w:val="bottom"/>
            <w:shd w:val="clear" w:color="auto" w:fill="CCFFCC"/>
          </w:tcPr>
          <w:p>
            <w:pPr>
              <w:spacing w:after="0"/>
              <w:rPr>
                <w:sz w:val="15"/>
                <w:szCs w:val="15"/>
                <w:color w:val="auto"/>
              </w:rPr>
            </w:pPr>
          </w:p>
        </w:tc>
        <w:tc>
          <w:tcPr>
            <w:tcW w:w="2480" w:type="dxa"/>
            <w:vAlign w:val="bottom"/>
            <w:gridSpan w:val="4"/>
            <w:shd w:val="clear" w:color="auto" w:fill="CCFFCC"/>
          </w:tcPr>
          <w:p>
            <w:pPr>
              <w:spacing w:after="0" w:line="176" w:lineRule="exact"/>
              <w:rPr>
                <w:sz w:val="20"/>
                <w:szCs w:val="20"/>
                <w:color w:val="auto"/>
              </w:rPr>
            </w:pPr>
            <w:r>
              <w:rPr>
                <w:rFonts w:ascii="Arial" w:cs="Arial" w:eastAsia="Arial" w:hAnsi="Arial"/>
                <w:sz w:val="17"/>
                <w:szCs w:val="17"/>
                <w:color w:val="0000EE"/>
                <w:w w:val="89"/>
              </w:rPr>
              <w:t>Consolidated Cash Flow Statements</w:t>
            </w:r>
          </w:p>
        </w:tc>
        <w:tc>
          <w:tcPr>
            <w:tcW w:w="1600" w:type="dxa"/>
            <w:vAlign w:val="bottom"/>
            <w:tcBorders>
              <w:right w:val="single" w:sz="8" w:color="CCFFCC"/>
            </w:tcBorders>
            <w:gridSpan w:val="2"/>
            <w:shd w:val="clear" w:color="auto" w:fill="CCFFCC"/>
          </w:tcPr>
          <w:p>
            <w:pPr>
              <w:spacing w:after="0"/>
              <w:rPr>
                <w:sz w:val="15"/>
                <w:szCs w:val="15"/>
                <w:color w:val="auto"/>
              </w:rPr>
            </w:pPr>
          </w:p>
        </w:tc>
        <w:tc>
          <w:tcPr>
            <w:tcW w:w="3160" w:type="dxa"/>
            <w:vAlign w:val="bottom"/>
            <w:shd w:val="clear" w:color="auto" w:fill="CCFFCC"/>
          </w:tcPr>
          <w:p>
            <w:pPr>
              <w:spacing w:after="0"/>
              <w:rPr>
                <w:sz w:val="15"/>
                <w:szCs w:val="15"/>
                <w:color w:val="auto"/>
              </w:rPr>
            </w:pPr>
          </w:p>
        </w:tc>
        <w:tc>
          <w:tcPr>
            <w:tcW w:w="40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7"/>
                <w:szCs w:val="17"/>
                <w:color w:val="0000EE"/>
                <w:w w:val="85"/>
              </w:rPr>
              <w:t>F-12</w:t>
            </w:r>
          </w:p>
        </w:tc>
        <w:tc>
          <w:tcPr>
            <w:tcW w:w="2340" w:type="dxa"/>
            <w:vAlign w:val="bottom"/>
          </w:tcPr>
          <w:p>
            <w:pPr>
              <w:spacing w:after="0"/>
              <w:rPr>
                <w:sz w:val="15"/>
                <w:szCs w:val="15"/>
                <w:color w:val="auto"/>
              </w:rPr>
            </w:pPr>
          </w:p>
        </w:tc>
      </w:tr>
      <w:tr>
        <w:trPr>
          <w:trHeight w:val="39"/>
        </w:trPr>
        <w:tc>
          <w:tcPr>
            <w:tcW w:w="180" w:type="dxa"/>
            <w:vAlign w:val="bottom"/>
            <w:shd w:val="clear" w:color="auto" w:fill="CCFFCC"/>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920" w:type="dxa"/>
            <w:vAlign w:val="bottom"/>
            <w:tcBorders>
              <w:right w:val="single" w:sz="8" w:color="CCFFCC"/>
            </w:tcBorders>
            <w:shd w:val="clear" w:color="auto" w:fill="CCFFCC"/>
          </w:tcPr>
          <w:p>
            <w:pPr>
              <w:spacing w:after="0"/>
              <w:rPr>
                <w:sz w:val="3"/>
                <w:szCs w:val="3"/>
                <w:color w:val="auto"/>
              </w:rPr>
            </w:pPr>
          </w:p>
        </w:tc>
        <w:tc>
          <w:tcPr>
            <w:tcW w:w="3160" w:type="dxa"/>
            <w:vAlign w:val="bottom"/>
            <w:shd w:val="clear" w:color="auto" w:fill="CCFFCC"/>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340" w:type="dxa"/>
            <w:vAlign w:val="bottom"/>
          </w:tcPr>
          <w:p>
            <w:pPr>
              <w:spacing w:after="0"/>
              <w:rPr>
                <w:sz w:val="3"/>
                <w:szCs w:val="3"/>
                <w:color w:val="auto"/>
              </w:rPr>
            </w:pPr>
          </w:p>
        </w:tc>
      </w:tr>
      <w:tr>
        <w:trPr>
          <w:trHeight w:val="167"/>
        </w:trPr>
        <w:tc>
          <w:tcPr>
            <w:tcW w:w="180" w:type="dxa"/>
            <w:vAlign w:val="bottom"/>
          </w:tcPr>
          <w:p>
            <w:pPr>
              <w:spacing w:after="0"/>
              <w:rPr>
                <w:sz w:val="14"/>
                <w:szCs w:val="14"/>
                <w:color w:val="auto"/>
              </w:rPr>
            </w:pPr>
          </w:p>
        </w:tc>
        <w:tc>
          <w:tcPr>
            <w:tcW w:w="2480" w:type="dxa"/>
            <w:vAlign w:val="bottom"/>
            <w:gridSpan w:val="4"/>
          </w:tcPr>
          <w:p>
            <w:pPr>
              <w:spacing w:after="0" w:line="167" w:lineRule="exact"/>
              <w:rPr>
                <w:sz w:val="20"/>
                <w:szCs w:val="20"/>
                <w:color w:val="auto"/>
              </w:rPr>
            </w:pPr>
            <w:r>
              <w:rPr>
                <w:rFonts w:ascii="Arial" w:cs="Arial" w:eastAsia="Arial" w:hAnsi="Arial"/>
                <w:sz w:val="17"/>
                <w:szCs w:val="17"/>
                <w:color w:val="0000EE"/>
                <w:w w:val="96"/>
              </w:rPr>
              <w:t>Notes to the Financial Statements</w:t>
            </w:r>
          </w:p>
        </w:tc>
        <w:tc>
          <w:tcPr>
            <w:tcW w:w="1600" w:type="dxa"/>
            <w:vAlign w:val="bottom"/>
            <w:gridSpan w:val="2"/>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gridSpan w:val="3"/>
          </w:tcPr>
          <w:p>
            <w:pPr>
              <w:jc w:val="right"/>
              <w:ind w:right="80"/>
              <w:spacing w:after="0" w:line="167" w:lineRule="exact"/>
              <w:rPr>
                <w:sz w:val="20"/>
                <w:szCs w:val="20"/>
                <w:color w:val="auto"/>
              </w:rPr>
            </w:pPr>
            <w:r>
              <w:rPr>
                <w:rFonts w:ascii="Arial" w:cs="Arial" w:eastAsia="Arial" w:hAnsi="Arial"/>
                <w:sz w:val="17"/>
                <w:szCs w:val="17"/>
                <w:color w:val="0000EE"/>
                <w:w w:val="85"/>
              </w:rPr>
              <w:t>F-14</w:t>
            </w:r>
          </w:p>
        </w:tc>
        <w:tc>
          <w:tcPr>
            <w:tcW w:w="2340" w:type="dxa"/>
            <w:vAlign w:val="bottom"/>
          </w:tcPr>
          <w:p>
            <w:pPr>
              <w:spacing w:after="0"/>
              <w:rPr>
                <w:sz w:val="14"/>
                <w:szCs w:val="14"/>
                <w:color w:val="auto"/>
              </w:rPr>
            </w:pPr>
          </w:p>
        </w:tc>
      </w:tr>
      <w:tr>
        <w:trPr>
          <w:trHeight w:val="763"/>
        </w:trPr>
        <w:tc>
          <w:tcPr>
            <w:tcW w:w="18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60" w:type="dxa"/>
            <w:vAlign w:val="bottom"/>
          </w:tcPr>
          <w:p>
            <w:pPr>
              <w:jc w:val="right"/>
              <w:ind w:right="2774"/>
              <w:spacing w:after="0"/>
              <w:rPr>
                <w:sz w:val="20"/>
                <w:szCs w:val="20"/>
                <w:color w:val="auto"/>
              </w:rPr>
            </w:pPr>
            <w:r>
              <w:rPr>
                <w:rFonts w:ascii="Arial" w:cs="Arial" w:eastAsia="Arial" w:hAnsi="Arial"/>
                <w:sz w:val="17"/>
                <w:szCs w:val="17"/>
                <w:color w:val="auto"/>
                <w:w w:val="98"/>
              </w:rPr>
              <w:t>131</w:t>
            </w: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56"/>
        </w:trPr>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57785"/>
                    </a:xfrm>
                    <a:prstGeom prst="rect">
                      <a:avLst/>
                    </a:prstGeom>
                    <a:noFill/>
                  </pic:spPr>
                </pic:pic>
              </a:graphicData>
            </a:graphic>
          </wp:anchor>
        </w:drawing>
      </w:r>
    </w:p>
    <w:p>
      <w:pPr>
        <w:sectPr>
          <w:pgSz w:w="11900" w:h="16838" w:orient="portrait"/>
          <w:cols w:equalWidth="0" w:num="1">
            <w:col w:w="10160"/>
          </w:cols>
          <w:pgMar w:left="360" w:top="760" w:right="137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CONDENSED CONSOLIDATED INTERIM STATEMENTS OF FINANCIAL POSITION</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9498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498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Convenience</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720" w:type="dxa"/>
            <w:vAlign w:val="bottom"/>
          </w:tcPr>
          <w:p>
            <w:pPr>
              <w:jc w:val="right"/>
              <w:ind w:right="76"/>
              <w:spacing w:after="0" w:line="141"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880" w:type="dxa"/>
            <w:vAlign w:val="bottom"/>
            <w:gridSpan w:val="2"/>
          </w:tcPr>
          <w:p>
            <w:pPr>
              <w:jc w:val="right"/>
              <w:ind w:right="76"/>
              <w:spacing w:after="0" w:line="141"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translation</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into USD</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8"/>
              </w:rPr>
              <w:t>(Note 1b)</w:t>
            </w:r>
          </w:p>
        </w:tc>
        <w:tc>
          <w:tcPr>
            <w:tcW w:w="0" w:type="dxa"/>
            <w:vAlign w:val="bottom"/>
          </w:tcPr>
          <w:p>
            <w:pPr>
              <w:spacing w:after="0"/>
              <w:rPr>
                <w:sz w:val="1"/>
                <w:szCs w:val="1"/>
                <w:color w:val="auto"/>
              </w:rPr>
            </w:pPr>
          </w:p>
        </w:tc>
      </w:tr>
      <w:tr>
        <w:trPr>
          <w:trHeight w:val="141"/>
        </w:trPr>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4"/>
        </w:trPr>
        <w:tc>
          <w:tcPr>
            <w:tcW w:w="4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840" w:type="dxa"/>
            <w:vAlign w:val="bottom"/>
            <w:gridSpan w:val="5"/>
          </w:tcPr>
          <w:p>
            <w:pPr>
              <w:jc w:val="right"/>
              <w:ind w:right="440"/>
              <w:spacing w:after="0"/>
              <w:rPr>
                <w:sz w:val="20"/>
                <w:szCs w:val="20"/>
                <w:color w:val="auto"/>
              </w:rPr>
            </w:pPr>
            <w:r>
              <w:rPr>
                <w:rFonts w:ascii="Arial" w:cs="Arial" w:eastAsia="Arial" w:hAnsi="Arial"/>
                <w:sz w:val="14"/>
                <w:szCs w:val="14"/>
                <w:color w:val="auto"/>
              </w:rPr>
              <w:t>NIS in thousands</w:t>
            </w:r>
          </w:p>
        </w:tc>
        <w:tc>
          <w:tcPr>
            <w:tcW w:w="14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87"/>
              </w:rPr>
              <w:t>In thousands</w:t>
            </w:r>
          </w:p>
        </w:tc>
        <w:tc>
          <w:tcPr>
            <w:tcW w:w="0" w:type="dxa"/>
            <w:vAlign w:val="bottom"/>
          </w:tcPr>
          <w:p>
            <w:pPr>
              <w:spacing w:after="0"/>
              <w:rPr>
                <w:sz w:val="1"/>
                <w:szCs w:val="1"/>
                <w:color w:val="auto"/>
              </w:rPr>
            </w:pPr>
          </w:p>
        </w:tc>
      </w:tr>
      <w:tr>
        <w:trPr>
          <w:trHeight w:val="217"/>
        </w:trPr>
        <w:tc>
          <w:tcPr>
            <w:tcW w:w="48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CURRENT ASSETS</w:t>
            </w: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111,746</w:t>
            </w: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54,737</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15,725</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Short-term bank deposits</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28,037</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73,243</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21,041</w:t>
            </w: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Prepaid expenses</w:t>
            </w:r>
          </w:p>
        </w:tc>
        <w:tc>
          <w:tcPr>
            <w:tcW w:w="7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116</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Other receivables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6,313</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6,323</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20"/>
        </w:trPr>
        <w:tc>
          <w:tcPr>
            <w:tcW w:w="48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720" w:type="dxa"/>
            <w:vAlign w:val="bottom"/>
          </w:tcPr>
          <w:p>
            <w:pPr>
              <w:jc w:val="right"/>
              <w:spacing w:after="0"/>
              <w:rPr>
                <w:sz w:val="20"/>
                <w:szCs w:val="20"/>
                <w:color w:val="auto"/>
              </w:rPr>
            </w:pPr>
            <w:r>
              <w:rPr>
                <w:rFonts w:ascii="Arial" w:cs="Arial" w:eastAsia="Arial" w:hAnsi="Arial"/>
                <w:sz w:val="17"/>
                <w:szCs w:val="17"/>
                <w:color w:val="auto"/>
              </w:rPr>
              <w:t>146,142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134,419</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38,615</w:t>
            </w:r>
          </w:p>
        </w:tc>
        <w:tc>
          <w:tcPr>
            <w:tcW w:w="0" w:type="dxa"/>
            <w:vAlign w:val="bottom"/>
          </w:tcPr>
          <w:p>
            <w:pPr>
              <w:spacing w:after="0"/>
              <w:rPr>
                <w:sz w:val="1"/>
                <w:szCs w:val="1"/>
                <w:color w:val="auto"/>
              </w:rPr>
            </w:pPr>
          </w:p>
        </w:tc>
      </w:tr>
      <w:tr>
        <w:trPr>
          <w:trHeight w:val="199"/>
        </w:trPr>
        <w:tc>
          <w:tcPr>
            <w:tcW w:w="48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NON-CURRENT ASSETS</w:t>
            </w: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Restricted deposits</w:t>
            </w:r>
          </w:p>
        </w:tc>
        <w:tc>
          <w:tcPr>
            <w:tcW w:w="720" w:type="dxa"/>
            <w:vAlign w:val="bottom"/>
          </w:tcPr>
          <w:p>
            <w:pPr>
              <w:jc w:val="right"/>
              <w:spacing w:after="0"/>
              <w:rPr>
                <w:sz w:val="20"/>
                <w:szCs w:val="20"/>
                <w:color w:val="auto"/>
              </w:rPr>
            </w:pPr>
            <w:r>
              <w:rPr>
                <w:rFonts w:ascii="Arial" w:cs="Arial" w:eastAsia="Arial" w:hAnsi="Arial"/>
                <w:sz w:val="17"/>
                <w:szCs w:val="17"/>
                <w:color w:val="auto"/>
              </w:rPr>
              <w:t>2,414</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3,358</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Long-term prepaid expenses</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196</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231</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720" w:type="dxa"/>
            <w:vAlign w:val="bottom"/>
          </w:tcPr>
          <w:p>
            <w:pPr>
              <w:jc w:val="right"/>
              <w:spacing w:after="0"/>
              <w:rPr>
                <w:sz w:val="20"/>
                <w:szCs w:val="20"/>
                <w:color w:val="auto"/>
              </w:rPr>
            </w:pPr>
            <w:r>
              <w:rPr>
                <w:rFonts w:ascii="Arial" w:cs="Arial" w:eastAsia="Arial" w:hAnsi="Arial"/>
                <w:sz w:val="17"/>
                <w:szCs w:val="17"/>
                <w:color w:val="auto"/>
              </w:rPr>
              <w:t>4,509</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4,350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Intangible assets, net</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1,352</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1,303</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0"/>
        </w:trPr>
        <w:tc>
          <w:tcPr>
            <w:tcW w:w="48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tcPr>
          <w:p>
            <w:pPr>
              <w:ind w:left="520"/>
              <w:spacing w:after="0"/>
              <w:rPr>
                <w:sz w:val="20"/>
                <w:szCs w:val="20"/>
                <w:color w:val="auto"/>
              </w:rPr>
            </w:pPr>
            <w:r>
              <w:rPr>
                <w:rFonts w:ascii="Arial" w:cs="Arial" w:eastAsia="Arial" w:hAnsi="Arial"/>
                <w:sz w:val="17"/>
                <w:szCs w:val="17"/>
                <w:color w:val="auto"/>
              </w:rPr>
              <w:t>Total non-current assets</w:t>
            </w:r>
          </w:p>
        </w:tc>
        <w:tc>
          <w:tcPr>
            <w:tcW w:w="720" w:type="dxa"/>
            <w:vAlign w:val="bottom"/>
          </w:tcPr>
          <w:p>
            <w:pPr>
              <w:jc w:val="right"/>
              <w:spacing w:after="0"/>
              <w:rPr>
                <w:sz w:val="20"/>
                <w:szCs w:val="20"/>
                <w:color w:val="auto"/>
              </w:rPr>
            </w:pPr>
            <w:r>
              <w:rPr>
                <w:rFonts w:ascii="Arial" w:cs="Arial" w:eastAsia="Arial" w:hAnsi="Arial"/>
                <w:sz w:val="17"/>
                <w:szCs w:val="17"/>
                <w:color w:val="auto"/>
              </w:rPr>
              <w:t>8,471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9,242</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2,655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80" w:type="dxa"/>
            <w:vAlign w:val="bottom"/>
            <w:shd w:val="clear" w:color="auto" w:fill="CCFFCC"/>
          </w:tcPr>
          <w:p>
            <w:pPr>
              <w:ind w:left="520"/>
              <w:spacing w:after="0"/>
              <w:rPr>
                <w:sz w:val="20"/>
                <w:szCs w:val="20"/>
                <w:color w:val="auto"/>
              </w:rPr>
            </w:pPr>
            <w:r>
              <w:rPr>
                <w:rFonts w:ascii="Arial" w:cs="Arial" w:eastAsia="Arial" w:hAnsi="Arial"/>
                <w:sz w:val="17"/>
                <w:szCs w:val="17"/>
                <w:b w:val="1"/>
                <w:bCs w:val="1"/>
                <w:color w:val="auto"/>
              </w:rPr>
              <w:t>Total assets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154,613</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143,661</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41,270</w:t>
            </w:r>
          </w:p>
        </w:tc>
        <w:tc>
          <w:tcPr>
            <w:tcW w:w="0" w:type="dxa"/>
            <w:vAlign w:val="bottom"/>
          </w:tcPr>
          <w:p>
            <w:pPr>
              <w:spacing w:after="0"/>
              <w:rPr>
                <w:sz w:val="1"/>
                <w:szCs w:val="1"/>
                <w:color w:val="auto"/>
              </w:rPr>
            </w:pPr>
          </w:p>
        </w:tc>
      </w:tr>
      <w:tr>
        <w:trPr>
          <w:trHeight w:val="197"/>
        </w:trPr>
        <w:tc>
          <w:tcPr>
            <w:tcW w:w="4880" w:type="dxa"/>
            <w:vAlign w:val="bottom"/>
            <w:tcBorders>
              <w:top w:val="single" w:sz="8" w:color="CCFFCC"/>
            </w:tcBorders>
          </w:tcPr>
          <w:p>
            <w:pPr>
              <w:spacing w:after="0"/>
              <w:rPr>
                <w:sz w:val="20"/>
                <w:szCs w:val="20"/>
                <w:color w:val="auto"/>
              </w:rPr>
            </w:pPr>
            <w:r>
              <w:rPr>
                <w:rFonts w:ascii="Arial" w:cs="Arial" w:eastAsia="Arial" w:hAnsi="Arial"/>
                <w:sz w:val="17"/>
                <w:szCs w:val="17"/>
                <w:b w:val="1"/>
                <w:bCs w:val="1"/>
                <w:color w:val="auto"/>
              </w:rPr>
              <w:t>Liabilities and equity</w:t>
            </w: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CURRENT LIABILITIES</w:t>
            </w: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Current maturities of long-term bank loan</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307</w:t>
            </w: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307</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Accounts payable and accruals:</w:t>
            </w: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340"/>
              <w:spacing w:after="0"/>
              <w:rPr>
                <w:sz w:val="20"/>
                <w:szCs w:val="20"/>
                <w:color w:val="auto"/>
              </w:rPr>
            </w:pPr>
            <w:r>
              <w:rPr>
                <w:rFonts w:ascii="Arial" w:cs="Arial" w:eastAsia="Arial" w:hAnsi="Arial"/>
                <w:sz w:val="17"/>
                <w:szCs w:val="17"/>
                <w:color w:val="auto"/>
              </w:rPr>
              <w:t>Trade</w:t>
            </w:r>
          </w:p>
        </w:tc>
        <w:tc>
          <w:tcPr>
            <w:tcW w:w="720" w:type="dxa"/>
            <w:vAlign w:val="bottom"/>
          </w:tcPr>
          <w:p>
            <w:pPr>
              <w:jc w:val="right"/>
              <w:spacing w:after="0"/>
              <w:rPr>
                <w:sz w:val="20"/>
                <w:szCs w:val="20"/>
                <w:color w:val="auto"/>
              </w:rPr>
            </w:pPr>
            <w:r>
              <w:rPr>
                <w:rFonts w:ascii="Arial" w:cs="Arial" w:eastAsia="Arial" w:hAnsi="Arial"/>
                <w:sz w:val="17"/>
                <w:szCs w:val="17"/>
                <w:color w:val="auto"/>
              </w:rPr>
              <w:t>3,849</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3,104</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340"/>
              <w:spacing w:after="0"/>
              <w:rPr>
                <w:sz w:val="20"/>
                <w:szCs w:val="20"/>
                <w:color w:val="auto"/>
              </w:rPr>
            </w:pPr>
            <w:r>
              <w:rPr>
                <w:rFonts w:ascii="Arial" w:cs="Arial" w:eastAsia="Arial" w:hAnsi="Arial"/>
                <w:sz w:val="17"/>
                <w:szCs w:val="17"/>
                <w:color w:val="auto"/>
              </w:rPr>
              <w:t>OCS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5,993</w:t>
            </w:r>
          </w:p>
        </w:tc>
        <w:tc>
          <w:tcPr>
            <w:tcW w:w="120" w:type="dxa"/>
            <w:vAlign w:val="bottom"/>
            <w:shd w:val="clear" w:color="auto" w:fill="CCFFCC"/>
          </w:tcPr>
          <w:p>
            <w:pPr>
              <w:spacing w:after="0"/>
              <w:rPr>
                <w:sz w:val="17"/>
                <w:szCs w:val="17"/>
                <w:color w:val="auto"/>
              </w:rPr>
            </w:pP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5,993</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1,722</w:t>
            </w:r>
          </w:p>
        </w:tc>
        <w:tc>
          <w:tcPr>
            <w:tcW w:w="0" w:type="dxa"/>
            <w:vAlign w:val="bottom"/>
          </w:tcPr>
          <w:p>
            <w:pPr>
              <w:spacing w:after="0"/>
              <w:rPr>
                <w:sz w:val="1"/>
                <w:szCs w:val="1"/>
                <w:color w:val="auto"/>
              </w:rPr>
            </w:pPr>
          </w:p>
        </w:tc>
      </w:tr>
      <w:tr>
        <w:trPr>
          <w:trHeight w:val="206"/>
        </w:trPr>
        <w:tc>
          <w:tcPr>
            <w:tcW w:w="4880" w:type="dxa"/>
            <w:vAlign w:val="bottom"/>
          </w:tcPr>
          <w:p>
            <w:pPr>
              <w:ind w:left="340"/>
              <w:spacing w:after="0"/>
              <w:rPr>
                <w:sz w:val="20"/>
                <w:szCs w:val="20"/>
                <w:color w:val="auto"/>
              </w:rPr>
            </w:pPr>
            <w:r>
              <w:rPr>
                <w:rFonts w:ascii="Arial" w:cs="Arial" w:eastAsia="Arial" w:hAnsi="Arial"/>
                <w:sz w:val="17"/>
                <w:szCs w:val="17"/>
                <w:color w:val="auto"/>
              </w:rPr>
              <w:t>Licensors</w:t>
            </w:r>
          </w:p>
        </w:tc>
        <w:tc>
          <w:tcPr>
            <w:tcW w:w="720" w:type="dxa"/>
            <w:vAlign w:val="bottom"/>
          </w:tcPr>
          <w:p>
            <w:pPr>
              <w:jc w:val="right"/>
              <w:spacing w:after="0"/>
              <w:rPr>
                <w:sz w:val="20"/>
                <w:szCs w:val="20"/>
                <w:color w:val="auto"/>
              </w:rPr>
            </w:pPr>
            <w:r>
              <w:rPr>
                <w:rFonts w:ascii="Arial" w:cs="Arial" w:eastAsia="Arial" w:hAnsi="Arial"/>
                <w:sz w:val="17"/>
                <w:szCs w:val="17"/>
                <w:color w:val="auto"/>
              </w:rPr>
              <w:t>1,491</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1,463</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340"/>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10,551</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11,463</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3,293</w:t>
            </w:r>
          </w:p>
        </w:tc>
        <w:tc>
          <w:tcPr>
            <w:tcW w:w="0" w:type="dxa"/>
            <w:vAlign w:val="bottom"/>
          </w:tcPr>
          <w:p>
            <w:pPr>
              <w:spacing w:after="0"/>
              <w:rPr>
                <w:sz w:val="1"/>
                <w:szCs w:val="1"/>
                <w:color w:val="auto"/>
              </w:rPr>
            </w:pPr>
          </w:p>
        </w:tc>
      </w:tr>
      <w:tr>
        <w:trPr>
          <w:trHeight w:val="20"/>
        </w:trPr>
        <w:tc>
          <w:tcPr>
            <w:tcW w:w="48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tcPr>
          <w:p>
            <w:pPr>
              <w:ind w:left="520"/>
              <w:spacing w:after="0"/>
              <w:rPr>
                <w:sz w:val="20"/>
                <w:szCs w:val="20"/>
                <w:color w:val="auto"/>
              </w:rPr>
            </w:pPr>
            <w:r>
              <w:rPr>
                <w:rFonts w:ascii="Arial" w:cs="Arial" w:eastAsia="Arial" w:hAnsi="Arial"/>
                <w:sz w:val="17"/>
                <w:szCs w:val="17"/>
                <w:color w:val="auto"/>
              </w:rPr>
              <w:t>Total current liabilities</w:t>
            </w:r>
          </w:p>
        </w:tc>
        <w:tc>
          <w:tcPr>
            <w:tcW w:w="720" w:type="dxa"/>
            <w:vAlign w:val="bottom"/>
          </w:tcPr>
          <w:p>
            <w:pPr>
              <w:jc w:val="right"/>
              <w:spacing w:after="0"/>
              <w:rPr>
                <w:sz w:val="20"/>
                <w:szCs w:val="20"/>
                <w:color w:val="auto"/>
              </w:rPr>
            </w:pPr>
            <w:r>
              <w:rPr>
                <w:rFonts w:ascii="Arial" w:cs="Arial" w:eastAsia="Arial" w:hAnsi="Arial"/>
                <w:sz w:val="17"/>
                <w:szCs w:val="17"/>
                <w:color w:val="auto"/>
              </w:rPr>
              <w:t>22,191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22,330</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6,415</w:t>
            </w:r>
          </w:p>
        </w:tc>
        <w:tc>
          <w:tcPr>
            <w:tcW w:w="0" w:type="dxa"/>
            <w:vAlign w:val="bottom"/>
          </w:tcPr>
          <w:p>
            <w:pPr>
              <w:spacing w:after="0"/>
              <w:rPr>
                <w:sz w:val="1"/>
                <w:szCs w:val="1"/>
                <w:color w:val="auto"/>
              </w:rPr>
            </w:pPr>
          </w:p>
        </w:tc>
      </w:tr>
      <w:tr>
        <w:trPr>
          <w:trHeight w:val="199"/>
        </w:trPr>
        <w:tc>
          <w:tcPr>
            <w:tcW w:w="48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NON-CURRENT LIABILITIES</w:t>
            </w: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Long term bank loan, net of current maturities</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432</w:t>
            </w: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352</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spacing w:after="0"/>
              <w:rPr>
                <w:sz w:val="20"/>
                <w:szCs w:val="20"/>
                <w:color w:val="auto"/>
              </w:rPr>
            </w:pPr>
            <w:r>
              <w:rPr>
                <w:rFonts w:ascii="Arial" w:cs="Arial" w:eastAsia="Arial" w:hAnsi="Arial"/>
                <w:sz w:val="17"/>
                <w:szCs w:val="17"/>
                <w:color w:val="auto"/>
              </w:rPr>
              <w:t>Retirement benefit obligations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30</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8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tcPr>
          <w:p>
            <w:pPr>
              <w:ind w:left="520"/>
              <w:spacing w:after="0"/>
              <w:rPr>
                <w:sz w:val="20"/>
                <w:szCs w:val="20"/>
                <w:color w:val="auto"/>
              </w:rPr>
            </w:pPr>
            <w:r>
              <w:rPr>
                <w:rFonts w:ascii="Arial" w:cs="Arial" w:eastAsia="Arial" w:hAnsi="Arial"/>
                <w:sz w:val="17"/>
                <w:szCs w:val="17"/>
                <w:color w:val="auto"/>
              </w:rPr>
              <w:t>Total non-current liabilities</w:t>
            </w:r>
          </w:p>
        </w:tc>
        <w:tc>
          <w:tcPr>
            <w:tcW w:w="720" w:type="dxa"/>
            <w:vAlign w:val="bottom"/>
          </w:tcPr>
          <w:p>
            <w:pPr>
              <w:jc w:val="right"/>
              <w:spacing w:after="0"/>
              <w:rPr>
                <w:sz w:val="20"/>
                <w:szCs w:val="20"/>
                <w:color w:val="auto"/>
              </w:rPr>
            </w:pPr>
            <w:r>
              <w:rPr>
                <w:rFonts w:ascii="Arial" w:cs="Arial" w:eastAsia="Arial" w:hAnsi="Arial"/>
                <w:sz w:val="17"/>
                <w:szCs w:val="17"/>
                <w:color w:val="auto"/>
              </w:rPr>
              <w:t>462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382</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99"/>
        </w:trPr>
        <w:tc>
          <w:tcPr>
            <w:tcW w:w="48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COMMITMENTS AND CONTINGENT LIABILITIES</w:t>
            </w: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520"/>
              <w:spacing w:after="0"/>
              <w:rPr>
                <w:sz w:val="20"/>
                <w:szCs w:val="20"/>
                <w:color w:val="auto"/>
              </w:rPr>
            </w:pPr>
            <w:r>
              <w:rPr>
                <w:rFonts w:ascii="Arial" w:cs="Arial" w:eastAsia="Arial" w:hAnsi="Arial"/>
                <w:sz w:val="17"/>
                <w:szCs w:val="17"/>
                <w:color w:val="auto"/>
              </w:rPr>
              <w:t>Total liabilities</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22,653</w:t>
            </w: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22,712</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6,525</w:t>
            </w:r>
          </w:p>
        </w:tc>
        <w:tc>
          <w:tcPr>
            <w:tcW w:w="0" w:type="dxa"/>
            <w:vAlign w:val="bottom"/>
          </w:tcPr>
          <w:p>
            <w:pPr>
              <w:spacing w:after="0"/>
              <w:rPr>
                <w:sz w:val="1"/>
                <w:szCs w:val="1"/>
                <w:color w:val="auto"/>
              </w:rPr>
            </w:pPr>
          </w:p>
        </w:tc>
      </w:tr>
      <w:tr>
        <w:trPr>
          <w:trHeight w:val="199"/>
        </w:trPr>
        <w:tc>
          <w:tcPr>
            <w:tcW w:w="48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EQUITY</w:t>
            </w: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Ordinary shares</w:t>
            </w:r>
          </w:p>
        </w:tc>
        <w:tc>
          <w:tcPr>
            <w:tcW w:w="720" w:type="dxa"/>
            <w:vAlign w:val="bottom"/>
          </w:tcPr>
          <w:p>
            <w:pPr>
              <w:jc w:val="right"/>
              <w:spacing w:after="0"/>
              <w:rPr>
                <w:sz w:val="20"/>
                <w:szCs w:val="20"/>
                <w:color w:val="auto"/>
              </w:rPr>
            </w:pPr>
            <w:r>
              <w:rPr>
                <w:rFonts w:ascii="Arial" w:cs="Arial" w:eastAsia="Arial" w:hAnsi="Arial"/>
                <w:sz w:val="17"/>
                <w:szCs w:val="17"/>
                <w:color w:val="auto"/>
              </w:rPr>
              <w:t>1,236</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1,236</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Warrants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6,549</w:t>
            </w:r>
          </w:p>
        </w:tc>
        <w:tc>
          <w:tcPr>
            <w:tcW w:w="120" w:type="dxa"/>
            <w:vAlign w:val="bottom"/>
            <w:shd w:val="clear" w:color="auto" w:fill="CCFFCC"/>
          </w:tcPr>
          <w:p>
            <w:pPr>
              <w:spacing w:after="0"/>
              <w:rPr>
                <w:sz w:val="17"/>
                <w:szCs w:val="17"/>
                <w:color w:val="auto"/>
              </w:rPr>
            </w:pP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6,549</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1,881</w:t>
            </w: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Share premium</w:t>
            </w:r>
          </w:p>
        </w:tc>
        <w:tc>
          <w:tcPr>
            <w:tcW w:w="720" w:type="dxa"/>
            <w:vAlign w:val="bottom"/>
          </w:tcPr>
          <w:p>
            <w:pPr>
              <w:jc w:val="right"/>
              <w:spacing w:after="0"/>
              <w:rPr>
                <w:sz w:val="20"/>
                <w:szCs w:val="20"/>
                <w:color w:val="auto"/>
              </w:rPr>
            </w:pPr>
            <w:r>
              <w:rPr>
                <w:rFonts w:ascii="Arial" w:cs="Arial" w:eastAsia="Arial" w:hAnsi="Arial"/>
                <w:sz w:val="17"/>
                <w:szCs w:val="17"/>
                <w:color w:val="auto"/>
              </w:rPr>
              <w:t>414,435</w:t>
            </w:r>
          </w:p>
        </w:tc>
        <w:tc>
          <w:tcPr>
            <w:tcW w:w="12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7"/>
                <w:szCs w:val="17"/>
                <w:color w:val="auto"/>
              </w:rPr>
              <w:t>414,571</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119,095</w:t>
            </w:r>
          </w:p>
        </w:tc>
        <w:tc>
          <w:tcPr>
            <w:tcW w:w="0" w:type="dxa"/>
            <w:vAlign w:val="bottom"/>
          </w:tcPr>
          <w:p>
            <w:pPr>
              <w:spacing w:after="0"/>
              <w:rPr>
                <w:sz w:val="1"/>
                <w:szCs w:val="1"/>
                <w:color w:val="auto"/>
              </w:rPr>
            </w:pPr>
          </w:p>
        </w:tc>
      </w:tr>
      <w:tr>
        <w:trPr>
          <w:trHeight w:val="206"/>
        </w:trPr>
        <w:tc>
          <w:tcPr>
            <w:tcW w:w="48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Capital reserve</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27,623</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28,120</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8,078</w:t>
            </w:r>
          </w:p>
        </w:tc>
        <w:tc>
          <w:tcPr>
            <w:tcW w:w="0" w:type="dxa"/>
            <w:vAlign w:val="bottom"/>
          </w:tcPr>
          <w:p>
            <w:pPr>
              <w:spacing w:after="0"/>
              <w:rPr>
                <w:sz w:val="1"/>
                <w:szCs w:val="1"/>
                <w:color w:val="auto"/>
              </w:rPr>
            </w:pPr>
          </w:p>
        </w:tc>
      </w:tr>
      <w:tr>
        <w:trPr>
          <w:trHeight w:val="206"/>
        </w:trPr>
        <w:tc>
          <w:tcPr>
            <w:tcW w:w="488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(317,883)</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(329,527)</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(94,664)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shd w:val="clear" w:color="auto" w:fill="CCFFCC"/>
          </w:tcPr>
          <w:p>
            <w:pPr>
              <w:ind w:left="520"/>
              <w:spacing w:after="0"/>
              <w:rPr>
                <w:sz w:val="20"/>
                <w:szCs w:val="20"/>
                <w:color w:val="auto"/>
              </w:rPr>
            </w:pPr>
            <w:r>
              <w:rPr>
                <w:rFonts w:ascii="Arial" w:cs="Arial" w:eastAsia="Arial" w:hAnsi="Arial"/>
                <w:sz w:val="17"/>
                <w:szCs w:val="17"/>
                <w:color w:val="auto"/>
              </w:rPr>
              <w:t>Total equity</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131,960</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120,949</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34,745</w:t>
            </w:r>
          </w:p>
        </w:tc>
        <w:tc>
          <w:tcPr>
            <w:tcW w:w="0" w:type="dxa"/>
            <w:vAlign w:val="bottom"/>
          </w:tcPr>
          <w:p>
            <w:pPr>
              <w:spacing w:after="0"/>
              <w:rPr>
                <w:sz w:val="1"/>
                <w:szCs w:val="1"/>
                <w:color w:val="auto"/>
              </w:rPr>
            </w:pPr>
          </w:p>
        </w:tc>
      </w:tr>
      <w:tr>
        <w:trPr>
          <w:trHeight w:val="20"/>
        </w:trPr>
        <w:tc>
          <w:tcPr>
            <w:tcW w:w="48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tcPr>
          <w:p>
            <w:pPr>
              <w:ind w:left="520"/>
              <w:spacing w:after="0"/>
              <w:rPr>
                <w:sz w:val="20"/>
                <w:szCs w:val="20"/>
                <w:color w:val="auto"/>
              </w:rPr>
            </w:pPr>
            <w:r>
              <w:rPr>
                <w:rFonts w:ascii="Arial" w:cs="Arial" w:eastAsia="Arial" w:hAnsi="Arial"/>
                <w:sz w:val="17"/>
                <w:szCs w:val="17"/>
                <w:b w:val="1"/>
                <w:bCs w:val="1"/>
                <w:color w:val="auto"/>
              </w:rPr>
              <w:t>Total liabilities and equity</w:t>
            </w:r>
          </w:p>
        </w:tc>
        <w:tc>
          <w:tcPr>
            <w:tcW w:w="720" w:type="dxa"/>
            <w:vAlign w:val="bottom"/>
          </w:tcPr>
          <w:p>
            <w:pPr>
              <w:jc w:val="right"/>
              <w:spacing w:after="0"/>
              <w:rPr>
                <w:sz w:val="20"/>
                <w:szCs w:val="20"/>
                <w:color w:val="auto"/>
              </w:rPr>
            </w:pPr>
            <w:r>
              <w:rPr>
                <w:rFonts w:ascii="Arial" w:cs="Arial" w:eastAsia="Arial" w:hAnsi="Arial"/>
                <w:sz w:val="17"/>
                <w:szCs w:val="17"/>
                <w:color w:val="auto"/>
              </w:rPr>
              <w:t>154,613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143,661</w:t>
            </w: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41,270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-4205605</wp:posOffset>
            </wp:positionV>
            <wp:extent cx="4966335" cy="147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-3405505</wp:posOffset>
            </wp:positionV>
            <wp:extent cx="4966335" cy="147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-3127375</wp:posOffset>
            </wp:positionV>
            <wp:extent cx="496633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66335"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-2049780</wp:posOffset>
            </wp:positionV>
            <wp:extent cx="4966335" cy="147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-1510665</wp:posOffset>
            </wp:positionV>
            <wp:extent cx="4966335" cy="147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496633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66335" cy="1714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The accompanying notes are an integral part of these condensed financial statements.</w:t>
      </w:r>
    </w:p>
    <w:p>
      <w:pPr>
        <w:spacing w:after="0" w:line="200" w:lineRule="exact"/>
        <w:rPr>
          <w:sz w:val="20"/>
          <w:szCs w:val="20"/>
          <w:color w:val="auto"/>
        </w:rPr>
      </w:pPr>
    </w:p>
    <w:p>
      <w:pPr>
        <w:spacing w:after="0" w:line="36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CONDENSED CONSOLIDATED INTERIM STATEMENT OF COMPREHENSIVE LOSS</w:t>
      </w:r>
    </w:p>
    <w:p>
      <w:pPr>
        <w:spacing w:after="0" w:line="27"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9415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415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Convenience</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translation</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7"/>
              </w:rPr>
              <w:t>into USD</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2"/>
              </w:rPr>
              <w:t>(Note 1b)</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7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7"/>
              </w:rPr>
              <w:t>Three months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4"/>
        </w:trPr>
        <w:tc>
          <w:tcPr>
            <w:tcW w:w="4940" w:type="dxa"/>
            <w:vAlign w:val="bottom"/>
          </w:tcPr>
          <w:p>
            <w:pPr>
              <w:spacing w:after="0"/>
              <w:rPr>
                <w:sz w:val="14"/>
                <w:szCs w:val="14"/>
                <w:color w:val="auto"/>
              </w:rPr>
            </w:pPr>
          </w:p>
        </w:tc>
        <w:tc>
          <w:tcPr>
            <w:tcW w:w="17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40" w:type="dxa"/>
            <w:vAlign w:val="bottom"/>
          </w:tcPr>
          <w:p>
            <w:pPr>
              <w:spacing w:after="0"/>
              <w:rPr>
                <w:sz w:val="16"/>
                <w:szCs w:val="16"/>
                <w:color w:val="auto"/>
              </w:rPr>
            </w:pPr>
          </w:p>
        </w:tc>
        <w:tc>
          <w:tcPr>
            <w:tcW w:w="1760" w:type="dxa"/>
            <w:vAlign w:val="bottom"/>
            <w:gridSpan w:val="5"/>
          </w:tcPr>
          <w:p>
            <w:pPr>
              <w:jc w:val="center"/>
              <w:ind w:right="60"/>
              <w:spacing w:after="0"/>
              <w:rPr>
                <w:sz w:val="20"/>
                <w:szCs w:val="20"/>
                <w:color w:val="auto"/>
              </w:rPr>
            </w:pPr>
            <w:r>
              <w:rPr>
                <w:rFonts w:ascii="Arial" w:cs="Arial" w:eastAsia="Arial" w:hAnsi="Arial"/>
                <w:sz w:val="14"/>
                <w:szCs w:val="14"/>
                <w:color w:val="auto"/>
                <w:w w:val="88"/>
              </w:rPr>
              <w:t>NIS 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color w:val="auto"/>
                <w:w w:val="84"/>
              </w:rPr>
              <w:t>In thousands</w:t>
            </w:r>
          </w:p>
        </w:tc>
        <w:tc>
          <w:tcPr>
            <w:tcW w:w="0" w:type="dxa"/>
            <w:vAlign w:val="bottom"/>
          </w:tcPr>
          <w:p>
            <w:pPr>
              <w:spacing w:after="0"/>
              <w:rPr>
                <w:sz w:val="1"/>
                <w:szCs w:val="1"/>
                <w:color w:val="auto"/>
              </w:rPr>
            </w:pPr>
          </w:p>
        </w:tc>
      </w:tr>
      <w:tr>
        <w:trPr>
          <w:trHeight w:val="212"/>
        </w:trPr>
        <w:tc>
          <w:tcPr>
            <w:tcW w:w="49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b w:val="1"/>
                <w:bCs w:val="1"/>
                <w:color w:val="auto"/>
              </w:rPr>
              <w:t>RESEARCH AND DEVELOPMENT EXPENSES, NET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(10,736)</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(6,384)</w:t>
            </w:r>
          </w:p>
        </w:tc>
        <w:tc>
          <w:tcPr>
            <w:tcW w:w="1120" w:type="dxa"/>
            <w:vAlign w:val="bottom"/>
            <w:gridSpan w:val="4"/>
            <w:shd w:val="clear" w:color="auto" w:fill="CCFFCC"/>
          </w:tcPr>
          <w:p>
            <w:pPr>
              <w:jc w:val="right"/>
              <w:ind w:right="140"/>
              <w:spacing w:after="0"/>
              <w:rPr>
                <w:sz w:val="20"/>
                <w:szCs w:val="20"/>
                <w:color w:val="auto"/>
              </w:rPr>
            </w:pPr>
            <w:r>
              <w:rPr>
                <w:rFonts w:ascii="Arial" w:cs="Arial" w:eastAsia="Arial" w:hAnsi="Arial"/>
                <w:sz w:val="17"/>
                <w:szCs w:val="17"/>
                <w:color w:val="auto"/>
              </w:rPr>
              <w:t>(1,834)</w:t>
            </w: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7"/>
                <w:szCs w:val="17"/>
                <w:b w:val="1"/>
                <w:bCs w:val="1"/>
                <w:color w:val="auto"/>
              </w:rPr>
              <w:t>SALES AND MARKETING EXPENSES</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(959)</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(750)</w:t>
            </w:r>
          </w:p>
        </w:tc>
        <w:tc>
          <w:tcPr>
            <w:tcW w:w="1120" w:type="dxa"/>
            <w:vAlign w:val="bottom"/>
            <w:gridSpan w:val="4"/>
          </w:tcPr>
          <w:p>
            <w:pPr>
              <w:jc w:val="right"/>
              <w:ind w:right="14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6"/>
        </w:trPr>
        <w:tc>
          <w:tcPr>
            <w:tcW w:w="49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b w:val="1"/>
                <w:bCs w:val="1"/>
                <w:color w:val="auto"/>
              </w:rPr>
              <w:t>GENERAL AND ADMINISTRATIVE EXPENSES</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(2,935)</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(2,926)</w:t>
            </w:r>
          </w:p>
        </w:tc>
        <w:tc>
          <w:tcPr>
            <w:tcW w:w="1120" w:type="dxa"/>
            <w:vAlign w:val="bottom"/>
            <w:gridSpan w:val="4"/>
            <w:shd w:val="clear" w:color="auto" w:fill="CCFFCC"/>
          </w:tcPr>
          <w:p>
            <w:pPr>
              <w:jc w:val="right"/>
              <w:ind w:right="140"/>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0"/>
        </w:trPr>
        <w:tc>
          <w:tcPr>
            <w:tcW w:w="4940" w:type="dxa"/>
            <w:vAlign w:val="bottom"/>
            <w:tcBorders>
              <w:right w:val="single" w:sz="8" w:color="auto"/>
            </w:tcBorders>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220" w:type="dxa"/>
            <w:vAlign w:val="bottom"/>
            <w:tcBorders>
              <w:right w:val="single" w:sz="8" w:color="auto"/>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tcPr>
          <w:p>
            <w:pPr>
              <w:spacing w:after="0"/>
              <w:rPr>
                <w:sz w:val="20"/>
                <w:szCs w:val="20"/>
                <w:color w:val="auto"/>
              </w:rPr>
            </w:pPr>
            <w:r>
              <w:rPr>
                <w:rFonts w:ascii="Arial" w:cs="Arial" w:eastAsia="Arial" w:hAnsi="Arial"/>
                <w:sz w:val="17"/>
                <w:szCs w:val="17"/>
                <w:b w:val="1"/>
                <w:bCs w:val="1"/>
                <w:color w:val="auto"/>
              </w:rPr>
              <w:t>OPERATING LOSS</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(14,630)</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(10,060)</w:t>
            </w:r>
          </w:p>
        </w:tc>
        <w:tc>
          <w:tcPr>
            <w:tcW w:w="1120" w:type="dxa"/>
            <w:vAlign w:val="bottom"/>
            <w:gridSpan w:val="4"/>
          </w:tcPr>
          <w:p>
            <w:pPr>
              <w:jc w:val="right"/>
              <w:ind w:right="140"/>
              <w:spacing w:after="0"/>
              <w:rPr>
                <w:sz w:val="20"/>
                <w:szCs w:val="20"/>
                <w:color w:val="auto"/>
              </w:rPr>
            </w:pPr>
            <w:r>
              <w:rPr>
                <w:rFonts w:ascii="Arial" w:cs="Arial" w:eastAsia="Arial" w:hAnsi="Arial"/>
                <w:sz w:val="17"/>
                <w:szCs w:val="17"/>
                <w:color w:val="auto"/>
              </w:rPr>
              <w:t>(2,889)</w:t>
            </w:r>
          </w:p>
        </w:tc>
        <w:tc>
          <w:tcPr>
            <w:tcW w:w="0" w:type="dxa"/>
            <w:vAlign w:val="bottom"/>
          </w:tcPr>
          <w:p>
            <w:pPr>
              <w:spacing w:after="0"/>
              <w:rPr>
                <w:sz w:val="1"/>
                <w:szCs w:val="1"/>
                <w:color w:val="auto"/>
              </w:rPr>
            </w:pPr>
          </w:p>
        </w:tc>
      </w:tr>
      <w:tr>
        <w:trPr>
          <w:trHeight w:val="206"/>
        </w:trPr>
        <w:tc>
          <w:tcPr>
            <w:tcW w:w="49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b w:val="1"/>
                <w:bCs w:val="1"/>
                <w:color w:val="auto"/>
              </w:rPr>
              <w:t>FINANCIAL INCOME</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Borders>
              <w:left w:val="single" w:sz="8" w:color="CCFFCC"/>
            </w:tcBorders>
            <w:shd w:val="clear" w:color="auto" w:fill="CCFFCC"/>
          </w:tcPr>
          <w:p>
            <w:pPr>
              <w:spacing w:after="0"/>
              <w:rPr>
                <w:sz w:val="17"/>
                <w:szCs w:val="17"/>
                <w:color w:val="auto"/>
              </w:rPr>
            </w:pP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1,183</w:t>
            </w:r>
          </w:p>
        </w:tc>
        <w:tc>
          <w:tcPr>
            <w:tcW w:w="1120" w:type="dxa"/>
            <w:vAlign w:val="bottom"/>
            <w:gridSpan w:val="4"/>
            <w:shd w:val="clear" w:color="auto" w:fill="CCFFCC"/>
          </w:tcPr>
          <w:p>
            <w:pPr>
              <w:jc w:val="right"/>
              <w:ind w:right="180"/>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7"/>
                <w:szCs w:val="17"/>
                <w:b w:val="1"/>
                <w:bCs w:val="1"/>
                <w:color w:val="auto"/>
              </w:rPr>
              <w:t>FINANCIAL EXPENSES</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(1,038)</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(2,767)</w:t>
            </w:r>
          </w:p>
        </w:tc>
        <w:tc>
          <w:tcPr>
            <w:tcW w:w="1120" w:type="dxa"/>
            <w:vAlign w:val="bottom"/>
            <w:gridSpan w:val="4"/>
          </w:tcPr>
          <w:p>
            <w:pPr>
              <w:jc w:val="right"/>
              <w:ind w:right="140"/>
              <w:spacing w:after="0"/>
              <w:rPr>
                <w:sz w:val="20"/>
                <w:szCs w:val="20"/>
                <w:color w:val="auto"/>
              </w:rPr>
            </w:pPr>
            <w:r>
              <w:rPr>
                <w:rFonts w:ascii="Arial" w:cs="Arial" w:eastAsia="Arial" w:hAnsi="Arial"/>
                <w:sz w:val="17"/>
                <w:szCs w:val="17"/>
                <w:color w:val="auto"/>
              </w:rPr>
              <w:t>(795)</w:t>
            </w:r>
          </w:p>
        </w:tc>
        <w:tc>
          <w:tcPr>
            <w:tcW w:w="0" w:type="dxa"/>
            <w:vAlign w:val="bottom"/>
          </w:tcPr>
          <w:p>
            <w:pPr>
              <w:spacing w:after="0"/>
              <w:rPr>
                <w:sz w:val="1"/>
                <w:szCs w:val="1"/>
                <w:color w:val="auto"/>
              </w:rPr>
            </w:pPr>
          </w:p>
        </w:tc>
      </w:tr>
      <w:tr>
        <w:trPr>
          <w:trHeight w:val="20"/>
        </w:trPr>
        <w:tc>
          <w:tcPr>
            <w:tcW w:w="49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b w:val="1"/>
                <w:bCs w:val="1"/>
                <w:color w:val="auto"/>
              </w:rPr>
              <w:t>LOSS AND COMPREHENSIVE LOSS FOR THE PERIOD</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(15,475)</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(11,644)</w:t>
            </w:r>
          </w:p>
        </w:tc>
        <w:tc>
          <w:tcPr>
            <w:tcW w:w="1120" w:type="dxa"/>
            <w:vAlign w:val="bottom"/>
            <w:gridSpan w:val="4"/>
            <w:shd w:val="clear" w:color="auto" w:fill="CCFFCC"/>
          </w:tcPr>
          <w:p>
            <w:pPr>
              <w:jc w:val="right"/>
              <w:ind w:right="140"/>
              <w:spacing w:after="0"/>
              <w:rPr>
                <w:sz w:val="20"/>
                <w:szCs w:val="20"/>
                <w:color w:val="auto"/>
              </w:rPr>
            </w:pPr>
            <w:r>
              <w:rPr>
                <w:rFonts w:ascii="Arial" w:cs="Arial" w:eastAsia="Arial" w:hAnsi="Arial"/>
                <w:sz w:val="17"/>
                <w:szCs w:val="17"/>
                <w:color w:val="auto"/>
              </w:rPr>
              <w:t>(3,345)</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NIS</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19"/>
        </w:trPr>
        <w:tc>
          <w:tcPr>
            <w:tcW w:w="49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b w:val="1"/>
                <w:bCs w:val="1"/>
                <w:color w:val="auto"/>
              </w:rPr>
              <w:t>LOSS PER ORDINARY SHARE – BASIC AND DILUTED</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(0.13)</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(0.09)</w:t>
            </w:r>
          </w:p>
        </w:tc>
        <w:tc>
          <w:tcPr>
            <w:tcW w:w="1120" w:type="dxa"/>
            <w:vAlign w:val="bottom"/>
            <w:gridSpan w:val="4"/>
            <w:shd w:val="clear" w:color="auto" w:fill="CCFFCC"/>
          </w:tcPr>
          <w:p>
            <w:pPr>
              <w:jc w:val="right"/>
              <w:ind w:right="140"/>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-864870</wp:posOffset>
            </wp:positionV>
            <wp:extent cx="4966335" cy="139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-326390</wp:posOffset>
            </wp:positionV>
            <wp:extent cx="4966335"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66335"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966335"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66335"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-367030</wp:posOffset>
            </wp:positionV>
            <wp:extent cx="49663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The accompanying notes are an integral part of these condensed financial statements.</w:t>
      </w:r>
    </w:p>
    <w:p>
      <w:pPr>
        <w:spacing w:after="0" w:line="200" w:lineRule="exact"/>
        <w:rPr>
          <w:sz w:val="20"/>
          <w:szCs w:val="20"/>
          <w:color w:val="auto"/>
        </w:rPr>
      </w:pPr>
    </w:p>
    <w:p>
      <w:pPr>
        <w:spacing w:after="0" w:line="36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CONDENSED INTERIM STATEMENTS OF CHANGES IN EQUITY</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9663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5"/>
              </w:rPr>
              <w:t>Ordinary</w:t>
            </w:r>
          </w:p>
        </w:tc>
        <w:tc>
          <w:tcPr>
            <w:tcW w:w="100" w:type="dxa"/>
            <w:vAlign w:val="bottom"/>
          </w:tcPr>
          <w:p>
            <w:pPr>
              <w:spacing w:after="0"/>
              <w:rPr>
                <w:sz w:val="12"/>
                <w:szCs w:val="12"/>
                <w:color w:val="auto"/>
              </w:rPr>
            </w:pPr>
          </w:p>
        </w:tc>
        <w:tc>
          <w:tcPr>
            <w:tcW w:w="740" w:type="dxa"/>
            <w:vAlign w:val="bottom"/>
            <w:gridSpan w:val="2"/>
          </w:tcPr>
          <w:p>
            <w:pPr>
              <w:ind w:left="80"/>
              <w:spacing w:after="0" w:line="144" w:lineRule="exact"/>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2"/>
                <w:szCs w:val="12"/>
                <w:color w:val="auto"/>
              </w:rPr>
            </w:pPr>
          </w:p>
        </w:tc>
        <w:tc>
          <w:tcPr>
            <w:tcW w:w="740" w:type="dxa"/>
            <w:vAlign w:val="bottom"/>
          </w:tcPr>
          <w:p>
            <w:pPr>
              <w:jc w:val="right"/>
              <w:ind w:right="70"/>
              <w:spacing w:after="0" w:line="144"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84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reserve</w:t>
            </w: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BALANCE AT JANUARY 1, 2010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right"/>
              <w:ind w:right="150"/>
              <w:spacing w:after="0"/>
              <w:rPr>
                <w:sz w:val="20"/>
                <w:szCs w:val="20"/>
                <w:color w:val="auto"/>
              </w:rPr>
            </w:pPr>
            <w:r>
              <w:rPr>
                <w:rFonts w:ascii="Arial" w:cs="Arial" w:eastAsia="Arial" w:hAnsi="Arial"/>
                <w:sz w:val="14"/>
                <w:szCs w:val="14"/>
                <w:color w:val="auto"/>
              </w:rPr>
              <w:t>NIS in thousands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gridSpan w:val="3"/>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1,235</w:t>
            </w:r>
          </w:p>
        </w:tc>
        <w:tc>
          <w:tcPr>
            <w:tcW w:w="840" w:type="dxa"/>
            <w:vAlign w:val="bottom"/>
            <w:gridSpan w:val="3"/>
          </w:tcPr>
          <w:p>
            <w:pPr>
              <w:jc w:val="right"/>
              <w:ind w:right="80"/>
              <w:spacing w:after="0"/>
              <w:rPr>
                <w:sz w:val="20"/>
                <w:szCs w:val="20"/>
                <w:color w:val="auto"/>
              </w:rPr>
            </w:pPr>
            <w:r>
              <w:rPr>
                <w:rFonts w:ascii="Arial" w:cs="Arial" w:eastAsia="Arial" w:hAnsi="Arial"/>
                <w:sz w:val="15"/>
                <w:szCs w:val="15"/>
                <w:color w:val="auto"/>
              </w:rPr>
              <w:t>6,549</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412,513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22,963</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(325,323)</w:t>
            </w: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117,937</w:t>
            </w:r>
          </w:p>
        </w:tc>
        <w:tc>
          <w:tcPr>
            <w:tcW w:w="0" w:type="dxa"/>
            <w:vAlign w:val="bottom"/>
          </w:tcPr>
          <w:p>
            <w:pPr>
              <w:spacing w:after="0"/>
              <w:rPr>
                <w:sz w:val="1"/>
                <w:szCs w:val="1"/>
                <w:color w:val="auto"/>
              </w:rPr>
            </w:pPr>
          </w:p>
        </w:tc>
      </w:tr>
      <w:tr>
        <w:trPr>
          <w:trHeight w:val="182"/>
        </w:trPr>
        <w:tc>
          <w:tcPr>
            <w:tcW w:w="2820" w:type="dxa"/>
            <w:vAlign w:val="bottom"/>
            <w:gridSpan w:val="3"/>
            <w:shd w:val="clear" w:color="auto" w:fill="CCFFCC"/>
          </w:tcPr>
          <w:p>
            <w:pPr>
              <w:spacing w:after="0"/>
              <w:rPr>
                <w:sz w:val="20"/>
                <w:szCs w:val="20"/>
                <w:color w:val="auto"/>
              </w:rPr>
            </w:pPr>
            <w:r>
              <w:rPr>
                <w:rFonts w:ascii="Arial" w:cs="Arial" w:eastAsia="Arial" w:hAnsi="Arial"/>
                <w:sz w:val="15"/>
                <w:szCs w:val="15"/>
                <w:b w:val="1"/>
                <w:bCs w:val="1"/>
                <w:color w:val="auto"/>
              </w:rPr>
              <w:t>CHANGES FOR THREE MONTHS</w:t>
            </w:r>
          </w:p>
        </w:tc>
        <w:tc>
          <w:tcPr>
            <w:tcW w:w="72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7"/>
                <w:szCs w:val="17"/>
                <w:color w:val="auto"/>
              </w:rPr>
            </w:pPr>
          </w:p>
        </w:tc>
        <w:tc>
          <w:tcPr>
            <w:tcW w:w="2800" w:type="dxa"/>
            <w:vAlign w:val="bottom"/>
            <w:gridSpan w:val="2"/>
            <w:shd w:val="clear" w:color="auto" w:fill="CCFFCC"/>
          </w:tcPr>
          <w:p>
            <w:pPr>
              <w:ind w:left="160"/>
              <w:spacing w:after="0"/>
              <w:rPr>
                <w:sz w:val="20"/>
                <w:szCs w:val="20"/>
                <w:color w:val="auto"/>
              </w:rPr>
            </w:pPr>
            <w:r>
              <w:rPr>
                <w:rFonts w:ascii="Arial" w:cs="Arial" w:eastAsia="Arial" w:hAnsi="Arial"/>
                <w:sz w:val="15"/>
                <w:szCs w:val="15"/>
                <w:b w:val="1"/>
                <w:bCs w:val="1"/>
                <w:color w:val="auto"/>
              </w:rPr>
              <w:t>ENDING MARCH 31, 2010:</w:t>
            </w:r>
          </w:p>
        </w:tc>
        <w:tc>
          <w:tcPr>
            <w:tcW w:w="7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gridSpan w:val="2"/>
          </w:tcPr>
          <w:p>
            <w:pPr>
              <w:ind w:left="160"/>
              <w:spacing w:after="0"/>
              <w:rPr>
                <w:sz w:val="20"/>
                <w:szCs w:val="20"/>
                <w:color w:val="auto"/>
              </w:rPr>
            </w:pPr>
            <w:r>
              <w:rPr>
                <w:rFonts w:ascii="Arial" w:cs="Arial" w:eastAsia="Arial" w:hAnsi="Arial"/>
                <w:sz w:val="15"/>
                <w:szCs w:val="15"/>
                <w:color w:val="auto"/>
              </w:rPr>
              <w:t>Share based compensation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1,313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80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Comprehensive loss for the period</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FFCC"/>
          </w:tcPr>
          <w:p>
            <w:pPr>
              <w:spacing w:after="0"/>
              <w:rPr>
                <w:sz w:val="16"/>
                <w:szCs w:val="16"/>
                <w:color w:val="auto"/>
              </w:rPr>
            </w:pP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(15,475)</w:t>
            </w: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(15,475)</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88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20" w:type="dxa"/>
            <w:vAlign w:val="bottom"/>
            <w:gridSpan w:val="3"/>
          </w:tcPr>
          <w:p>
            <w:pPr>
              <w:spacing w:after="0"/>
              <w:rPr>
                <w:sz w:val="20"/>
                <w:szCs w:val="20"/>
                <w:color w:val="auto"/>
              </w:rPr>
            </w:pPr>
            <w:r>
              <w:rPr>
                <w:rFonts w:ascii="Arial" w:cs="Arial" w:eastAsia="Arial" w:hAnsi="Arial"/>
                <w:sz w:val="15"/>
                <w:szCs w:val="15"/>
                <w:b w:val="1"/>
                <w:bCs w:val="1"/>
                <w:color w:val="auto"/>
              </w:rPr>
              <w:t>BALANCE AT MARCH 31, 2010</w:t>
            </w:r>
          </w:p>
        </w:tc>
        <w:tc>
          <w:tcPr>
            <w:tcW w:w="720" w:type="dxa"/>
            <w:vAlign w:val="bottom"/>
          </w:tcPr>
          <w:p>
            <w:pPr>
              <w:jc w:val="right"/>
              <w:spacing w:after="0"/>
              <w:rPr>
                <w:sz w:val="20"/>
                <w:szCs w:val="20"/>
                <w:color w:val="auto"/>
              </w:rPr>
            </w:pPr>
            <w:r>
              <w:rPr>
                <w:rFonts w:ascii="Arial" w:cs="Arial" w:eastAsia="Arial" w:hAnsi="Arial"/>
                <w:sz w:val="15"/>
                <w:szCs w:val="15"/>
                <w:color w:val="auto"/>
              </w:rPr>
              <w:t>1,235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412,513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24,276</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(340,798)</w:t>
            </w: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103,775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5"/>
              </w:rPr>
              <w:t>Ordinary</w:t>
            </w:r>
          </w:p>
        </w:tc>
        <w:tc>
          <w:tcPr>
            <w:tcW w:w="10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4"/>
                <w:szCs w:val="14"/>
                <w:b w:val="1"/>
                <w:bCs w:val="1"/>
                <w:color w:val="auto"/>
                <w:w w:val="92"/>
              </w:rPr>
              <w:t>Warrants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0"/>
                <w:szCs w:val="10"/>
                <w:color w:val="auto"/>
              </w:rPr>
            </w:pPr>
          </w:p>
        </w:tc>
        <w:tc>
          <w:tcPr>
            <w:tcW w:w="740" w:type="dxa"/>
            <w:vAlign w:val="bottom"/>
          </w:tcPr>
          <w:p>
            <w:pPr>
              <w:jc w:val="right"/>
              <w:ind w:right="70"/>
              <w:spacing w:after="0" w:line="123"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4"/>
                <w:szCs w:val="14"/>
                <w:b w:val="1"/>
                <w:bCs w:val="1"/>
                <w:color w:val="auto"/>
                <w:w w:val="75"/>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51"/>
              <w:spacing w:after="0" w:line="12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reserve</w:t>
            </w: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BALANCE AT JANUARY 1, 2011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right"/>
              <w:ind w:right="150"/>
              <w:spacing w:after="0"/>
              <w:rPr>
                <w:sz w:val="20"/>
                <w:szCs w:val="20"/>
                <w:color w:val="auto"/>
              </w:rPr>
            </w:pPr>
            <w:r>
              <w:rPr>
                <w:rFonts w:ascii="Arial" w:cs="Arial" w:eastAsia="Arial" w:hAnsi="Arial"/>
                <w:sz w:val="14"/>
                <w:szCs w:val="14"/>
                <w:color w:val="auto"/>
              </w:rPr>
              <w:t>NIS in thousands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gridSpan w:val="3"/>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1,236</w:t>
            </w:r>
          </w:p>
        </w:tc>
        <w:tc>
          <w:tcPr>
            <w:tcW w:w="840" w:type="dxa"/>
            <w:vAlign w:val="bottom"/>
            <w:gridSpan w:val="3"/>
          </w:tcPr>
          <w:p>
            <w:pPr>
              <w:jc w:val="right"/>
              <w:ind w:right="80"/>
              <w:spacing w:after="0"/>
              <w:rPr>
                <w:sz w:val="20"/>
                <w:szCs w:val="20"/>
                <w:color w:val="auto"/>
              </w:rPr>
            </w:pPr>
            <w:r>
              <w:rPr>
                <w:rFonts w:ascii="Arial" w:cs="Arial" w:eastAsia="Arial" w:hAnsi="Arial"/>
                <w:sz w:val="15"/>
                <w:szCs w:val="15"/>
                <w:color w:val="auto"/>
              </w:rPr>
              <w:t>6,549</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414,435</w:t>
            </w:r>
          </w:p>
        </w:tc>
        <w:tc>
          <w:tcPr>
            <w:tcW w:w="820" w:type="dxa"/>
            <w:vAlign w:val="bottom"/>
            <w:gridSpan w:val="2"/>
          </w:tcPr>
          <w:p>
            <w:pPr>
              <w:jc w:val="right"/>
              <w:ind w:right="50"/>
              <w:spacing w:after="0"/>
              <w:rPr>
                <w:sz w:val="20"/>
                <w:szCs w:val="20"/>
                <w:color w:val="auto"/>
              </w:rPr>
            </w:pPr>
            <w:r>
              <w:rPr>
                <w:rFonts w:ascii="Arial" w:cs="Arial" w:eastAsia="Arial" w:hAnsi="Arial"/>
                <w:sz w:val="15"/>
                <w:szCs w:val="15"/>
                <w:color w:val="auto"/>
              </w:rPr>
              <w:t>27,623</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(317,883)</w:t>
            </w: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131,960</w:t>
            </w:r>
          </w:p>
        </w:tc>
        <w:tc>
          <w:tcPr>
            <w:tcW w:w="0" w:type="dxa"/>
            <w:vAlign w:val="bottom"/>
          </w:tcPr>
          <w:p>
            <w:pPr>
              <w:spacing w:after="0"/>
              <w:rPr>
                <w:sz w:val="1"/>
                <w:szCs w:val="1"/>
                <w:color w:val="auto"/>
              </w:rPr>
            </w:pPr>
          </w:p>
        </w:tc>
      </w:tr>
      <w:tr>
        <w:trPr>
          <w:trHeight w:val="182"/>
        </w:trPr>
        <w:tc>
          <w:tcPr>
            <w:tcW w:w="2820" w:type="dxa"/>
            <w:vAlign w:val="bottom"/>
            <w:gridSpan w:val="3"/>
            <w:shd w:val="clear" w:color="auto" w:fill="CCFFCC"/>
          </w:tcPr>
          <w:p>
            <w:pPr>
              <w:spacing w:after="0"/>
              <w:rPr>
                <w:sz w:val="20"/>
                <w:szCs w:val="20"/>
                <w:color w:val="auto"/>
              </w:rPr>
            </w:pPr>
            <w:r>
              <w:rPr>
                <w:rFonts w:ascii="Arial" w:cs="Arial" w:eastAsia="Arial" w:hAnsi="Arial"/>
                <w:sz w:val="15"/>
                <w:szCs w:val="15"/>
                <w:b w:val="1"/>
                <w:bCs w:val="1"/>
                <w:color w:val="auto"/>
              </w:rPr>
              <w:t>CHANGES FOR THREE MONTHS</w:t>
            </w:r>
          </w:p>
        </w:tc>
        <w:tc>
          <w:tcPr>
            <w:tcW w:w="72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7"/>
                <w:szCs w:val="17"/>
                <w:color w:val="auto"/>
              </w:rPr>
            </w:pPr>
          </w:p>
        </w:tc>
        <w:tc>
          <w:tcPr>
            <w:tcW w:w="2800" w:type="dxa"/>
            <w:vAlign w:val="bottom"/>
            <w:gridSpan w:val="2"/>
            <w:shd w:val="clear" w:color="auto" w:fill="CCFFCC"/>
          </w:tcPr>
          <w:p>
            <w:pPr>
              <w:ind w:left="160"/>
              <w:spacing w:after="0"/>
              <w:rPr>
                <w:sz w:val="20"/>
                <w:szCs w:val="20"/>
                <w:color w:val="auto"/>
              </w:rPr>
            </w:pPr>
            <w:r>
              <w:rPr>
                <w:rFonts w:ascii="Arial" w:cs="Arial" w:eastAsia="Arial" w:hAnsi="Arial"/>
                <w:sz w:val="15"/>
                <w:szCs w:val="15"/>
                <w:b w:val="1"/>
                <w:bCs w:val="1"/>
                <w:color w:val="auto"/>
              </w:rPr>
              <w:t>ENDING MARCH 31, 2011:</w:t>
            </w:r>
          </w:p>
        </w:tc>
        <w:tc>
          <w:tcPr>
            <w:tcW w:w="7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gridSpan w:val="2"/>
          </w:tcPr>
          <w:p>
            <w:pPr>
              <w:ind w:left="320"/>
              <w:spacing w:after="0"/>
              <w:rPr>
                <w:sz w:val="20"/>
                <w:szCs w:val="20"/>
                <w:color w:val="auto"/>
              </w:rPr>
            </w:pPr>
            <w:r>
              <w:rPr>
                <w:rFonts w:ascii="Arial" w:cs="Arial" w:eastAsia="Arial" w:hAnsi="Arial"/>
                <w:sz w:val="15"/>
                <w:szCs w:val="15"/>
                <w:color w:val="auto"/>
              </w:rPr>
              <w:t>Share based compensation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5"/>
                <w:szCs w:val="15"/>
                <w:color w:val="auto"/>
              </w:rPr>
              <w:t>632</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80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Employee stock options exercised</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105</w:t>
            </w:r>
          </w:p>
        </w:tc>
        <w:tc>
          <w:tcPr>
            <w:tcW w:w="8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(104)</w:t>
            </w:r>
          </w:p>
        </w:tc>
        <w:tc>
          <w:tcPr>
            <w:tcW w:w="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gridSpan w:val="2"/>
          </w:tcPr>
          <w:p>
            <w:pPr>
              <w:ind w:left="160"/>
              <w:spacing w:after="0"/>
              <w:rPr>
                <w:sz w:val="20"/>
                <w:szCs w:val="20"/>
                <w:color w:val="auto"/>
              </w:rPr>
            </w:pPr>
            <w:r>
              <w:rPr>
                <w:rFonts w:ascii="Arial" w:cs="Arial" w:eastAsia="Arial" w:hAnsi="Arial"/>
                <w:sz w:val="15"/>
                <w:szCs w:val="15"/>
                <w:color w:val="auto"/>
              </w:rPr>
              <w:t>Employee stock options expired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800" w:type="dxa"/>
            <w:vAlign w:val="bottom"/>
            <w:gridSpan w:val="2"/>
            <w:shd w:val="clear" w:color="auto" w:fill="CCFFCC"/>
          </w:tcPr>
          <w:p>
            <w:pPr>
              <w:ind w:left="320"/>
              <w:spacing w:after="0"/>
              <w:rPr>
                <w:sz w:val="20"/>
                <w:szCs w:val="20"/>
                <w:color w:val="auto"/>
              </w:rPr>
            </w:pPr>
            <w:r>
              <w:rPr>
                <w:rFonts w:ascii="Arial" w:cs="Arial" w:eastAsia="Arial" w:hAnsi="Arial"/>
                <w:sz w:val="15"/>
                <w:szCs w:val="15"/>
                <w:color w:val="auto"/>
              </w:rPr>
              <w:t>Comprehensive loss for the period</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(11,644)</w:t>
            </w: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(11,644)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88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20" w:type="dxa"/>
            <w:vAlign w:val="bottom"/>
            <w:gridSpan w:val="3"/>
          </w:tcPr>
          <w:p>
            <w:pPr>
              <w:spacing w:after="0"/>
              <w:rPr>
                <w:sz w:val="20"/>
                <w:szCs w:val="20"/>
                <w:color w:val="auto"/>
              </w:rPr>
            </w:pPr>
            <w:r>
              <w:rPr>
                <w:rFonts w:ascii="Arial" w:cs="Arial" w:eastAsia="Arial" w:hAnsi="Arial"/>
                <w:sz w:val="15"/>
                <w:szCs w:val="15"/>
                <w:b w:val="1"/>
                <w:bCs w:val="1"/>
                <w:color w:val="auto"/>
              </w:rPr>
              <w:t>BALANCE AT MARCH 31, 2011</w:t>
            </w:r>
          </w:p>
        </w:tc>
        <w:tc>
          <w:tcPr>
            <w:tcW w:w="720" w:type="dxa"/>
            <w:vAlign w:val="bottom"/>
          </w:tcPr>
          <w:p>
            <w:pPr>
              <w:jc w:val="right"/>
              <w:spacing w:after="0"/>
              <w:rPr>
                <w:sz w:val="20"/>
                <w:szCs w:val="20"/>
                <w:color w:val="auto"/>
              </w:rPr>
            </w:pPr>
            <w:r>
              <w:rPr>
                <w:rFonts w:ascii="Arial" w:cs="Arial" w:eastAsia="Arial" w:hAnsi="Arial"/>
                <w:sz w:val="15"/>
                <w:szCs w:val="15"/>
                <w:color w:val="auto"/>
              </w:rPr>
              <w:t>1,236</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414,571</w:t>
            </w:r>
          </w:p>
        </w:tc>
        <w:tc>
          <w:tcPr>
            <w:tcW w:w="820" w:type="dxa"/>
            <w:vAlign w:val="bottom"/>
            <w:gridSpan w:val="2"/>
          </w:tcPr>
          <w:p>
            <w:pPr>
              <w:jc w:val="right"/>
              <w:ind w:right="50"/>
              <w:spacing w:after="0"/>
              <w:rPr>
                <w:sz w:val="20"/>
                <w:szCs w:val="20"/>
                <w:color w:val="auto"/>
              </w:rPr>
            </w:pPr>
            <w:r>
              <w:rPr>
                <w:rFonts w:ascii="Arial" w:cs="Arial" w:eastAsia="Arial" w:hAnsi="Arial"/>
                <w:sz w:val="15"/>
                <w:szCs w:val="15"/>
                <w:color w:val="auto"/>
              </w:rPr>
              <w:t>28,120</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(329,527)</w:t>
            </w: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120,949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5"/>
              </w:rPr>
              <w:t>Ordinary</w:t>
            </w:r>
          </w:p>
        </w:tc>
        <w:tc>
          <w:tcPr>
            <w:tcW w:w="10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4"/>
                <w:szCs w:val="14"/>
                <w:b w:val="1"/>
                <w:bCs w:val="1"/>
                <w:color w:val="auto"/>
                <w:w w:val="92"/>
              </w:rPr>
              <w:t>Warrants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Share</w:t>
            </w:r>
          </w:p>
        </w:tc>
        <w:tc>
          <w:tcPr>
            <w:tcW w:w="80" w:type="dxa"/>
            <w:vAlign w:val="bottom"/>
          </w:tcPr>
          <w:p>
            <w:pPr>
              <w:spacing w:after="0"/>
              <w:rPr>
                <w:sz w:val="10"/>
                <w:szCs w:val="10"/>
                <w:color w:val="auto"/>
              </w:rPr>
            </w:pPr>
          </w:p>
        </w:tc>
        <w:tc>
          <w:tcPr>
            <w:tcW w:w="740" w:type="dxa"/>
            <w:vAlign w:val="bottom"/>
          </w:tcPr>
          <w:p>
            <w:pPr>
              <w:jc w:val="right"/>
              <w:ind w:right="70"/>
              <w:spacing w:after="0" w:line="123"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4"/>
                <w:szCs w:val="14"/>
                <w:b w:val="1"/>
                <w:bCs w:val="1"/>
                <w:color w:val="auto"/>
                <w:w w:val="75"/>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51"/>
              <w:spacing w:after="0" w:line="12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reserve</w:t>
            </w: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BALANCE AT JANUARY 1, 2011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9"/>
          </w:tcPr>
          <w:p>
            <w:pPr>
              <w:ind w:left="100"/>
              <w:spacing w:after="0"/>
              <w:rPr>
                <w:sz w:val="20"/>
                <w:szCs w:val="20"/>
                <w:color w:val="auto"/>
              </w:rPr>
            </w:pPr>
            <w:r>
              <w:rPr>
                <w:rFonts w:ascii="Arial" w:cs="Arial" w:eastAsia="Arial" w:hAnsi="Arial"/>
                <w:sz w:val="14"/>
                <w:szCs w:val="14"/>
                <w:color w:val="auto"/>
                <w:w w:val="89"/>
              </w:rPr>
              <w:t>Convenience translation into USD in thousands (Note 1b)</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20" w:type="dxa"/>
            <w:vAlign w:val="bottom"/>
            <w:gridSpan w:val="3"/>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355</w:t>
            </w:r>
          </w:p>
        </w:tc>
        <w:tc>
          <w:tcPr>
            <w:tcW w:w="840" w:type="dxa"/>
            <w:vAlign w:val="bottom"/>
            <w:gridSpan w:val="3"/>
          </w:tcPr>
          <w:p>
            <w:pPr>
              <w:jc w:val="right"/>
              <w:ind w:right="80"/>
              <w:spacing w:after="0"/>
              <w:rPr>
                <w:sz w:val="20"/>
                <w:szCs w:val="20"/>
                <w:color w:val="auto"/>
              </w:rPr>
            </w:pPr>
            <w:r>
              <w:rPr>
                <w:rFonts w:ascii="Arial" w:cs="Arial" w:eastAsia="Arial" w:hAnsi="Arial"/>
                <w:sz w:val="15"/>
                <w:szCs w:val="15"/>
                <w:color w:val="auto"/>
              </w:rPr>
              <w:t>1,881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119,056</w:t>
            </w:r>
          </w:p>
        </w:tc>
        <w:tc>
          <w:tcPr>
            <w:tcW w:w="820" w:type="dxa"/>
            <w:vAlign w:val="bottom"/>
            <w:gridSpan w:val="2"/>
          </w:tcPr>
          <w:p>
            <w:pPr>
              <w:jc w:val="right"/>
              <w:ind w:right="70"/>
              <w:spacing w:after="0"/>
              <w:rPr>
                <w:sz w:val="20"/>
                <w:szCs w:val="20"/>
                <w:color w:val="auto"/>
              </w:rPr>
            </w:pPr>
            <w:r>
              <w:rPr>
                <w:rFonts w:ascii="Arial" w:cs="Arial" w:eastAsia="Arial" w:hAnsi="Arial"/>
                <w:sz w:val="15"/>
                <w:szCs w:val="15"/>
                <w:color w:val="auto"/>
              </w:rPr>
              <w:t>7,935</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(91,319)</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37,908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20" w:type="dxa"/>
            <w:vAlign w:val="bottom"/>
            <w:gridSpan w:val="3"/>
            <w:shd w:val="clear" w:color="auto" w:fill="CCFFCC"/>
          </w:tcPr>
          <w:p>
            <w:pPr>
              <w:spacing w:after="0"/>
              <w:rPr>
                <w:sz w:val="20"/>
                <w:szCs w:val="20"/>
                <w:color w:val="auto"/>
              </w:rPr>
            </w:pPr>
            <w:r>
              <w:rPr>
                <w:rFonts w:ascii="Arial" w:cs="Arial" w:eastAsia="Arial" w:hAnsi="Arial"/>
                <w:sz w:val="15"/>
                <w:szCs w:val="15"/>
                <w:b w:val="1"/>
                <w:bCs w:val="1"/>
                <w:color w:val="auto"/>
              </w:rPr>
              <w:t>CHANGES FOR THREE MONTHS</w:t>
            </w:r>
          </w:p>
        </w:tc>
        <w:tc>
          <w:tcPr>
            <w:tcW w:w="720" w:type="dxa"/>
            <w:vAlign w:val="bottom"/>
            <w:tcBorders>
              <w:right w:val="single" w:sz="8" w:color="CCFFCC"/>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tcBorders>
              <w:right w:val="single" w:sz="8" w:color="CCFFCC"/>
            </w:tcBorders>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7"/>
                <w:szCs w:val="17"/>
                <w:color w:val="auto"/>
              </w:rPr>
            </w:pPr>
          </w:p>
        </w:tc>
        <w:tc>
          <w:tcPr>
            <w:tcW w:w="2800" w:type="dxa"/>
            <w:vAlign w:val="bottom"/>
            <w:gridSpan w:val="2"/>
            <w:shd w:val="clear" w:color="auto" w:fill="CCFFCC"/>
          </w:tcPr>
          <w:p>
            <w:pPr>
              <w:ind w:left="160"/>
              <w:spacing w:after="0"/>
              <w:rPr>
                <w:sz w:val="20"/>
                <w:szCs w:val="20"/>
                <w:color w:val="auto"/>
              </w:rPr>
            </w:pPr>
            <w:r>
              <w:rPr>
                <w:rFonts w:ascii="Arial" w:cs="Arial" w:eastAsia="Arial" w:hAnsi="Arial"/>
                <w:sz w:val="15"/>
                <w:szCs w:val="15"/>
                <w:b w:val="1"/>
                <w:bCs w:val="1"/>
                <w:color w:val="auto"/>
              </w:rPr>
              <w:t>ENDING MARCH 31, 2011:</w:t>
            </w:r>
          </w:p>
        </w:tc>
        <w:tc>
          <w:tcPr>
            <w:tcW w:w="7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gridSpan w:val="2"/>
          </w:tcPr>
          <w:p>
            <w:pPr>
              <w:ind w:left="320"/>
              <w:spacing w:after="0"/>
              <w:rPr>
                <w:sz w:val="20"/>
                <w:szCs w:val="20"/>
                <w:color w:val="auto"/>
              </w:rPr>
            </w:pPr>
            <w:r>
              <w:rPr>
                <w:rFonts w:ascii="Arial" w:cs="Arial" w:eastAsia="Arial" w:hAnsi="Arial"/>
                <w:sz w:val="15"/>
                <w:szCs w:val="15"/>
                <w:color w:val="auto"/>
              </w:rPr>
              <w:t>Share based compensation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80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Employee stock options exercised</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30</w:t>
            </w:r>
          </w:p>
        </w:tc>
        <w:tc>
          <w:tcPr>
            <w:tcW w:w="820" w:type="dxa"/>
            <w:vAlign w:val="bottom"/>
            <w:tcBorders>
              <w:right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gridSpan w:val="2"/>
          </w:tcPr>
          <w:p>
            <w:pPr>
              <w:ind w:left="160"/>
              <w:spacing w:after="0"/>
              <w:rPr>
                <w:sz w:val="20"/>
                <w:szCs w:val="20"/>
                <w:color w:val="auto"/>
              </w:rPr>
            </w:pPr>
            <w:r>
              <w:rPr>
                <w:rFonts w:ascii="Arial" w:cs="Arial" w:eastAsia="Arial" w:hAnsi="Arial"/>
                <w:sz w:val="15"/>
                <w:szCs w:val="15"/>
                <w:color w:val="auto"/>
              </w:rPr>
              <w:t>Employee stock options expired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820" w:type="dxa"/>
            <w:vAlign w:val="bottom"/>
            <w:gridSpan w:val="2"/>
          </w:tcPr>
          <w:p>
            <w:pPr>
              <w:jc w:val="right"/>
              <w:ind w:right="10"/>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800" w:type="dxa"/>
            <w:vAlign w:val="bottom"/>
            <w:gridSpan w:val="2"/>
            <w:shd w:val="clear" w:color="auto" w:fill="CCFFCC"/>
          </w:tcPr>
          <w:p>
            <w:pPr>
              <w:ind w:left="320"/>
              <w:spacing w:after="0"/>
              <w:rPr>
                <w:sz w:val="20"/>
                <w:szCs w:val="20"/>
                <w:color w:val="auto"/>
              </w:rPr>
            </w:pPr>
            <w:r>
              <w:rPr>
                <w:rFonts w:ascii="Arial" w:cs="Arial" w:eastAsia="Arial" w:hAnsi="Arial"/>
                <w:sz w:val="15"/>
                <w:szCs w:val="15"/>
                <w:color w:val="auto"/>
              </w:rPr>
              <w:t>Comprehensive loss for the period</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(3,345)</w:t>
            </w:r>
          </w:p>
        </w:tc>
        <w:tc>
          <w:tcPr>
            <w:tcW w:w="88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(3,345)</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88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20" w:type="dxa"/>
            <w:vAlign w:val="bottom"/>
            <w:gridSpan w:val="3"/>
          </w:tcPr>
          <w:p>
            <w:pPr>
              <w:spacing w:after="0"/>
              <w:rPr>
                <w:sz w:val="20"/>
                <w:szCs w:val="20"/>
                <w:color w:val="auto"/>
              </w:rPr>
            </w:pPr>
            <w:r>
              <w:rPr>
                <w:rFonts w:ascii="Arial" w:cs="Arial" w:eastAsia="Arial" w:hAnsi="Arial"/>
                <w:sz w:val="15"/>
                <w:szCs w:val="15"/>
                <w:b w:val="1"/>
                <w:bCs w:val="1"/>
                <w:color w:val="auto"/>
              </w:rPr>
              <w:t>BALANCE AT MARCH 31, 2011</w:t>
            </w:r>
          </w:p>
        </w:tc>
        <w:tc>
          <w:tcPr>
            <w:tcW w:w="72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119,095</w:t>
            </w:r>
          </w:p>
        </w:tc>
        <w:tc>
          <w:tcPr>
            <w:tcW w:w="820" w:type="dxa"/>
            <w:vAlign w:val="bottom"/>
            <w:gridSpan w:val="2"/>
          </w:tcPr>
          <w:p>
            <w:pPr>
              <w:jc w:val="right"/>
              <w:ind w:right="70"/>
              <w:spacing w:after="0"/>
              <w:rPr>
                <w:sz w:val="20"/>
                <w:szCs w:val="20"/>
                <w:color w:val="auto"/>
              </w:rPr>
            </w:pPr>
            <w:r>
              <w:rPr>
                <w:rFonts w:ascii="Arial" w:cs="Arial" w:eastAsia="Arial" w:hAnsi="Arial"/>
                <w:sz w:val="15"/>
                <w:szCs w:val="15"/>
                <w:color w:val="auto"/>
              </w:rPr>
              <w:t>8,078</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(94,664)</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34,745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-3013075</wp:posOffset>
            </wp:positionV>
            <wp:extent cx="4966335" cy="28422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66335" cy="2842260"/>
                    </a:xfrm>
                    <a:prstGeom prst="rect">
                      <a:avLst/>
                    </a:prstGeom>
                    <a:noFill/>
                  </pic:spPr>
                </pic:pic>
              </a:graphicData>
            </a:graphic>
          </wp:anchor>
        </w:drawing>
      </w:r>
    </w:p>
    <w:p>
      <w:pPr>
        <w:spacing w:after="0" w:line="225" w:lineRule="exact"/>
        <w:rPr>
          <w:sz w:val="20"/>
          <w:szCs w:val="20"/>
          <w:color w:val="auto"/>
        </w:rPr>
      </w:pPr>
    </w:p>
    <w:p>
      <w:pPr>
        <w:ind w:left="280" w:hanging="264"/>
        <w:spacing w:after="0"/>
        <w:tabs>
          <w:tab w:leader="none" w:pos="2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Less than NIS 1,000 / USD 1,000</w:t>
      </w:r>
    </w:p>
    <w:p>
      <w:pPr>
        <w:spacing w:after="0" w:line="200" w:lineRule="exact"/>
        <w:rPr>
          <w:sz w:val="20"/>
          <w:szCs w:val="20"/>
          <w:color w:val="auto"/>
        </w:rPr>
      </w:pPr>
    </w:p>
    <w:p>
      <w:pPr>
        <w:spacing w:after="0" w:line="319"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The accompanying notes are an integral part of these condensed financial statements.</w:t>
      </w:r>
    </w:p>
    <w:p>
      <w:pPr>
        <w:spacing w:after="0" w:line="200" w:lineRule="exact"/>
        <w:rPr>
          <w:sz w:val="20"/>
          <w:szCs w:val="20"/>
          <w:color w:val="auto"/>
        </w:rPr>
      </w:pPr>
    </w:p>
    <w:p>
      <w:pPr>
        <w:spacing w:after="0" w:line="367"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CONDENSED CONSOLIDATED INTERIM CASH FLOW STATEMENTS</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9663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Convenience</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translation</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into USD</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(Note 1b)</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8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4"/>
        </w:trPr>
        <w:tc>
          <w:tcPr>
            <w:tcW w:w="4940" w:type="dxa"/>
            <w:vAlign w:val="bottom"/>
          </w:tcPr>
          <w:p>
            <w:pPr>
              <w:spacing w:after="0"/>
              <w:rPr>
                <w:sz w:val="14"/>
                <w:szCs w:val="1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40" w:type="dxa"/>
            <w:vAlign w:val="bottom"/>
          </w:tcPr>
          <w:p>
            <w:pPr>
              <w:spacing w:after="0"/>
              <w:rPr>
                <w:sz w:val="16"/>
                <w:szCs w:val="16"/>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color w:val="auto"/>
                <w:w w:val="88"/>
              </w:rPr>
              <w:t>NIS in thousands</w:t>
            </w:r>
          </w:p>
        </w:tc>
        <w:tc>
          <w:tcPr>
            <w:tcW w:w="1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4"/>
              </w:rPr>
              <w:t>In thousands</w:t>
            </w:r>
          </w:p>
        </w:tc>
        <w:tc>
          <w:tcPr>
            <w:tcW w:w="0" w:type="dxa"/>
            <w:vAlign w:val="bottom"/>
          </w:tcPr>
          <w:p>
            <w:pPr>
              <w:spacing w:after="0"/>
              <w:rPr>
                <w:sz w:val="1"/>
                <w:szCs w:val="1"/>
                <w:color w:val="auto"/>
              </w:rPr>
            </w:pPr>
          </w:p>
        </w:tc>
      </w:tr>
      <w:tr>
        <w:trPr>
          <w:trHeight w:val="212"/>
        </w:trPr>
        <w:tc>
          <w:tcPr>
            <w:tcW w:w="49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CASH FLOWS – OPERATING ACTIVITIES</w:t>
            </w: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180"/>
              <w:spacing w:after="0"/>
              <w:rPr>
                <w:sz w:val="20"/>
                <w:szCs w:val="20"/>
                <w:color w:val="auto"/>
              </w:rPr>
            </w:pPr>
            <w:r>
              <w:rPr>
                <w:rFonts w:ascii="Arial" w:cs="Arial" w:eastAsia="Arial" w:hAnsi="Arial"/>
                <w:sz w:val="17"/>
                <w:szCs w:val="17"/>
                <w:color w:val="auto"/>
              </w:rPr>
              <w:t>Comprehensive loss for the period</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(15,475)</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(11,644)</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(3,345)</w:t>
            </w:r>
          </w:p>
        </w:tc>
        <w:tc>
          <w:tcPr>
            <w:tcW w:w="0" w:type="dxa"/>
            <w:vAlign w:val="bottom"/>
          </w:tcPr>
          <w:p>
            <w:pPr>
              <w:spacing w:after="0"/>
              <w:rPr>
                <w:sz w:val="1"/>
                <w:szCs w:val="1"/>
                <w:color w:val="auto"/>
              </w:rPr>
            </w:pPr>
          </w:p>
        </w:tc>
      </w:tr>
      <w:tr>
        <w:trPr>
          <w:trHeight w:val="193"/>
        </w:trPr>
        <w:tc>
          <w:tcPr>
            <w:tcW w:w="494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rPr>
              <w:t>Adjustments required to reflect net cash used in operating</w:t>
            </w: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4,889</w:t>
            </w:r>
          </w:p>
        </w:tc>
        <w:tc>
          <w:tcPr>
            <w:tcW w:w="98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3,215</w:t>
            </w:r>
          </w:p>
        </w:tc>
        <w:tc>
          <w:tcPr>
            <w:tcW w:w="108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924</w:t>
            </w:r>
          </w:p>
        </w:tc>
        <w:tc>
          <w:tcPr>
            <w:tcW w:w="0" w:type="dxa"/>
            <w:vAlign w:val="bottom"/>
          </w:tcPr>
          <w:p>
            <w:pPr>
              <w:spacing w:after="0"/>
              <w:rPr>
                <w:sz w:val="1"/>
                <w:szCs w:val="1"/>
                <w:color w:val="auto"/>
              </w:rPr>
            </w:pPr>
          </w:p>
        </w:tc>
      </w:tr>
      <w:tr>
        <w:trPr>
          <w:trHeight w:val="217"/>
        </w:trPr>
        <w:tc>
          <w:tcPr>
            <w:tcW w:w="49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7"/>
                <w:szCs w:val="17"/>
                <w:color w:val="auto"/>
              </w:rPr>
              <w:t>activities (see appendix below)</w:t>
            </w:r>
          </w:p>
        </w:tc>
        <w:tc>
          <w:tcPr>
            <w:tcW w:w="7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40" w:type="dxa"/>
            <w:vAlign w:val="bottom"/>
          </w:tcPr>
          <w:p>
            <w:pPr>
              <w:ind w:left="180"/>
              <w:spacing w:after="0"/>
              <w:rPr>
                <w:sz w:val="20"/>
                <w:szCs w:val="20"/>
                <w:color w:val="auto"/>
              </w:rPr>
            </w:pPr>
            <w:r>
              <w:rPr>
                <w:rFonts w:ascii="Arial" w:cs="Arial" w:eastAsia="Arial" w:hAnsi="Arial"/>
                <w:sz w:val="17"/>
                <w:szCs w:val="17"/>
                <w:color w:val="auto"/>
              </w:rPr>
              <w:t>Net cash used in operating activities</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(10,586)</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(8,429)</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(2,421)</w:t>
            </w:r>
          </w:p>
        </w:tc>
        <w:tc>
          <w:tcPr>
            <w:tcW w:w="0" w:type="dxa"/>
            <w:vAlign w:val="bottom"/>
          </w:tcPr>
          <w:p>
            <w:pPr>
              <w:spacing w:after="0"/>
              <w:rPr>
                <w:sz w:val="1"/>
                <w:szCs w:val="1"/>
                <w:color w:val="auto"/>
              </w:rPr>
            </w:pPr>
          </w:p>
        </w:tc>
      </w:tr>
      <w:tr>
        <w:trPr>
          <w:trHeight w:val="199"/>
        </w:trPr>
        <w:tc>
          <w:tcPr>
            <w:tcW w:w="49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CASH FLOWS – INVESTING ACTIVITIES</w:t>
            </w: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180"/>
              <w:spacing w:after="0"/>
              <w:rPr>
                <w:sz w:val="20"/>
                <w:szCs w:val="20"/>
                <w:color w:val="auto"/>
              </w:rPr>
            </w:pPr>
            <w:r>
              <w:rPr>
                <w:rFonts w:ascii="Arial" w:cs="Arial" w:eastAsia="Arial" w:hAnsi="Arial"/>
                <w:sz w:val="17"/>
                <w:szCs w:val="17"/>
                <w:color w:val="auto"/>
              </w:rPr>
              <w:t>Investment in short-term bank deposits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(61,012)</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(17,527)</w:t>
            </w: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Investment in restricted deposits</w:t>
            </w: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(1,000)</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6"/>
        </w:trPr>
        <w:tc>
          <w:tcPr>
            <w:tcW w:w="4940" w:type="dxa"/>
            <w:vAlign w:val="bottom"/>
          </w:tcPr>
          <w:p>
            <w:pPr>
              <w:ind w:left="180"/>
              <w:spacing w:after="0"/>
              <w:rPr>
                <w:sz w:val="20"/>
                <w:szCs w:val="20"/>
                <w:color w:val="auto"/>
              </w:rPr>
            </w:pPr>
            <w:r>
              <w:rPr>
                <w:rFonts w:ascii="Arial" w:cs="Arial" w:eastAsia="Arial" w:hAnsi="Arial"/>
                <w:sz w:val="17"/>
                <w:szCs w:val="17"/>
                <w:color w:val="auto"/>
              </w:rPr>
              <w:t>Withdrawal of deposits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14,284</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4,103</w:t>
            </w: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Purchase of property and equipment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(114)</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(295)</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6"/>
        </w:trPr>
        <w:tc>
          <w:tcPr>
            <w:tcW w:w="4940" w:type="dxa"/>
            <w:vAlign w:val="bottom"/>
          </w:tcPr>
          <w:p>
            <w:pPr>
              <w:ind w:left="180"/>
              <w:spacing w:after="0"/>
              <w:rPr>
                <w:sz w:val="20"/>
                <w:szCs w:val="20"/>
                <w:color w:val="auto"/>
              </w:rPr>
            </w:pPr>
            <w:r>
              <w:rPr>
                <w:rFonts w:ascii="Arial" w:cs="Arial" w:eastAsia="Arial" w:hAnsi="Arial"/>
                <w:sz w:val="17"/>
                <w:szCs w:val="17"/>
                <w:color w:val="auto"/>
              </w:rPr>
              <w:t>Purchase of intangible assets</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(82)</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Net cash used in investing activities</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(196)</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(48,043)</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(13,802)</w:t>
            </w:r>
          </w:p>
        </w:tc>
        <w:tc>
          <w:tcPr>
            <w:tcW w:w="0" w:type="dxa"/>
            <w:vAlign w:val="bottom"/>
          </w:tcPr>
          <w:p>
            <w:pPr>
              <w:spacing w:after="0"/>
              <w:rPr>
                <w:sz w:val="1"/>
                <w:szCs w:val="1"/>
                <w:color w:val="auto"/>
              </w:rPr>
            </w:pPr>
          </w:p>
        </w:tc>
      </w:tr>
      <w:tr>
        <w:trPr>
          <w:trHeight w:val="199"/>
        </w:trPr>
        <w:tc>
          <w:tcPr>
            <w:tcW w:w="4940" w:type="dxa"/>
            <w:vAlign w:val="bottom"/>
            <w:tcBorders>
              <w:top w:val="single" w:sz="8" w:color="CCFFCC"/>
            </w:tcBorders>
          </w:tcPr>
          <w:p>
            <w:pPr>
              <w:spacing w:after="0"/>
              <w:rPr>
                <w:sz w:val="20"/>
                <w:szCs w:val="20"/>
                <w:color w:val="auto"/>
              </w:rPr>
            </w:pPr>
            <w:r>
              <w:rPr>
                <w:rFonts w:ascii="Arial" w:cs="Arial" w:eastAsia="Arial" w:hAnsi="Arial"/>
                <w:sz w:val="17"/>
                <w:szCs w:val="17"/>
                <w:b w:val="1"/>
                <w:bCs w:val="1"/>
                <w:color w:val="auto"/>
              </w:rPr>
              <w:t>CASH FLOWS – FINANCING ACTIVITIES</w:t>
            </w: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Repayments of bank loan</w:t>
            </w: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(76)</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4940" w:type="dxa"/>
            <w:vAlign w:val="bottom"/>
          </w:tcPr>
          <w:p>
            <w:pPr>
              <w:ind w:left="180"/>
              <w:spacing w:after="0"/>
              <w:rPr>
                <w:sz w:val="20"/>
                <w:szCs w:val="20"/>
                <w:color w:val="auto"/>
              </w:rPr>
            </w:pPr>
            <w:r>
              <w:rPr>
                <w:rFonts w:ascii="Arial" w:cs="Arial" w:eastAsia="Arial" w:hAnsi="Arial"/>
                <w:sz w:val="17"/>
                <w:szCs w:val="17"/>
                <w:color w:val="auto"/>
              </w:rPr>
              <w:t>Proceeds from exercise of employee stock options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Net cash used in financing activities</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(75)</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tcPr>
          <w:p>
            <w:pPr>
              <w:spacing w:after="0"/>
              <w:rPr>
                <w:sz w:val="20"/>
                <w:szCs w:val="20"/>
                <w:color w:val="auto"/>
              </w:rPr>
            </w:pPr>
            <w:r>
              <w:rPr>
                <w:rFonts w:ascii="Arial" w:cs="Arial" w:eastAsia="Arial" w:hAnsi="Arial"/>
                <w:sz w:val="17"/>
                <w:szCs w:val="17"/>
                <w:b w:val="1"/>
                <w:bCs w:val="1"/>
                <w:color w:val="auto"/>
              </w:rPr>
              <w:t>DECREASE IN CASH AND CASH EQUIVALENTS</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(10,782)</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(56,547)</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(16,244)</w:t>
            </w:r>
          </w:p>
        </w:tc>
        <w:tc>
          <w:tcPr>
            <w:tcW w:w="0" w:type="dxa"/>
            <w:vAlign w:val="bottom"/>
          </w:tcPr>
          <w:p>
            <w:pPr>
              <w:spacing w:after="0"/>
              <w:rPr>
                <w:sz w:val="1"/>
                <w:szCs w:val="1"/>
                <w:color w:val="auto"/>
              </w:rPr>
            </w:pPr>
          </w:p>
        </w:tc>
      </w:tr>
      <w:tr>
        <w:trPr>
          <w:trHeight w:val="187"/>
        </w:trPr>
        <w:tc>
          <w:tcPr>
            <w:tcW w:w="4940" w:type="dxa"/>
            <w:vAlign w:val="bottom"/>
            <w:shd w:val="clear" w:color="auto" w:fill="CCFFCC"/>
          </w:tcPr>
          <w:p>
            <w:pPr>
              <w:spacing w:after="0" w:line="188" w:lineRule="exact"/>
              <w:rPr>
                <w:sz w:val="20"/>
                <w:szCs w:val="20"/>
                <w:color w:val="auto"/>
              </w:rPr>
            </w:pPr>
            <w:r>
              <w:rPr>
                <w:rFonts w:ascii="Arial" w:cs="Arial" w:eastAsia="Arial" w:hAnsi="Arial"/>
                <w:sz w:val="17"/>
                <w:szCs w:val="17"/>
                <w:b w:val="1"/>
                <w:bCs w:val="1"/>
                <w:color w:val="auto"/>
              </w:rPr>
              <w:t>CASH AND CASH EQUIVALENTS – BEGINNING OF</w:t>
            </w:r>
          </w:p>
        </w:tc>
        <w:tc>
          <w:tcPr>
            <w:tcW w:w="82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105,890</w:t>
            </w:r>
          </w:p>
        </w:tc>
        <w:tc>
          <w:tcPr>
            <w:tcW w:w="98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111,746</w:t>
            </w:r>
          </w:p>
        </w:tc>
        <w:tc>
          <w:tcPr>
            <w:tcW w:w="108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32,102</w:t>
            </w:r>
          </w:p>
        </w:tc>
        <w:tc>
          <w:tcPr>
            <w:tcW w:w="0" w:type="dxa"/>
            <w:vAlign w:val="bottom"/>
          </w:tcPr>
          <w:p>
            <w:pPr>
              <w:spacing w:after="0"/>
              <w:rPr>
                <w:sz w:val="1"/>
                <w:szCs w:val="1"/>
                <w:color w:val="auto"/>
              </w:rPr>
            </w:pPr>
          </w:p>
        </w:tc>
      </w:tr>
      <w:tr>
        <w:trPr>
          <w:trHeight w:val="224"/>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b w:val="1"/>
                <w:bCs w:val="1"/>
                <w:color w:val="auto"/>
              </w:rPr>
              <w:t>PERIOD</w:t>
            </w: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line="188" w:lineRule="exact"/>
              <w:rPr>
                <w:sz w:val="20"/>
                <w:szCs w:val="20"/>
                <w:color w:val="auto"/>
              </w:rPr>
            </w:pPr>
            <w:r>
              <w:rPr>
                <w:rFonts w:ascii="Arial" w:cs="Arial" w:eastAsia="Arial" w:hAnsi="Arial"/>
                <w:sz w:val="17"/>
                <w:szCs w:val="17"/>
                <w:b w:val="1"/>
                <w:bCs w:val="1"/>
                <w:color w:val="auto"/>
              </w:rPr>
              <w:t>EXCHANGE DIFFERENCES ON CASH AND CASH</w:t>
            </w:r>
          </w:p>
        </w:tc>
        <w:tc>
          <w:tcPr>
            <w:tcW w:w="820" w:type="dxa"/>
            <w:vAlign w:val="bottom"/>
            <w:gridSpan w:val="2"/>
          </w:tcPr>
          <w:p>
            <w:pPr>
              <w:jc w:val="right"/>
              <w:ind w:right="60"/>
              <w:spacing w:after="0" w:line="188" w:lineRule="exact"/>
              <w:rPr>
                <w:sz w:val="20"/>
                <w:szCs w:val="20"/>
                <w:color w:val="auto"/>
              </w:rPr>
            </w:pPr>
            <w:r>
              <w:rPr>
                <w:rFonts w:ascii="Arial" w:cs="Arial" w:eastAsia="Arial" w:hAnsi="Arial"/>
                <w:sz w:val="17"/>
                <w:szCs w:val="17"/>
                <w:color w:val="auto"/>
              </w:rPr>
              <w:t>(532)</w:t>
            </w:r>
          </w:p>
        </w:tc>
        <w:tc>
          <w:tcPr>
            <w:tcW w:w="980" w:type="dxa"/>
            <w:vAlign w:val="bottom"/>
            <w:gridSpan w:val="3"/>
          </w:tcPr>
          <w:p>
            <w:pPr>
              <w:jc w:val="right"/>
              <w:ind w:right="60"/>
              <w:spacing w:after="0" w:line="188" w:lineRule="exact"/>
              <w:rPr>
                <w:sz w:val="20"/>
                <w:szCs w:val="20"/>
                <w:color w:val="auto"/>
              </w:rPr>
            </w:pPr>
            <w:r>
              <w:rPr>
                <w:rFonts w:ascii="Arial" w:cs="Arial" w:eastAsia="Arial" w:hAnsi="Arial"/>
                <w:sz w:val="17"/>
                <w:szCs w:val="17"/>
                <w:color w:val="auto"/>
              </w:rPr>
              <w:t>(462)</w:t>
            </w:r>
          </w:p>
        </w:tc>
        <w:tc>
          <w:tcPr>
            <w:tcW w:w="108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3"/>
        </w:trPr>
        <w:tc>
          <w:tcPr>
            <w:tcW w:w="4940" w:type="dxa"/>
            <w:vAlign w:val="bottom"/>
          </w:tcPr>
          <w:p>
            <w:pPr>
              <w:ind w:left="180"/>
              <w:spacing w:after="0"/>
              <w:rPr>
                <w:sz w:val="20"/>
                <w:szCs w:val="20"/>
                <w:color w:val="auto"/>
              </w:rPr>
            </w:pPr>
            <w:r>
              <w:rPr>
                <w:rFonts w:ascii="Arial" w:cs="Arial" w:eastAsia="Arial" w:hAnsi="Arial"/>
                <w:sz w:val="17"/>
                <w:szCs w:val="17"/>
                <w:b w:val="1"/>
                <w:bCs w:val="1"/>
                <w:color w:val="auto"/>
              </w:rPr>
              <w:t>EQUIVALENTS</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94,576</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54,737</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15,725</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-2441575</wp:posOffset>
            </wp:positionV>
            <wp:extent cx="4966335" cy="147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-1371600</wp:posOffset>
            </wp:positionV>
            <wp:extent cx="4966335" cy="1390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-832485</wp:posOffset>
            </wp:positionV>
            <wp:extent cx="4966335" cy="1390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96633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0" w:lineRule="exact"/>
        <w:rPr>
          <w:sz w:val="20"/>
          <w:szCs w:val="20"/>
          <w:color w:val="auto"/>
        </w:rPr>
      </w:pPr>
    </w:p>
    <w:p>
      <w:pPr>
        <w:spacing w:after="0" w:line="344"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APPENDIX TO CONDENSED CONSOLIDATED INTERIM CASH FLOW STATEMENTS – (continued)</w:t>
      </w:r>
    </w:p>
    <w:p>
      <w:pPr>
        <w:spacing w:after="0" w:line="39"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9663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Convenience</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translation</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into USD</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(Note 1b)</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8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4"/>
        </w:trPr>
        <w:tc>
          <w:tcPr>
            <w:tcW w:w="4940" w:type="dxa"/>
            <w:vAlign w:val="bottom"/>
          </w:tcPr>
          <w:p>
            <w:pPr>
              <w:spacing w:after="0"/>
              <w:rPr>
                <w:sz w:val="14"/>
                <w:szCs w:val="14"/>
                <w:color w:val="auto"/>
              </w:rPr>
            </w:pPr>
          </w:p>
        </w:tc>
        <w:tc>
          <w:tcPr>
            <w:tcW w:w="1220" w:type="dxa"/>
            <w:vAlign w:val="bottom"/>
            <w:tcBorders>
              <w:bottom w:val="single" w:sz="8" w:color="auto"/>
            </w:tcBorders>
            <w:gridSpan w:val="4"/>
          </w:tcPr>
          <w:p>
            <w:pPr>
              <w:jc w:val="center"/>
              <w:ind w:left="498"/>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940" w:type="dxa"/>
            <w:vAlign w:val="bottom"/>
          </w:tcPr>
          <w:p>
            <w:pPr>
              <w:spacing w:after="0"/>
              <w:rPr>
                <w:sz w:val="16"/>
                <w:szCs w:val="16"/>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color w:val="auto"/>
                <w:w w:val="88"/>
              </w:rPr>
              <w:t>NIS in thousands</w:t>
            </w:r>
          </w:p>
        </w:tc>
        <w:tc>
          <w:tcPr>
            <w:tcW w:w="1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4"/>
              </w:rPr>
              <w:t>In thousands</w:t>
            </w:r>
          </w:p>
        </w:tc>
        <w:tc>
          <w:tcPr>
            <w:tcW w:w="0" w:type="dxa"/>
            <w:vAlign w:val="bottom"/>
          </w:tcPr>
          <w:p>
            <w:pPr>
              <w:spacing w:after="0"/>
              <w:rPr>
                <w:sz w:val="1"/>
                <w:szCs w:val="1"/>
                <w:color w:val="auto"/>
              </w:rPr>
            </w:pPr>
          </w:p>
        </w:tc>
      </w:tr>
      <w:tr>
        <w:trPr>
          <w:trHeight w:val="193"/>
        </w:trPr>
        <w:tc>
          <w:tcPr>
            <w:tcW w:w="4940" w:type="dxa"/>
            <w:vAlign w:val="bottom"/>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Adjustments required to reflect net cash used in operating</w:t>
            </w:r>
          </w:p>
        </w:tc>
        <w:tc>
          <w:tcPr>
            <w:tcW w:w="6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FFCC"/>
          </w:tcPr>
          <w:p>
            <w:pPr>
              <w:ind w:left="180"/>
              <w:spacing w:after="0"/>
              <w:rPr>
                <w:sz w:val="20"/>
                <w:szCs w:val="20"/>
                <w:color w:val="auto"/>
              </w:rPr>
            </w:pPr>
            <w:r>
              <w:rPr>
                <w:rFonts w:ascii="Arial" w:cs="Arial" w:eastAsia="Arial" w:hAnsi="Arial"/>
                <w:sz w:val="17"/>
                <w:szCs w:val="17"/>
                <w:b w:val="1"/>
                <w:bCs w:val="1"/>
                <w:color w:val="auto"/>
              </w:rPr>
              <w:t>activities:</w:t>
            </w:r>
          </w:p>
        </w:tc>
        <w:tc>
          <w:tcPr>
            <w:tcW w:w="6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180"/>
              <w:spacing w:after="0"/>
              <w:rPr>
                <w:sz w:val="20"/>
                <w:szCs w:val="20"/>
                <w:color w:val="auto"/>
              </w:rPr>
            </w:pPr>
            <w:r>
              <w:rPr>
                <w:rFonts w:ascii="Arial" w:cs="Arial" w:eastAsia="Arial" w:hAnsi="Arial"/>
                <w:sz w:val="17"/>
                <w:szCs w:val="17"/>
                <w:b w:val="1"/>
                <w:bCs w:val="1"/>
                <w:color w:val="auto"/>
              </w:rPr>
              <w:t>Income and expenses not involving cash flows: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340"/>
              <w:spacing w:after="0"/>
              <w:rPr>
                <w:sz w:val="20"/>
                <w:szCs w:val="20"/>
                <w:color w:val="auto"/>
              </w:rPr>
            </w:pPr>
            <w:r>
              <w:rPr>
                <w:rFonts w:ascii="Arial" w:cs="Arial" w:eastAsia="Arial" w:hAnsi="Arial"/>
                <w:sz w:val="17"/>
                <w:szCs w:val="17"/>
                <w:color w:val="auto"/>
              </w:rPr>
              <w:t>Depreciation and amortization</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430</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399</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6"/>
        </w:trPr>
        <w:tc>
          <w:tcPr>
            <w:tcW w:w="4940" w:type="dxa"/>
            <w:vAlign w:val="bottom"/>
          </w:tcPr>
          <w:p>
            <w:pPr>
              <w:ind w:left="340"/>
              <w:spacing w:after="0"/>
              <w:rPr>
                <w:sz w:val="20"/>
                <w:szCs w:val="20"/>
                <w:color w:val="auto"/>
              </w:rPr>
            </w:pPr>
            <w:r>
              <w:rPr>
                <w:rFonts w:ascii="Arial" w:cs="Arial" w:eastAsia="Arial" w:hAnsi="Arial"/>
                <w:sz w:val="17"/>
                <w:szCs w:val="17"/>
                <w:color w:val="auto"/>
              </w:rPr>
              <w:t>Impairment of intangible assets</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1,550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340"/>
              <w:spacing w:after="0"/>
              <w:rPr>
                <w:sz w:val="20"/>
                <w:szCs w:val="20"/>
                <w:color w:val="auto"/>
              </w:rPr>
            </w:pPr>
            <w:r>
              <w:rPr>
                <w:rFonts w:ascii="Arial" w:cs="Arial" w:eastAsia="Arial" w:hAnsi="Arial"/>
                <w:sz w:val="17"/>
                <w:szCs w:val="17"/>
                <w:color w:val="auto"/>
              </w:rPr>
              <w:t>Long-term prepaid expenses</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(35)</w:t>
            </w:r>
          </w:p>
        </w:tc>
        <w:tc>
          <w:tcPr>
            <w:tcW w:w="108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4940" w:type="dxa"/>
            <w:vAlign w:val="bottom"/>
          </w:tcPr>
          <w:p>
            <w:pPr>
              <w:ind w:left="340"/>
              <w:spacing w:after="0"/>
              <w:rPr>
                <w:sz w:val="20"/>
                <w:szCs w:val="20"/>
                <w:color w:val="auto"/>
              </w:rPr>
            </w:pPr>
            <w:r>
              <w:rPr>
                <w:rFonts w:ascii="Arial" w:cs="Arial" w:eastAsia="Arial" w:hAnsi="Arial"/>
                <w:sz w:val="17"/>
                <w:szCs w:val="17"/>
                <w:color w:val="auto"/>
              </w:rPr>
              <w:t>Exchange differences on cash and cash equivalents</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532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462</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340"/>
              <w:spacing w:after="0"/>
              <w:rPr>
                <w:sz w:val="20"/>
                <w:szCs w:val="20"/>
                <w:color w:val="auto"/>
              </w:rPr>
            </w:pPr>
            <w:r>
              <w:rPr>
                <w:rFonts w:ascii="Arial" w:cs="Arial" w:eastAsia="Arial" w:hAnsi="Arial"/>
                <w:sz w:val="17"/>
                <w:szCs w:val="17"/>
                <w:color w:val="auto"/>
              </w:rPr>
              <w:t>Interest and exchange differences on short-term deposits</w:t>
            </w:r>
          </w:p>
        </w:tc>
        <w:tc>
          <w:tcPr>
            <w:tcW w:w="1220" w:type="dxa"/>
            <w:vAlign w:val="bottom"/>
            <w:gridSpan w:val="4"/>
            <w:shd w:val="clear" w:color="auto" w:fill="CCFFCC"/>
          </w:tcPr>
          <w:p>
            <w:pPr>
              <w:jc w:val="right"/>
              <w:ind w:right="5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w w:val="93"/>
              </w:rPr>
              <w:t>1,522</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06"/>
        </w:trPr>
        <w:tc>
          <w:tcPr>
            <w:tcW w:w="4940" w:type="dxa"/>
            <w:vAlign w:val="bottom"/>
          </w:tcPr>
          <w:p>
            <w:pPr>
              <w:ind w:left="340"/>
              <w:spacing w:after="0"/>
              <w:rPr>
                <w:sz w:val="20"/>
                <w:szCs w:val="20"/>
                <w:color w:val="auto"/>
              </w:rPr>
            </w:pPr>
            <w:r>
              <w:rPr>
                <w:rFonts w:ascii="Arial" w:cs="Arial" w:eastAsia="Arial" w:hAnsi="Arial"/>
                <w:sz w:val="17"/>
                <w:szCs w:val="17"/>
                <w:color w:val="auto"/>
              </w:rPr>
              <w:t>Interest and linkage on bank loan</w:t>
            </w:r>
          </w:p>
        </w:tc>
        <w:tc>
          <w:tcPr>
            <w:tcW w:w="1220" w:type="dxa"/>
            <w:vAlign w:val="bottom"/>
            <w:gridSpan w:val="4"/>
          </w:tcPr>
          <w:p>
            <w:pPr>
              <w:jc w:val="right"/>
              <w:ind w:right="5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4940" w:type="dxa"/>
            <w:vAlign w:val="bottom"/>
            <w:shd w:val="clear" w:color="auto" w:fill="CCFFCC"/>
          </w:tcPr>
          <w:p>
            <w:pPr>
              <w:ind w:left="340"/>
              <w:spacing w:after="0"/>
              <w:rPr>
                <w:sz w:val="20"/>
                <w:szCs w:val="20"/>
                <w:color w:val="auto"/>
              </w:rPr>
            </w:pPr>
            <w:r>
              <w:rPr>
                <w:rFonts w:ascii="Arial" w:cs="Arial" w:eastAsia="Arial" w:hAnsi="Arial"/>
                <w:sz w:val="17"/>
                <w:szCs w:val="17"/>
                <w:color w:val="auto"/>
              </w:rPr>
              <w:t>Share-based compensation</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1,313</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632</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6"/>
        </w:trPr>
        <w:tc>
          <w:tcPr>
            <w:tcW w:w="4940" w:type="dxa"/>
            <w:vAlign w:val="bottom"/>
          </w:tcPr>
          <w:p>
            <w:pPr>
              <w:ind w:left="340"/>
              <w:spacing w:after="0"/>
              <w:rPr>
                <w:sz w:val="20"/>
                <w:szCs w:val="20"/>
                <w:color w:val="auto"/>
              </w:rPr>
            </w:pPr>
            <w:r>
              <w:rPr>
                <w:rFonts w:ascii="Arial" w:cs="Arial" w:eastAsia="Arial" w:hAnsi="Arial"/>
                <w:sz w:val="17"/>
                <w:szCs w:val="17"/>
                <w:color w:val="auto"/>
              </w:rPr>
              <w:t>Interest and exchange differences on restricted deposits</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3,831</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w w:val="93"/>
              </w:rPr>
              <w:t>3,032</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199"/>
        </w:trPr>
        <w:tc>
          <w:tcPr>
            <w:tcW w:w="4940" w:type="dxa"/>
            <w:vAlign w:val="bottom"/>
            <w:tcBorders>
              <w:top w:val="single" w:sz="8" w:color="CCFFCC"/>
            </w:tcBorders>
          </w:tcPr>
          <w:p>
            <w:pPr>
              <w:ind w:left="180"/>
              <w:spacing w:after="0"/>
              <w:rPr>
                <w:sz w:val="20"/>
                <w:szCs w:val="20"/>
                <w:color w:val="auto"/>
              </w:rPr>
            </w:pPr>
            <w:r>
              <w:rPr>
                <w:rFonts w:ascii="Arial" w:cs="Arial" w:eastAsia="Arial" w:hAnsi="Arial"/>
                <w:sz w:val="17"/>
                <w:szCs w:val="17"/>
                <w:b w:val="1"/>
                <w:bCs w:val="1"/>
                <w:color w:val="auto"/>
              </w:rPr>
              <w:t>Changes in operating asset and liability items:</w:t>
            </w: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FFCC"/>
          </w:tcPr>
          <w:p>
            <w:pPr>
              <w:ind w:left="340"/>
              <w:spacing w:after="0" w:line="194" w:lineRule="exact"/>
              <w:rPr>
                <w:sz w:val="20"/>
                <w:szCs w:val="20"/>
                <w:color w:val="auto"/>
              </w:rPr>
            </w:pPr>
            <w:r>
              <w:rPr>
                <w:rFonts w:ascii="Arial" w:cs="Arial" w:eastAsia="Arial" w:hAnsi="Arial"/>
                <w:sz w:val="17"/>
                <w:szCs w:val="17"/>
                <w:color w:val="auto"/>
              </w:rPr>
              <w:t>Decrease (increase) in trade accounts receivable and other</w:t>
            </w:r>
          </w:p>
        </w:tc>
        <w:tc>
          <w:tcPr>
            <w:tcW w:w="820" w:type="dxa"/>
            <w:vAlign w:val="bottom"/>
            <w:gridSpan w:val="2"/>
            <w:shd w:val="clear" w:color="auto" w:fill="CCFFCC"/>
          </w:tcPr>
          <w:p>
            <w:pPr>
              <w:jc w:val="right"/>
              <w:ind w:right="140"/>
              <w:spacing w:after="0" w:line="194" w:lineRule="exact"/>
              <w:rPr>
                <w:sz w:val="20"/>
                <w:szCs w:val="20"/>
                <w:color w:val="auto"/>
              </w:rPr>
            </w:pPr>
            <w:r>
              <w:rPr>
                <w:rFonts w:ascii="Arial" w:cs="Arial" w:eastAsia="Arial" w:hAnsi="Arial"/>
                <w:sz w:val="17"/>
                <w:szCs w:val="17"/>
                <w:color w:val="auto"/>
              </w:rPr>
              <w:t>2,169</w:t>
            </w:r>
          </w:p>
        </w:tc>
        <w:tc>
          <w:tcPr>
            <w:tcW w:w="16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color w:val="auto"/>
              </w:rPr>
              <w:t>(80)</w:t>
            </w:r>
          </w:p>
        </w:tc>
        <w:tc>
          <w:tcPr>
            <w:tcW w:w="1080" w:type="dxa"/>
            <w:vAlign w:val="bottom"/>
            <w:gridSpan w:val="3"/>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4940" w:type="dxa"/>
            <w:vAlign w:val="bottom"/>
            <w:shd w:val="clear" w:color="auto" w:fill="CCFFCC"/>
          </w:tcPr>
          <w:p>
            <w:pPr>
              <w:ind w:left="520"/>
              <w:spacing w:after="0"/>
              <w:rPr>
                <w:sz w:val="20"/>
                <w:szCs w:val="20"/>
                <w:color w:val="auto"/>
              </w:rPr>
            </w:pPr>
            <w:r>
              <w:rPr>
                <w:rFonts w:ascii="Arial" w:cs="Arial" w:eastAsia="Arial" w:hAnsi="Arial"/>
                <w:sz w:val="17"/>
                <w:szCs w:val="17"/>
                <w:color w:val="auto"/>
              </w:rPr>
              <w:t>receivables</w:t>
            </w: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340"/>
              <w:spacing w:after="0"/>
              <w:rPr>
                <w:sz w:val="20"/>
                <w:szCs w:val="20"/>
                <w:color w:val="auto"/>
              </w:rPr>
            </w:pPr>
            <w:r>
              <w:rPr>
                <w:rFonts w:ascii="Arial" w:cs="Arial" w:eastAsia="Arial" w:hAnsi="Arial"/>
                <w:sz w:val="17"/>
                <w:szCs w:val="17"/>
                <w:color w:val="auto"/>
              </w:rPr>
              <w:t>Increase (decrease) in accounts payable and accruals</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(1,111)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263</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1,058</w:t>
            </w:r>
          </w:p>
        </w:tc>
        <w:tc>
          <w:tcPr>
            <w:tcW w:w="1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183</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4,889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3,215</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924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Supplementary information on interest received in cash</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183</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363</w:t>
            </w:r>
          </w:p>
        </w:tc>
        <w:tc>
          <w:tcPr>
            <w:tcW w:w="108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4966335" cy="1390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-334010</wp:posOffset>
            </wp:positionV>
            <wp:extent cx="496633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66335"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966335"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0" w:lineRule="exact"/>
        <w:rPr>
          <w:sz w:val="20"/>
          <w:szCs w:val="20"/>
          <w:color w:val="auto"/>
        </w:rPr>
      </w:pPr>
    </w:p>
    <w:p>
      <w:pPr>
        <w:spacing w:after="0" w:line="344"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NOTES TO CONDENSED CONSOLIDATED INTERIM FINANCIAL STATEMENTS</w:t>
      </w:r>
    </w:p>
    <w:p>
      <w:pPr>
        <w:spacing w:after="0" w:line="27"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(UNAUDITED)</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 — GENERAL INFORMATION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General</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BioLineRx Ltd. (the “Company”) was incorporated and commenced operations in April 2003.</w:t>
      </w:r>
    </w:p>
    <w:p>
      <w:pPr>
        <w:spacing w:after="0" w:line="113" w:lineRule="exact"/>
        <w:rPr>
          <w:sz w:val="20"/>
          <w:szCs w:val="20"/>
          <w:color w:val="auto"/>
        </w:rPr>
      </w:pPr>
    </w:p>
    <w:p>
      <w:pPr>
        <w:jc w:val="both"/>
        <w:ind w:left="560" w:right="1019"/>
        <w:spacing w:after="0" w:line="265" w:lineRule="auto"/>
        <w:rPr>
          <w:sz w:val="20"/>
          <w:szCs w:val="20"/>
          <w:color w:val="auto"/>
        </w:rPr>
      </w:pPr>
      <w:r>
        <w:rPr>
          <w:rFonts w:ascii="Arial" w:cs="Arial" w:eastAsia="Arial" w:hAnsi="Arial"/>
          <w:sz w:val="17"/>
          <w:szCs w:val="17"/>
          <w:color w:val="auto"/>
        </w:rPr>
        <w:t>Since incorporation, the Company has been engaged, both independently and through its consolidated entities (collectively, the “Group”), in the development of therapeutics, from early-stage development to advanced clinical trials, for a wide range of medical needs.</w:t>
      </w:r>
    </w:p>
    <w:p>
      <w:pPr>
        <w:spacing w:after="0" w:line="73" w:lineRule="exact"/>
        <w:rPr>
          <w:sz w:val="20"/>
          <w:szCs w:val="20"/>
          <w:color w:val="auto"/>
        </w:rPr>
      </w:pPr>
    </w:p>
    <w:p>
      <w:pPr>
        <w:ind w:left="560" w:right="999"/>
        <w:spacing w:after="0" w:line="259" w:lineRule="auto"/>
        <w:rPr>
          <w:sz w:val="20"/>
          <w:szCs w:val="20"/>
          <w:color w:val="auto"/>
        </w:rPr>
      </w:pPr>
      <w:r>
        <w:rPr>
          <w:rFonts w:ascii="Arial" w:cs="Arial" w:eastAsia="Arial" w:hAnsi="Arial"/>
          <w:sz w:val="17"/>
          <w:szCs w:val="17"/>
          <w:color w:val="auto"/>
        </w:rPr>
        <w:t>In December 2004, the Company registered a limited partnership, BioLine Innovations Jerusalem L.P. (the “Partnership”), which commenced operations on January 1, 2005. The Company holds a 99% interest in the Partnership, with the remaining 1% held by a wholly owned subsidiary of the Company, BioLine Innovations Ltd. The Partnership was established to operate an industrial research and development center in an incubator located in Jerusalem under an agreement with the State of Israel.</w:t>
      </w:r>
    </w:p>
    <w:p>
      <w:pPr>
        <w:spacing w:after="0" w:line="77" w:lineRule="exact"/>
        <w:rPr>
          <w:sz w:val="20"/>
          <w:szCs w:val="20"/>
          <w:color w:val="auto"/>
        </w:rPr>
      </w:pPr>
    </w:p>
    <w:p>
      <w:pPr>
        <w:ind w:left="560" w:right="1159"/>
        <w:spacing w:after="0" w:line="278" w:lineRule="auto"/>
        <w:rPr>
          <w:sz w:val="20"/>
          <w:szCs w:val="20"/>
          <w:color w:val="auto"/>
        </w:rPr>
      </w:pPr>
      <w:r>
        <w:rPr>
          <w:rFonts w:ascii="Arial" w:cs="Arial" w:eastAsia="Arial" w:hAnsi="Arial"/>
          <w:sz w:val="17"/>
          <w:szCs w:val="17"/>
          <w:color w:val="auto"/>
        </w:rPr>
        <w:t>In February 2007, the Company listed its securities on the Tel Aviv Stock Exchange (TASE) and they have been traded on the TASE since that time.</w:t>
      </w:r>
    </w:p>
    <w:p>
      <w:pPr>
        <w:spacing w:after="0" w:line="62" w:lineRule="exact"/>
        <w:rPr>
          <w:sz w:val="20"/>
          <w:szCs w:val="20"/>
          <w:color w:val="auto"/>
        </w:rPr>
      </w:pPr>
    </w:p>
    <w:p>
      <w:pPr>
        <w:ind w:left="560" w:right="1199"/>
        <w:spacing w:after="0" w:line="278" w:lineRule="auto"/>
        <w:rPr>
          <w:sz w:val="20"/>
          <w:szCs w:val="20"/>
          <w:color w:val="auto"/>
        </w:rPr>
      </w:pPr>
      <w:r>
        <w:rPr>
          <w:rFonts w:ascii="Arial" w:cs="Arial" w:eastAsia="Arial" w:hAnsi="Arial"/>
          <w:sz w:val="17"/>
          <w:szCs w:val="17"/>
          <w:color w:val="auto"/>
        </w:rPr>
        <w:t>In January 2008, the Company established a wholly owned subsidiary, BioLineRx USA Inc., which serves as the Group’s business development arm in the United States.</w:t>
      </w:r>
    </w:p>
    <w:p>
      <w:pPr>
        <w:spacing w:after="0" w:line="62" w:lineRule="exact"/>
        <w:rPr>
          <w:sz w:val="20"/>
          <w:szCs w:val="20"/>
          <w:color w:val="auto"/>
        </w:rPr>
      </w:pPr>
    </w:p>
    <w:p>
      <w:pPr>
        <w:ind w:left="560" w:right="1059"/>
        <w:spacing w:after="0" w:line="265" w:lineRule="auto"/>
        <w:rPr>
          <w:sz w:val="20"/>
          <w:szCs w:val="20"/>
          <w:color w:val="auto"/>
        </w:rPr>
      </w:pPr>
      <w:r>
        <w:rPr>
          <w:rFonts w:ascii="Arial" w:cs="Arial" w:eastAsia="Arial" w:hAnsi="Arial"/>
          <w:sz w:val="17"/>
          <w:szCs w:val="17"/>
          <w:color w:val="auto"/>
        </w:rPr>
        <w:t>The Company has been engaged in drug development since its incorporation. The Company has not yet generated sustainable profits from its activities and cannot determine with reasonable certainty if and when the Company will become profitable on a current basis.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Convenience translation into US dollars (“dollars” or “USD”)</w:t>
      </w:r>
    </w:p>
    <w:p>
      <w:pPr>
        <w:spacing w:after="0" w:line="119" w:lineRule="exact"/>
        <w:rPr>
          <w:sz w:val="20"/>
          <w:szCs w:val="20"/>
          <w:color w:val="auto"/>
        </w:rPr>
      </w:pPr>
    </w:p>
    <w:p>
      <w:pPr>
        <w:ind w:left="560" w:right="999"/>
        <w:spacing w:after="0" w:line="282" w:lineRule="auto"/>
        <w:rPr>
          <w:sz w:val="20"/>
          <w:szCs w:val="20"/>
          <w:color w:val="auto"/>
        </w:rPr>
      </w:pPr>
      <w:r>
        <w:rPr>
          <w:rFonts w:ascii="Arial" w:cs="Arial" w:eastAsia="Arial" w:hAnsi="Arial"/>
          <w:sz w:val="16"/>
          <w:szCs w:val="16"/>
          <w:color w:val="auto"/>
        </w:rPr>
        <w:t>For the convenience of the reader, the reported New Israeli Shekel (“NIS”) amounts as of March 31, 2011 have been translated into dollars, at the representative rate of exchange on March 31, 2011 (USD 1 = NIS 3.481). The dollar amounts presented in these condensed consolidated interim financial statements should not be construed as representing amounts that are receivable or payable in dollars or convertible into dollars, unless otherwise indicated.</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Approval of consolidated financial statements</w:t>
      </w:r>
    </w:p>
    <w:p>
      <w:pPr>
        <w:spacing w:after="0" w:line="119" w:lineRule="exact"/>
        <w:rPr>
          <w:sz w:val="20"/>
          <w:szCs w:val="20"/>
          <w:color w:val="auto"/>
        </w:rPr>
      </w:pPr>
    </w:p>
    <w:p>
      <w:pPr>
        <w:ind w:left="560" w:right="1259"/>
        <w:spacing w:after="0" w:line="289" w:lineRule="auto"/>
        <w:rPr>
          <w:sz w:val="20"/>
          <w:szCs w:val="20"/>
          <w:color w:val="auto"/>
        </w:rPr>
      </w:pPr>
      <w:r>
        <w:rPr>
          <w:rFonts w:ascii="Arial" w:cs="Arial" w:eastAsia="Arial" w:hAnsi="Arial"/>
          <w:sz w:val="16"/>
          <w:szCs w:val="16"/>
          <w:color w:val="auto"/>
        </w:rPr>
        <w:t>The consolidated financial statements of the Company for the three months ended March 31, 2011 were approved by the Board of Directors of the Company on May 30, 2011, and signed on its behalf by the Chairman of the Board, the Company’s Chief Executive Officer and the Company’s Chief Financial and Operating Officer.</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2 — BASIS OF PREPARATION</w:t>
      </w:r>
    </w:p>
    <w:p>
      <w:pPr>
        <w:spacing w:after="0" w:line="119" w:lineRule="exact"/>
        <w:rPr>
          <w:sz w:val="20"/>
          <w:szCs w:val="20"/>
          <w:color w:val="auto"/>
        </w:rPr>
      </w:pPr>
    </w:p>
    <w:p>
      <w:pPr>
        <w:ind w:left="560" w:right="999"/>
        <w:spacing w:after="0" w:line="273" w:lineRule="auto"/>
        <w:rPr>
          <w:sz w:val="20"/>
          <w:szCs w:val="20"/>
          <w:color w:val="auto"/>
        </w:rPr>
      </w:pPr>
      <w:r>
        <w:rPr>
          <w:rFonts w:ascii="Arial" w:cs="Arial" w:eastAsia="Arial" w:hAnsi="Arial"/>
          <w:sz w:val="16"/>
          <w:szCs w:val="16"/>
          <w:color w:val="auto"/>
        </w:rPr>
        <w:t>The Group’s condensed consolidated interim financial statements as of March 31, 2011 and for the three months then ended have been prepared in accordance with International Accounting Standard No. 34, “Interim Financial Reporting” (IAS 34). These interim financial statements, which are unaudited, do not include all disclosures necessary for a complete presentation of financial position, results of operations, and cash flows in conformity with generally accepted accounting principles. The condensed consolidated interim financial statements should be read in conjunction with the annual financial statements as of December 31, 2010 and for the year then ended and their accompanying notes, which have been prepared in accordance with International Financial Reporting Standards (IFRS), as issued by the International Accounting Standards Board. The results of operations for the three months ended March 31, 2011 are not necessarily indicative of the results that may be expected for the entire fiscal year or for any other interim period.</w:t>
      </w:r>
    </w:p>
    <w:p>
      <w:pPr>
        <w:spacing w:after="0" w:line="200" w:lineRule="exact"/>
        <w:rPr>
          <w:sz w:val="20"/>
          <w:szCs w:val="20"/>
          <w:color w:val="auto"/>
        </w:rPr>
      </w:pPr>
    </w:p>
    <w:p>
      <w:pPr>
        <w:spacing w:after="0" w:line="296"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NOTES TO CONDENSED CONSOLIDATED INTERIM FINANCIAL STATEMENTS</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(UNAUDITED)</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3 — SIGNIFICANT ACCOUNTING POLICIES</w:t>
      </w:r>
    </w:p>
    <w:p>
      <w:pPr>
        <w:spacing w:after="0" w:line="119" w:lineRule="exact"/>
        <w:rPr>
          <w:sz w:val="20"/>
          <w:szCs w:val="20"/>
          <w:color w:val="auto"/>
        </w:rPr>
      </w:pPr>
    </w:p>
    <w:p>
      <w:pPr>
        <w:ind w:left="560" w:right="1019"/>
        <w:spacing w:after="0" w:line="265" w:lineRule="auto"/>
        <w:rPr>
          <w:sz w:val="20"/>
          <w:szCs w:val="20"/>
          <w:color w:val="auto"/>
        </w:rPr>
      </w:pPr>
      <w:r>
        <w:rPr>
          <w:rFonts w:ascii="Arial" w:cs="Arial" w:eastAsia="Arial" w:hAnsi="Arial"/>
          <w:sz w:val="17"/>
          <w:szCs w:val="17"/>
          <w:color w:val="auto"/>
        </w:rPr>
        <w:t>The accounting policies and calculation methods applied in the preparation of the interim financial statements are consistent with those applied in the preparation of the annual financial statements as of December 31, 2010 and for the year then ended.</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4 — RESEARCH AND DEVELOPMENT</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Research and development expenses are reflected net of research grants received from an interested (related) party of the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Company, pursuant to a research funding arrangement for early development stage projects,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4091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Three months ended</w:t>
            </w:r>
          </w:p>
        </w:tc>
      </w:tr>
      <w:tr>
        <w:trPr>
          <w:trHeight w:val="164"/>
        </w:trPr>
        <w:tc>
          <w:tcPr>
            <w:tcW w:w="454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568"/>
              <w:spacing w:after="0"/>
              <w:rPr>
                <w:sz w:val="20"/>
                <w:szCs w:val="20"/>
                <w:color w:val="auto"/>
              </w:rPr>
            </w:pPr>
            <w:r>
              <w:rPr>
                <w:rFonts w:ascii="Arial" w:cs="Arial" w:eastAsia="Arial" w:hAnsi="Arial"/>
                <w:sz w:val="14"/>
                <w:szCs w:val="14"/>
                <w:b w:val="1"/>
                <w:bCs w:val="1"/>
                <w:color w:val="auto"/>
                <w:w w:val="92"/>
              </w:rPr>
              <w:t>March 31,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86"/>
        </w:trPr>
        <w:tc>
          <w:tcPr>
            <w:tcW w:w="4540" w:type="dxa"/>
            <w:vAlign w:val="bottom"/>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6"/>
                <w:szCs w:val="16"/>
                <w:color w:val="auto"/>
              </w:rPr>
            </w:pPr>
          </w:p>
        </w:tc>
      </w:tr>
      <w:tr>
        <w:trPr>
          <w:trHeight w:val="193"/>
        </w:trPr>
        <w:tc>
          <w:tcPr>
            <w:tcW w:w="454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color w:val="auto"/>
                <w:w w:val="88"/>
              </w:rPr>
              <w:t>NIS in thousands</w:t>
            </w:r>
          </w:p>
        </w:tc>
      </w:tr>
      <w:tr>
        <w:trPr>
          <w:trHeight w:val="199"/>
        </w:trPr>
        <w:tc>
          <w:tcPr>
            <w:tcW w:w="4540" w:type="dxa"/>
            <w:vAlign w:val="bottom"/>
            <w:shd w:val="clear" w:color="auto" w:fill="CCFFCC"/>
          </w:tcPr>
          <w:p>
            <w:pPr>
              <w:spacing w:after="0"/>
              <w:rPr>
                <w:sz w:val="20"/>
                <w:szCs w:val="20"/>
                <w:color w:val="auto"/>
              </w:rPr>
            </w:pPr>
            <w:r>
              <w:rPr>
                <w:rFonts w:ascii="Arial" w:cs="Arial" w:eastAsia="Arial" w:hAnsi="Arial"/>
                <w:sz w:val="17"/>
                <w:szCs w:val="17"/>
                <w:color w:val="auto"/>
                <w:w w:val="93"/>
              </w:rPr>
              <w:t>Grants received from an interested party, offset against research</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755</w:t>
            </w:r>
          </w:p>
        </w:tc>
        <w:tc>
          <w:tcPr>
            <w:tcW w:w="1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754</w:t>
            </w:r>
          </w:p>
        </w:tc>
      </w:tr>
      <w:tr>
        <w:trPr>
          <w:trHeight w:val="257"/>
        </w:trPr>
        <w:tc>
          <w:tcPr>
            <w:tcW w:w="45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color w:val="auto"/>
              </w:rPr>
              <w:t>and development expenses</w:t>
            </w: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48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91940" cy="32385"/>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5 — EVENT SUBSEQUENT TO THE BALANCE SHEET DATE</w:t>
      </w:r>
    </w:p>
    <w:p>
      <w:pPr>
        <w:spacing w:after="0" w:line="119" w:lineRule="exact"/>
        <w:rPr>
          <w:sz w:val="20"/>
          <w:szCs w:val="20"/>
          <w:color w:val="auto"/>
        </w:rPr>
      </w:pPr>
    </w:p>
    <w:p>
      <w:pPr>
        <w:ind w:left="560" w:right="1019"/>
        <w:spacing w:after="0" w:line="273" w:lineRule="auto"/>
        <w:rPr>
          <w:sz w:val="20"/>
          <w:szCs w:val="20"/>
          <w:color w:val="auto"/>
        </w:rPr>
      </w:pPr>
      <w:r>
        <w:rPr>
          <w:rFonts w:ascii="Arial" w:cs="Arial" w:eastAsia="Arial" w:hAnsi="Arial"/>
          <w:sz w:val="16"/>
          <w:szCs w:val="16"/>
          <w:color w:val="auto"/>
        </w:rPr>
        <w:t>In May 2011, the Company signed an agreement, effective June 1, 2011, to reacquire all development and commercialization rights to BL-1020 granted to Cypress Bioscience, Inc. (“Cypress Bioscience”) pursuant to the license agreement the Company and Cypress Bioscience entered into in June 2010, as well as terminate the license agreement. In consideration for the reacquisition of such rights, including substantially all materials required for timely commencement of the BL-1020 clinical trial expected to commence in June 2011, the Company is obligated to pay Cypress Bioscience a 1% royalty on worldwide net sales of BL-1020 up to an aggregate cumulative amount of USD 80,000,000. In addition, the Company is obligated to pay Cypress Bioscience 10% of all future one-time payments received in respect of BL-1020, not to exceed an aggregate cumulative amount of USD 10,000,000, as reimbursement for costs that Cypress Bioscience incurred in developing the intellectual property portfolio, designing the clinical trial and conducting substantially all preparations to launch the trial.</w:t>
      </w:r>
    </w:p>
    <w:p>
      <w:pPr>
        <w:spacing w:after="0" w:line="200" w:lineRule="exact"/>
        <w:rPr>
          <w:sz w:val="20"/>
          <w:szCs w:val="20"/>
          <w:color w:val="auto"/>
        </w:rPr>
      </w:pPr>
    </w:p>
    <w:p>
      <w:pPr>
        <w:spacing w:after="0" w:line="293"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REPORT OF INDEPENDENT REGISTERED ACCOUNTING FIRM</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shareholders of</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BioLineRx Ltd.</w:t>
      </w:r>
    </w:p>
    <w:p>
      <w:pPr>
        <w:spacing w:after="0" w:line="119" w:lineRule="exact"/>
        <w:rPr>
          <w:sz w:val="20"/>
          <w:szCs w:val="20"/>
          <w:color w:val="auto"/>
        </w:rPr>
      </w:pPr>
    </w:p>
    <w:p>
      <w:pPr>
        <w:ind w:left="60" w:right="1100" w:firstLine="257"/>
        <w:spacing w:after="0" w:line="259" w:lineRule="auto"/>
        <w:rPr>
          <w:sz w:val="20"/>
          <w:szCs w:val="20"/>
          <w:color w:val="auto"/>
        </w:rPr>
      </w:pPr>
      <w:r>
        <w:rPr>
          <w:rFonts w:ascii="Arial" w:cs="Arial" w:eastAsia="Arial" w:hAnsi="Arial"/>
          <w:sz w:val="17"/>
          <w:szCs w:val="17"/>
          <w:color w:val="auto"/>
        </w:rPr>
        <w:t>We have audited the accompanying consolidated statements of financial position of BioLineRx Ltd. (the “Company”) and its consolidated entities as of December 31, 2009 and 2010 and the related consolidated statements of comprehensive income (loss), changes in equity and cash flows for each of the three years in the period ended December 31, 2010. These financial statements are the responsibility of the Company’s Board of Directors and management. Our responsibility is to express an opinion on these financial statements based on our audits.</w:t>
      </w:r>
    </w:p>
    <w:p>
      <w:pPr>
        <w:spacing w:after="0" w:line="77" w:lineRule="exact"/>
        <w:rPr>
          <w:sz w:val="20"/>
          <w:szCs w:val="20"/>
          <w:color w:val="auto"/>
        </w:rPr>
      </w:pPr>
    </w:p>
    <w:p>
      <w:pPr>
        <w:ind w:left="60" w:right="1120" w:firstLine="257"/>
        <w:spacing w:after="0" w:line="277"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64" w:lineRule="exact"/>
        <w:rPr>
          <w:sz w:val="20"/>
          <w:szCs w:val="20"/>
          <w:color w:val="auto"/>
        </w:rPr>
      </w:pPr>
    </w:p>
    <w:p>
      <w:pPr>
        <w:ind w:left="60" w:right="1260" w:firstLine="257"/>
        <w:spacing w:after="0" w:line="27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the Company and its consolidated entities as of December 31, 2009 and 2010 and their results of operations and cash flows for each of the three years in the period ended December 31, 2010, in conformity with International Financial Reporting Standards (“IFRS”), as issued by the International Accounting Standards Board (“IASB”).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49498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498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2540" w:type="dxa"/>
            <w:vAlign w:val="bottom"/>
            <w:gridSpan w:val="2"/>
          </w:tcPr>
          <w:p>
            <w:pPr>
              <w:spacing w:after="0" w:line="189" w:lineRule="exact"/>
              <w:rPr>
                <w:sz w:val="20"/>
                <w:szCs w:val="20"/>
                <w:color w:val="auto"/>
              </w:rPr>
            </w:pPr>
            <w:r>
              <w:rPr>
                <w:rFonts w:ascii="Arial" w:cs="Arial" w:eastAsia="Arial" w:hAnsi="Arial"/>
                <w:sz w:val="17"/>
                <w:szCs w:val="17"/>
                <w:color w:val="auto"/>
              </w:rPr>
              <w:t>Tel Aviv, Israel</w:t>
            </w:r>
          </w:p>
        </w:tc>
        <w:tc>
          <w:tcPr>
            <w:tcW w:w="7620" w:type="dxa"/>
            <w:vAlign w:val="bottom"/>
          </w:tcPr>
          <w:p>
            <w:pPr>
              <w:ind w:left="1460"/>
              <w:spacing w:after="0" w:line="189" w:lineRule="exact"/>
              <w:rPr>
                <w:sz w:val="20"/>
                <w:szCs w:val="20"/>
                <w:color w:val="auto"/>
              </w:rPr>
            </w:pPr>
            <w:r>
              <w:rPr>
                <w:rFonts w:ascii="Arial" w:cs="Arial" w:eastAsia="Arial" w:hAnsi="Arial"/>
                <w:sz w:val="17"/>
                <w:szCs w:val="17"/>
                <w:b w:val="1"/>
                <w:bCs w:val="1"/>
                <w:color w:val="auto"/>
              </w:rPr>
              <w:t>Kesselman &amp; Kesselman</w:t>
            </w:r>
          </w:p>
        </w:tc>
      </w:tr>
      <w:tr>
        <w:trPr>
          <w:trHeight w:val="206"/>
        </w:trPr>
        <w:tc>
          <w:tcPr>
            <w:tcW w:w="2540" w:type="dxa"/>
            <w:vAlign w:val="bottom"/>
            <w:gridSpan w:val="2"/>
          </w:tcPr>
          <w:p>
            <w:pPr>
              <w:spacing w:after="0"/>
              <w:rPr>
                <w:sz w:val="20"/>
                <w:szCs w:val="20"/>
                <w:color w:val="auto"/>
              </w:rPr>
            </w:pPr>
            <w:r>
              <w:rPr>
                <w:rFonts w:ascii="Arial" w:cs="Arial" w:eastAsia="Arial" w:hAnsi="Arial"/>
                <w:sz w:val="17"/>
                <w:szCs w:val="17"/>
                <w:color w:val="auto"/>
              </w:rPr>
              <w:t>March 27, 2011</w:t>
            </w:r>
          </w:p>
        </w:tc>
        <w:tc>
          <w:tcPr>
            <w:tcW w:w="7620" w:type="dxa"/>
            <w:vAlign w:val="bottom"/>
          </w:tcPr>
          <w:p>
            <w:pPr>
              <w:ind w:left="1460"/>
              <w:spacing w:after="0"/>
              <w:rPr>
                <w:sz w:val="20"/>
                <w:szCs w:val="20"/>
                <w:color w:val="auto"/>
              </w:rPr>
            </w:pPr>
            <w:r>
              <w:rPr>
                <w:rFonts w:ascii="Arial" w:cs="Arial" w:eastAsia="Arial" w:hAnsi="Arial"/>
                <w:sz w:val="17"/>
                <w:szCs w:val="17"/>
                <w:b w:val="1"/>
                <w:bCs w:val="1"/>
                <w:color w:val="auto"/>
              </w:rPr>
              <w:t>Certified Public Accountants (Isr.)</w:t>
            </w:r>
          </w:p>
        </w:tc>
      </w:tr>
      <w:tr>
        <w:trPr>
          <w:trHeight w:val="206"/>
        </w:trPr>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20" w:type="dxa"/>
            <w:vAlign w:val="bottom"/>
          </w:tcPr>
          <w:p>
            <w:pPr>
              <w:ind w:left="1460"/>
              <w:spacing w:after="0"/>
              <w:rPr>
                <w:sz w:val="20"/>
                <w:szCs w:val="20"/>
                <w:color w:val="auto"/>
              </w:rPr>
            </w:pPr>
            <w:r>
              <w:rPr>
                <w:rFonts w:ascii="Arial" w:cs="Arial" w:eastAsia="Arial" w:hAnsi="Arial"/>
                <w:sz w:val="17"/>
                <w:szCs w:val="17"/>
                <w:b w:val="1"/>
                <w:bCs w:val="1"/>
                <w:color w:val="auto"/>
              </w:rPr>
              <w:t>Member of PricewaterhouseCoopers</w:t>
            </w:r>
          </w:p>
        </w:tc>
      </w:tr>
      <w:tr>
        <w:trPr>
          <w:trHeight w:val="223"/>
        </w:trPr>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20" w:type="dxa"/>
            <w:vAlign w:val="bottom"/>
          </w:tcPr>
          <w:p>
            <w:pPr>
              <w:ind w:left="1460"/>
              <w:spacing w:after="0"/>
              <w:rPr>
                <w:sz w:val="20"/>
                <w:szCs w:val="20"/>
                <w:color w:val="auto"/>
              </w:rPr>
            </w:pPr>
            <w:r>
              <w:rPr>
                <w:rFonts w:ascii="Arial" w:cs="Arial" w:eastAsia="Arial" w:hAnsi="Arial"/>
                <w:sz w:val="17"/>
                <w:szCs w:val="17"/>
                <w:b w:val="1"/>
                <w:bCs w:val="1"/>
                <w:color w:val="auto"/>
              </w:rPr>
              <w:t>International Ltd.</w:t>
            </w:r>
          </w:p>
        </w:tc>
      </w:tr>
      <w:tr>
        <w:trPr>
          <w:trHeight w:val="746"/>
        </w:trPr>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20" w:type="dxa"/>
            <w:vAlign w:val="bottom"/>
          </w:tcPr>
          <w:p>
            <w:pPr>
              <w:ind w:left="1780"/>
              <w:spacing w:after="0"/>
              <w:rPr>
                <w:sz w:val="20"/>
                <w:szCs w:val="20"/>
                <w:color w:val="auto"/>
              </w:rPr>
            </w:pPr>
            <w:r>
              <w:rPr>
                <w:rFonts w:ascii="Arial" w:cs="Arial" w:eastAsia="Arial" w:hAnsi="Arial"/>
                <w:sz w:val="17"/>
                <w:szCs w:val="17"/>
                <w:color w:val="auto"/>
              </w:rPr>
              <w:t>F-8</w:t>
            </w:r>
          </w:p>
        </w:tc>
      </w:tr>
      <w:tr>
        <w:trPr>
          <w:trHeight w:val="156"/>
        </w:trPr>
        <w:tc>
          <w:tcPr>
            <w:tcW w:w="1020" w:type="dxa"/>
            <w:vAlign w:val="bottom"/>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7620" w:type="dxa"/>
            <w:vAlign w:val="bottom"/>
            <w:tcBorders>
              <w:bottom w:val="single" w:sz="8" w:color="9A9A9A"/>
            </w:tcBorders>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7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57785"/>
                    </a:xfrm>
                    <a:prstGeom prst="rect">
                      <a:avLst/>
                    </a:prstGeom>
                    <a:noFill/>
                  </pic:spPr>
                </pic:pic>
              </a:graphicData>
            </a:graphic>
          </wp:anchor>
        </w:drawing>
      </w:r>
    </w:p>
    <w:p>
      <w:pPr>
        <w:sectPr>
          <w:pgSz w:w="11900" w:h="16838" w:orient="portrait"/>
          <w:cols w:equalWidth="0" w:num="1">
            <w:col w:w="10160"/>
          </w:cols>
          <w:pgMar w:left="360" w:top="760" w:right="137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663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Convenience</w:t>
            </w:r>
          </w:p>
        </w:tc>
      </w:tr>
      <w:tr>
        <w:trPr>
          <w:trHeight w:val="141"/>
        </w:trPr>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translation into</w:t>
            </w:r>
          </w:p>
        </w:tc>
      </w:tr>
      <w:tr>
        <w:trPr>
          <w:trHeight w:val="164"/>
        </w:trPr>
        <w:tc>
          <w:tcPr>
            <w:tcW w:w="39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USD (Note 1b)</w:t>
            </w:r>
          </w:p>
        </w:tc>
      </w:tr>
      <w:tr>
        <w:trPr>
          <w:trHeight w:val="151"/>
        </w:trPr>
        <w:tc>
          <w:tcPr>
            <w:tcW w:w="3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gridSpan w:val="2"/>
          </w:tcPr>
          <w:p>
            <w:pPr>
              <w:jc w:val="right"/>
              <w:ind w:right="56"/>
              <w:spacing w:after="0" w:line="151"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c>
          <w:tcPr>
            <w:tcW w:w="860" w:type="dxa"/>
            <w:vAlign w:val="bottom"/>
            <w:gridSpan w:val="2"/>
          </w:tcPr>
          <w:p>
            <w:pPr>
              <w:jc w:val="right"/>
              <w:ind w:right="74"/>
              <w:spacing w:after="0" w:line="151"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87"/>
              </w:rPr>
              <w:t>December 31,</w:t>
            </w:r>
          </w:p>
        </w:tc>
      </w:tr>
      <w:tr>
        <w:trPr>
          <w:trHeight w:val="164"/>
        </w:trPr>
        <w:tc>
          <w:tcPr>
            <w:tcW w:w="3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ind w:left="8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auto"/>
            </w:tcBorders>
          </w:tcPr>
          <w:p>
            <w:pPr>
              <w:spacing w:after="0"/>
              <w:rPr>
                <w:sz w:val="14"/>
                <w:szCs w:val="14"/>
                <w:color w:val="auto"/>
              </w:rPr>
            </w:pPr>
          </w:p>
        </w:tc>
      </w:tr>
      <w:tr>
        <w:trPr>
          <w:trHeight w:val="193"/>
        </w:trPr>
        <w:tc>
          <w:tcPr>
            <w:tcW w:w="3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NIS in thousands</w:t>
            </w:r>
          </w:p>
        </w:tc>
        <w:tc>
          <w:tcPr>
            <w:tcW w:w="1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4"/>
              </w:rPr>
              <w:t>In thousands</w:t>
            </w:r>
          </w:p>
        </w:tc>
      </w:tr>
      <w:tr>
        <w:trPr>
          <w:trHeight w:val="212"/>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6"/>
        </w:trPr>
        <w:tc>
          <w:tcPr>
            <w:tcW w:w="39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Cash and cash equivalents</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2i, 5a</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105,890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111,746</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32,102</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Short-term bank deposits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5b</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28,037</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8,054</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Prepaid expenses</w:t>
            </w:r>
          </w:p>
        </w:tc>
        <w:tc>
          <w:tcPr>
            <w:tcW w:w="8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1,094</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46</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13</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Trade accounts receivable</w:t>
            </w:r>
          </w:p>
        </w:tc>
        <w:tc>
          <w:tcPr>
            <w:tcW w:w="820" w:type="dxa"/>
            <w:vAlign w:val="bottom"/>
          </w:tcPr>
          <w:p>
            <w:pPr>
              <w:jc w:val="center"/>
              <w:spacing w:after="0"/>
              <w:rPr>
                <w:sz w:val="20"/>
                <w:szCs w:val="20"/>
                <w:color w:val="auto"/>
              </w:rPr>
            </w:pPr>
            <w:r>
              <w:rPr>
                <w:rFonts w:ascii="Arial" w:cs="Arial" w:eastAsia="Arial" w:hAnsi="Arial"/>
                <w:sz w:val="17"/>
                <w:szCs w:val="17"/>
                <w:color w:val="auto"/>
                <w:w w:val="94"/>
              </w:rPr>
              <w:t>2k, 15</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37,750</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Other receivables</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84"/>
              </w:rPr>
              <w:t>14a</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2,313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6,313</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1,814</w:t>
            </w:r>
          </w:p>
        </w:tc>
      </w:tr>
      <w:tr>
        <w:trPr>
          <w:trHeight w:val="20"/>
        </w:trPr>
        <w:tc>
          <w:tcPr>
            <w:tcW w:w="39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9"/>
        </w:trPr>
        <w:tc>
          <w:tcPr>
            <w:tcW w:w="396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147,047</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146,142</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41,983</w:t>
            </w:r>
          </w:p>
        </w:tc>
      </w:tr>
      <w:tr>
        <w:trPr>
          <w:trHeight w:val="199"/>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NON-CURRENT ASSETS</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Restricted deposits</w:t>
            </w:r>
          </w:p>
        </w:tc>
        <w:tc>
          <w:tcPr>
            <w:tcW w:w="820" w:type="dxa"/>
            <w:vAlign w:val="bottom"/>
          </w:tcPr>
          <w:p>
            <w:pPr>
              <w:jc w:val="center"/>
              <w:spacing w:after="0"/>
              <w:rPr>
                <w:sz w:val="20"/>
                <w:szCs w:val="20"/>
                <w:color w:val="auto"/>
              </w:rPr>
            </w:pPr>
            <w:r>
              <w:rPr>
                <w:rFonts w:ascii="Arial" w:cs="Arial" w:eastAsia="Arial" w:hAnsi="Arial"/>
                <w:sz w:val="17"/>
                <w:szCs w:val="17"/>
                <w:color w:val="auto"/>
                <w:w w:val="94"/>
              </w:rPr>
              <w:t>2j, 12b(1)</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3,704</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2,414</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693</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Long-term prepaid expenses</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14b</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1,150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196</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56</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4,175</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4,509</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1,295</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Intangible assets, net</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84"/>
              </w:rPr>
              <w:t>7</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3,042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1,352</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388</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Asset in respect of retirement benefit obligations</w:t>
            </w: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2s</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Total non-current assets</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12,120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8,471</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2,432</w:t>
            </w:r>
          </w:p>
        </w:tc>
      </w:tr>
      <w:tr>
        <w:trPr>
          <w:trHeight w:val="20"/>
        </w:trPr>
        <w:tc>
          <w:tcPr>
            <w:tcW w:w="39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9"/>
        </w:trPr>
        <w:tc>
          <w:tcPr>
            <w:tcW w:w="3960" w:type="dxa"/>
            <w:vAlign w:val="bottom"/>
          </w:tcPr>
          <w:p>
            <w:pPr>
              <w:ind w:left="520"/>
              <w:spacing w:after="0"/>
              <w:rPr>
                <w:sz w:val="20"/>
                <w:szCs w:val="20"/>
                <w:color w:val="auto"/>
              </w:rPr>
            </w:pPr>
            <w:r>
              <w:rPr>
                <w:rFonts w:ascii="Arial" w:cs="Arial" w:eastAsia="Arial" w:hAnsi="Arial"/>
                <w:sz w:val="17"/>
                <w:szCs w:val="17"/>
                <w:b w:val="1"/>
                <w:bCs w:val="1"/>
                <w:color w:val="auto"/>
              </w:rPr>
              <w:t>Total assets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159,167</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154,613</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44,415</w:t>
            </w:r>
          </w:p>
        </w:tc>
      </w:tr>
      <w:tr>
        <w:trPr>
          <w:trHeight w:val="20"/>
        </w:trPr>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Liabilities and equity</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6"/>
        </w:trPr>
        <w:tc>
          <w:tcPr>
            <w:tcW w:w="396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3a</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960" w:type="dxa"/>
            <w:vAlign w:val="bottom"/>
            <w:shd w:val="clear" w:color="auto" w:fill="CCFFCC"/>
          </w:tcPr>
          <w:p>
            <w:pPr>
              <w:spacing w:after="0"/>
              <w:rPr>
                <w:sz w:val="20"/>
                <w:szCs w:val="20"/>
                <w:color w:val="auto"/>
              </w:rPr>
            </w:pPr>
            <w:r>
              <w:rPr>
                <w:rFonts w:ascii="Arial" w:cs="Arial" w:eastAsia="Arial" w:hAnsi="Arial"/>
                <w:sz w:val="17"/>
                <w:szCs w:val="17"/>
                <w:color w:val="auto"/>
              </w:rPr>
              <w:t>Current maturities of long-term bank loan</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84"/>
              </w:rPr>
              <w:t>8</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307</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88</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Accounts payable and accruals: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Trade</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14c(1)</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6,452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3,849</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1,106</w:t>
            </w: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OCS</w:t>
            </w:r>
          </w:p>
        </w:tc>
        <w:tc>
          <w:tcPr>
            <w:tcW w:w="82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14,005</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5,993</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1,722</w:t>
            </w:r>
          </w:p>
        </w:tc>
      </w:tr>
      <w:tr>
        <w:trPr>
          <w:trHeight w:val="206"/>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Licensors</w:t>
            </w:r>
          </w:p>
        </w:tc>
        <w:tc>
          <w:tcPr>
            <w:tcW w:w="8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10,570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1,491</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428</w:t>
            </w: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Other</w:t>
            </w: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14c(2)</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10,203</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10,551</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3,031</w:t>
            </w:r>
          </w:p>
        </w:tc>
      </w:tr>
      <w:tr>
        <w:trPr>
          <w:trHeight w:val="20"/>
        </w:trPr>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Total current liabilities</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41,230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22,191</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6,375</w:t>
            </w:r>
          </w:p>
        </w:tc>
      </w:tr>
      <w:tr>
        <w:trPr>
          <w:trHeight w:val="199"/>
        </w:trPr>
        <w:tc>
          <w:tcPr>
            <w:tcW w:w="3960" w:type="dxa"/>
            <w:vAlign w:val="bottom"/>
            <w:tcBorders>
              <w:top w:val="single" w:sz="8" w:color="CCFFCC"/>
            </w:tcBorders>
          </w:tcPr>
          <w:p>
            <w:pPr>
              <w:spacing w:after="0"/>
              <w:rPr>
                <w:sz w:val="20"/>
                <w:szCs w:val="20"/>
                <w:color w:val="auto"/>
              </w:rPr>
            </w:pPr>
            <w:r>
              <w:rPr>
                <w:rFonts w:ascii="Arial" w:cs="Arial" w:eastAsia="Arial" w:hAnsi="Arial"/>
                <w:sz w:val="17"/>
                <w:szCs w:val="17"/>
                <w:b w:val="1"/>
                <w:bCs w:val="1"/>
                <w:color w:val="auto"/>
              </w:rPr>
              <w:t>NON-CURRENT LIABILITIES</w:t>
            </w:r>
          </w:p>
        </w:tc>
        <w:tc>
          <w:tcPr>
            <w:tcW w:w="8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r>
      <w:tr>
        <w:trPr>
          <w:trHeight w:val="206"/>
        </w:trPr>
        <w:tc>
          <w:tcPr>
            <w:tcW w:w="3960" w:type="dxa"/>
            <w:vAlign w:val="bottom"/>
            <w:shd w:val="clear" w:color="auto" w:fill="CCFFCC"/>
          </w:tcPr>
          <w:p>
            <w:pPr>
              <w:spacing w:after="0"/>
              <w:rPr>
                <w:sz w:val="20"/>
                <w:szCs w:val="20"/>
                <w:color w:val="auto"/>
              </w:rPr>
            </w:pPr>
            <w:r>
              <w:rPr>
                <w:rFonts w:ascii="Arial" w:cs="Arial" w:eastAsia="Arial" w:hAnsi="Arial"/>
                <w:sz w:val="17"/>
                <w:szCs w:val="17"/>
                <w:color w:val="auto"/>
              </w:rPr>
              <w:t>Long term bank loan, net of current maturities</w:t>
            </w:r>
          </w:p>
        </w:tc>
        <w:tc>
          <w:tcPr>
            <w:tcW w:w="8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84"/>
              </w:rPr>
              <w:t>8</w:t>
            </w: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432</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124</w:t>
            </w:r>
          </w:p>
        </w:tc>
      </w:tr>
      <w:tr>
        <w:trPr>
          <w:trHeight w:val="206"/>
        </w:trPr>
        <w:tc>
          <w:tcPr>
            <w:tcW w:w="3960" w:type="dxa"/>
            <w:vAlign w:val="bottom"/>
          </w:tcPr>
          <w:p>
            <w:pPr>
              <w:spacing w:after="0"/>
              <w:rPr>
                <w:sz w:val="20"/>
                <w:szCs w:val="20"/>
                <w:color w:val="auto"/>
              </w:rPr>
            </w:pPr>
            <w:r>
              <w:rPr>
                <w:rFonts w:ascii="Arial" w:cs="Arial" w:eastAsia="Arial" w:hAnsi="Arial"/>
                <w:sz w:val="17"/>
                <w:szCs w:val="17"/>
                <w:color w:val="auto"/>
              </w:rPr>
              <w:t>Retirement benefit obligations</w:t>
            </w: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2s(1)</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30</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8</w:t>
            </w:r>
          </w:p>
        </w:tc>
      </w:tr>
      <w:tr>
        <w:trPr>
          <w:trHeight w:val="206"/>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Total non-current liabilities</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462</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132</w:t>
            </w:r>
          </w:p>
        </w:tc>
      </w:tr>
      <w:tr>
        <w:trPr>
          <w:trHeight w:val="187"/>
        </w:trPr>
        <w:tc>
          <w:tcPr>
            <w:tcW w:w="3960" w:type="dxa"/>
            <w:vAlign w:val="bottom"/>
          </w:tcPr>
          <w:p>
            <w:pPr>
              <w:spacing w:after="0" w:line="188" w:lineRule="exact"/>
              <w:rPr>
                <w:sz w:val="20"/>
                <w:szCs w:val="20"/>
                <w:color w:val="auto"/>
              </w:rPr>
            </w:pPr>
            <w:r>
              <w:rPr>
                <w:rFonts w:ascii="Arial" w:cs="Arial" w:eastAsia="Arial" w:hAnsi="Arial"/>
                <w:sz w:val="17"/>
                <w:szCs w:val="17"/>
                <w:b w:val="1"/>
                <w:bCs w:val="1"/>
                <w:color w:val="auto"/>
              </w:rPr>
              <w:t>COMMITMENTS AND CONTINGENT</w:t>
            </w:r>
          </w:p>
        </w:tc>
        <w:tc>
          <w:tcPr>
            <w:tcW w:w="820" w:type="dxa"/>
            <w:vAlign w:val="bottom"/>
          </w:tcPr>
          <w:p>
            <w:pPr>
              <w:jc w:val="right"/>
              <w:spacing w:after="0" w:line="188" w:lineRule="exact"/>
              <w:rPr>
                <w:sz w:val="20"/>
                <w:szCs w:val="20"/>
                <w:color w:val="auto"/>
              </w:rPr>
            </w:pPr>
            <w:r>
              <w:rPr>
                <w:rFonts w:ascii="Arial" w:cs="Arial" w:eastAsia="Arial" w:hAnsi="Arial"/>
                <w:sz w:val="17"/>
                <w:szCs w:val="17"/>
                <w:color w:val="auto"/>
              </w:rPr>
              <w:t>12</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3960" w:type="dxa"/>
            <w:vAlign w:val="bottom"/>
          </w:tcPr>
          <w:p>
            <w:pPr>
              <w:ind w:left="180"/>
              <w:spacing w:after="0"/>
              <w:rPr>
                <w:sz w:val="20"/>
                <w:szCs w:val="20"/>
                <w:color w:val="auto"/>
              </w:rPr>
            </w:pPr>
            <w:r>
              <w:rPr>
                <w:rFonts w:ascii="Arial" w:cs="Arial" w:eastAsia="Arial" w:hAnsi="Arial"/>
                <w:sz w:val="17"/>
                <w:szCs w:val="17"/>
                <w:b w:val="1"/>
                <w:bCs w:val="1"/>
                <w:color w:val="auto"/>
              </w:rPr>
              <w:t>LIABILITIES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9"/>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Total liabilities</w:t>
            </w:r>
          </w:p>
        </w:tc>
        <w:tc>
          <w:tcPr>
            <w:tcW w:w="8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41,230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22,653</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6,507</w:t>
            </w:r>
          </w:p>
        </w:tc>
      </w:tr>
      <w:tr>
        <w:trPr>
          <w:trHeight w:val="199"/>
        </w:trPr>
        <w:tc>
          <w:tcPr>
            <w:tcW w:w="3960" w:type="dxa"/>
            <w:vAlign w:val="bottom"/>
            <w:tcBorders>
              <w:top w:val="single" w:sz="8" w:color="CCFFCC"/>
            </w:tcBorders>
          </w:tcPr>
          <w:p>
            <w:pPr>
              <w:spacing w:after="0"/>
              <w:rPr>
                <w:sz w:val="20"/>
                <w:szCs w:val="20"/>
                <w:color w:val="auto"/>
              </w:rPr>
            </w:pPr>
            <w:r>
              <w:rPr>
                <w:rFonts w:ascii="Arial" w:cs="Arial" w:eastAsia="Arial" w:hAnsi="Arial"/>
                <w:sz w:val="17"/>
                <w:szCs w:val="17"/>
                <w:b w:val="1"/>
                <w:bCs w:val="1"/>
                <w:color w:val="auto"/>
              </w:rPr>
              <w:t>EQUITY</w:t>
            </w:r>
          </w:p>
        </w:tc>
        <w:tc>
          <w:tcPr>
            <w:tcW w:w="820" w:type="dxa"/>
            <w:vAlign w:val="bottom"/>
            <w:tcBorders>
              <w:top w:val="single" w:sz="8" w:color="CCFFCC"/>
            </w:tcBorders>
          </w:tcPr>
          <w:p>
            <w:pPr>
              <w:jc w:val="center"/>
              <w:spacing w:after="0"/>
              <w:rPr>
                <w:sz w:val="20"/>
                <w:szCs w:val="20"/>
                <w:color w:val="auto"/>
              </w:rPr>
            </w:pPr>
            <w:r>
              <w:rPr>
                <w:rFonts w:ascii="Arial" w:cs="Arial" w:eastAsia="Arial" w:hAnsi="Arial"/>
                <w:sz w:val="17"/>
                <w:szCs w:val="17"/>
                <w:color w:val="auto"/>
                <w:w w:val="84"/>
              </w:rPr>
              <w:t>9</w:t>
            </w: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Ordinary shares</w:t>
            </w:r>
          </w:p>
        </w:tc>
        <w:tc>
          <w:tcPr>
            <w:tcW w:w="8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1,235</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1,236</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355</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Share premium</w:t>
            </w:r>
          </w:p>
        </w:tc>
        <w:tc>
          <w:tcPr>
            <w:tcW w:w="82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412,513</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414,435</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119,056</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Warrants</w:t>
            </w:r>
          </w:p>
        </w:tc>
        <w:tc>
          <w:tcPr>
            <w:tcW w:w="820" w:type="dxa"/>
            <w:vAlign w:val="bottom"/>
            <w:shd w:val="clear" w:color="auto" w:fill="CCFFCC"/>
          </w:tcPr>
          <w:p>
            <w:pPr>
              <w:spacing w:after="0"/>
              <w:rPr>
                <w:sz w:val="17"/>
                <w:szCs w:val="17"/>
                <w:color w:val="auto"/>
              </w:rPr>
            </w:pP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6,549</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6,549</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1,881</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Capital reserve</w:t>
            </w:r>
          </w:p>
        </w:tc>
        <w:tc>
          <w:tcPr>
            <w:tcW w:w="82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22,963</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27,623</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7,935</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Accumulated deficit</w:t>
            </w: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(325,323)</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(317,883)</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(91,319)</w:t>
            </w:r>
          </w:p>
        </w:tc>
      </w:tr>
      <w:tr>
        <w:trPr>
          <w:trHeight w:val="20"/>
        </w:trPr>
        <w:tc>
          <w:tcPr>
            <w:tcW w:w="39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9"/>
        </w:trPr>
        <w:tc>
          <w:tcPr>
            <w:tcW w:w="3960" w:type="dxa"/>
            <w:vAlign w:val="bottom"/>
          </w:tcPr>
          <w:p>
            <w:pPr>
              <w:ind w:left="520"/>
              <w:spacing w:after="0"/>
              <w:rPr>
                <w:sz w:val="20"/>
                <w:szCs w:val="20"/>
                <w:color w:val="auto"/>
              </w:rPr>
            </w:pPr>
            <w:r>
              <w:rPr>
                <w:rFonts w:ascii="Arial" w:cs="Arial" w:eastAsia="Arial" w:hAnsi="Arial"/>
                <w:sz w:val="17"/>
                <w:szCs w:val="17"/>
                <w:color w:val="auto"/>
              </w:rPr>
              <w:t>Total equity</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117,937</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131,960</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37,908</w:t>
            </w:r>
          </w:p>
        </w:tc>
      </w:tr>
      <w:tr>
        <w:trPr>
          <w:trHeight w:val="20"/>
        </w:trPr>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b w:val="1"/>
                <w:bCs w:val="1"/>
                <w:color w:val="auto"/>
              </w:rPr>
              <w:t>Total liabilities and equity</w:t>
            </w:r>
          </w:p>
        </w:tc>
        <w:tc>
          <w:tcPr>
            <w:tcW w:w="8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159,167</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154,613</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44,415</w:t>
            </w: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-4458970</wp:posOffset>
            </wp:positionV>
            <wp:extent cx="4966335" cy="147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-3388995</wp:posOffset>
            </wp:positionV>
            <wp:extent cx="496633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66335"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-2033270</wp:posOffset>
            </wp:positionV>
            <wp:extent cx="4966335" cy="1390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-1101725</wp:posOffset>
            </wp:positionV>
            <wp:extent cx="4966335" cy="1390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-309880</wp:posOffset>
            </wp:positionV>
            <wp:extent cx="4966335" cy="147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966335"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33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663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Convenience</w:t>
            </w: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translation</w:t>
            </w: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into USD</w:t>
            </w:r>
          </w:p>
        </w:tc>
      </w:tr>
      <w:tr>
        <w:trPr>
          <w:trHeight w:val="164"/>
        </w:trPr>
        <w:tc>
          <w:tcPr>
            <w:tcW w:w="3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(Note 1b)</w:t>
            </w:r>
          </w:p>
        </w:tc>
      </w:tr>
      <w:tr>
        <w:trPr>
          <w:trHeight w:val="186"/>
        </w:trPr>
        <w:tc>
          <w:tcPr>
            <w:tcW w:w="3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auto"/>
            </w:tcBorders>
          </w:tcPr>
          <w:p>
            <w:pPr>
              <w:spacing w:after="0"/>
              <w:rPr>
                <w:sz w:val="16"/>
                <w:szCs w:val="16"/>
                <w:color w:val="auto"/>
              </w:rPr>
            </w:pPr>
          </w:p>
        </w:tc>
      </w:tr>
      <w:tr>
        <w:trPr>
          <w:trHeight w:val="193"/>
        </w:trPr>
        <w:tc>
          <w:tcPr>
            <w:tcW w:w="3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14"/>
                <w:szCs w:val="14"/>
                <w:color w:val="auto"/>
                <w:w w:val="88"/>
              </w:rPr>
              <w:t>NIS in thousands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7"/>
              </w:rPr>
              <w:t>In thousands</w:t>
            </w:r>
          </w:p>
        </w:tc>
      </w:tr>
      <w:tr>
        <w:trPr>
          <w:trHeight w:val="212"/>
        </w:trPr>
        <w:tc>
          <w:tcPr>
            <w:tcW w:w="34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REVENUES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15, 16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63,909</w:t>
            </w:r>
          </w:p>
        </w:tc>
        <w:tc>
          <w:tcPr>
            <w:tcW w:w="160" w:type="dxa"/>
            <w:vAlign w:val="bottom"/>
            <w:tcBorders>
              <w:right w:val="single" w:sz="8" w:color="CCFFCC"/>
            </w:tcBorders>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w w:val="97"/>
              </w:rPr>
              <w:t>113,160</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32,508</w:t>
            </w:r>
          </w:p>
        </w:tc>
        <w:tc>
          <w:tcPr>
            <w:tcW w:w="120" w:type="dxa"/>
            <w:vAlign w:val="bottom"/>
            <w:shd w:val="clear" w:color="auto" w:fill="CCFFCC"/>
          </w:tcPr>
          <w:p>
            <w:pPr>
              <w:spacing w:after="0"/>
              <w:rPr>
                <w:sz w:val="18"/>
                <w:szCs w:val="18"/>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b w:val="1"/>
                <w:bCs w:val="1"/>
                <w:color w:val="auto"/>
              </w:rPr>
              <w:t>COST OF REVENUES</w:t>
            </w:r>
          </w:p>
        </w:tc>
        <w:tc>
          <w:tcPr>
            <w:tcW w:w="720" w:type="dxa"/>
            <w:vAlign w:val="bottom"/>
          </w:tcPr>
          <w:p>
            <w:pPr>
              <w:jc w:val="right"/>
              <w:spacing w:after="0"/>
              <w:rPr>
                <w:sz w:val="20"/>
                <w:szCs w:val="20"/>
                <w:color w:val="auto"/>
              </w:rPr>
            </w:pPr>
            <w:r>
              <w:rPr>
                <w:rFonts w:ascii="Arial" w:cs="Arial" w:eastAsia="Arial" w:hAnsi="Arial"/>
                <w:sz w:val="17"/>
                <w:szCs w:val="17"/>
                <w:color w:val="auto"/>
              </w:rPr>
              <w:t>14d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(22,622)</w:t>
            </w: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(25,571)</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(7,346)</w:t>
            </w:r>
          </w:p>
        </w:tc>
      </w:tr>
      <w:tr>
        <w:trPr>
          <w:trHeight w:val="20"/>
        </w:trPr>
        <w:tc>
          <w:tcPr>
            <w:tcW w:w="3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34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GROSS PROFIT</w:t>
            </w:r>
          </w:p>
        </w:tc>
        <w:tc>
          <w:tcPr>
            <w:tcW w:w="7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41,287</w:t>
            </w:r>
          </w:p>
        </w:tc>
        <w:tc>
          <w:tcPr>
            <w:tcW w:w="160" w:type="dxa"/>
            <w:vAlign w:val="bottom"/>
            <w:tcBorders>
              <w:right w:val="single" w:sz="8" w:color="CCFFCC"/>
            </w:tcBorders>
            <w:shd w:val="clear" w:color="auto" w:fill="CCFFCC"/>
          </w:tcPr>
          <w:p>
            <w:pPr>
              <w:spacing w:after="0"/>
              <w:rPr>
                <w:sz w:val="17"/>
                <w:szCs w:val="17"/>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87,589</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25,162</w:t>
            </w:r>
          </w:p>
        </w:tc>
        <w:tc>
          <w:tcPr>
            <w:tcW w:w="120" w:type="dxa"/>
            <w:vAlign w:val="bottom"/>
            <w:shd w:val="clear" w:color="auto" w:fill="CCFFCC"/>
          </w:tcPr>
          <w:p>
            <w:pPr>
              <w:spacing w:after="0"/>
              <w:rPr>
                <w:sz w:val="17"/>
                <w:szCs w:val="17"/>
                <w:color w:val="auto"/>
              </w:rPr>
            </w:pPr>
          </w:p>
        </w:tc>
      </w:tr>
      <w:tr>
        <w:trPr>
          <w:trHeight w:val="187"/>
        </w:trPr>
        <w:tc>
          <w:tcPr>
            <w:tcW w:w="3400" w:type="dxa"/>
            <w:vAlign w:val="bottom"/>
          </w:tcPr>
          <w:p>
            <w:pPr>
              <w:spacing w:after="0" w:line="188" w:lineRule="exact"/>
              <w:rPr>
                <w:sz w:val="20"/>
                <w:szCs w:val="20"/>
                <w:color w:val="auto"/>
              </w:rPr>
            </w:pPr>
            <w:r>
              <w:rPr>
                <w:rFonts w:ascii="Arial" w:cs="Arial" w:eastAsia="Arial" w:hAnsi="Arial"/>
                <w:sz w:val="17"/>
                <w:szCs w:val="17"/>
                <w:b w:val="1"/>
                <w:bCs w:val="1"/>
                <w:color w:val="auto"/>
              </w:rPr>
              <w:t>RESEARCH AND DEVELOPMENT</w:t>
            </w:r>
          </w:p>
        </w:tc>
        <w:tc>
          <w:tcPr>
            <w:tcW w:w="720" w:type="dxa"/>
            <w:vAlign w:val="bottom"/>
          </w:tcPr>
          <w:p>
            <w:pPr>
              <w:jc w:val="right"/>
              <w:spacing w:after="0" w:line="188" w:lineRule="exact"/>
              <w:rPr>
                <w:sz w:val="20"/>
                <w:szCs w:val="20"/>
                <w:color w:val="auto"/>
              </w:rPr>
            </w:pPr>
            <w:r>
              <w:rPr>
                <w:rFonts w:ascii="Arial" w:cs="Arial" w:eastAsia="Arial" w:hAnsi="Arial"/>
                <w:sz w:val="17"/>
                <w:szCs w:val="17"/>
                <w:color w:val="auto"/>
              </w:rPr>
              <w:t>14e</w:t>
            </w:r>
          </w:p>
        </w:tc>
        <w:tc>
          <w:tcPr>
            <w:tcW w:w="960" w:type="dxa"/>
            <w:vAlign w:val="bottom"/>
            <w:gridSpan w:val="4"/>
          </w:tcPr>
          <w:p>
            <w:pPr>
              <w:jc w:val="right"/>
              <w:ind w:right="40"/>
              <w:spacing w:after="0" w:line="188" w:lineRule="exact"/>
              <w:rPr>
                <w:sz w:val="20"/>
                <w:szCs w:val="20"/>
                <w:color w:val="auto"/>
              </w:rPr>
            </w:pPr>
            <w:r>
              <w:rPr>
                <w:rFonts w:ascii="Arial" w:cs="Arial" w:eastAsia="Arial" w:hAnsi="Arial"/>
                <w:sz w:val="17"/>
                <w:szCs w:val="17"/>
                <w:color w:val="auto"/>
              </w:rPr>
              <w:t>(106,156)</w:t>
            </w:r>
          </w:p>
        </w:tc>
        <w:tc>
          <w:tcPr>
            <w:tcW w:w="880" w:type="dxa"/>
            <w:vAlign w:val="bottom"/>
            <w:gridSpan w:val="3"/>
          </w:tcPr>
          <w:p>
            <w:pPr>
              <w:jc w:val="right"/>
              <w:ind w:right="40"/>
              <w:spacing w:after="0" w:line="188" w:lineRule="exact"/>
              <w:rPr>
                <w:sz w:val="20"/>
                <w:szCs w:val="20"/>
                <w:color w:val="auto"/>
              </w:rPr>
            </w:pPr>
            <w:r>
              <w:rPr>
                <w:rFonts w:ascii="Arial" w:cs="Arial" w:eastAsia="Arial" w:hAnsi="Arial"/>
                <w:sz w:val="17"/>
                <w:szCs w:val="17"/>
                <w:color w:val="auto"/>
              </w:rPr>
              <w:t>(90,302)</w:t>
            </w:r>
          </w:p>
        </w:tc>
        <w:tc>
          <w:tcPr>
            <w:tcW w:w="160" w:type="dxa"/>
            <w:vAlign w:val="bottom"/>
          </w:tcPr>
          <w:p>
            <w:pPr>
              <w:spacing w:after="0"/>
              <w:rPr>
                <w:sz w:val="16"/>
                <w:szCs w:val="16"/>
                <w:color w:val="auto"/>
              </w:rPr>
            </w:pPr>
          </w:p>
        </w:tc>
        <w:tc>
          <w:tcPr>
            <w:tcW w:w="720" w:type="dxa"/>
            <w:vAlign w:val="bottom"/>
            <w:gridSpan w:val="2"/>
          </w:tcPr>
          <w:p>
            <w:pPr>
              <w:jc w:val="right"/>
              <w:ind w:right="40"/>
              <w:spacing w:after="0" w:line="188" w:lineRule="exact"/>
              <w:rPr>
                <w:sz w:val="20"/>
                <w:szCs w:val="20"/>
                <w:color w:val="auto"/>
              </w:rPr>
            </w:pPr>
            <w:r>
              <w:rPr>
                <w:rFonts w:ascii="Arial" w:cs="Arial" w:eastAsia="Arial" w:hAnsi="Arial"/>
                <w:sz w:val="17"/>
                <w:szCs w:val="17"/>
                <w:color w:val="auto"/>
              </w:rPr>
              <w:t>(54,966)</w:t>
            </w:r>
          </w:p>
        </w:tc>
        <w:tc>
          <w:tcPr>
            <w:tcW w:w="980" w:type="dxa"/>
            <w:vAlign w:val="bottom"/>
            <w:gridSpan w:val="3"/>
          </w:tcPr>
          <w:p>
            <w:pPr>
              <w:jc w:val="right"/>
              <w:ind w:right="60"/>
              <w:spacing w:after="0" w:line="188" w:lineRule="exact"/>
              <w:rPr>
                <w:sz w:val="20"/>
                <w:szCs w:val="20"/>
                <w:color w:val="auto"/>
              </w:rPr>
            </w:pPr>
            <w:r>
              <w:rPr>
                <w:rFonts w:ascii="Arial" w:cs="Arial" w:eastAsia="Arial" w:hAnsi="Arial"/>
                <w:sz w:val="17"/>
                <w:szCs w:val="17"/>
                <w:color w:val="auto"/>
              </w:rPr>
              <w:t>(15,790)</w:t>
            </w:r>
          </w:p>
        </w:tc>
      </w:tr>
      <w:tr>
        <w:trPr>
          <w:trHeight w:val="223"/>
        </w:trPr>
        <w:tc>
          <w:tcPr>
            <w:tcW w:w="3400" w:type="dxa"/>
            <w:vAlign w:val="bottom"/>
          </w:tcPr>
          <w:p>
            <w:pPr>
              <w:ind w:left="180"/>
              <w:spacing w:after="0"/>
              <w:rPr>
                <w:sz w:val="20"/>
                <w:szCs w:val="20"/>
                <w:color w:val="auto"/>
              </w:rPr>
            </w:pPr>
            <w:r>
              <w:rPr>
                <w:rFonts w:ascii="Arial" w:cs="Arial" w:eastAsia="Arial" w:hAnsi="Arial"/>
                <w:sz w:val="17"/>
                <w:szCs w:val="17"/>
                <w:b w:val="1"/>
                <w:bCs w:val="1"/>
                <w:color w:val="auto"/>
              </w:rPr>
              <w:t>EXPENSES, NET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7"/>
        </w:trPr>
        <w:tc>
          <w:tcPr>
            <w:tcW w:w="34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SALES AND MARKETING EXPENSES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14f</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(3,085)</w:t>
            </w:r>
          </w:p>
        </w:tc>
        <w:tc>
          <w:tcPr>
            <w:tcW w:w="160" w:type="dxa"/>
            <w:vAlign w:val="bottom"/>
            <w:tcBorders>
              <w:right w:val="single" w:sz="8" w:color="CCFFCC"/>
            </w:tcBorders>
            <w:shd w:val="clear" w:color="auto" w:fill="CCFFCC"/>
          </w:tcPr>
          <w:p>
            <w:pPr>
              <w:spacing w:after="0"/>
              <w:rPr>
                <w:sz w:val="17"/>
                <w:szCs w:val="17"/>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(4,609)</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(1,324)</w:t>
            </w:r>
          </w:p>
        </w:tc>
      </w:tr>
      <w:tr>
        <w:trPr>
          <w:trHeight w:val="187"/>
        </w:trPr>
        <w:tc>
          <w:tcPr>
            <w:tcW w:w="3400" w:type="dxa"/>
            <w:vAlign w:val="bottom"/>
          </w:tcPr>
          <w:p>
            <w:pPr>
              <w:spacing w:after="0" w:line="188" w:lineRule="exact"/>
              <w:rPr>
                <w:sz w:val="20"/>
                <w:szCs w:val="20"/>
                <w:color w:val="auto"/>
              </w:rPr>
            </w:pPr>
            <w:r>
              <w:rPr>
                <w:rFonts w:ascii="Arial" w:cs="Arial" w:eastAsia="Arial" w:hAnsi="Arial"/>
                <w:sz w:val="17"/>
                <w:szCs w:val="17"/>
                <w:b w:val="1"/>
                <w:bCs w:val="1"/>
                <w:color w:val="auto"/>
              </w:rPr>
              <w:t>GENERAL AND ADMINISTRATIVE</w:t>
            </w:r>
          </w:p>
        </w:tc>
        <w:tc>
          <w:tcPr>
            <w:tcW w:w="720" w:type="dxa"/>
            <w:vAlign w:val="bottom"/>
          </w:tcPr>
          <w:p>
            <w:pPr>
              <w:jc w:val="right"/>
              <w:spacing w:after="0" w:line="188" w:lineRule="exact"/>
              <w:rPr>
                <w:sz w:val="20"/>
                <w:szCs w:val="20"/>
                <w:color w:val="auto"/>
              </w:rPr>
            </w:pPr>
            <w:r>
              <w:rPr>
                <w:rFonts w:ascii="Arial" w:cs="Arial" w:eastAsia="Arial" w:hAnsi="Arial"/>
                <w:sz w:val="17"/>
                <w:szCs w:val="17"/>
                <w:color w:val="auto"/>
              </w:rPr>
              <w:t>14g</w:t>
            </w:r>
          </w:p>
        </w:tc>
        <w:tc>
          <w:tcPr>
            <w:tcW w:w="960" w:type="dxa"/>
            <w:vAlign w:val="bottom"/>
            <w:gridSpan w:val="4"/>
          </w:tcPr>
          <w:p>
            <w:pPr>
              <w:jc w:val="right"/>
              <w:ind w:right="40"/>
              <w:spacing w:after="0" w:line="188" w:lineRule="exact"/>
              <w:rPr>
                <w:sz w:val="20"/>
                <w:szCs w:val="20"/>
                <w:color w:val="auto"/>
              </w:rPr>
            </w:pPr>
            <w:r>
              <w:rPr>
                <w:rFonts w:ascii="Arial" w:cs="Arial" w:eastAsia="Arial" w:hAnsi="Arial"/>
                <w:sz w:val="17"/>
                <w:szCs w:val="17"/>
                <w:color w:val="auto"/>
              </w:rPr>
              <w:t>(13,083)</w:t>
            </w:r>
          </w:p>
        </w:tc>
        <w:tc>
          <w:tcPr>
            <w:tcW w:w="880" w:type="dxa"/>
            <w:vAlign w:val="bottom"/>
            <w:gridSpan w:val="3"/>
          </w:tcPr>
          <w:p>
            <w:pPr>
              <w:jc w:val="right"/>
              <w:ind w:right="40"/>
              <w:spacing w:after="0" w:line="188" w:lineRule="exact"/>
              <w:rPr>
                <w:sz w:val="20"/>
                <w:szCs w:val="20"/>
                <w:color w:val="auto"/>
              </w:rPr>
            </w:pPr>
            <w:r>
              <w:rPr>
                <w:rFonts w:ascii="Arial" w:cs="Arial" w:eastAsia="Arial" w:hAnsi="Arial"/>
                <w:sz w:val="17"/>
                <w:szCs w:val="17"/>
                <w:color w:val="auto"/>
              </w:rPr>
              <w:t>(11,182)</w:t>
            </w:r>
          </w:p>
        </w:tc>
        <w:tc>
          <w:tcPr>
            <w:tcW w:w="160" w:type="dxa"/>
            <w:vAlign w:val="bottom"/>
          </w:tcPr>
          <w:p>
            <w:pPr>
              <w:spacing w:after="0"/>
              <w:rPr>
                <w:sz w:val="16"/>
                <w:szCs w:val="16"/>
                <w:color w:val="auto"/>
              </w:rPr>
            </w:pPr>
          </w:p>
        </w:tc>
        <w:tc>
          <w:tcPr>
            <w:tcW w:w="720" w:type="dxa"/>
            <w:vAlign w:val="bottom"/>
            <w:gridSpan w:val="2"/>
          </w:tcPr>
          <w:p>
            <w:pPr>
              <w:jc w:val="right"/>
              <w:ind w:right="40"/>
              <w:spacing w:after="0" w:line="188" w:lineRule="exact"/>
              <w:rPr>
                <w:sz w:val="20"/>
                <w:szCs w:val="20"/>
                <w:color w:val="auto"/>
              </w:rPr>
            </w:pPr>
            <w:r>
              <w:rPr>
                <w:rFonts w:ascii="Arial" w:cs="Arial" w:eastAsia="Arial" w:hAnsi="Arial"/>
                <w:sz w:val="17"/>
                <w:szCs w:val="17"/>
                <w:color w:val="auto"/>
              </w:rPr>
              <w:t>(14,875)</w:t>
            </w:r>
          </w:p>
        </w:tc>
        <w:tc>
          <w:tcPr>
            <w:tcW w:w="980" w:type="dxa"/>
            <w:vAlign w:val="bottom"/>
            <w:gridSpan w:val="3"/>
          </w:tcPr>
          <w:p>
            <w:pPr>
              <w:jc w:val="right"/>
              <w:ind w:right="60"/>
              <w:spacing w:after="0" w:line="188" w:lineRule="exact"/>
              <w:rPr>
                <w:sz w:val="20"/>
                <w:szCs w:val="20"/>
                <w:color w:val="auto"/>
              </w:rPr>
            </w:pPr>
            <w:r>
              <w:rPr>
                <w:rFonts w:ascii="Arial" w:cs="Arial" w:eastAsia="Arial" w:hAnsi="Arial"/>
                <w:sz w:val="17"/>
                <w:szCs w:val="17"/>
                <w:color w:val="auto"/>
              </w:rPr>
              <w:t>(4,273)</w:t>
            </w:r>
          </w:p>
        </w:tc>
      </w:tr>
      <w:tr>
        <w:trPr>
          <w:trHeight w:val="223"/>
        </w:trPr>
        <w:tc>
          <w:tcPr>
            <w:tcW w:w="3400" w:type="dxa"/>
            <w:vAlign w:val="bottom"/>
          </w:tcPr>
          <w:p>
            <w:pPr>
              <w:ind w:left="180"/>
              <w:spacing w:after="0"/>
              <w:rPr>
                <w:sz w:val="20"/>
                <w:szCs w:val="20"/>
                <w:color w:val="auto"/>
              </w:rPr>
            </w:pPr>
            <w:r>
              <w:rPr>
                <w:rFonts w:ascii="Arial" w:cs="Arial" w:eastAsia="Arial" w:hAnsi="Arial"/>
                <w:sz w:val="17"/>
                <w:szCs w:val="17"/>
                <w:b w:val="1"/>
                <w:bCs w:val="1"/>
                <w:color w:val="auto"/>
              </w:rPr>
              <w:t>EXPENSES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8"/>
        </w:trPr>
        <w:tc>
          <w:tcPr>
            <w:tcW w:w="3400" w:type="dxa"/>
            <w:vAlign w:val="bottom"/>
            <w:shd w:val="clear" w:color="auto" w:fill="CCFFCC"/>
          </w:tcPr>
          <w:p>
            <w:pPr>
              <w:spacing w:after="0" w:line="188" w:lineRule="exact"/>
              <w:rPr>
                <w:sz w:val="20"/>
                <w:szCs w:val="20"/>
                <w:color w:val="auto"/>
              </w:rPr>
            </w:pPr>
            <w:r>
              <w:rPr>
                <w:rFonts w:ascii="Arial" w:cs="Arial" w:eastAsia="Arial" w:hAnsi="Arial"/>
                <w:sz w:val="17"/>
                <w:szCs w:val="17"/>
                <w:b w:val="1"/>
                <w:bCs w:val="1"/>
                <w:color w:val="auto"/>
              </w:rPr>
              <w:t>GAIN ON ADJUSTMENT OF</w:t>
            </w:r>
          </w:p>
        </w:tc>
        <w:tc>
          <w:tcPr>
            <w:tcW w:w="72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color w:val="auto"/>
              </w:rPr>
              <w:t>2l</w:t>
            </w:r>
          </w:p>
        </w:tc>
        <w:tc>
          <w:tcPr>
            <w:tcW w:w="960" w:type="dxa"/>
            <w:vAlign w:val="bottom"/>
            <w:gridSpan w:val="4"/>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3,658</w:t>
            </w:r>
          </w:p>
        </w:tc>
        <w:tc>
          <w:tcPr>
            <w:tcW w:w="160" w:type="dxa"/>
            <w:vAlign w:val="bottom"/>
            <w:shd w:val="clear" w:color="auto" w:fill="CCFFCC"/>
          </w:tcPr>
          <w:p>
            <w:pPr>
              <w:spacing w:after="0"/>
              <w:rPr>
                <w:sz w:val="16"/>
                <w:szCs w:val="16"/>
                <w:color w:val="auto"/>
              </w:rPr>
            </w:pPr>
          </w:p>
        </w:tc>
        <w:tc>
          <w:tcPr>
            <w:tcW w:w="880" w:type="dxa"/>
            <w:vAlign w:val="bottom"/>
            <w:tcBorders>
              <w:right w:val="single" w:sz="8" w:color="CCFFCC"/>
            </w:tcBorders>
            <w:gridSpan w:val="3"/>
            <w:shd w:val="clear" w:color="auto" w:fill="CCFFCC"/>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r>
      <w:tr>
        <w:trPr>
          <w:trHeight w:val="223"/>
        </w:trPr>
        <w:tc>
          <w:tcPr>
            <w:tcW w:w="34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b w:val="1"/>
                <w:bCs w:val="1"/>
                <w:color w:val="auto"/>
              </w:rPr>
              <w:t>WARRANTS TO FAIR VALUE</w:t>
            </w:r>
          </w:p>
        </w:tc>
        <w:tc>
          <w:tcPr>
            <w:tcW w:w="7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600" w:type="dxa"/>
            <w:vAlign w:val="bottom"/>
            <w:tcBorders>
              <w:bottom w:val="single" w:sz="8" w:color="auto"/>
              <w:right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auto"/>
              <w:right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right w:val="single" w:sz="8" w:color="CCFFCC"/>
            </w:tcBorders>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r>
      <w:tr>
        <w:trPr>
          <w:trHeight w:val="199"/>
        </w:trPr>
        <w:tc>
          <w:tcPr>
            <w:tcW w:w="3400" w:type="dxa"/>
            <w:vAlign w:val="bottom"/>
          </w:tcPr>
          <w:p>
            <w:pPr>
              <w:spacing w:after="0"/>
              <w:rPr>
                <w:sz w:val="20"/>
                <w:szCs w:val="20"/>
                <w:color w:val="auto"/>
              </w:rPr>
            </w:pPr>
            <w:r>
              <w:rPr>
                <w:rFonts w:ascii="Arial" w:cs="Arial" w:eastAsia="Arial" w:hAnsi="Arial"/>
                <w:sz w:val="17"/>
                <w:szCs w:val="17"/>
                <w:b w:val="1"/>
                <w:bCs w:val="1"/>
                <w:color w:val="auto"/>
              </w:rPr>
              <w:t>OPERATING INCOME (LOSS)</w:t>
            </w:r>
          </w:p>
        </w:tc>
        <w:tc>
          <w:tcPr>
            <w:tcW w:w="720" w:type="dxa"/>
            <w:vAlign w:val="bottom"/>
          </w:tcPr>
          <w:p>
            <w:pPr>
              <w:spacing w:after="0"/>
              <w:rPr>
                <w:sz w:val="17"/>
                <w:szCs w:val="17"/>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7"/>
                <w:szCs w:val="17"/>
                <w:color w:val="auto"/>
              </w:rPr>
              <w:t>(115,581)</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(63,282)</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13,139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3,775</w:t>
            </w:r>
          </w:p>
        </w:tc>
        <w:tc>
          <w:tcPr>
            <w:tcW w:w="120" w:type="dxa"/>
            <w:vAlign w:val="bottom"/>
          </w:tcPr>
          <w:p>
            <w:pPr>
              <w:spacing w:after="0"/>
              <w:rPr>
                <w:sz w:val="17"/>
                <w:szCs w:val="17"/>
                <w:color w:val="auto"/>
              </w:rPr>
            </w:pPr>
          </w:p>
        </w:tc>
      </w:tr>
      <w:tr>
        <w:trPr>
          <w:trHeight w:val="206"/>
        </w:trPr>
        <w:tc>
          <w:tcPr>
            <w:tcW w:w="34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FINANCIAL INCOME</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14h</w:t>
            </w:r>
          </w:p>
        </w:tc>
        <w:tc>
          <w:tcPr>
            <w:tcW w:w="960" w:type="dxa"/>
            <w:vAlign w:val="bottom"/>
            <w:gridSpan w:val="4"/>
            <w:shd w:val="clear" w:color="auto" w:fill="CCFFCC"/>
          </w:tcPr>
          <w:p>
            <w:pPr>
              <w:jc w:val="right"/>
              <w:ind w:right="100"/>
              <w:spacing w:after="0"/>
              <w:rPr>
                <w:sz w:val="20"/>
                <w:szCs w:val="20"/>
                <w:color w:val="auto"/>
              </w:rPr>
            </w:pPr>
            <w:r>
              <w:rPr>
                <w:rFonts w:ascii="Arial" w:cs="Arial" w:eastAsia="Arial" w:hAnsi="Arial"/>
                <w:sz w:val="17"/>
                <w:szCs w:val="17"/>
                <w:color w:val="auto"/>
              </w:rPr>
              <w:t>13,001</w:t>
            </w:r>
          </w:p>
        </w:tc>
        <w:tc>
          <w:tcPr>
            <w:tcW w:w="8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3,928</w:t>
            </w:r>
          </w:p>
        </w:tc>
        <w:tc>
          <w:tcPr>
            <w:tcW w:w="160" w:type="dxa"/>
            <w:vAlign w:val="bottom"/>
            <w:tcBorders>
              <w:right w:val="single" w:sz="8" w:color="CCFFCC"/>
            </w:tcBorders>
            <w:shd w:val="clear" w:color="auto" w:fill="CCFFCC"/>
          </w:tcPr>
          <w:p>
            <w:pPr>
              <w:spacing w:after="0"/>
              <w:rPr>
                <w:sz w:val="17"/>
                <w:szCs w:val="17"/>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3,056</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877</w:t>
            </w:r>
          </w:p>
        </w:tc>
        <w:tc>
          <w:tcPr>
            <w:tcW w:w="120" w:type="dxa"/>
            <w:vAlign w:val="bottom"/>
            <w:shd w:val="clear" w:color="auto" w:fill="CCFFCC"/>
          </w:tcPr>
          <w:p>
            <w:pPr>
              <w:spacing w:after="0"/>
              <w:rPr>
                <w:sz w:val="17"/>
                <w:szCs w:val="17"/>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7"/>
                <w:szCs w:val="17"/>
                <w:b w:val="1"/>
                <w:bCs w:val="1"/>
                <w:color w:val="auto"/>
              </w:rPr>
              <w:t>FINANCIAL EXPENSES</w:t>
            </w:r>
          </w:p>
        </w:tc>
        <w:tc>
          <w:tcPr>
            <w:tcW w:w="720" w:type="dxa"/>
            <w:vAlign w:val="bottom"/>
          </w:tcPr>
          <w:p>
            <w:pPr>
              <w:jc w:val="right"/>
              <w:spacing w:after="0"/>
              <w:rPr>
                <w:sz w:val="20"/>
                <w:szCs w:val="20"/>
                <w:color w:val="auto"/>
              </w:rPr>
            </w:pPr>
            <w:r>
              <w:rPr>
                <w:rFonts w:ascii="Arial" w:cs="Arial" w:eastAsia="Arial" w:hAnsi="Arial"/>
                <w:sz w:val="17"/>
                <w:szCs w:val="17"/>
                <w:color w:val="auto"/>
              </w:rPr>
              <w:t>14i</w:t>
            </w:r>
          </w:p>
        </w:tc>
        <w:tc>
          <w:tcPr>
            <w:tcW w:w="1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(12,269)</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(2,164)</w:t>
            </w: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(8,755)</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(2,515)</w:t>
            </w:r>
          </w:p>
        </w:tc>
      </w:tr>
      <w:tr>
        <w:trPr>
          <w:trHeight w:val="20"/>
        </w:trPr>
        <w:tc>
          <w:tcPr>
            <w:tcW w:w="3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3400" w:type="dxa"/>
            <w:vAlign w:val="bottom"/>
            <w:shd w:val="clear" w:color="auto" w:fill="CCFFCC"/>
          </w:tcPr>
          <w:p>
            <w:pPr>
              <w:spacing w:after="0" w:line="180" w:lineRule="exact"/>
              <w:rPr>
                <w:sz w:val="20"/>
                <w:szCs w:val="20"/>
                <w:color w:val="auto"/>
              </w:rPr>
            </w:pPr>
            <w:r>
              <w:rPr>
                <w:rFonts w:ascii="Arial" w:cs="Arial" w:eastAsia="Arial" w:hAnsi="Arial"/>
                <w:sz w:val="17"/>
                <w:szCs w:val="17"/>
                <w:b w:val="1"/>
                <w:bCs w:val="1"/>
                <w:color w:val="auto"/>
              </w:rPr>
              <w:t>NET INCOME (LOSS) AND</w:t>
            </w:r>
          </w:p>
        </w:tc>
        <w:tc>
          <w:tcPr>
            <w:tcW w:w="7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00" w:type="dxa"/>
            <w:vAlign w:val="bottom"/>
            <w:gridSpan w:val="3"/>
            <w:shd w:val="clear" w:color="auto" w:fill="CCFFCC"/>
          </w:tcPr>
          <w:p>
            <w:pPr>
              <w:jc w:val="right"/>
              <w:ind w:right="40"/>
              <w:spacing w:after="0" w:line="180" w:lineRule="exact"/>
              <w:rPr>
                <w:sz w:val="20"/>
                <w:szCs w:val="20"/>
                <w:color w:val="auto"/>
              </w:rPr>
            </w:pPr>
            <w:r>
              <w:rPr>
                <w:rFonts w:ascii="Arial" w:cs="Arial" w:eastAsia="Arial" w:hAnsi="Arial"/>
                <w:sz w:val="17"/>
                <w:szCs w:val="17"/>
                <w:color w:val="auto"/>
              </w:rPr>
              <w:t>(114,849)</w:t>
            </w:r>
          </w:p>
        </w:tc>
        <w:tc>
          <w:tcPr>
            <w:tcW w:w="880" w:type="dxa"/>
            <w:vAlign w:val="bottom"/>
            <w:gridSpan w:val="3"/>
            <w:shd w:val="clear" w:color="auto" w:fill="CCFFCC"/>
          </w:tcPr>
          <w:p>
            <w:pPr>
              <w:jc w:val="right"/>
              <w:ind w:right="40"/>
              <w:spacing w:after="0" w:line="180" w:lineRule="exact"/>
              <w:rPr>
                <w:sz w:val="20"/>
                <w:szCs w:val="20"/>
                <w:color w:val="auto"/>
              </w:rPr>
            </w:pPr>
            <w:r>
              <w:rPr>
                <w:rFonts w:ascii="Arial" w:cs="Arial" w:eastAsia="Arial" w:hAnsi="Arial"/>
                <w:sz w:val="17"/>
                <w:szCs w:val="17"/>
                <w:color w:val="auto"/>
              </w:rPr>
              <w:t>(61,518)</w:t>
            </w:r>
          </w:p>
        </w:tc>
        <w:tc>
          <w:tcPr>
            <w:tcW w:w="160" w:type="dxa"/>
            <w:vAlign w:val="bottom"/>
            <w:tcBorders>
              <w:right w:val="single" w:sz="8" w:color="CCFFCC"/>
            </w:tcBorders>
            <w:shd w:val="clear" w:color="auto" w:fill="CCFFCC"/>
          </w:tcPr>
          <w:p>
            <w:pPr>
              <w:spacing w:after="0"/>
              <w:rPr>
                <w:sz w:val="15"/>
                <w:szCs w:val="15"/>
                <w:color w:val="auto"/>
              </w:rPr>
            </w:pPr>
          </w:p>
        </w:tc>
        <w:tc>
          <w:tcPr>
            <w:tcW w:w="720" w:type="dxa"/>
            <w:vAlign w:val="bottom"/>
            <w:gridSpan w:val="2"/>
            <w:shd w:val="clear" w:color="auto" w:fill="CCFFCC"/>
          </w:tcPr>
          <w:p>
            <w:pPr>
              <w:jc w:val="right"/>
              <w:ind w:right="100"/>
              <w:spacing w:after="0" w:line="180" w:lineRule="exact"/>
              <w:rPr>
                <w:sz w:val="20"/>
                <w:szCs w:val="20"/>
                <w:color w:val="auto"/>
              </w:rPr>
            </w:pPr>
            <w:r>
              <w:rPr>
                <w:rFonts w:ascii="Arial" w:cs="Arial" w:eastAsia="Arial" w:hAnsi="Arial"/>
                <w:sz w:val="17"/>
                <w:szCs w:val="17"/>
                <w:color w:val="auto"/>
              </w:rPr>
              <w:t>7,440</w:t>
            </w:r>
          </w:p>
        </w:tc>
        <w:tc>
          <w:tcPr>
            <w:tcW w:w="860" w:type="dxa"/>
            <w:vAlign w:val="bottom"/>
            <w:gridSpan w:val="2"/>
            <w:shd w:val="clear" w:color="auto" w:fill="CCFFCC"/>
          </w:tcPr>
          <w:p>
            <w:pPr>
              <w:jc w:val="right"/>
              <w:spacing w:after="0" w:line="180" w:lineRule="exact"/>
              <w:rPr>
                <w:sz w:val="20"/>
                <w:szCs w:val="20"/>
                <w:color w:val="auto"/>
              </w:rPr>
            </w:pPr>
            <w:r>
              <w:rPr>
                <w:rFonts w:ascii="Arial" w:cs="Arial" w:eastAsia="Arial" w:hAnsi="Arial"/>
                <w:sz w:val="17"/>
                <w:szCs w:val="17"/>
                <w:color w:val="auto"/>
              </w:rPr>
              <w:t>2,137</w:t>
            </w:r>
          </w:p>
        </w:tc>
        <w:tc>
          <w:tcPr>
            <w:tcW w:w="120" w:type="dxa"/>
            <w:vAlign w:val="bottom"/>
            <w:shd w:val="clear" w:color="auto" w:fill="CCFFCC"/>
          </w:tcPr>
          <w:p>
            <w:pPr>
              <w:spacing w:after="0"/>
              <w:rPr>
                <w:sz w:val="15"/>
                <w:szCs w:val="15"/>
                <w:color w:val="auto"/>
              </w:rPr>
            </w:pPr>
          </w:p>
        </w:tc>
      </w:tr>
      <w:tr>
        <w:trPr>
          <w:trHeight w:val="206"/>
        </w:trPr>
        <w:tc>
          <w:tcPr>
            <w:tcW w:w="3400" w:type="dxa"/>
            <w:vAlign w:val="bottom"/>
            <w:shd w:val="clear" w:color="auto" w:fill="CCFFCC"/>
          </w:tcPr>
          <w:p>
            <w:pPr>
              <w:ind w:left="180"/>
              <w:spacing w:after="0"/>
              <w:rPr>
                <w:sz w:val="20"/>
                <w:szCs w:val="20"/>
                <w:color w:val="auto"/>
              </w:rPr>
            </w:pPr>
            <w:r>
              <w:rPr>
                <w:rFonts w:ascii="Arial" w:cs="Arial" w:eastAsia="Arial" w:hAnsi="Arial"/>
                <w:sz w:val="17"/>
                <w:szCs w:val="17"/>
                <w:b w:val="1"/>
                <w:bCs w:val="1"/>
                <w:color w:val="auto"/>
              </w:rPr>
              <w:t>COMPREHENSIVE INCOME (LOSS)</w:t>
            </w:r>
          </w:p>
        </w:tc>
        <w:tc>
          <w:tcPr>
            <w:tcW w:w="7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0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63"/>
        </w:trPr>
        <w:tc>
          <w:tcPr>
            <w:tcW w:w="34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b w:val="1"/>
                <w:bCs w:val="1"/>
                <w:color w:val="auto"/>
              </w:rPr>
              <w:t>FOR THE YEAR</w:t>
            </w:r>
          </w:p>
        </w:tc>
        <w:tc>
          <w:tcPr>
            <w:tcW w:w="7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00" w:type="dxa"/>
            <w:vAlign w:val="bottom"/>
            <w:tcBorders>
              <w:bottom w:val="single" w:sz="8" w:color="auto"/>
              <w:right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620" w:type="dxa"/>
            <w:vAlign w:val="bottom"/>
            <w:tcBorders>
              <w:bottom w:val="single" w:sz="8" w:color="auto"/>
              <w:right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right w:val="single" w:sz="8" w:color="CCFFCC"/>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r>
      <w:tr>
        <w:trPr>
          <w:trHeight w:val="185"/>
        </w:trPr>
        <w:tc>
          <w:tcPr>
            <w:tcW w:w="3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NIS</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USD</w:t>
            </w:r>
          </w:p>
        </w:tc>
      </w:tr>
      <w:tr>
        <w:trPr>
          <w:trHeight w:val="180"/>
        </w:trPr>
        <w:tc>
          <w:tcPr>
            <w:tcW w:w="3400" w:type="dxa"/>
            <w:vAlign w:val="bottom"/>
            <w:shd w:val="clear" w:color="auto" w:fill="CCFFCC"/>
          </w:tcPr>
          <w:p>
            <w:pPr>
              <w:spacing w:after="0" w:line="180" w:lineRule="exact"/>
              <w:rPr>
                <w:sz w:val="20"/>
                <w:szCs w:val="20"/>
                <w:color w:val="auto"/>
              </w:rPr>
            </w:pPr>
            <w:r>
              <w:rPr>
                <w:rFonts w:ascii="Arial" w:cs="Arial" w:eastAsia="Arial" w:hAnsi="Arial"/>
                <w:sz w:val="17"/>
                <w:szCs w:val="17"/>
                <w:b w:val="1"/>
                <w:bCs w:val="1"/>
                <w:color w:val="auto"/>
              </w:rPr>
              <w:t>EARNINGS (LOSS) PER ORDINARY</w:t>
            </w:r>
          </w:p>
        </w:tc>
        <w:tc>
          <w:tcPr>
            <w:tcW w:w="720" w:type="dxa"/>
            <w:vAlign w:val="bottom"/>
            <w:shd w:val="clear" w:color="auto" w:fill="CCFFCC"/>
          </w:tcPr>
          <w:p>
            <w:pPr>
              <w:jc w:val="right"/>
              <w:spacing w:after="0" w:line="180" w:lineRule="exact"/>
              <w:rPr>
                <w:sz w:val="20"/>
                <w:szCs w:val="20"/>
                <w:color w:val="auto"/>
              </w:rPr>
            </w:pPr>
            <w:r>
              <w:rPr>
                <w:rFonts w:ascii="Arial" w:cs="Arial" w:eastAsia="Arial" w:hAnsi="Arial"/>
                <w:sz w:val="17"/>
                <w:szCs w:val="17"/>
                <w:color w:val="auto"/>
              </w:rPr>
              <w:t>11</w:t>
            </w:r>
          </w:p>
        </w:tc>
        <w:tc>
          <w:tcPr>
            <w:tcW w:w="960" w:type="dxa"/>
            <w:vAlign w:val="bottom"/>
            <w:gridSpan w:val="4"/>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(1.44)</w:t>
            </w:r>
          </w:p>
        </w:tc>
        <w:tc>
          <w:tcPr>
            <w:tcW w:w="880" w:type="dxa"/>
            <w:vAlign w:val="bottom"/>
            <w:gridSpan w:val="3"/>
            <w:shd w:val="clear" w:color="auto" w:fill="CCFFCC"/>
          </w:tcPr>
          <w:p>
            <w:pPr>
              <w:ind w:left="380"/>
              <w:spacing w:after="0" w:line="180" w:lineRule="exact"/>
              <w:rPr>
                <w:sz w:val="20"/>
                <w:szCs w:val="20"/>
                <w:color w:val="auto"/>
              </w:rPr>
            </w:pPr>
            <w:r>
              <w:rPr>
                <w:rFonts w:ascii="Arial" w:cs="Arial" w:eastAsia="Arial" w:hAnsi="Arial"/>
                <w:sz w:val="17"/>
                <w:szCs w:val="17"/>
                <w:color w:val="auto"/>
              </w:rPr>
              <w:t>(0.63)</w:t>
            </w:r>
          </w:p>
        </w:tc>
        <w:tc>
          <w:tcPr>
            <w:tcW w:w="160" w:type="dxa"/>
            <w:vAlign w:val="bottom"/>
            <w:tcBorders>
              <w:right w:val="single" w:sz="8" w:color="CCFFCC"/>
            </w:tcBorders>
            <w:shd w:val="clear" w:color="auto" w:fill="CCFFCC"/>
          </w:tcPr>
          <w:p>
            <w:pPr>
              <w:spacing w:after="0"/>
              <w:rPr>
                <w:sz w:val="15"/>
                <w:szCs w:val="15"/>
                <w:color w:val="auto"/>
              </w:rPr>
            </w:pPr>
          </w:p>
        </w:tc>
        <w:tc>
          <w:tcPr>
            <w:tcW w:w="720" w:type="dxa"/>
            <w:vAlign w:val="bottom"/>
            <w:gridSpan w:val="2"/>
            <w:shd w:val="clear" w:color="auto" w:fill="CCFFCC"/>
          </w:tcPr>
          <w:p>
            <w:pPr>
              <w:jc w:val="right"/>
              <w:ind w:right="100"/>
              <w:spacing w:after="0" w:line="180" w:lineRule="exact"/>
              <w:rPr>
                <w:sz w:val="20"/>
                <w:szCs w:val="20"/>
                <w:color w:val="auto"/>
              </w:rPr>
            </w:pPr>
            <w:r>
              <w:rPr>
                <w:rFonts w:ascii="Arial" w:cs="Arial" w:eastAsia="Arial" w:hAnsi="Arial"/>
                <w:sz w:val="17"/>
                <w:szCs w:val="17"/>
                <w:color w:val="auto"/>
              </w:rPr>
              <w:t>0.06</w:t>
            </w:r>
          </w:p>
        </w:tc>
        <w:tc>
          <w:tcPr>
            <w:tcW w:w="980" w:type="dxa"/>
            <w:vAlign w:val="bottom"/>
            <w:gridSpan w:val="3"/>
            <w:shd w:val="clear" w:color="auto" w:fill="CCFFCC"/>
          </w:tcPr>
          <w:p>
            <w:pPr>
              <w:jc w:val="right"/>
              <w:ind w:right="120"/>
              <w:spacing w:after="0" w:line="180" w:lineRule="exact"/>
              <w:rPr>
                <w:sz w:val="20"/>
                <w:szCs w:val="20"/>
                <w:color w:val="auto"/>
              </w:rPr>
            </w:pPr>
            <w:r>
              <w:rPr>
                <w:rFonts w:ascii="Arial" w:cs="Arial" w:eastAsia="Arial" w:hAnsi="Arial"/>
                <w:sz w:val="17"/>
                <w:szCs w:val="17"/>
                <w:color w:val="auto"/>
              </w:rPr>
              <w:t>0.02</w:t>
            </w:r>
          </w:p>
        </w:tc>
      </w:tr>
      <w:tr>
        <w:trPr>
          <w:trHeight w:val="263"/>
        </w:trPr>
        <w:tc>
          <w:tcPr>
            <w:tcW w:w="34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b w:val="1"/>
                <w:bCs w:val="1"/>
                <w:color w:val="auto"/>
              </w:rPr>
              <w:t>SHARE – BASIC</w:t>
            </w:r>
          </w:p>
        </w:tc>
        <w:tc>
          <w:tcPr>
            <w:tcW w:w="7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600" w:type="dxa"/>
            <w:vAlign w:val="bottom"/>
            <w:tcBorders>
              <w:bottom w:val="single" w:sz="8" w:color="auto"/>
              <w:right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620" w:type="dxa"/>
            <w:vAlign w:val="bottom"/>
            <w:tcBorders>
              <w:bottom w:val="single" w:sz="8" w:color="auto"/>
              <w:right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right w:val="single" w:sz="8" w:color="CCFFCC"/>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r>
      <w:tr>
        <w:trPr>
          <w:trHeight w:val="180"/>
        </w:trPr>
        <w:tc>
          <w:tcPr>
            <w:tcW w:w="3400" w:type="dxa"/>
            <w:vAlign w:val="bottom"/>
          </w:tcPr>
          <w:p>
            <w:pPr>
              <w:spacing w:after="0" w:line="180" w:lineRule="exact"/>
              <w:rPr>
                <w:sz w:val="20"/>
                <w:szCs w:val="20"/>
                <w:color w:val="auto"/>
              </w:rPr>
            </w:pPr>
            <w:r>
              <w:rPr>
                <w:rFonts w:ascii="Arial" w:cs="Arial" w:eastAsia="Arial" w:hAnsi="Arial"/>
                <w:sz w:val="17"/>
                <w:szCs w:val="17"/>
                <w:b w:val="1"/>
                <w:bCs w:val="1"/>
                <w:color w:val="auto"/>
              </w:rPr>
              <w:t>EARNINGS PER ORDINARY SHARE –</w:t>
            </w:r>
          </w:p>
        </w:tc>
        <w:tc>
          <w:tcPr>
            <w:tcW w:w="720" w:type="dxa"/>
            <w:vAlign w:val="bottom"/>
          </w:tcPr>
          <w:p>
            <w:pPr>
              <w:jc w:val="right"/>
              <w:spacing w:after="0" w:line="180"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80" w:type="dxa"/>
            <w:vAlign w:val="bottom"/>
            <w:gridSpan w:val="3"/>
          </w:tcPr>
          <w:p>
            <w:pPr>
              <w:ind w:left="400"/>
              <w:spacing w:after="0" w:line="180"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0.06</w:t>
            </w:r>
          </w:p>
        </w:tc>
        <w:tc>
          <w:tcPr>
            <w:tcW w:w="980" w:type="dxa"/>
            <w:vAlign w:val="bottom"/>
            <w:gridSpan w:val="3"/>
          </w:tcPr>
          <w:p>
            <w:pPr>
              <w:jc w:val="right"/>
              <w:ind w:right="120"/>
              <w:spacing w:after="0" w:line="180" w:lineRule="exact"/>
              <w:rPr>
                <w:sz w:val="20"/>
                <w:szCs w:val="20"/>
                <w:color w:val="auto"/>
              </w:rPr>
            </w:pPr>
            <w:r>
              <w:rPr>
                <w:rFonts w:ascii="Arial" w:cs="Arial" w:eastAsia="Arial" w:hAnsi="Arial"/>
                <w:sz w:val="17"/>
                <w:szCs w:val="17"/>
                <w:color w:val="auto"/>
              </w:rPr>
              <w:t>0.02</w:t>
            </w:r>
          </w:p>
        </w:tc>
      </w:tr>
      <w:tr>
        <w:trPr>
          <w:trHeight w:val="223"/>
        </w:trPr>
        <w:tc>
          <w:tcPr>
            <w:tcW w:w="3400" w:type="dxa"/>
            <w:vAlign w:val="bottom"/>
          </w:tcPr>
          <w:p>
            <w:pPr>
              <w:ind w:left="220"/>
              <w:spacing w:after="0"/>
              <w:rPr>
                <w:sz w:val="20"/>
                <w:szCs w:val="20"/>
                <w:color w:val="auto"/>
              </w:rPr>
            </w:pPr>
            <w:r>
              <w:rPr>
                <w:rFonts w:ascii="Arial" w:cs="Arial" w:eastAsia="Arial" w:hAnsi="Arial"/>
                <w:sz w:val="17"/>
                <w:szCs w:val="17"/>
                <w:b w:val="1"/>
                <w:bCs w:val="1"/>
                <w:color w:val="auto"/>
              </w:rPr>
              <w:t>DILUTED</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-1551305</wp:posOffset>
            </wp:positionV>
            <wp:extent cx="4966335" cy="1390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-750570</wp:posOffset>
            </wp:positionV>
            <wp:extent cx="4966335"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66335"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-326390</wp:posOffset>
            </wp:positionV>
            <wp:extent cx="4966335" cy="3270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66335" cy="3270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-791845</wp:posOffset>
            </wp:positionV>
            <wp:extent cx="49663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57829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57829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Ordinary</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9"/>
              </w:rPr>
              <w:t>shares</w:t>
            </w:r>
          </w:p>
        </w:tc>
        <w:tc>
          <w:tcPr>
            <w:tcW w:w="2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w:t>
            </w:r>
          </w:p>
        </w:tc>
        <w:tc>
          <w:tcPr>
            <w:tcW w:w="2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Reserve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BALANCE AT JANUARY 1, 2008</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color w:val="auto"/>
              </w:rPr>
              <w:t>NIS in thousands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40" w:type="dxa"/>
            <w:vAlign w:val="bottom"/>
            <w:gridSpan w:val="3"/>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307,658</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23,926</w:t>
            </w: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(148,956)</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183,253</w:t>
            </w:r>
          </w:p>
        </w:tc>
        <w:tc>
          <w:tcPr>
            <w:tcW w:w="0" w:type="dxa"/>
            <w:vAlign w:val="bottom"/>
          </w:tcPr>
          <w:p>
            <w:pPr>
              <w:spacing w:after="0"/>
              <w:rPr>
                <w:sz w:val="1"/>
                <w:szCs w:val="1"/>
                <w:color w:val="auto"/>
              </w:rPr>
            </w:pPr>
          </w:p>
        </w:tc>
      </w:tr>
      <w:tr>
        <w:trPr>
          <w:trHeight w:val="207"/>
        </w:trPr>
        <w:tc>
          <w:tcPr>
            <w:tcW w:w="3340" w:type="dxa"/>
            <w:vAlign w:val="bottom"/>
            <w:gridSpan w:val="3"/>
            <w:shd w:val="clear" w:color="auto" w:fill="CCFFCC"/>
          </w:tcPr>
          <w:p>
            <w:pPr>
              <w:spacing w:after="0"/>
              <w:rPr>
                <w:sz w:val="20"/>
                <w:szCs w:val="20"/>
                <w:color w:val="auto"/>
              </w:rPr>
            </w:pPr>
            <w:r>
              <w:rPr>
                <w:rFonts w:ascii="Arial" w:cs="Arial" w:eastAsia="Arial" w:hAnsi="Arial"/>
                <w:sz w:val="17"/>
                <w:szCs w:val="17"/>
                <w:b w:val="1"/>
                <w:bCs w:val="1"/>
                <w:color w:val="auto"/>
              </w:rPr>
              <w:t>CHANGES IN 2008:</w:t>
            </w: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Warrants reclassified from liabilities to</w:t>
            </w: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947</w:t>
            </w:r>
          </w:p>
        </w:tc>
        <w:tc>
          <w:tcPr>
            <w:tcW w:w="1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7"/>
                <w:szCs w:val="17"/>
                <w:color w:val="auto"/>
              </w:rPr>
              <w:t>equity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Share-based compensation</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9,035</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9,035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Comprehensive loss for the year</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(114,849)</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(114,849)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gridSpan w:val="3"/>
            <w:shd w:val="clear" w:color="auto" w:fill="CCFFCC"/>
          </w:tcPr>
          <w:p>
            <w:pPr>
              <w:spacing w:after="0"/>
              <w:rPr>
                <w:sz w:val="20"/>
                <w:szCs w:val="20"/>
                <w:color w:val="auto"/>
              </w:rPr>
            </w:pPr>
            <w:r>
              <w:rPr>
                <w:rFonts w:ascii="Arial" w:cs="Arial" w:eastAsia="Arial" w:hAnsi="Arial"/>
                <w:sz w:val="17"/>
                <w:szCs w:val="17"/>
                <w:b w:val="1"/>
                <w:bCs w:val="1"/>
                <w:color w:val="auto"/>
              </w:rPr>
              <w:t>BALANCE AT DECEMBER 31, 2008</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947</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307,658</w:t>
            </w:r>
          </w:p>
        </w:tc>
        <w:tc>
          <w:tcPr>
            <w:tcW w:w="102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32,961</w:t>
            </w:r>
          </w:p>
        </w:tc>
        <w:tc>
          <w:tcPr>
            <w:tcW w:w="98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(263,805)</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78,386</w:t>
            </w:r>
          </w:p>
        </w:tc>
        <w:tc>
          <w:tcPr>
            <w:tcW w:w="0" w:type="dxa"/>
            <w:vAlign w:val="bottom"/>
          </w:tcPr>
          <w:p>
            <w:pPr>
              <w:spacing w:after="0"/>
              <w:rPr>
                <w:sz w:val="1"/>
                <w:szCs w:val="1"/>
                <w:color w:val="auto"/>
              </w:rPr>
            </w:pPr>
          </w:p>
        </w:tc>
      </w:tr>
      <w:tr>
        <w:trPr>
          <w:trHeight w:val="206"/>
        </w:trPr>
        <w:tc>
          <w:tcPr>
            <w:tcW w:w="3340" w:type="dxa"/>
            <w:vAlign w:val="bottom"/>
            <w:gridSpan w:val="3"/>
          </w:tcPr>
          <w:p>
            <w:pPr>
              <w:spacing w:after="0"/>
              <w:rPr>
                <w:sz w:val="20"/>
                <w:szCs w:val="20"/>
                <w:color w:val="auto"/>
              </w:rPr>
            </w:pPr>
            <w:r>
              <w:rPr>
                <w:rFonts w:ascii="Arial" w:cs="Arial" w:eastAsia="Arial" w:hAnsi="Arial"/>
                <w:sz w:val="17"/>
                <w:szCs w:val="17"/>
                <w:b w:val="1"/>
                <w:bCs w:val="1"/>
                <w:color w:val="auto"/>
              </w:rPr>
              <w:t>CHANGES IN 2009:</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Exercise of warrants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7"/>
                <w:szCs w:val="17"/>
                <w:color w:val="auto"/>
              </w:rPr>
            </w:pPr>
          </w:p>
        </w:tc>
        <w:tc>
          <w:tcPr>
            <w:tcW w:w="9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200" w:type="dxa"/>
            <w:vAlign w:val="bottom"/>
            <w:tcBorders>
              <w:lef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Expiration of warrants</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(947)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947</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Employee stock options exercised</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13,143</w:t>
            </w:r>
          </w:p>
        </w:tc>
        <w:tc>
          <w:tcPr>
            <w:tcW w:w="10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(13,057)</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Employee stock options expired</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340</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6"/>
              </w:rPr>
              <w:t>Issuance of share capital and warrants, net</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CCFFCC"/>
          </w:tcPr>
          <w:p>
            <w:pPr>
              <w:spacing w:after="0"/>
              <w:rPr>
                <w:sz w:val="17"/>
                <w:szCs w:val="17"/>
                <w:color w:val="auto"/>
              </w:rPr>
            </w:pPr>
          </w:p>
        </w:tc>
        <w:tc>
          <w:tcPr>
            <w:tcW w:w="9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6,549</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90,422</w:t>
            </w:r>
          </w:p>
        </w:tc>
        <w:tc>
          <w:tcPr>
            <w:tcW w:w="200" w:type="dxa"/>
            <w:vAlign w:val="bottom"/>
            <w:tcBorders>
              <w:lef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97,551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3,399</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3,399</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Comprehensive loss for the year</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(61,518)</w:t>
            </w:r>
          </w:p>
        </w:tc>
        <w:tc>
          <w:tcPr>
            <w:tcW w:w="10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(61,518)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24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gridSpan w:val="3"/>
          </w:tcPr>
          <w:p>
            <w:pPr>
              <w:spacing w:after="0"/>
              <w:rPr>
                <w:sz w:val="20"/>
                <w:szCs w:val="20"/>
                <w:color w:val="auto"/>
              </w:rPr>
            </w:pPr>
            <w:r>
              <w:rPr>
                <w:rFonts w:ascii="Arial" w:cs="Arial" w:eastAsia="Arial" w:hAnsi="Arial"/>
                <w:sz w:val="17"/>
                <w:szCs w:val="17"/>
                <w:b w:val="1"/>
                <w:bCs w:val="1"/>
                <w:color w:val="auto"/>
              </w:rPr>
              <w:t>BALANCE AT DECEMBER 31, 2009</w:t>
            </w:r>
          </w:p>
        </w:tc>
        <w:tc>
          <w:tcPr>
            <w:tcW w:w="720" w:type="dxa"/>
            <w:vAlign w:val="bottom"/>
          </w:tcPr>
          <w:p>
            <w:pPr>
              <w:jc w:val="right"/>
              <w:spacing w:after="0"/>
              <w:rPr>
                <w:sz w:val="20"/>
                <w:szCs w:val="20"/>
                <w:color w:val="auto"/>
              </w:rPr>
            </w:pPr>
            <w:r>
              <w:rPr>
                <w:rFonts w:ascii="Arial" w:cs="Arial" w:eastAsia="Arial" w:hAnsi="Arial"/>
                <w:sz w:val="17"/>
                <w:szCs w:val="17"/>
                <w:color w:val="auto"/>
              </w:rPr>
              <w:t>1,235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6,549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412,513</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22,963</w:t>
            </w: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(325,323)</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117,937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3"/>
            <w:shd w:val="clear" w:color="auto" w:fill="CCFFCC"/>
          </w:tcPr>
          <w:p>
            <w:pPr>
              <w:spacing w:after="0"/>
              <w:rPr>
                <w:sz w:val="20"/>
                <w:szCs w:val="20"/>
                <w:color w:val="auto"/>
              </w:rPr>
            </w:pPr>
            <w:r>
              <w:rPr>
                <w:rFonts w:ascii="Arial" w:cs="Arial" w:eastAsia="Arial" w:hAnsi="Arial"/>
                <w:sz w:val="17"/>
                <w:szCs w:val="17"/>
                <w:b w:val="1"/>
                <w:bCs w:val="1"/>
                <w:color w:val="auto"/>
              </w:rPr>
              <w:t>CHANGES IN 2010:</w:t>
            </w: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Employee stock options exercised</w:t>
            </w: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1020" w:type="dxa"/>
            <w:vAlign w:val="bottom"/>
            <w:gridSpan w:val="3"/>
          </w:tcPr>
          <w:p>
            <w:pPr>
              <w:jc w:val="right"/>
              <w:ind w:right="60"/>
              <w:spacing w:after="0"/>
              <w:rPr>
                <w:sz w:val="20"/>
                <w:szCs w:val="20"/>
                <w:color w:val="auto"/>
              </w:rPr>
            </w:pPr>
            <w:r>
              <w:rPr>
                <w:rFonts w:ascii="Arial" w:cs="Arial" w:eastAsia="Arial" w:hAnsi="Arial"/>
                <w:sz w:val="17"/>
                <w:szCs w:val="17"/>
                <w:color w:val="auto"/>
              </w:rPr>
              <w:t>(266)</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Employee stock options expired</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1,631</w:t>
            </w:r>
          </w:p>
        </w:tc>
        <w:tc>
          <w:tcPr>
            <w:tcW w:w="10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(1,631)</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160"/>
              <w:spacing w:after="0"/>
              <w:rPr>
                <w:sz w:val="20"/>
                <w:szCs w:val="20"/>
                <w:color w:val="auto"/>
              </w:rPr>
            </w:pPr>
            <w:r>
              <w:rPr>
                <w:rFonts w:ascii="Arial" w:cs="Arial" w:eastAsia="Arial" w:hAnsi="Arial"/>
                <w:sz w:val="17"/>
                <w:szCs w:val="17"/>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6,557</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6,557</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Comprehensive income for the year</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7,440</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7,440</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24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gridSpan w:val="3"/>
          </w:tcPr>
          <w:p>
            <w:pPr>
              <w:spacing w:after="0"/>
              <w:rPr>
                <w:sz w:val="20"/>
                <w:szCs w:val="20"/>
                <w:color w:val="auto"/>
              </w:rPr>
            </w:pPr>
            <w:r>
              <w:rPr>
                <w:rFonts w:ascii="Arial" w:cs="Arial" w:eastAsia="Arial" w:hAnsi="Arial"/>
                <w:sz w:val="17"/>
                <w:szCs w:val="17"/>
                <w:b w:val="1"/>
                <w:bCs w:val="1"/>
                <w:color w:val="auto"/>
              </w:rPr>
              <w:t>BALANCE AT DECEMBER 31, 2010</w:t>
            </w:r>
          </w:p>
        </w:tc>
        <w:tc>
          <w:tcPr>
            <w:tcW w:w="720" w:type="dxa"/>
            <w:vAlign w:val="bottom"/>
          </w:tcPr>
          <w:p>
            <w:pPr>
              <w:jc w:val="right"/>
              <w:spacing w:after="0"/>
              <w:rPr>
                <w:sz w:val="20"/>
                <w:szCs w:val="20"/>
                <w:color w:val="auto"/>
              </w:rPr>
            </w:pPr>
            <w:r>
              <w:rPr>
                <w:rFonts w:ascii="Arial" w:cs="Arial" w:eastAsia="Arial" w:hAnsi="Arial"/>
                <w:sz w:val="17"/>
                <w:szCs w:val="17"/>
                <w:color w:val="auto"/>
              </w:rPr>
              <w:t>1,236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6,549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414,435</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27,623</w:t>
            </w: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(317,883)</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131,960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-1167130</wp:posOffset>
            </wp:positionV>
            <wp:extent cx="578294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82945"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-342265</wp:posOffset>
            </wp:positionV>
            <wp:extent cx="578294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82945" cy="171450"/>
                    </a:xfrm>
                    <a:prstGeom prst="rect">
                      <a:avLst/>
                    </a:prstGeom>
                    <a:noFill/>
                  </pic:spPr>
                </pic:pic>
              </a:graphicData>
            </a:graphic>
          </wp:anchor>
        </w:drawing>
      </w:r>
    </w:p>
    <w:p>
      <w:pPr>
        <w:spacing w:after="0" w:line="225" w:lineRule="exact"/>
        <w:rPr>
          <w:sz w:val="20"/>
          <w:szCs w:val="20"/>
          <w:color w:val="auto"/>
        </w:rPr>
      </w:pPr>
    </w:p>
    <w:p>
      <w:pPr>
        <w:ind w:left="280" w:hanging="264"/>
        <w:spacing w:after="0"/>
        <w:tabs>
          <w:tab w:leader="none" w:pos="2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an amount less than NIS 1,000.</w:t>
      </w:r>
    </w:p>
    <w:p>
      <w:pPr>
        <w:spacing w:after="0" w:line="200" w:lineRule="exact"/>
        <w:rPr>
          <w:sz w:val="20"/>
          <w:szCs w:val="20"/>
          <w:color w:val="auto"/>
        </w:rPr>
      </w:pPr>
    </w:p>
    <w:p>
      <w:pPr>
        <w:spacing w:after="0" w:line="325"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CONSOLIDATED CASH FLOW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663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8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Convenience</w:t>
            </w:r>
          </w:p>
        </w:tc>
      </w:tr>
      <w:tr>
        <w:trPr>
          <w:trHeight w:val="141"/>
        </w:trPr>
        <w:tc>
          <w:tcPr>
            <w:tcW w:w="3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translation into</w:t>
            </w:r>
          </w:p>
        </w:tc>
      </w:tr>
      <w:tr>
        <w:trPr>
          <w:trHeight w:val="164"/>
        </w:trPr>
        <w:tc>
          <w:tcPr>
            <w:tcW w:w="3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USD (Note 1b)</w:t>
            </w:r>
          </w:p>
        </w:tc>
      </w:tr>
      <w:tr>
        <w:trPr>
          <w:trHeight w:val="186"/>
        </w:trPr>
        <w:tc>
          <w:tcPr>
            <w:tcW w:w="3960" w:type="dxa"/>
            <w:vAlign w:val="bottom"/>
          </w:tcPr>
          <w:p>
            <w:pPr>
              <w:spacing w:after="0"/>
              <w:rPr>
                <w:sz w:val="16"/>
                <w:szCs w:val="16"/>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center"/>
              <w:ind w:left="58"/>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auto"/>
            </w:tcBorders>
          </w:tcPr>
          <w:p>
            <w:pPr>
              <w:spacing w:after="0"/>
              <w:rPr>
                <w:sz w:val="16"/>
                <w:szCs w:val="16"/>
                <w:color w:val="auto"/>
              </w:rPr>
            </w:pPr>
          </w:p>
        </w:tc>
      </w:tr>
      <w:tr>
        <w:trPr>
          <w:trHeight w:val="193"/>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4"/>
              </w:rPr>
              <w:t>In thousands</w:t>
            </w:r>
          </w:p>
        </w:tc>
      </w:tr>
      <w:tr>
        <w:trPr>
          <w:trHeight w:val="212"/>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CASH FLOWS – OPERATING ACTIVITIES</w:t>
            </w: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Net income (loss) for the year</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(114,849)</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(61,518)</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7,440</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2,137</w:t>
            </w:r>
          </w:p>
        </w:tc>
      </w:tr>
      <w:tr>
        <w:trPr>
          <w:trHeight w:val="193"/>
        </w:trPr>
        <w:tc>
          <w:tcPr>
            <w:tcW w:w="396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rPr>
              <w:t>Adjustments required to reflect net cash used in</w:t>
            </w:r>
          </w:p>
        </w:tc>
        <w:tc>
          <w:tcPr>
            <w:tcW w:w="82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color w:val="auto"/>
              </w:rPr>
              <w:t>21,080</w:t>
            </w:r>
          </w:p>
        </w:tc>
        <w:tc>
          <w:tcPr>
            <w:tcW w:w="980" w:type="dxa"/>
            <w:vAlign w:val="bottom"/>
            <w:gridSpan w:val="3"/>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(22,978)</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33,231</w:t>
            </w:r>
          </w:p>
        </w:tc>
        <w:tc>
          <w:tcPr>
            <w:tcW w:w="108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9,546</w:t>
            </w:r>
          </w:p>
        </w:tc>
      </w:tr>
      <w:tr>
        <w:trPr>
          <w:trHeight w:val="217"/>
        </w:trPr>
        <w:tc>
          <w:tcPr>
            <w:tcW w:w="396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7"/>
                <w:szCs w:val="17"/>
                <w:color w:val="auto"/>
              </w:rPr>
              <w:t>operating activities (see appendix below)</w:t>
            </w:r>
          </w:p>
        </w:tc>
        <w:tc>
          <w:tcPr>
            <w:tcW w:w="7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r>
      <w:tr>
        <w:trPr>
          <w:trHeight w:val="199"/>
        </w:trPr>
        <w:tc>
          <w:tcPr>
            <w:tcW w:w="3960" w:type="dxa"/>
            <w:vAlign w:val="bottom"/>
          </w:tcPr>
          <w:p>
            <w:pPr>
              <w:ind w:left="340"/>
              <w:spacing w:after="0"/>
              <w:rPr>
                <w:sz w:val="20"/>
                <w:szCs w:val="20"/>
                <w:color w:val="auto"/>
              </w:rPr>
            </w:pPr>
            <w:r>
              <w:rPr>
                <w:rFonts w:ascii="Arial" w:cs="Arial" w:eastAsia="Arial" w:hAnsi="Arial"/>
                <w:sz w:val="17"/>
                <w:szCs w:val="17"/>
                <w:color w:val="auto"/>
                <w:w w:val="95"/>
              </w:rPr>
              <w:t>Net cash provided by (used in) operating activities</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(93,769)</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(84,496)</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40,671</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11,683</w:t>
            </w:r>
          </w:p>
        </w:tc>
      </w:tr>
      <w:tr>
        <w:trPr>
          <w:trHeight w:val="199"/>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CASH FLOWS – INVESTING ACTIVITIES</w:t>
            </w: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193"/>
        </w:trPr>
        <w:tc>
          <w:tcPr>
            <w:tcW w:w="3960" w:type="dxa"/>
            <w:vAlign w:val="bottom"/>
          </w:tcPr>
          <w:p>
            <w:pPr>
              <w:ind w:left="180"/>
              <w:spacing w:after="0" w:line="194" w:lineRule="exact"/>
              <w:rPr>
                <w:sz w:val="20"/>
                <w:szCs w:val="20"/>
                <w:color w:val="auto"/>
              </w:rPr>
            </w:pPr>
            <w:r>
              <w:rPr>
                <w:rFonts w:ascii="Arial" w:cs="Arial" w:eastAsia="Arial" w:hAnsi="Arial"/>
                <w:sz w:val="17"/>
                <w:szCs w:val="17"/>
                <w:color w:val="auto"/>
                <w:w w:val="99"/>
              </w:rPr>
              <w:t>Proceeds from sale of financial assets at fair value</w:t>
            </w: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27,851</w:t>
            </w:r>
          </w:p>
        </w:tc>
        <w:tc>
          <w:tcPr>
            <w:tcW w:w="98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30,837</w:t>
            </w:r>
          </w:p>
        </w:tc>
        <w:tc>
          <w:tcPr>
            <w:tcW w:w="1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r>
      <w:tr>
        <w:trPr>
          <w:trHeight w:val="217"/>
        </w:trPr>
        <w:tc>
          <w:tcPr>
            <w:tcW w:w="3960" w:type="dxa"/>
            <w:vAlign w:val="bottom"/>
          </w:tcPr>
          <w:p>
            <w:pPr>
              <w:ind w:left="340"/>
              <w:spacing w:after="0"/>
              <w:rPr>
                <w:sz w:val="20"/>
                <w:szCs w:val="20"/>
                <w:color w:val="auto"/>
              </w:rPr>
            </w:pPr>
            <w:r>
              <w:rPr>
                <w:rFonts w:ascii="Arial" w:cs="Arial" w:eastAsia="Arial" w:hAnsi="Arial"/>
                <w:sz w:val="17"/>
                <w:szCs w:val="17"/>
                <w:color w:val="auto"/>
              </w:rPr>
              <w:t>through profit or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396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w w:val="99"/>
              </w:rPr>
              <w:t>Proceeds from sale of financial assets at fair value</w:t>
            </w:r>
          </w:p>
        </w:tc>
        <w:tc>
          <w:tcPr>
            <w:tcW w:w="82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3,767</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w:t>
            </w:r>
          </w:p>
        </w:tc>
      </w:tr>
      <w:tr>
        <w:trPr>
          <w:trHeight w:val="218"/>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through profit or loss – restricted</w:t>
            </w: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193"/>
        </w:trPr>
        <w:tc>
          <w:tcPr>
            <w:tcW w:w="3960" w:type="dxa"/>
            <w:vAlign w:val="bottom"/>
          </w:tcPr>
          <w:p>
            <w:pPr>
              <w:ind w:left="180"/>
              <w:spacing w:after="0" w:line="194" w:lineRule="exact"/>
              <w:rPr>
                <w:sz w:val="20"/>
                <w:szCs w:val="20"/>
                <w:color w:val="auto"/>
              </w:rPr>
            </w:pPr>
            <w:r>
              <w:rPr>
                <w:rFonts w:ascii="Arial" w:cs="Arial" w:eastAsia="Arial" w:hAnsi="Arial"/>
                <w:sz w:val="17"/>
                <w:szCs w:val="17"/>
                <w:color w:val="auto"/>
              </w:rPr>
              <w:t>Purchase of financial assets at fair value through</w:t>
            </w:r>
          </w:p>
        </w:tc>
        <w:tc>
          <w:tcPr>
            <w:tcW w:w="8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(58,327)</w:t>
            </w:r>
          </w:p>
        </w:tc>
        <w:tc>
          <w:tcPr>
            <w:tcW w:w="160" w:type="dxa"/>
            <w:vAlign w:val="bottom"/>
          </w:tcPr>
          <w:p>
            <w:pPr>
              <w:spacing w:after="0"/>
              <w:rPr>
                <w:sz w:val="16"/>
                <w:szCs w:val="16"/>
                <w:color w:val="auto"/>
              </w:rPr>
            </w:pPr>
          </w:p>
        </w:tc>
        <w:tc>
          <w:tcPr>
            <w:tcW w:w="980" w:type="dxa"/>
            <w:vAlign w:val="bottom"/>
            <w:gridSpan w:val="3"/>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r>
      <w:tr>
        <w:trPr>
          <w:trHeight w:val="217"/>
        </w:trPr>
        <w:tc>
          <w:tcPr>
            <w:tcW w:w="3960" w:type="dxa"/>
            <w:vAlign w:val="bottom"/>
          </w:tcPr>
          <w:p>
            <w:pPr>
              <w:ind w:left="340"/>
              <w:spacing w:after="0"/>
              <w:rPr>
                <w:sz w:val="20"/>
                <w:szCs w:val="20"/>
                <w:color w:val="auto"/>
              </w:rPr>
            </w:pPr>
            <w:r>
              <w:rPr>
                <w:rFonts w:ascii="Arial" w:cs="Arial" w:eastAsia="Arial" w:hAnsi="Arial"/>
                <w:sz w:val="17"/>
                <w:szCs w:val="17"/>
                <w:color w:val="auto"/>
              </w:rPr>
              <w:t>profit or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396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rPr>
              <w:t>Purchase of financial assets at fair value through</w:t>
            </w:r>
          </w:p>
        </w:tc>
        <w:tc>
          <w:tcPr>
            <w:tcW w:w="820" w:type="dxa"/>
            <w:vAlign w:val="bottom"/>
            <w:gridSpan w:val="2"/>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(3,757)</w:t>
            </w:r>
          </w:p>
        </w:tc>
        <w:tc>
          <w:tcPr>
            <w:tcW w:w="160" w:type="dxa"/>
            <w:vAlign w:val="bottom"/>
            <w:shd w:val="clear" w:color="auto" w:fill="CCFFCC"/>
          </w:tcPr>
          <w:p>
            <w:pPr>
              <w:spacing w:after="0"/>
              <w:rPr>
                <w:sz w:val="16"/>
                <w:szCs w:val="16"/>
                <w:color w:val="auto"/>
              </w:rPr>
            </w:pPr>
          </w:p>
        </w:tc>
        <w:tc>
          <w:tcPr>
            <w:tcW w:w="980" w:type="dxa"/>
            <w:vAlign w:val="bottom"/>
            <w:gridSpan w:val="3"/>
            <w:shd w:val="clear" w:color="auto" w:fill="CCFFCC"/>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w:t>
            </w:r>
          </w:p>
        </w:tc>
      </w:tr>
      <w:tr>
        <w:trPr>
          <w:trHeight w:val="218"/>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profit or loss – restricted</w:t>
            </w: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Investment in short-term deposits</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(28,333)</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(8,139)</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Investment in restricted deposits</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(3,147)</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(206)</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(59)</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Withdrawal of restricted deposits</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5,977</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251</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1,353</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389</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Purchase of property and equipment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(3,255)</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(1,853)</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(532)</w:t>
            </w:r>
          </w:p>
        </w:tc>
      </w:tr>
      <w:tr>
        <w:trPr>
          <w:trHeight w:val="193"/>
        </w:trPr>
        <w:tc>
          <w:tcPr>
            <w:tcW w:w="3960" w:type="dxa"/>
            <w:vAlign w:val="bottom"/>
          </w:tcPr>
          <w:p>
            <w:pPr>
              <w:ind w:left="180"/>
              <w:spacing w:after="0" w:line="194" w:lineRule="exact"/>
              <w:rPr>
                <w:sz w:val="20"/>
                <w:szCs w:val="20"/>
                <w:color w:val="auto"/>
              </w:rPr>
            </w:pPr>
            <w:r>
              <w:rPr>
                <w:rFonts w:ascii="Arial" w:cs="Arial" w:eastAsia="Arial" w:hAnsi="Arial"/>
                <w:sz w:val="17"/>
                <w:szCs w:val="17"/>
                <w:color w:val="auto"/>
              </w:rPr>
              <w:t>Grants received in respect of property and</w:t>
            </w: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28</w:t>
            </w:r>
          </w:p>
        </w:tc>
        <w:tc>
          <w:tcPr>
            <w:tcW w:w="160" w:type="dxa"/>
            <w:vAlign w:val="bottom"/>
          </w:tcPr>
          <w:p>
            <w:pPr>
              <w:spacing w:after="0"/>
              <w:rPr>
                <w:sz w:val="16"/>
                <w:szCs w:val="16"/>
                <w:color w:val="auto"/>
              </w:rPr>
            </w:pPr>
          </w:p>
        </w:tc>
        <w:tc>
          <w:tcPr>
            <w:tcW w:w="980" w:type="dxa"/>
            <w:vAlign w:val="bottom"/>
            <w:gridSpan w:val="3"/>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r>
      <w:tr>
        <w:trPr>
          <w:trHeight w:val="217"/>
        </w:trPr>
        <w:tc>
          <w:tcPr>
            <w:tcW w:w="3960" w:type="dxa"/>
            <w:vAlign w:val="bottom"/>
          </w:tcPr>
          <w:p>
            <w:pPr>
              <w:ind w:left="340"/>
              <w:spacing w:after="0"/>
              <w:rPr>
                <w:sz w:val="20"/>
                <w:szCs w:val="20"/>
                <w:color w:val="auto"/>
              </w:rPr>
            </w:pPr>
            <w:r>
              <w:rPr>
                <w:rFonts w:ascii="Arial" w:cs="Arial" w:eastAsia="Arial" w:hAnsi="Arial"/>
                <w:sz w:val="17"/>
                <w:szCs w:val="17"/>
                <w:color w:val="auto"/>
              </w:rPr>
              <w:t>equipment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Proceeds from sale of property and equipment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Purchase of intangible assets</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(1,790)</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(628)</w:t>
            </w: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(492)</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(141)</w:t>
            </w:r>
          </w:p>
        </w:tc>
      </w:tr>
      <w:tr>
        <w:trPr>
          <w:trHeight w:val="20"/>
        </w:trPr>
        <w:tc>
          <w:tcPr>
            <w:tcW w:w="3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w w:val="96"/>
              </w:rPr>
              <w:t>Net cash provided by (used in) investing activities</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(33,273)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30,848</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(29,531)</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(8,482)</w:t>
            </w:r>
          </w:p>
        </w:tc>
      </w:tr>
      <w:tr>
        <w:trPr>
          <w:trHeight w:val="199"/>
        </w:trPr>
        <w:tc>
          <w:tcPr>
            <w:tcW w:w="3960" w:type="dxa"/>
            <w:vAlign w:val="bottom"/>
            <w:tcBorders>
              <w:top w:val="single" w:sz="8" w:color="CCFFCC"/>
            </w:tcBorders>
          </w:tcPr>
          <w:p>
            <w:pPr>
              <w:spacing w:after="0"/>
              <w:rPr>
                <w:sz w:val="20"/>
                <w:szCs w:val="20"/>
                <w:color w:val="auto"/>
              </w:rPr>
            </w:pPr>
            <w:r>
              <w:rPr>
                <w:rFonts w:ascii="Arial" w:cs="Arial" w:eastAsia="Arial" w:hAnsi="Arial"/>
                <w:sz w:val="17"/>
                <w:szCs w:val="17"/>
                <w:b w:val="1"/>
                <w:bCs w:val="1"/>
                <w:color w:val="auto"/>
              </w:rPr>
              <w:t>CASH FLOWS – FINANCING ACTIVITIES</w:t>
            </w: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r>
      <w:tr>
        <w:trPr>
          <w:trHeight w:val="193"/>
        </w:trPr>
        <w:tc>
          <w:tcPr>
            <w:tcW w:w="396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rPr>
              <w:t>Issuance of share capital and warrants, net of</w:t>
            </w:r>
          </w:p>
        </w:tc>
        <w:tc>
          <w:tcPr>
            <w:tcW w:w="82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97,551</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w:t>
            </w:r>
          </w:p>
        </w:tc>
      </w:tr>
      <w:tr>
        <w:trPr>
          <w:trHeight w:val="218"/>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issuance expenses</w:t>
            </w: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Proceeds of bank loan</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1,020</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293</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Repayments of bank loan</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(281)</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06"/>
        </w:trPr>
        <w:tc>
          <w:tcPr>
            <w:tcW w:w="3960" w:type="dxa"/>
            <w:vAlign w:val="bottom"/>
          </w:tcPr>
          <w:p>
            <w:pPr>
              <w:ind w:left="180"/>
              <w:spacing w:after="0"/>
              <w:rPr>
                <w:sz w:val="20"/>
                <w:szCs w:val="20"/>
                <w:color w:val="auto"/>
              </w:rPr>
            </w:pPr>
            <w:r>
              <w:rPr>
                <w:rFonts w:ascii="Arial" w:cs="Arial" w:eastAsia="Arial" w:hAnsi="Arial"/>
                <w:sz w:val="17"/>
                <w:szCs w:val="17"/>
                <w:color w:val="auto"/>
              </w:rPr>
              <w:t>Proceeds from exercise of warrants</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6"/>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color w:val="auto"/>
                <w:w w:val="98"/>
              </w:rPr>
              <w:t>Proceeds from exercise of employee stock options</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116</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26</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7</w:t>
            </w:r>
          </w:p>
        </w:tc>
      </w:tr>
      <w:tr>
        <w:trPr>
          <w:trHeight w:val="20"/>
        </w:trPr>
        <w:tc>
          <w:tcPr>
            <w:tcW w:w="39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9"/>
        </w:trPr>
        <w:tc>
          <w:tcPr>
            <w:tcW w:w="3960" w:type="dxa"/>
            <w:vAlign w:val="bottom"/>
          </w:tcPr>
          <w:p>
            <w:pPr>
              <w:ind w:left="340"/>
              <w:spacing w:after="0"/>
              <w:rPr>
                <w:sz w:val="20"/>
                <w:szCs w:val="20"/>
                <w:color w:val="auto"/>
              </w:rPr>
            </w:pPr>
            <w:r>
              <w:rPr>
                <w:rFonts w:ascii="Arial" w:cs="Arial" w:eastAsia="Arial" w:hAnsi="Arial"/>
                <w:sz w:val="17"/>
                <w:szCs w:val="17"/>
                <w:color w:val="auto"/>
              </w:rPr>
              <w:t>Net cash provided by financing activities</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97,670</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765</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219</w:t>
            </w:r>
          </w:p>
        </w:tc>
      </w:tr>
      <w:tr>
        <w:trPr>
          <w:trHeight w:val="20"/>
        </w:trPr>
        <w:tc>
          <w:tcPr>
            <w:tcW w:w="3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3960" w:type="dxa"/>
            <w:vAlign w:val="bottom"/>
            <w:shd w:val="clear" w:color="auto" w:fill="CCFFCC"/>
          </w:tcPr>
          <w:p>
            <w:pPr>
              <w:spacing w:after="0" w:line="180" w:lineRule="exact"/>
              <w:rPr>
                <w:sz w:val="20"/>
                <w:szCs w:val="20"/>
                <w:color w:val="auto"/>
              </w:rPr>
            </w:pPr>
            <w:r>
              <w:rPr>
                <w:rFonts w:ascii="Arial" w:cs="Arial" w:eastAsia="Arial" w:hAnsi="Arial"/>
                <w:sz w:val="17"/>
                <w:szCs w:val="17"/>
                <w:b w:val="1"/>
                <w:bCs w:val="1"/>
                <w:color w:val="auto"/>
              </w:rPr>
              <w:t>INCREASE (DECREASE) IN CASH AND CASH</w:t>
            </w:r>
          </w:p>
        </w:tc>
        <w:tc>
          <w:tcPr>
            <w:tcW w:w="820" w:type="dxa"/>
            <w:vAlign w:val="bottom"/>
            <w:gridSpan w:val="2"/>
            <w:shd w:val="clear" w:color="auto" w:fill="CCFFCC"/>
          </w:tcPr>
          <w:p>
            <w:pPr>
              <w:jc w:val="right"/>
              <w:ind w:right="60"/>
              <w:spacing w:after="0" w:line="180" w:lineRule="exact"/>
              <w:rPr>
                <w:sz w:val="20"/>
                <w:szCs w:val="20"/>
                <w:color w:val="auto"/>
              </w:rPr>
            </w:pPr>
            <w:r>
              <w:rPr>
                <w:rFonts w:ascii="Arial" w:cs="Arial" w:eastAsia="Arial" w:hAnsi="Arial"/>
                <w:sz w:val="17"/>
                <w:szCs w:val="17"/>
                <w:color w:val="auto"/>
              </w:rPr>
              <w:t>(127,042)</w:t>
            </w:r>
          </w:p>
        </w:tc>
        <w:tc>
          <w:tcPr>
            <w:tcW w:w="980" w:type="dxa"/>
            <w:vAlign w:val="bottom"/>
            <w:gridSpan w:val="3"/>
            <w:shd w:val="clear" w:color="auto" w:fill="CCFFCC"/>
          </w:tcPr>
          <w:p>
            <w:pPr>
              <w:jc w:val="right"/>
              <w:ind w:right="120"/>
              <w:spacing w:after="0" w:line="180" w:lineRule="exact"/>
              <w:rPr>
                <w:sz w:val="20"/>
                <w:szCs w:val="20"/>
                <w:color w:val="auto"/>
              </w:rPr>
            </w:pPr>
            <w:r>
              <w:rPr>
                <w:rFonts w:ascii="Arial" w:cs="Arial" w:eastAsia="Arial" w:hAnsi="Arial"/>
                <w:sz w:val="17"/>
                <w:szCs w:val="17"/>
                <w:color w:val="auto"/>
              </w:rPr>
              <w:t>44,022</w:t>
            </w:r>
          </w:p>
        </w:tc>
        <w:tc>
          <w:tcPr>
            <w:tcW w:w="16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20"/>
              <w:spacing w:after="0" w:line="180" w:lineRule="exact"/>
              <w:rPr>
                <w:sz w:val="20"/>
                <w:szCs w:val="20"/>
                <w:color w:val="auto"/>
              </w:rPr>
            </w:pPr>
            <w:r>
              <w:rPr>
                <w:rFonts w:ascii="Arial" w:cs="Arial" w:eastAsia="Arial" w:hAnsi="Arial"/>
                <w:sz w:val="17"/>
                <w:szCs w:val="17"/>
                <w:color w:val="auto"/>
              </w:rPr>
              <w:t>11,905</w:t>
            </w:r>
          </w:p>
        </w:tc>
        <w:tc>
          <w:tcPr>
            <w:tcW w:w="1080" w:type="dxa"/>
            <w:vAlign w:val="bottom"/>
            <w:gridSpan w:val="3"/>
            <w:shd w:val="clear" w:color="auto" w:fill="CCFFCC"/>
          </w:tcPr>
          <w:p>
            <w:pPr>
              <w:jc w:val="right"/>
              <w:ind w:right="160"/>
              <w:spacing w:after="0" w:line="180" w:lineRule="exact"/>
              <w:rPr>
                <w:sz w:val="20"/>
                <w:szCs w:val="20"/>
                <w:color w:val="auto"/>
              </w:rPr>
            </w:pPr>
            <w:r>
              <w:rPr>
                <w:rFonts w:ascii="Arial" w:cs="Arial" w:eastAsia="Arial" w:hAnsi="Arial"/>
                <w:sz w:val="17"/>
                <w:szCs w:val="17"/>
                <w:color w:val="auto"/>
              </w:rPr>
              <w:t>3,420</w:t>
            </w:r>
          </w:p>
        </w:tc>
      </w:tr>
      <w:tr>
        <w:trPr>
          <w:trHeight w:val="224"/>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b w:val="1"/>
                <w:bCs w:val="1"/>
                <w:color w:val="auto"/>
              </w:rPr>
              <w:t>EQUIVALENTS</w:t>
            </w: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187"/>
        </w:trPr>
        <w:tc>
          <w:tcPr>
            <w:tcW w:w="3960" w:type="dxa"/>
            <w:vAlign w:val="bottom"/>
          </w:tcPr>
          <w:p>
            <w:pPr>
              <w:spacing w:after="0" w:line="188" w:lineRule="exact"/>
              <w:rPr>
                <w:sz w:val="20"/>
                <w:szCs w:val="20"/>
                <w:color w:val="auto"/>
              </w:rPr>
            </w:pPr>
            <w:r>
              <w:rPr>
                <w:rFonts w:ascii="Arial" w:cs="Arial" w:eastAsia="Arial" w:hAnsi="Arial"/>
                <w:sz w:val="17"/>
                <w:szCs w:val="17"/>
                <w:b w:val="1"/>
                <w:bCs w:val="1"/>
                <w:color w:val="auto"/>
              </w:rPr>
              <w:t>CASH AND CASH EQUIVALENTS –</w:t>
            </w:r>
          </w:p>
        </w:tc>
        <w:tc>
          <w:tcPr>
            <w:tcW w:w="820" w:type="dxa"/>
            <w:vAlign w:val="bottom"/>
            <w:gridSpan w:val="2"/>
          </w:tcPr>
          <w:p>
            <w:pPr>
              <w:jc w:val="right"/>
              <w:ind w:right="100"/>
              <w:spacing w:after="0" w:line="188" w:lineRule="exact"/>
              <w:rPr>
                <w:sz w:val="20"/>
                <w:szCs w:val="20"/>
                <w:color w:val="auto"/>
              </w:rPr>
            </w:pPr>
            <w:r>
              <w:rPr>
                <w:rFonts w:ascii="Arial" w:cs="Arial" w:eastAsia="Arial" w:hAnsi="Arial"/>
                <w:sz w:val="17"/>
                <w:szCs w:val="17"/>
                <w:color w:val="auto"/>
              </w:rPr>
              <w:t>193,798</w:t>
            </w:r>
          </w:p>
        </w:tc>
        <w:tc>
          <w:tcPr>
            <w:tcW w:w="98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60,379</w:t>
            </w:r>
          </w:p>
        </w:tc>
        <w:tc>
          <w:tcPr>
            <w:tcW w:w="160" w:type="dxa"/>
            <w:vAlign w:val="bottom"/>
          </w:tcPr>
          <w:p>
            <w:pPr>
              <w:spacing w:after="0"/>
              <w:rPr>
                <w:sz w:val="16"/>
                <w:szCs w:val="16"/>
                <w:color w:val="auto"/>
              </w:rPr>
            </w:pPr>
          </w:p>
        </w:tc>
        <w:tc>
          <w:tcPr>
            <w:tcW w:w="82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105,890</w:t>
            </w:r>
          </w:p>
        </w:tc>
        <w:tc>
          <w:tcPr>
            <w:tcW w:w="108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30,420</w:t>
            </w:r>
          </w:p>
        </w:tc>
      </w:tr>
      <w:tr>
        <w:trPr>
          <w:trHeight w:val="223"/>
        </w:trPr>
        <w:tc>
          <w:tcPr>
            <w:tcW w:w="3960" w:type="dxa"/>
            <w:vAlign w:val="bottom"/>
          </w:tcPr>
          <w:p>
            <w:pPr>
              <w:ind w:left="220"/>
              <w:spacing w:after="0"/>
              <w:rPr>
                <w:sz w:val="20"/>
                <w:szCs w:val="20"/>
                <w:color w:val="auto"/>
              </w:rPr>
            </w:pPr>
            <w:r>
              <w:rPr>
                <w:rFonts w:ascii="Arial" w:cs="Arial" w:eastAsia="Arial" w:hAnsi="Arial"/>
                <w:sz w:val="17"/>
                <w:szCs w:val="17"/>
                <w:b w:val="1"/>
                <w:bCs w:val="1"/>
                <w:color w:val="auto"/>
              </w:rPr>
              <w:t>BEGINNING OF YEAR</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8"/>
        </w:trPr>
        <w:tc>
          <w:tcPr>
            <w:tcW w:w="3960" w:type="dxa"/>
            <w:vAlign w:val="bottom"/>
            <w:shd w:val="clear" w:color="auto" w:fill="CCFFCC"/>
          </w:tcPr>
          <w:p>
            <w:pPr>
              <w:spacing w:after="0" w:line="188" w:lineRule="exact"/>
              <w:rPr>
                <w:sz w:val="20"/>
                <w:szCs w:val="20"/>
                <w:color w:val="auto"/>
              </w:rPr>
            </w:pPr>
            <w:r>
              <w:rPr>
                <w:rFonts w:ascii="Arial" w:cs="Arial" w:eastAsia="Arial" w:hAnsi="Arial"/>
                <w:sz w:val="17"/>
                <w:szCs w:val="17"/>
                <w:b w:val="1"/>
                <w:bCs w:val="1"/>
                <w:color w:val="auto"/>
              </w:rPr>
              <w:t>EXCHANGE DIFFERENCES ON CASH AND</w:t>
            </w:r>
          </w:p>
        </w:tc>
        <w:tc>
          <w:tcPr>
            <w:tcW w:w="820" w:type="dxa"/>
            <w:vAlign w:val="bottom"/>
            <w:gridSpan w:val="2"/>
            <w:shd w:val="clear" w:color="auto" w:fill="CCFFCC"/>
          </w:tcPr>
          <w:p>
            <w:pPr>
              <w:jc w:val="right"/>
              <w:ind w:right="60"/>
              <w:spacing w:after="0" w:line="188" w:lineRule="exact"/>
              <w:rPr>
                <w:sz w:val="20"/>
                <w:szCs w:val="20"/>
                <w:color w:val="auto"/>
              </w:rPr>
            </w:pPr>
            <w:r>
              <w:rPr>
                <w:rFonts w:ascii="Arial" w:cs="Arial" w:eastAsia="Arial" w:hAnsi="Arial"/>
                <w:sz w:val="17"/>
                <w:szCs w:val="17"/>
                <w:color w:val="auto"/>
              </w:rPr>
              <w:t>(6,377)</w:t>
            </w:r>
          </w:p>
        </w:tc>
        <w:tc>
          <w:tcPr>
            <w:tcW w:w="98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1,489</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60"/>
              <w:spacing w:after="0" w:line="188" w:lineRule="exact"/>
              <w:rPr>
                <w:sz w:val="20"/>
                <w:szCs w:val="20"/>
                <w:color w:val="auto"/>
              </w:rPr>
            </w:pPr>
            <w:r>
              <w:rPr>
                <w:rFonts w:ascii="Arial" w:cs="Arial" w:eastAsia="Arial" w:hAnsi="Arial"/>
                <w:sz w:val="17"/>
                <w:szCs w:val="17"/>
                <w:color w:val="auto"/>
              </w:rPr>
              <w:t>(6,049)</w:t>
            </w:r>
          </w:p>
        </w:tc>
        <w:tc>
          <w:tcPr>
            <w:tcW w:w="108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(1,738)</w:t>
            </w:r>
          </w:p>
        </w:tc>
      </w:tr>
      <w:tr>
        <w:trPr>
          <w:trHeight w:val="223"/>
        </w:trPr>
        <w:tc>
          <w:tcPr>
            <w:tcW w:w="39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b w:val="1"/>
                <w:bCs w:val="1"/>
                <w:color w:val="auto"/>
              </w:rPr>
              <w:t>CASH EQUIVALENTS</w:t>
            </w:r>
          </w:p>
        </w:tc>
        <w:tc>
          <w:tcPr>
            <w:tcW w:w="7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181"/>
        </w:trPr>
        <w:tc>
          <w:tcPr>
            <w:tcW w:w="3960" w:type="dxa"/>
            <w:vAlign w:val="bottom"/>
          </w:tcPr>
          <w:p>
            <w:pPr>
              <w:spacing w:after="0" w:line="181" w:lineRule="exact"/>
              <w:rPr>
                <w:sz w:val="20"/>
                <w:szCs w:val="20"/>
                <w:color w:val="auto"/>
              </w:rPr>
            </w:pPr>
            <w:r>
              <w:rPr>
                <w:rFonts w:ascii="Arial" w:cs="Arial" w:eastAsia="Arial" w:hAnsi="Arial"/>
                <w:sz w:val="17"/>
                <w:szCs w:val="17"/>
                <w:b w:val="1"/>
                <w:bCs w:val="1"/>
                <w:color w:val="auto"/>
              </w:rPr>
              <w:t>CASH AND CASH EQUIVALENTS – END OF</w:t>
            </w:r>
          </w:p>
        </w:tc>
        <w:tc>
          <w:tcPr>
            <w:tcW w:w="820" w:type="dxa"/>
            <w:vAlign w:val="bottom"/>
            <w:gridSpan w:val="2"/>
          </w:tcPr>
          <w:p>
            <w:pPr>
              <w:jc w:val="right"/>
              <w:ind w:right="100"/>
              <w:spacing w:after="0" w:line="181" w:lineRule="exact"/>
              <w:rPr>
                <w:sz w:val="20"/>
                <w:szCs w:val="20"/>
                <w:color w:val="auto"/>
              </w:rPr>
            </w:pPr>
            <w:r>
              <w:rPr>
                <w:rFonts w:ascii="Arial" w:cs="Arial" w:eastAsia="Arial" w:hAnsi="Arial"/>
                <w:sz w:val="17"/>
                <w:szCs w:val="17"/>
                <w:color w:val="auto"/>
              </w:rPr>
              <w:t>60,379</w:t>
            </w:r>
          </w:p>
        </w:tc>
        <w:tc>
          <w:tcPr>
            <w:tcW w:w="980" w:type="dxa"/>
            <w:vAlign w:val="bottom"/>
            <w:gridSpan w:val="3"/>
          </w:tcPr>
          <w:p>
            <w:pPr>
              <w:jc w:val="right"/>
              <w:ind w:right="120"/>
              <w:spacing w:after="0" w:line="181" w:lineRule="exact"/>
              <w:rPr>
                <w:sz w:val="20"/>
                <w:szCs w:val="20"/>
                <w:color w:val="auto"/>
              </w:rPr>
            </w:pPr>
            <w:r>
              <w:rPr>
                <w:rFonts w:ascii="Arial" w:cs="Arial" w:eastAsia="Arial" w:hAnsi="Arial"/>
                <w:sz w:val="17"/>
                <w:szCs w:val="17"/>
                <w:color w:val="auto"/>
              </w:rPr>
              <w:t>105,890</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line="181" w:lineRule="exact"/>
              <w:rPr>
                <w:sz w:val="20"/>
                <w:szCs w:val="20"/>
                <w:color w:val="auto"/>
              </w:rPr>
            </w:pPr>
            <w:r>
              <w:rPr>
                <w:rFonts w:ascii="Arial" w:cs="Arial" w:eastAsia="Arial" w:hAnsi="Arial"/>
                <w:sz w:val="17"/>
                <w:szCs w:val="17"/>
                <w:color w:val="auto"/>
              </w:rPr>
              <w:t>111,746</w:t>
            </w:r>
          </w:p>
        </w:tc>
        <w:tc>
          <w:tcPr>
            <w:tcW w:w="1080" w:type="dxa"/>
            <w:vAlign w:val="bottom"/>
            <w:gridSpan w:val="3"/>
          </w:tcPr>
          <w:p>
            <w:pPr>
              <w:jc w:val="right"/>
              <w:ind w:right="160"/>
              <w:spacing w:after="0" w:line="181" w:lineRule="exact"/>
              <w:rPr>
                <w:sz w:val="20"/>
                <w:szCs w:val="20"/>
                <w:color w:val="auto"/>
              </w:rPr>
            </w:pPr>
            <w:r>
              <w:rPr>
                <w:rFonts w:ascii="Arial" w:cs="Arial" w:eastAsia="Arial" w:hAnsi="Arial"/>
                <w:sz w:val="17"/>
                <w:szCs w:val="17"/>
                <w:color w:val="auto"/>
              </w:rPr>
              <w:t>32,102</w:t>
            </w:r>
          </w:p>
        </w:tc>
      </w:tr>
      <w:tr>
        <w:trPr>
          <w:trHeight w:val="223"/>
        </w:trPr>
        <w:tc>
          <w:tcPr>
            <w:tcW w:w="3960" w:type="dxa"/>
            <w:vAlign w:val="bottom"/>
          </w:tcPr>
          <w:p>
            <w:pPr>
              <w:ind w:left="180"/>
              <w:spacing w:after="0"/>
              <w:rPr>
                <w:sz w:val="20"/>
                <w:szCs w:val="20"/>
                <w:color w:val="auto"/>
              </w:rPr>
            </w:pPr>
            <w:r>
              <w:rPr>
                <w:rFonts w:ascii="Arial" w:cs="Arial" w:eastAsia="Arial" w:hAnsi="Arial"/>
                <w:sz w:val="17"/>
                <w:szCs w:val="17"/>
                <w:b w:val="1"/>
                <w:bCs w:val="1"/>
                <w:color w:val="auto"/>
              </w:rPr>
              <w:t>YEAR</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-4663440</wp:posOffset>
            </wp:positionV>
            <wp:extent cx="4966335" cy="147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-2155825</wp:posOffset>
            </wp:positionV>
            <wp:extent cx="4966335" cy="1390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-1232535</wp:posOffset>
            </wp:positionV>
            <wp:extent cx="4966335" cy="147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4966335" cy="3022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66335" cy="3022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CONSOLIDATED CASH FLOW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663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8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Convenience</w:t>
            </w:r>
          </w:p>
        </w:tc>
      </w:tr>
      <w:tr>
        <w:trPr>
          <w:trHeight w:val="141"/>
        </w:trPr>
        <w:tc>
          <w:tcPr>
            <w:tcW w:w="3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translation into</w:t>
            </w:r>
          </w:p>
        </w:tc>
      </w:tr>
      <w:tr>
        <w:trPr>
          <w:trHeight w:val="164"/>
        </w:trPr>
        <w:tc>
          <w:tcPr>
            <w:tcW w:w="3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USD (Note 1b)</w:t>
            </w:r>
          </w:p>
        </w:tc>
      </w:tr>
      <w:tr>
        <w:trPr>
          <w:trHeight w:val="186"/>
        </w:trPr>
        <w:tc>
          <w:tcPr>
            <w:tcW w:w="3960" w:type="dxa"/>
            <w:vAlign w:val="bottom"/>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auto"/>
            </w:tcBorders>
          </w:tcPr>
          <w:p>
            <w:pPr>
              <w:spacing w:after="0"/>
              <w:rPr>
                <w:sz w:val="16"/>
                <w:szCs w:val="16"/>
                <w:color w:val="auto"/>
              </w:rPr>
            </w:pPr>
          </w:p>
        </w:tc>
      </w:tr>
      <w:tr>
        <w:trPr>
          <w:trHeight w:val="193"/>
        </w:trPr>
        <w:tc>
          <w:tcPr>
            <w:tcW w:w="3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4"/>
              </w:rPr>
              <w:t>In thousands</w:t>
            </w:r>
          </w:p>
        </w:tc>
      </w:tr>
      <w:tr>
        <w:trPr>
          <w:trHeight w:val="212"/>
        </w:trPr>
        <w:tc>
          <w:tcPr>
            <w:tcW w:w="39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APPENDIX</w:t>
            </w:r>
          </w:p>
        </w:tc>
        <w:tc>
          <w:tcPr>
            <w:tcW w:w="6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87"/>
        </w:trPr>
        <w:tc>
          <w:tcPr>
            <w:tcW w:w="3960" w:type="dxa"/>
            <w:vAlign w:val="bottom"/>
          </w:tcPr>
          <w:p>
            <w:pPr>
              <w:spacing w:after="0" w:line="188" w:lineRule="exact"/>
              <w:rPr>
                <w:sz w:val="20"/>
                <w:szCs w:val="20"/>
                <w:color w:val="auto"/>
              </w:rPr>
            </w:pPr>
            <w:r>
              <w:rPr>
                <w:rFonts w:ascii="Arial" w:cs="Arial" w:eastAsia="Arial" w:hAnsi="Arial"/>
                <w:sz w:val="17"/>
                <w:szCs w:val="17"/>
                <w:b w:val="1"/>
                <w:bCs w:val="1"/>
                <w:color w:val="auto"/>
              </w:rPr>
              <w:t>Adjustments required to reflect net cash used in</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3"/>
        </w:trPr>
        <w:tc>
          <w:tcPr>
            <w:tcW w:w="3960" w:type="dxa"/>
            <w:vAlign w:val="bottom"/>
          </w:tcPr>
          <w:p>
            <w:pPr>
              <w:ind w:left="180"/>
              <w:spacing w:after="0"/>
              <w:rPr>
                <w:sz w:val="20"/>
                <w:szCs w:val="20"/>
                <w:color w:val="auto"/>
              </w:rPr>
            </w:pPr>
            <w:r>
              <w:rPr>
                <w:rFonts w:ascii="Arial" w:cs="Arial" w:eastAsia="Arial" w:hAnsi="Arial"/>
                <w:sz w:val="17"/>
                <w:szCs w:val="17"/>
                <w:b w:val="1"/>
                <w:bCs w:val="1"/>
                <w:color w:val="auto"/>
              </w:rPr>
              <w:t>operating activities: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7"/>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b w:val="1"/>
                <w:bCs w:val="1"/>
                <w:color w:val="auto"/>
                <w:w w:val="97"/>
              </w:rPr>
              <w:t>Income and expenses not involving cash flows:</w:t>
            </w: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1,676</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1,754</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1,814</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521</w:t>
            </w:r>
          </w:p>
        </w:tc>
      </w:tr>
      <w:tr>
        <w:trPr>
          <w:trHeight w:val="206"/>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Impairment of intangible assets</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603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584</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1,846</w:t>
            </w:r>
          </w:p>
        </w:tc>
        <w:tc>
          <w:tcPr>
            <w:tcW w:w="108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530</w:t>
            </w: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Retirement benefit obligations</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23</w:t>
            </w:r>
          </w:p>
        </w:tc>
      </w:tr>
      <w:tr>
        <w:trPr>
          <w:trHeight w:val="206"/>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Long-term prepaid expenses</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(103)</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(880)</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954</w:t>
            </w:r>
          </w:p>
        </w:tc>
        <w:tc>
          <w:tcPr>
            <w:tcW w:w="108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274</w:t>
            </w: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Gain on adjusting warrants to fair value</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(3,658)</w:t>
            </w:r>
          </w:p>
        </w:tc>
        <w:tc>
          <w:tcPr>
            <w:tcW w:w="16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06"/>
        </w:trPr>
        <w:tc>
          <w:tcPr>
            <w:tcW w:w="3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Loss on sale of property and equipment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r>
      <w:tr>
        <w:trPr>
          <w:trHeight w:val="193"/>
        </w:trPr>
        <w:tc>
          <w:tcPr>
            <w:tcW w:w="3960" w:type="dxa"/>
            <w:vAlign w:val="bottom"/>
          </w:tcPr>
          <w:p>
            <w:pPr>
              <w:ind w:left="340"/>
              <w:spacing w:after="0" w:line="194" w:lineRule="exact"/>
              <w:rPr>
                <w:sz w:val="20"/>
                <w:szCs w:val="20"/>
                <w:color w:val="auto"/>
              </w:rPr>
            </w:pPr>
            <w:r>
              <w:rPr>
                <w:rFonts w:ascii="Arial" w:cs="Arial" w:eastAsia="Arial" w:hAnsi="Arial"/>
                <w:sz w:val="17"/>
                <w:szCs w:val="17"/>
                <w:color w:val="auto"/>
              </w:rPr>
              <w:t>Exchange differences on cash and cash</w:t>
            </w:r>
          </w:p>
        </w:tc>
        <w:tc>
          <w:tcPr>
            <w:tcW w:w="8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6,377</w:t>
            </w:r>
          </w:p>
        </w:tc>
        <w:tc>
          <w:tcPr>
            <w:tcW w:w="98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(1,489)</w:t>
            </w:r>
          </w:p>
        </w:tc>
        <w:tc>
          <w:tcPr>
            <w:tcW w:w="1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6,049</w:t>
            </w:r>
          </w:p>
        </w:tc>
        <w:tc>
          <w:tcPr>
            <w:tcW w:w="1080" w:type="dxa"/>
            <w:vAlign w:val="bottom"/>
            <w:gridSpan w:val="3"/>
          </w:tcPr>
          <w:p>
            <w:pPr>
              <w:jc w:val="right"/>
              <w:ind w:right="180"/>
              <w:spacing w:after="0" w:line="194" w:lineRule="exact"/>
              <w:rPr>
                <w:sz w:val="20"/>
                <w:szCs w:val="20"/>
                <w:color w:val="auto"/>
              </w:rPr>
            </w:pPr>
            <w:r>
              <w:rPr>
                <w:rFonts w:ascii="Arial" w:cs="Arial" w:eastAsia="Arial" w:hAnsi="Arial"/>
                <w:sz w:val="17"/>
                <w:szCs w:val="17"/>
                <w:color w:val="auto"/>
              </w:rPr>
              <w:t>1,738</w:t>
            </w:r>
          </w:p>
        </w:tc>
      </w:tr>
      <w:tr>
        <w:trPr>
          <w:trHeight w:val="217"/>
        </w:trPr>
        <w:tc>
          <w:tcPr>
            <w:tcW w:w="3960" w:type="dxa"/>
            <w:vAlign w:val="bottom"/>
          </w:tcPr>
          <w:p>
            <w:pPr>
              <w:ind w:left="520"/>
              <w:spacing w:after="0"/>
              <w:rPr>
                <w:sz w:val="20"/>
                <w:szCs w:val="20"/>
                <w:color w:val="auto"/>
              </w:rPr>
            </w:pPr>
            <w:r>
              <w:rPr>
                <w:rFonts w:ascii="Arial" w:cs="Arial" w:eastAsia="Arial" w:hAnsi="Arial"/>
                <w:sz w:val="17"/>
                <w:szCs w:val="17"/>
                <w:color w:val="auto"/>
              </w:rPr>
              <w:t>equivalents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3960" w:type="dxa"/>
            <w:vAlign w:val="bottom"/>
            <w:shd w:val="clear" w:color="auto" w:fill="CCFFCC"/>
          </w:tcPr>
          <w:p>
            <w:pPr>
              <w:ind w:left="340"/>
              <w:spacing w:after="0" w:line="194" w:lineRule="exact"/>
              <w:rPr>
                <w:sz w:val="20"/>
                <w:szCs w:val="20"/>
                <w:color w:val="auto"/>
              </w:rPr>
            </w:pPr>
            <w:r>
              <w:rPr>
                <w:rFonts w:ascii="Arial" w:cs="Arial" w:eastAsia="Arial" w:hAnsi="Arial"/>
                <w:sz w:val="17"/>
                <w:szCs w:val="17"/>
                <w:color w:val="auto"/>
                <w:w w:val="97"/>
              </w:rPr>
              <w:t>Gain on fair value adjustments to financial assets</w:t>
            </w:r>
          </w:p>
        </w:tc>
        <w:tc>
          <w:tcPr>
            <w:tcW w:w="82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color w:val="auto"/>
              </w:rPr>
              <w:t>(273)</w:t>
            </w:r>
          </w:p>
        </w:tc>
        <w:tc>
          <w:tcPr>
            <w:tcW w:w="980" w:type="dxa"/>
            <w:vAlign w:val="bottom"/>
            <w:gridSpan w:val="3"/>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(98)</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w:t>
            </w:r>
          </w:p>
        </w:tc>
      </w:tr>
      <w:tr>
        <w:trPr>
          <w:trHeight w:val="218"/>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at fair value through profit or loss</w:t>
            </w:r>
          </w:p>
        </w:tc>
        <w:tc>
          <w:tcPr>
            <w:tcW w:w="6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06"/>
        </w:trPr>
        <w:tc>
          <w:tcPr>
            <w:tcW w:w="396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9,035</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3,399</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6,557</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1,884</w:t>
            </w:r>
          </w:p>
        </w:tc>
      </w:tr>
      <w:tr>
        <w:trPr>
          <w:trHeight w:val="193"/>
        </w:trPr>
        <w:tc>
          <w:tcPr>
            <w:tcW w:w="3960" w:type="dxa"/>
            <w:vAlign w:val="bottom"/>
            <w:shd w:val="clear" w:color="auto" w:fill="CCFFCC"/>
          </w:tcPr>
          <w:p>
            <w:pPr>
              <w:ind w:left="340"/>
              <w:spacing w:after="0" w:line="194" w:lineRule="exact"/>
              <w:rPr>
                <w:sz w:val="20"/>
                <w:szCs w:val="20"/>
                <w:color w:val="auto"/>
              </w:rPr>
            </w:pPr>
            <w:r>
              <w:rPr>
                <w:rFonts w:ascii="Arial" w:cs="Arial" w:eastAsia="Arial" w:hAnsi="Arial"/>
                <w:sz w:val="17"/>
                <w:szCs w:val="17"/>
                <w:color w:val="auto"/>
                <w:w w:val="99"/>
              </w:rPr>
              <w:t>Interest and exchange differences on short-term</w:t>
            </w:r>
          </w:p>
        </w:tc>
        <w:tc>
          <w:tcPr>
            <w:tcW w:w="6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296</w:t>
            </w:r>
          </w:p>
        </w:tc>
        <w:tc>
          <w:tcPr>
            <w:tcW w:w="1080" w:type="dxa"/>
            <w:vAlign w:val="bottom"/>
            <w:gridSpan w:val="3"/>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85</w:t>
            </w:r>
          </w:p>
        </w:tc>
      </w:tr>
      <w:tr>
        <w:trPr>
          <w:trHeight w:val="218"/>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deposits</w:t>
            </w:r>
          </w:p>
        </w:tc>
        <w:tc>
          <w:tcPr>
            <w:tcW w:w="6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3960" w:type="dxa"/>
            <w:vAlign w:val="bottom"/>
          </w:tcPr>
          <w:p>
            <w:pPr>
              <w:ind w:left="340"/>
              <w:spacing w:after="0" w:line="194" w:lineRule="exact"/>
              <w:rPr>
                <w:sz w:val="20"/>
                <w:szCs w:val="20"/>
                <w:color w:val="auto"/>
              </w:rPr>
            </w:pPr>
            <w:r>
              <w:rPr>
                <w:rFonts w:ascii="Arial" w:cs="Arial" w:eastAsia="Arial" w:hAnsi="Arial"/>
                <w:sz w:val="17"/>
                <w:szCs w:val="17"/>
                <w:color w:val="auto"/>
              </w:rPr>
              <w:t>Interest and exchange differences on restricted</w:t>
            </w:r>
          </w:p>
        </w:tc>
        <w:tc>
          <w:tcPr>
            <w:tcW w:w="8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156</w:t>
            </w:r>
          </w:p>
        </w:tc>
        <w:tc>
          <w:tcPr>
            <w:tcW w:w="98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rPr>
              <w:t>(204)</w:t>
            </w:r>
          </w:p>
        </w:tc>
        <w:tc>
          <w:tcPr>
            <w:tcW w:w="1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143</w:t>
            </w:r>
          </w:p>
        </w:tc>
        <w:tc>
          <w:tcPr>
            <w:tcW w:w="1080" w:type="dxa"/>
            <w:vAlign w:val="bottom"/>
            <w:gridSpan w:val="3"/>
          </w:tcPr>
          <w:p>
            <w:pPr>
              <w:jc w:val="right"/>
              <w:ind w:right="180"/>
              <w:spacing w:after="0" w:line="194" w:lineRule="exact"/>
              <w:rPr>
                <w:sz w:val="20"/>
                <w:szCs w:val="20"/>
                <w:color w:val="auto"/>
              </w:rPr>
            </w:pPr>
            <w:r>
              <w:rPr>
                <w:rFonts w:ascii="Arial" w:cs="Arial" w:eastAsia="Arial" w:hAnsi="Arial"/>
                <w:sz w:val="17"/>
                <w:szCs w:val="17"/>
                <w:color w:val="auto"/>
              </w:rPr>
              <w:t>41</w:t>
            </w:r>
          </w:p>
        </w:tc>
      </w:tr>
      <w:tr>
        <w:trPr>
          <w:trHeight w:val="217"/>
        </w:trPr>
        <w:tc>
          <w:tcPr>
            <w:tcW w:w="3960" w:type="dxa"/>
            <w:vAlign w:val="bottom"/>
          </w:tcPr>
          <w:p>
            <w:pPr>
              <w:ind w:left="520"/>
              <w:spacing w:after="0"/>
              <w:rPr>
                <w:sz w:val="20"/>
                <w:szCs w:val="20"/>
                <w:color w:val="auto"/>
              </w:rPr>
            </w:pPr>
            <w:r>
              <w:rPr>
                <w:rFonts w:ascii="Arial" w:cs="Arial" w:eastAsia="Arial" w:hAnsi="Arial"/>
                <w:sz w:val="17"/>
                <w:szCs w:val="17"/>
                <w:color w:val="auto"/>
              </w:rPr>
              <w:t>deposits</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39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13,813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3,004</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17,738</w:t>
            </w:r>
          </w:p>
        </w:tc>
        <w:tc>
          <w:tcPr>
            <w:tcW w:w="108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5,096</w:t>
            </w:r>
          </w:p>
        </w:tc>
      </w:tr>
      <w:tr>
        <w:trPr>
          <w:trHeight w:val="199"/>
        </w:trPr>
        <w:tc>
          <w:tcPr>
            <w:tcW w:w="3960" w:type="dxa"/>
            <w:vAlign w:val="bottom"/>
            <w:tcBorders>
              <w:top w:val="single" w:sz="8" w:color="CCFFCC"/>
            </w:tcBorders>
          </w:tcPr>
          <w:p>
            <w:pPr>
              <w:ind w:left="180"/>
              <w:spacing w:after="0"/>
              <w:rPr>
                <w:sz w:val="20"/>
                <w:szCs w:val="20"/>
                <w:color w:val="auto"/>
              </w:rPr>
            </w:pPr>
            <w:r>
              <w:rPr>
                <w:rFonts w:ascii="Arial" w:cs="Arial" w:eastAsia="Arial" w:hAnsi="Arial"/>
                <w:sz w:val="17"/>
                <w:szCs w:val="17"/>
                <w:b w:val="1"/>
                <w:bCs w:val="1"/>
                <w:color w:val="auto"/>
              </w:rPr>
              <w:t>Changes in operating asset and liability items:</w:t>
            </w: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r>
      <w:tr>
        <w:trPr>
          <w:trHeight w:val="193"/>
        </w:trPr>
        <w:tc>
          <w:tcPr>
            <w:tcW w:w="3960" w:type="dxa"/>
            <w:vAlign w:val="bottom"/>
            <w:shd w:val="clear" w:color="auto" w:fill="CCFFCC"/>
          </w:tcPr>
          <w:p>
            <w:pPr>
              <w:ind w:left="340"/>
              <w:spacing w:after="0" w:line="194" w:lineRule="exact"/>
              <w:rPr>
                <w:sz w:val="20"/>
                <w:szCs w:val="20"/>
                <w:color w:val="auto"/>
              </w:rPr>
            </w:pPr>
            <w:r>
              <w:rPr>
                <w:rFonts w:ascii="Arial" w:cs="Arial" w:eastAsia="Arial" w:hAnsi="Arial"/>
                <w:sz w:val="17"/>
                <w:szCs w:val="17"/>
                <w:color w:val="auto"/>
                <w:w w:val="97"/>
              </w:rPr>
              <w:t>Decrease (increase) in trade accounts receivable</w:t>
            </w:r>
          </w:p>
        </w:tc>
        <w:tc>
          <w:tcPr>
            <w:tcW w:w="82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color w:val="auto"/>
              </w:rPr>
              <w:t>(9,812)</w:t>
            </w:r>
          </w:p>
        </w:tc>
        <w:tc>
          <w:tcPr>
            <w:tcW w:w="980" w:type="dxa"/>
            <w:vAlign w:val="bottom"/>
            <w:gridSpan w:val="3"/>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(29,877)</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34,798</w:t>
            </w:r>
          </w:p>
        </w:tc>
        <w:tc>
          <w:tcPr>
            <w:tcW w:w="1080" w:type="dxa"/>
            <w:vAlign w:val="bottom"/>
            <w:gridSpan w:val="3"/>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9,996</w:t>
            </w:r>
          </w:p>
        </w:tc>
      </w:tr>
      <w:tr>
        <w:trPr>
          <w:trHeight w:val="218"/>
        </w:trPr>
        <w:tc>
          <w:tcPr>
            <w:tcW w:w="3960" w:type="dxa"/>
            <w:vAlign w:val="bottom"/>
            <w:shd w:val="clear" w:color="auto" w:fill="CCFFCC"/>
          </w:tcPr>
          <w:p>
            <w:pPr>
              <w:ind w:left="520"/>
              <w:spacing w:after="0"/>
              <w:rPr>
                <w:sz w:val="20"/>
                <w:szCs w:val="20"/>
                <w:color w:val="auto"/>
              </w:rPr>
            </w:pPr>
            <w:r>
              <w:rPr>
                <w:rFonts w:ascii="Arial" w:cs="Arial" w:eastAsia="Arial" w:hAnsi="Arial"/>
                <w:sz w:val="17"/>
                <w:szCs w:val="17"/>
                <w:color w:val="auto"/>
              </w:rPr>
              <w:t>and other receivables</w:t>
            </w:r>
          </w:p>
        </w:tc>
        <w:tc>
          <w:tcPr>
            <w:tcW w:w="6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193"/>
        </w:trPr>
        <w:tc>
          <w:tcPr>
            <w:tcW w:w="3960" w:type="dxa"/>
            <w:vAlign w:val="bottom"/>
          </w:tcPr>
          <w:p>
            <w:pPr>
              <w:ind w:left="340"/>
              <w:spacing w:after="0" w:line="194" w:lineRule="exact"/>
              <w:rPr>
                <w:sz w:val="20"/>
                <w:szCs w:val="20"/>
                <w:color w:val="auto"/>
              </w:rPr>
            </w:pPr>
            <w:r>
              <w:rPr>
                <w:rFonts w:ascii="Arial" w:cs="Arial" w:eastAsia="Arial" w:hAnsi="Arial"/>
                <w:sz w:val="17"/>
                <w:szCs w:val="17"/>
                <w:color w:val="auto"/>
              </w:rPr>
              <w:t>Increase (decrease) in accounts payable and</w:t>
            </w:r>
          </w:p>
        </w:tc>
        <w:tc>
          <w:tcPr>
            <w:tcW w:w="8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17,079</w:t>
            </w:r>
          </w:p>
        </w:tc>
        <w:tc>
          <w:tcPr>
            <w:tcW w:w="98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3,895</w:t>
            </w:r>
          </w:p>
        </w:tc>
        <w:tc>
          <w:tcPr>
            <w:tcW w:w="160" w:type="dxa"/>
            <w:vAlign w:val="bottom"/>
          </w:tcPr>
          <w:p>
            <w:pPr>
              <w:spacing w:after="0"/>
              <w:rPr>
                <w:sz w:val="16"/>
                <w:szCs w:val="16"/>
                <w:color w:val="auto"/>
              </w:rPr>
            </w:pPr>
          </w:p>
        </w:tc>
        <w:tc>
          <w:tcPr>
            <w:tcW w:w="8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(19,305)</w:t>
            </w:r>
          </w:p>
        </w:tc>
        <w:tc>
          <w:tcPr>
            <w:tcW w:w="108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(5,546)</w:t>
            </w:r>
          </w:p>
        </w:tc>
      </w:tr>
      <w:tr>
        <w:trPr>
          <w:trHeight w:val="217"/>
        </w:trPr>
        <w:tc>
          <w:tcPr>
            <w:tcW w:w="3960" w:type="dxa"/>
            <w:vAlign w:val="bottom"/>
          </w:tcPr>
          <w:p>
            <w:pPr>
              <w:ind w:left="520"/>
              <w:spacing w:after="0"/>
              <w:rPr>
                <w:sz w:val="20"/>
                <w:szCs w:val="20"/>
                <w:color w:val="auto"/>
              </w:rPr>
            </w:pPr>
            <w:r>
              <w:rPr>
                <w:rFonts w:ascii="Arial" w:cs="Arial" w:eastAsia="Arial" w:hAnsi="Arial"/>
                <w:sz w:val="17"/>
                <w:szCs w:val="17"/>
                <w:color w:val="auto"/>
              </w:rPr>
              <w:t>accruals</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39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7,267</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(25,982)</w:t>
            </w:r>
          </w:p>
        </w:tc>
        <w:tc>
          <w:tcPr>
            <w:tcW w:w="16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15,493</w:t>
            </w:r>
          </w:p>
        </w:tc>
        <w:tc>
          <w:tcPr>
            <w:tcW w:w="108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4,450</w:t>
            </w:r>
          </w:p>
        </w:tc>
      </w:tr>
      <w:tr>
        <w:trPr>
          <w:trHeight w:val="20"/>
        </w:trPr>
        <w:tc>
          <w:tcPr>
            <w:tcW w:w="39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9"/>
        </w:trPr>
        <w:tc>
          <w:tcPr>
            <w:tcW w:w="39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21,080</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(22,978)</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33,231</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9,546</w:t>
            </w:r>
          </w:p>
        </w:tc>
      </w:tr>
      <w:tr>
        <w:trPr>
          <w:trHeight w:val="20"/>
        </w:trPr>
        <w:tc>
          <w:tcPr>
            <w:tcW w:w="3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9"/>
        </w:trPr>
        <w:tc>
          <w:tcPr>
            <w:tcW w:w="3960" w:type="dxa"/>
            <w:vAlign w:val="bottom"/>
            <w:shd w:val="clear" w:color="auto" w:fill="CCFFCC"/>
          </w:tcPr>
          <w:p>
            <w:pPr>
              <w:spacing w:after="0" w:line="179" w:lineRule="exact"/>
              <w:rPr>
                <w:sz w:val="20"/>
                <w:szCs w:val="20"/>
                <w:color w:val="auto"/>
              </w:rPr>
            </w:pPr>
            <w:r>
              <w:rPr>
                <w:rFonts w:ascii="Arial" w:cs="Arial" w:eastAsia="Arial" w:hAnsi="Arial"/>
                <w:sz w:val="17"/>
                <w:szCs w:val="17"/>
                <w:b w:val="1"/>
                <w:bCs w:val="1"/>
                <w:color w:val="auto"/>
              </w:rPr>
              <w:t>Supplementary information on investing and</w:t>
            </w:r>
          </w:p>
        </w:tc>
        <w:tc>
          <w:tcPr>
            <w:tcW w:w="6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r>
      <w:tr>
        <w:trPr>
          <w:trHeight w:val="224"/>
        </w:trPr>
        <w:tc>
          <w:tcPr>
            <w:tcW w:w="3960" w:type="dxa"/>
            <w:vAlign w:val="bottom"/>
            <w:shd w:val="clear" w:color="auto" w:fill="CCFFCC"/>
          </w:tcPr>
          <w:p>
            <w:pPr>
              <w:ind w:left="180"/>
              <w:spacing w:after="0"/>
              <w:rPr>
                <w:sz w:val="20"/>
                <w:szCs w:val="20"/>
                <w:color w:val="auto"/>
              </w:rPr>
            </w:pPr>
            <w:r>
              <w:rPr>
                <w:rFonts w:ascii="Arial" w:cs="Arial" w:eastAsia="Arial" w:hAnsi="Arial"/>
                <w:sz w:val="17"/>
                <w:szCs w:val="17"/>
                <w:b w:val="1"/>
                <w:bCs w:val="1"/>
                <w:color w:val="auto"/>
              </w:rPr>
              <w:t>financing activities not involving cash flows:</w:t>
            </w:r>
          </w:p>
        </w:tc>
        <w:tc>
          <w:tcPr>
            <w:tcW w:w="6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193"/>
        </w:trPr>
        <w:tc>
          <w:tcPr>
            <w:tcW w:w="3960" w:type="dxa"/>
            <w:vAlign w:val="bottom"/>
          </w:tcPr>
          <w:p>
            <w:pPr>
              <w:ind w:left="340"/>
              <w:spacing w:after="0" w:line="194" w:lineRule="exact"/>
              <w:rPr>
                <w:sz w:val="20"/>
                <w:szCs w:val="20"/>
                <w:color w:val="auto"/>
              </w:rPr>
            </w:pPr>
            <w:r>
              <w:rPr>
                <w:rFonts w:ascii="Arial" w:cs="Arial" w:eastAsia="Arial" w:hAnsi="Arial"/>
                <w:sz w:val="17"/>
                <w:szCs w:val="17"/>
                <w:color w:val="auto"/>
              </w:rPr>
              <w:t>Credit received in connection with purchase of</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104</w:t>
            </w:r>
          </w:p>
        </w:tc>
        <w:tc>
          <w:tcPr>
            <w:tcW w:w="1080" w:type="dxa"/>
            <w:vAlign w:val="bottom"/>
            <w:gridSpan w:val="3"/>
          </w:tcPr>
          <w:p>
            <w:pPr>
              <w:jc w:val="right"/>
              <w:ind w:right="180"/>
              <w:spacing w:after="0" w:line="194" w:lineRule="exact"/>
              <w:rPr>
                <w:sz w:val="20"/>
                <w:szCs w:val="20"/>
                <w:color w:val="auto"/>
              </w:rPr>
            </w:pPr>
            <w:r>
              <w:rPr>
                <w:rFonts w:ascii="Arial" w:cs="Arial" w:eastAsia="Arial" w:hAnsi="Arial"/>
                <w:sz w:val="17"/>
                <w:szCs w:val="17"/>
                <w:color w:val="auto"/>
              </w:rPr>
              <w:t>30</w:t>
            </w:r>
          </w:p>
        </w:tc>
      </w:tr>
      <w:tr>
        <w:trPr>
          <w:trHeight w:val="217"/>
        </w:trPr>
        <w:tc>
          <w:tcPr>
            <w:tcW w:w="3960" w:type="dxa"/>
            <w:vAlign w:val="bottom"/>
          </w:tcPr>
          <w:p>
            <w:pPr>
              <w:ind w:left="520"/>
              <w:spacing w:after="0"/>
              <w:rPr>
                <w:sz w:val="20"/>
                <w:szCs w:val="20"/>
                <w:color w:val="auto"/>
              </w:rPr>
            </w:pPr>
            <w:r>
              <w:rPr>
                <w:rFonts w:ascii="Arial" w:cs="Arial" w:eastAsia="Arial" w:hAnsi="Arial"/>
                <w:sz w:val="17"/>
                <w:szCs w:val="17"/>
                <w:color w:val="auto"/>
              </w:rPr>
              <w:t>property and equipment</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6"/>
        </w:trPr>
        <w:tc>
          <w:tcPr>
            <w:tcW w:w="3960" w:type="dxa"/>
            <w:vAlign w:val="bottom"/>
            <w:shd w:val="clear" w:color="auto" w:fill="CCFFCC"/>
          </w:tcPr>
          <w:p>
            <w:pPr>
              <w:ind w:left="340"/>
              <w:spacing w:after="0" w:line="185" w:lineRule="exact"/>
              <w:rPr>
                <w:sz w:val="20"/>
                <w:szCs w:val="20"/>
                <w:color w:val="auto"/>
              </w:rPr>
            </w:pPr>
            <w:r>
              <w:rPr>
                <w:rFonts w:ascii="Arial" w:cs="Arial" w:eastAsia="Arial" w:hAnsi="Arial"/>
                <w:sz w:val="17"/>
                <w:szCs w:val="17"/>
                <w:color w:val="auto"/>
              </w:rPr>
              <w:t>Credit received in connection with purchase of</w:t>
            </w:r>
          </w:p>
        </w:tc>
        <w:tc>
          <w:tcPr>
            <w:tcW w:w="820" w:type="dxa"/>
            <w:vAlign w:val="bottom"/>
            <w:gridSpan w:val="2"/>
            <w:shd w:val="clear" w:color="auto" w:fill="CCFFCC"/>
          </w:tcPr>
          <w:p>
            <w:pPr>
              <w:jc w:val="right"/>
              <w:ind w:right="140"/>
              <w:spacing w:after="0" w:line="185" w:lineRule="exact"/>
              <w:rPr>
                <w:sz w:val="20"/>
                <w:szCs w:val="20"/>
                <w:color w:val="auto"/>
              </w:rPr>
            </w:pPr>
            <w:r>
              <w:rPr>
                <w:rFonts w:ascii="Arial" w:cs="Arial" w:eastAsia="Arial" w:hAnsi="Arial"/>
                <w:sz w:val="17"/>
                <w:szCs w:val="17"/>
                <w:color w:val="auto"/>
              </w:rPr>
              <w:t>238</w:t>
            </w:r>
          </w:p>
        </w:tc>
        <w:tc>
          <w:tcPr>
            <w:tcW w:w="980" w:type="dxa"/>
            <w:vAlign w:val="bottom"/>
            <w:gridSpan w:val="3"/>
            <w:shd w:val="clear" w:color="auto" w:fill="CCFFCC"/>
          </w:tcPr>
          <w:p>
            <w:pPr>
              <w:jc w:val="right"/>
              <w:ind w:right="120"/>
              <w:spacing w:after="0" w:line="185" w:lineRule="exact"/>
              <w:rPr>
                <w:sz w:val="20"/>
                <w:szCs w:val="20"/>
                <w:color w:val="auto"/>
              </w:rPr>
            </w:pPr>
            <w:r>
              <w:rPr>
                <w:rFonts w:ascii="Arial" w:cs="Arial" w:eastAsia="Arial" w:hAnsi="Arial"/>
                <w:sz w:val="17"/>
                <w:szCs w:val="17"/>
                <w:color w:val="auto"/>
              </w:rPr>
              <w:t>245</w:t>
            </w:r>
          </w:p>
        </w:tc>
        <w:tc>
          <w:tcPr>
            <w:tcW w:w="16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line="185" w:lineRule="exact"/>
              <w:rPr>
                <w:sz w:val="20"/>
                <w:szCs w:val="20"/>
                <w:color w:val="auto"/>
              </w:rPr>
            </w:pPr>
            <w:r>
              <w:rPr>
                <w:rFonts w:ascii="Arial" w:cs="Arial" w:eastAsia="Arial" w:hAnsi="Arial"/>
                <w:sz w:val="17"/>
                <w:szCs w:val="17"/>
                <w:color w:val="auto"/>
              </w:rPr>
              <w:t>100</w:t>
            </w:r>
          </w:p>
        </w:tc>
        <w:tc>
          <w:tcPr>
            <w:tcW w:w="1080" w:type="dxa"/>
            <w:vAlign w:val="bottom"/>
            <w:gridSpan w:val="3"/>
            <w:shd w:val="clear" w:color="auto" w:fill="CCFFCC"/>
          </w:tcPr>
          <w:p>
            <w:pPr>
              <w:jc w:val="right"/>
              <w:ind w:right="180"/>
              <w:spacing w:after="0" w:line="185" w:lineRule="exact"/>
              <w:rPr>
                <w:sz w:val="20"/>
                <w:szCs w:val="20"/>
                <w:color w:val="auto"/>
              </w:rPr>
            </w:pPr>
            <w:r>
              <w:rPr>
                <w:rFonts w:ascii="Arial" w:cs="Arial" w:eastAsia="Arial" w:hAnsi="Arial"/>
                <w:sz w:val="17"/>
                <w:szCs w:val="17"/>
                <w:color w:val="auto"/>
              </w:rPr>
              <w:t>29</w:t>
            </w:r>
          </w:p>
        </w:tc>
      </w:tr>
      <w:tr>
        <w:trPr>
          <w:trHeight w:val="257"/>
        </w:trPr>
        <w:tc>
          <w:tcPr>
            <w:tcW w:w="396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7"/>
                <w:szCs w:val="17"/>
                <w:color w:val="auto"/>
              </w:rPr>
              <w:t>intangible assets</w:t>
            </w:r>
          </w:p>
        </w:tc>
        <w:tc>
          <w:tcPr>
            <w:tcW w:w="68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r>
      <w:tr>
        <w:trPr>
          <w:trHeight w:val="198"/>
        </w:trPr>
        <w:tc>
          <w:tcPr>
            <w:tcW w:w="3960" w:type="dxa"/>
            <w:vAlign w:val="bottom"/>
          </w:tcPr>
          <w:p>
            <w:pPr>
              <w:ind w:left="340"/>
              <w:spacing w:after="0"/>
              <w:rPr>
                <w:sz w:val="20"/>
                <w:szCs w:val="20"/>
                <w:color w:val="auto"/>
              </w:rPr>
            </w:pPr>
            <w:r>
              <w:rPr>
                <w:rFonts w:ascii="Arial" w:cs="Arial" w:eastAsia="Arial" w:hAnsi="Arial"/>
                <w:sz w:val="17"/>
                <w:szCs w:val="17"/>
                <w:color w:val="auto"/>
              </w:rPr>
              <w:t>Warrants reclassified from liabilities to equity</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947</w:t>
            </w:r>
          </w:p>
        </w:tc>
        <w:tc>
          <w:tcPr>
            <w:tcW w:w="16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0"/>
        </w:trPr>
        <w:tc>
          <w:tcPr>
            <w:tcW w:w="3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9"/>
        </w:trPr>
        <w:tc>
          <w:tcPr>
            <w:tcW w:w="3960" w:type="dxa"/>
            <w:vAlign w:val="bottom"/>
            <w:shd w:val="clear" w:color="auto" w:fill="CCFFCC"/>
          </w:tcPr>
          <w:p>
            <w:pPr>
              <w:spacing w:after="0" w:line="179" w:lineRule="exact"/>
              <w:rPr>
                <w:sz w:val="20"/>
                <w:szCs w:val="20"/>
                <w:color w:val="auto"/>
              </w:rPr>
            </w:pPr>
            <w:r>
              <w:rPr>
                <w:rFonts w:ascii="Arial" w:cs="Arial" w:eastAsia="Arial" w:hAnsi="Arial"/>
                <w:sz w:val="17"/>
                <w:szCs w:val="17"/>
                <w:b w:val="1"/>
                <w:bCs w:val="1"/>
                <w:color w:val="auto"/>
                <w:w w:val="96"/>
              </w:rPr>
              <w:t>Supplementary information on interest received in</w:t>
            </w:r>
          </w:p>
        </w:tc>
        <w:tc>
          <w:tcPr>
            <w:tcW w:w="820" w:type="dxa"/>
            <w:vAlign w:val="bottom"/>
            <w:gridSpan w:val="2"/>
            <w:shd w:val="clear" w:color="auto" w:fill="CCFFCC"/>
          </w:tcPr>
          <w:p>
            <w:pPr>
              <w:jc w:val="right"/>
              <w:ind w:right="140"/>
              <w:spacing w:after="0" w:line="179" w:lineRule="exact"/>
              <w:rPr>
                <w:sz w:val="20"/>
                <w:szCs w:val="20"/>
                <w:color w:val="auto"/>
              </w:rPr>
            </w:pPr>
            <w:r>
              <w:rPr>
                <w:rFonts w:ascii="Arial" w:cs="Arial" w:eastAsia="Arial" w:hAnsi="Arial"/>
                <w:sz w:val="17"/>
                <w:szCs w:val="17"/>
                <w:color w:val="auto"/>
              </w:rPr>
              <w:t>3,901</w:t>
            </w:r>
          </w:p>
        </w:tc>
        <w:tc>
          <w:tcPr>
            <w:tcW w:w="980" w:type="dxa"/>
            <w:vAlign w:val="bottom"/>
            <w:gridSpan w:val="3"/>
            <w:shd w:val="clear" w:color="auto" w:fill="CCFFCC"/>
          </w:tcPr>
          <w:p>
            <w:pPr>
              <w:jc w:val="right"/>
              <w:ind w:right="120"/>
              <w:spacing w:after="0" w:line="179" w:lineRule="exact"/>
              <w:rPr>
                <w:sz w:val="20"/>
                <w:szCs w:val="20"/>
                <w:color w:val="auto"/>
              </w:rPr>
            </w:pPr>
            <w:r>
              <w:rPr>
                <w:rFonts w:ascii="Arial" w:cs="Arial" w:eastAsia="Arial" w:hAnsi="Arial"/>
                <w:sz w:val="17"/>
                <w:szCs w:val="17"/>
                <w:color w:val="auto"/>
              </w:rPr>
              <w:t>443</w:t>
            </w:r>
          </w:p>
        </w:tc>
        <w:tc>
          <w:tcPr>
            <w:tcW w:w="16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20"/>
              <w:spacing w:after="0" w:line="179" w:lineRule="exact"/>
              <w:rPr>
                <w:sz w:val="20"/>
                <w:szCs w:val="20"/>
                <w:color w:val="auto"/>
              </w:rPr>
            </w:pPr>
            <w:r>
              <w:rPr>
                <w:rFonts w:ascii="Arial" w:cs="Arial" w:eastAsia="Arial" w:hAnsi="Arial"/>
                <w:sz w:val="17"/>
                <w:szCs w:val="17"/>
                <w:color w:val="auto"/>
              </w:rPr>
              <w:t>1,013</w:t>
            </w:r>
          </w:p>
        </w:tc>
        <w:tc>
          <w:tcPr>
            <w:tcW w:w="1080" w:type="dxa"/>
            <w:vAlign w:val="bottom"/>
            <w:gridSpan w:val="3"/>
            <w:shd w:val="clear" w:color="auto" w:fill="CCFFCC"/>
          </w:tcPr>
          <w:p>
            <w:pPr>
              <w:jc w:val="right"/>
              <w:ind w:right="180"/>
              <w:spacing w:after="0" w:line="179" w:lineRule="exact"/>
              <w:rPr>
                <w:sz w:val="20"/>
                <w:szCs w:val="20"/>
                <w:color w:val="auto"/>
              </w:rPr>
            </w:pPr>
            <w:r>
              <w:rPr>
                <w:rFonts w:ascii="Arial" w:cs="Arial" w:eastAsia="Arial" w:hAnsi="Arial"/>
                <w:sz w:val="17"/>
                <w:szCs w:val="17"/>
                <w:color w:val="auto"/>
              </w:rPr>
              <w:t>291</w:t>
            </w:r>
          </w:p>
        </w:tc>
      </w:tr>
      <w:tr>
        <w:trPr>
          <w:trHeight w:val="263"/>
        </w:trPr>
        <w:tc>
          <w:tcPr>
            <w:tcW w:w="39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b w:val="1"/>
                <w:bCs w:val="1"/>
                <w:color w:val="auto"/>
              </w:rPr>
              <w:t>cash</w:t>
            </w:r>
          </w:p>
        </w:tc>
        <w:tc>
          <w:tcPr>
            <w:tcW w:w="68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-2278380</wp:posOffset>
            </wp:positionV>
            <wp:extent cx="4966335" cy="1390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-1477645</wp:posOffset>
            </wp:positionV>
            <wp:extent cx="496633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66335"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-489585</wp:posOffset>
            </wp:positionV>
            <wp:extent cx="4966335" cy="1962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66335" cy="1962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966335"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 — GENERAL INFORMATION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General</w:t>
      </w:r>
    </w:p>
    <w:p>
      <w:pPr>
        <w:spacing w:after="0" w:line="119" w:lineRule="exact"/>
        <w:rPr>
          <w:sz w:val="20"/>
          <w:szCs w:val="20"/>
          <w:color w:val="auto"/>
        </w:rPr>
      </w:pPr>
    </w:p>
    <w:p>
      <w:pPr>
        <w:jc w:val="both"/>
        <w:ind w:left="560" w:right="1019"/>
        <w:spacing w:after="0" w:line="278" w:lineRule="auto"/>
        <w:rPr>
          <w:sz w:val="20"/>
          <w:szCs w:val="20"/>
          <w:color w:val="auto"/>
        </w:rPr>
      </w:pPr>
      <w:r>
        <w:rPr>
          <w:rFonts w:ascii="Arial" w:cs="Arial" w:eastAsia="Arial" w:hAnsi="Arial"/>
          <w:sz w:val="17"/>
          <w:szCs w:val="17"/>
          <w:color w:val="auto"/>
        </w:rPr>
        <w:t>BioLineRx Ltd. (the “Company”) was incorporated and commenced operations in April 2003. The Company’s headquarters are in Jerusalem, Israel.</w:t>
      </w:r>
    </w:p>
    <w:p>
      <w:pPr>
        <w:spacing w:after="0" w:line="62" w:lineRule="exact"/>
        <w:rPr>
          <w:sz w:val="20"/>
          <w:szCs w:val="20"/>
          <w:color w:val="auto"/>
        </w:rPr>
      </w:pPr>
    </w:p>
    <w:p>
      <w:pPr>
        <w:jc w:val="both"/>
        <w:ind w:left="560" w:right="1019"/>
        <w:spacing w:after="0" w:line="265" w:lineRule="auto"/>
        <w:rPr>
          <w:sz w:val="20"/>
          <w:szCs w:val="20"/>
          <w:color w:val="auto"/>
        </w:rPr>
      </w:pPr>
      <w:r>
        <w:rPr>
          <w:rFonts w:ascii="Arial" w:cs="Arial" w:eastAsia="Arial" w:hAnsi="Arial"/>
          <w:sz w:val="17"/>
          <w:szCs w:val="17"/>
          <w:color w:val="auto"/>
        </w:rPr>
        <w:t>Since incorporation, the Company has been engaged, both independently and through its consolidated entities (collectively, the “Group”), in the development of therapeutics, from early-stage development to advanced clinical trials, for a wide range of medical needs.</w:t>
      </w:r>
    </w:p>
    <w:p>
      <w:pPr>
        <w:spacing w:after="0" w:line="73" w:lineRule="exact"/>
        <w:rPr>
          <w:sz w:val="20"/>
          <w:szCs w:val="20"/>
          <w:color w:val="auto"/>
        </w:rPr>
      </w:pPr>
    </w:p>
    <w:p>
      <w:pPr>
        <w:ind w:left="560" w:right="999"/>
        <w:spacing w:after="0" w:line="259" w:lineRule="auto"/>
        <w:rPr>
          <w:sz w:val="20"/>
          <w:szCs w:val="20"/>
          <w:color w:val="auto"/>
        </w:rPr>
      </w:pPr>
      <w:r>
        <w:rPr>
          <w:rFonts w:ascii="Arial" w:cs="Arial" w:eastAsia="Arial" w:hAnsi="Arial"/>
          <w:sz w:val="17"/>
          <w:szCs w:val="17"/>
          <w:color w:val="auto"/>
        </w:rPr>
        <w:t>In December 2004, the Company formed a limited partnership, BioLine Innovations Jerusalem L.P. (the “Partnership”), which commenced operations on January 1, 2005. The Company holds a 99% interest in the Partnership, with the remaining 1% held by a wholly-owned subsidiary of the Company, BioLine Innovations Ltd. (the “Subsidiary”). The Partnership was established to operate an industrial research and development center in an incubator located in Jerusalem (the “Incubator”) under an agreement with the State of Israel. See Note 12a(1).</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February 2007, the Company listed its securities on the Tel Aviv Stock Exchange (“TASE”) — see Note 9.</w:t>
      </w:r>
    </w:p>
    <w:p>
      <w:pPr>
        <w:spacing w:after="0" w:line="113" w:lineRule="exact"/>
        <w:rPr>
          <w:sz w:val="20"/>
          <w:szCs w:val="20"/>
          <w:color w:val="auto"/>
        </w:rPr>
      </w:pPr>
    </w:p>
    <w:p>
      <w:pPr>
        <w:ind w:left="560" w:right="1179"/>
        <w:spacing w:after="0" w:line="265" w:lineRule="auto"/>
        <w:rPr>
          <w:sz w:val="20"/>
          <w:szCs w:val="20"/>
          <w:color w:val="auto"/>
        </w:rPr>
      </w:pPr>
      <w:r>
        <w:rPr>
          <w:rFonts w:ascii="Arial" w:cs="Arial" w:eastAsia="Arial" w:hAnsi="Arial"/>
          <w:sz w:val="17"/>
          <w:szCs w:val="17"/>
          <w:color w:val="auto"/>
        </w:rPr>
        <w:t>In January 2008, the Company established a wholly-owned subsidiary, BioLineRx USA Inc., which serves as the Group’s business development arm in the United States. In January 2011, the Company announced its intention to transfer its business development activities to Israel.</w:t>
      </w:r>
    </w:p>
    <w:p>
      <w:pPr>
        <w:spacing w:after="0" w:line="73" w:lineRule="exact"/>
        <w:rPr>
          <w:sz w:val="20"/>
          <w:szCs w:val="20"/>
          <w:color w:val="auto"/>
        </w:rPr>
      </w:pPr>
    </w:p>
    <w:p>
      <w:pPr>
        <w:ind w:left="560" w:right="999"/>
        <w:spacing w:after="0" w:line="289" w:lineRule="auto"/>
        <w:rPr>
          <w:sz w:val="20"/>
          <w:szCs w:val="20"/>
          <w:color w:val="auto"/>
        </w:rPr>
      </w:pPr>
      <w:r>
        <w:rPr>
          <w:rFonts w:ascii="Arial" w:cs="Arial" w:eastAsia="Arial" w:hAnsi="Arial"/>
          <w:sz w:val="16"/>
          <w:szCs w:val="16"/>
          <w:color w:val="auto"/>
        </w:rPr>
        <w:t>As noted above, the Company has been engaged in the development of therapeutics since its incorporation. As of the date of these financial statements, the Company has succeeded in out-licensing two of its products. Nevertheless, the Company cannot determine with reasonable certainty if and when it will become profitable on a current basis.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Convenience translation into US dollars (“dollars” or “USD”)</w:t>
      </w:r>
    </w:p>
    <w:p>
      <w:pPr>
        <w:spacing w:after="0" w:line="119" w:lineRule="exact"/>
        <w:rPr>
          <w:sz w:val="20"/>
          <w:szCs w:val="20"/>
          <w:color w:val="auto"/>
        </w:rPr>
      </w:pPr>
    </w:p>
    <w:p>
      <w:pPr>
        <w:ind w:left="560" w:right="1119"/>
        <w:spacing w:after="0" w:line="261" w:lineRule="auto"/>
        <w:rPr>
          <w:sz w:val="20"/>
          <w:szCs w:val="20"/>
          <w:color w:val="auto"/>
        </w:rPr>
      </w:pPr>
      <w:r>
        <w:rPr>
          <w:rFonts w:ascii="Arial" w:cs="Arial" w:eastAsia="Arial" w:hAnsi="Arial"/>
          <w:sz w:val="17"/>
          <w:szCs w:val="17"/>
          <w:color w:val="auto"/>
        </w:rPr>
        <w:t>For the convenience of the reader, the reported New Israeli Shekel (NIS) amounts as of December 31, 2010 have been translated into dollars, at the representative rate of exchange on March 31, 2011 (USD 1 = NIS 3.481). The dollar amounts presented in these financial statements should not be construed as representing amounts that are receivable or payable in dollars or convertible into dollars, unless otherwise indicated.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Approval of consolidated financial statements</w:t>
      </w:r>
    </w:p>
    <w:p>
      <w:pPr>
        <w:spacing w:after="0" w:line="119" w:lineRule="exact"/>
        <w:rPr>
          <w:sz w:val="20"/>
          <w:szCs w:val="20"/>
          <w:color w:val="auto"/>
        </w:rPr>
      </w:pPr>
    </w:p>
    <w:p>
      <w:pPr>
        <w:ind w:left="560" w:right="1139"/>
        <w:spacing w:after="0" w:line="265" w:lineRule="auto"/>
        <w:rPr>
          <w:sz w:val="20"/>
          <w:szCs w:val="20"/>
          <w:color w:val="auto"/>
        </w:rPr>
      </w:pPr>
      <w:r>
        <w:rPr>
          <w:rFonts w:ascii="Arial" w:cs="Arial" w:eastAsia="Arial" w:hAnsi="Arial"/>
          <w:sz w:val="17"/>
          <w:szCs w:val="17"/>
          <w:color w:val="auto"/>
        </w:rPr>
        <w:t>The consolidated financial statements of the Company for the year ended December 31, 2010 were approved by the Board of Directors of the Company on March 27, 2011, and signed on its behalf by the Chairman of the Board, the Company’s Chief Executive Officer and the Company’s Chief Financial and Operating Officer.</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Basis of presentation</w:t>
      </w:r>
    </w:p>
    <w:p>
      <w:pPr>
        <w:spacing w:after="0" w:line="119" w:lineRule="exact"/>
        <w:rPr>
          <w:sz w:val="20"/>
          <w:szCs w:val="20"/>
          <w:color w:val="auto"/>
        </w:rPr>
      </w:pPr>
    </w:p>
    <w:p>
      <w:pPr>
        <w:ind w:left="560" w:right="1099"/>
        <w:spacing w:after="0" w:line="282" w:lineRule="auto"/>
        <w:rPr>
          <w:sz w:val="20"/>
          <w:szCs w:val="20"/>
          <w:color w:val="auto"/>
        </w:rPr>
      </w:pPr>
      <w:r>
        <w:rPr>
          <w:rFonts w:ascii="Arial" w:cs="Arial" w:eastAsia="Arial" w:hAnsi="Arial"/>
          <w:sz w:val="16"/>
          <w:szCs w:val="16"/>
          <w:color w:val="auto"/>
        </w:rPr>
        <w:t>The Company’s consolidated financial statements as of December 31, 2010 and 2009, and for each of the three years in the period ended December 31, 2010, have been prepared in accordance with International Financial Reporting Standards (“IFRS”), as issued by the International Accounting Standards Board (“IASB”). The significant accounting policies described below have been applied on a consistent basis for all years presented, unless noted otherwise.</w:t>
      </w:r>
    </w:p>
    <w:p>
      <w:pPr>
        <w:spacing w:after="0" w:line="61" w:lineRule="exact"/>
        <w:rPr>
          <w:sz w:val="20"/>
          <w:szCs w:val="20"/>
          <w:color w:val="auto"/>
        </w:rPr>
      </w:pPr>
    </w:p>
    <w:p>
      <w:pPr>
        <w:ind w:left="560" w:right="1159"/>
        <w:spacing w:after="0" w:line="265" w:lineRule="auto"/>
        <w:rPr>
          <w:sz w:val="20"/>
          <w:szCs w:val="20"/>
          <w:color w:val="auto"/>
        </w:rPr>
      </w:pPr>
      <w:r>
        <w:rPr>
          <w:rFonts w:ascii="Arial" w:cs="Arial" w:eastAsia="Arial" w:hAnsi="Arial"/>
          <w:sz w:val="17"/>
          <w:szCs w:val="17"/>
          <w:color w:val="auto"/>
        </w:rPr>
        <w:t>The consolidated financial statements have been prepared on the basis of historical cost, subject to adjustment of financial assets and liabilities to their fair value through profit or loss and adjustment of assets and liabilities in connection with retirement benefit obligations.</w:t>
      </w:r>
    </w:p>
    <w:p>
      <w:pPr>
        <w:spacing w:after="0" w:line="200" w:lineRule="exact"/>
        <w:rPr>
          <w:sz w:val="20"/>
          <w:szCs w:val="20"/>
          <w:color w:val="auto"/>
        </w:rPr>
      </w:pPr>
    </w:p>
    <w:p>
      <w:pPr>
        <w:spacing w:after="0" w:line="297"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2 — SIGNIFICANT ACCOUNTING POLICIES – (continued)</w:t>
      </w:r>
    </w:p>
    <w:p>
      <w:pPr>
        <w:spacing w:after="0" w:line="1" w:lineRule="exact"/>
        <w:rPr>
          <w:sz w:val="20"/>
          <w:szCs w:val="20"/>
          <w:color w:val="auto"/>
        </w:rPr>
      </w:pPr>
    </w:p>
    <w:p>
      <w:pPr>
        <w:ind w:left="560" w:right="999"/>
        <w:spacing w:after="0" w:line="278" w:lineRule="auto"/>
        <w:rPr>
          <w:sz w:val="20"/>
          <w:szCs w:val="20"/>
          <w:color w:val="auto"/>
        </w:rPr>
      </w:pPr>
      <w:r>
        <w:rPr>
          <w:rFonts w:ascii="Arial" w:cs="Arial" w:eastAsia="Arial" w:hAnsi="Arial"/>
          <w:sz w:val="17"/>
          <w:szCs w:val="17"/>
          <w:color w:val="auto"/>
        </w:rPr>
        <w:t>The Company classifies its expenses on the statement of comprehensive income (loss) based on the operating characteristics of such expenses. The Company’s annual operating cycle consists of a standard 12-month period.</w:t>
      </w:r>
    </w:p>
    <w:p>
      <w:pPr>
        <w:spacing w:after="0" w:line="62" w:lineRule="exact"/>
        <w:rPr>
          <w:sz w:val="20"/>
          <w:szCs w:val="20"/>
          <w:color w:val="auto"/>
        </w:rPr>
      </w:pPr>
    </w:p>
    <w:p>
      <w:pPr>
        <w:ind w:left="560" w:right="1119"/>
        <w:spacing w:after="0" w:line="259" w:lineRule="auto"/>
        <w:rPr>
          <w:sz w:val="20"/>
          <w:szCs w:val="20"/>
          <w:color w:val="auto"/>
        </w:rPr>
      </w:pPr>
      <w:r>
        <w:rPr>
          <w:rFonts w:ascii="Arial" w:cs="Arial" w:eastAsia="Arial" w:hAnsi="Arial"/>
          <w:sz w:val="17"/>
          <w:szCs w:val="17"/>
          <w:color w:val="auto"/>
        </w:rPr>
        <w:t>The preparation of financial statements in conformity with IFRS requires the use of certain critical accounting estimates. It also requires management to exercise its judgment in the process of applying the Group’s accounting policies. Areas involving a higher degree of judgment or complexity, or areas where assumptions and estimates are significant to the consolidated financial statements are disclosed in Note 4. Actual results may differ materially from estimates and assumptions used by the Group’s management.</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Consolidation of the financial statements</w:t>
      </w:r>
    </w:p>
    <w:p>
      <w:pPr>
        <w:spacing w:after="0" w:line="119" w:lineRule="exact"/>
        <w:rPr>
          <w:sz w:val="20"/>
          <w:szCs w:val="20"/>
          <w:color w:val="auto"/>
        </w:rPr>
      </w:pPr>
    </w:p>
    <w:p>
      <w:pPr>
        <w:ind w:left="560" w:right="1059"/>
        <w:spacing w:after="0" w:line="257" w:lineRule="auto"/>
        <w:rPr>
          <w:sz w:val="20"/>
          <w:szCs w:val="20"/>
          <w:color w:val="auto"/>
        </w:rPr>
      </w:pPr>
      <w:r>
        <w:rPr>
          <w:rFonts w:ascii="Arial" w:cs="Arial" w:eastAsia="Arial" w:hAnsi="Arial"/>
          <w:sz w:val="17"/>
          <w:szCs w:val="17"/>
          <w:color w:val="auto"/>
        </w:rPr>
        <w:t>Consolidated entities (the Partnership and the Subsidiaries) include all entities over which the Company has the power to govern the financial and operating policies, which generally involves holding more than 50% of the shares or interests conferring voting rights of the applicable entity. The existence and effect of potential voting rights that are currently exercisable or convertible are considered when assessing whether the Company controls an entity. Consolidated entities are fully consolidated from the date on which control of such entities is transferred to the Company and they are de-consolidated from the date that control ceases. The purchase method of accounting is used to account for the acquisition of subsidiaries by the Group.</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Functional and presentation currency</w:t>
      </w:r>
    </w:p>
    <w:p>
      <w:pPr>
        <w:spacing w:after="0" w:line="119" w:lineRule="exact"/>
        <w:rPr>
          <w:sz w:val="20"/>
          <w:szCs w:val="20"/>
          <w:color w:val="auto"/>
        </w:rPr>
      </w:pPr>
    </w:p>
    <w:p>
      <w:pPr>
        <w:ind w:left="560" w:right="1099"/>
        <w:spacing w:after="0" w:line="265" w:lineRule="auto"/>
        <w:rPr>
          <w:sz w:val="20"/>
          <w:szCs w:val="20"/>
          <w:color w:val="auto"/>
        </w:rPr>
      </w:pPr>
      <w:r>
        <w:rPr>
          <w:rFonts w:ascii="Arial" w:cs="Arial" w:eastAsia="Arial" w:hAnsi="Arial"/>
          <w:sz w:val="17"/>
          <w:szCs w:val="17"/>
          <w:color w:val="auto"/>
        </w:rPr>
        <w:t>Items included in the financial statements of each of the Group’s entities are measured using the currency of the primary economic environment in which each entity operates (the “functional currency”). The consolidated financial statements are presented in NIS, which is the Group’s functional and presentation currency.</w:t>
      </w:r>
    </w:p>
    <w:p>
      <w:pPr>
        <w:spacing w:after="0" w:line="73" w:lineRule="exact"/>
        <w:rPr>
          <w:sz w:val="20"/>
          <w:szCs w:val="20"/>
          <w:color w:val="auto"/>
        </w:rPr>
      </w:pPr>
    </w:p>
    <w:p>
      <w:pPr>
        <w:ind w:left="560" w:right="1019"/>
        <w:spacing w:after="0" w:line="282" w:lineRule="auto"/>
        <w:rPr>
          <w:sz w:val="20"/>
          <w:szCs w:val="20"/>
          <w:color w:val="auto"/>
        </w:rPr>
      </w:pPr>
      <w:r>
        <w:rPr>
          <w:rFonts w:ascii="Arial" w:cs="Arial" w:eastAsia="Arial" w:hAnsi="Arial"/>
          <w:sz w:val="16"/>
          <w:szCs w:val="16"/>
          <w:color w:val="auto"/>
        </w:rPr>
        <w:t>Transactions that are executed in currencies other than the Group’s functional currency (“foreign currency transactions”) are translated into the functional currency using the exchange rates prevailing at the date of each transaction. Foreign exchange gains and losses resulting from the settlement of such transactions and from the translation at year-end exchange rates of monetary assets and liabilities denominated in foreign currencies are recognized in profit or loss.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d.  Property and equipment</w:t>
      </w:r>
    </w:p>
    <w:p>
      <w:pPr>
        <w:spacing w:after="0" w:line="119" w:lineRule="exact"/>
        <w:rPr>
          <w:sz w:val="20"/>
          <w:szCs w:val="20"/>
          <w:color w:val="auto"/>
        </w:rPr>
      </w:pPr>
    </w:p>
    <w:p>
      <w:pPr>
        <w:ind w:left="560" w:right="1039"/>
        <w:spacing w:after="0" w:line="259" w:lineRule="auto"/>
        <w:rPr>
          <w:sz w:val="20"/>
          <w:szCs w:val="20"/>
          <w:color w:val="auto"/>
        </w:rPr>
      </w:pPr>
      <w:r>
        <w:rPr>
          <w:rFonts w:ascii="Arial" w:cs="Arial" w:eastAsia="Arial" w:hAnsi="Arial"/>
          <w:sz w:val="17"/>
          <w:szCs w:val="17"/>
          <w:color w:val="auto"/>
        </w:rPr>
        <w:t>Property and equipment are stated at historical cost less depreciation and related grants received from the Office of the Chief Scientist of the Israeli Ministry of Industry, Trade and Labor (the “OCS”). Historical cost includes expenditures that are directly attributable to the acquisition of the items. Assets are depreciated by the straight-line method over the estimated useful lives of the assets, provided that the Group’s management believes the residual values of the assets to be negligible,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40836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570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199"/>
        </w:trPr>
        <w:tc>
          <w:tcPr>
            <w:tcW w:w="5700" w:type="dxa"/>
            <w:vAlign w:val="bottom"/>
            <w:shd w:val="clear" w:color="auto" w:fill="CCFFCC"/>
          </w:tcPr>
          <w:p>
            <w:pPr>
              <w:spacing w:after="0"/>
              <w:rPr>
                <w:sz w:val="20"/>
                <w:szCs w:val="20"/>
                <w:color w:val="auto"/>
              </w:rPr>
            </w:pPr>
            <w:r>
              <w:rPr>
                <w:rFonts w:ascii="Arial" w:cs="Arial" w:eastAsia="Arial" w:hAnsi="Arial"/>
                <w:sz w:val="17"/>
                <w:szCs w:val="17"/>
                <w:color w:val="auto"/>
              </w:rPr>
              <w:t>Computers and communications equipment</w:t>
            </w:r>
          </w:p>
        </w:tc>
        <w:tc>
          <w:tcPr>
            <w:tcW w:w="3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20</w:t>
            </w:r>
          </w:p>
        </w:tc>
        <w:tc>
          <w:tcPr>
            <w:tcW w:w="400" w:type="dxa"/>
            <w:vAlign w:val="bottom"/>
            <w:shd w:val="clear" w:color="auto" w:fill="CCFFCC"/>
          </w:tcPr>
          <w:p>
            <w:pPr>
              <w:ind w:left="40"/>
              <w:spacing w:after="0"/>
              <w:rPr>
                <w:sz w:val="20"/>
                <w:szCs w:val="20"/>
                <w:color w:val="auto"/>
              </w:rPr>
            </w:pPr>
            <w:r>
              <w:rPr>
                <w:rFonts w:ascii="Arial" w:cs="Arial" w:eastAsia="Arial" w:hAnsi="Arial"/>
                <w:sz w:val="17"/>
                <w:szCs w:val="17"/>
                <w:color w:val="auto"/>
              </w:rPr>
              <w:t>– 33</w:t>
            </w:r>
          </w:p>
        </w:tc>
      </w:tr>
      <w:tr>
        <w:trPr>
          <w:trHeight w:val="206"/>
        </w:trPr>
        <w:tc>
          <w:tcPr>
            <w:tcW w:w="570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tcPr>
          <w:p>
            <w:pPr>
              <w:ind w:left="40"/>
              <w:spacing w:after="0"/>
              <w:rPr>
                <w:sz w:val="20"/>
                <w:szCs w:val="20"/>
                <w:color w:val="auto"/>
              </w:rPr>
            </w:pPr>
            <w:r>
              <w:rPr>
                <w:rFonts w:ascii="Arial" w:cs="Arial" w:eastAsia="Arial" w:hAnsi="Arial"/>
                <w:sz w:val="17"/>
                <w:szCs w:val="17"/>
                <w:color w:val="auto"/>
              </w:rPr>
              <w:t>– 15</w:t>
            </w:r>
          </w:p>
        </w:tc>
      </w:tr>
      <w:tr>
        <w:trPr>
          <w:trHeight w:val="206"/>
        </w:trPr>
        <w:tc>
          <w:tcPr>
            <w:tcW w:w="5700" w:type="dxa"/>
            <w:vAlign w:val="bottom"/>
            <w:shd w:val="clear" w:color="auto" w:fill="CCFFCC"/>
          </w:tcPr>
          <w:p>
            <w:pPr>
              <w:spacing w:after="0"/>
              <w:rPr>
                <w:sz w:val="20"/>
                <w:szCs w:val="20"/>
                <w:color w:val="auto"/>
              </w:rPr>
            </w:pPr>
            <w:r>
              <w:rPr>
                <w:rFonts w:ascii="Arial" w:cs="Arial" w:eastAsia="Arial" w:hAnsi="Arial"/>
                <w:sz w:val="17"/>
                <w:szCs w:val="17"/>
                <w:color w:val="auto"/>
              </w:rPr>
              <w:t>Laboratory equipment</w:t>
            </w:r>
          </w:p>
        </w:tc>
        <w:tc>
          <w:tcPr>
            <w:tcW w:w="3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w:t>
            </w:r>
          </w:p>
        </w:tc>
        <w:tc>
          <w:tcPr>
            <w:tcW w:w="400" w:type="dxa"/>
            <w:vAlign w:val="bottom"/>
            <w:shd w:val="clear" w:color="auto" w:fill="CCFFCC"/>
          </w:tcPr>
          <w:p>
            <w:pPr>
              <w:ind w:left="40"/>
              <w:spacing w:after="0"/>
              <w:rPr>
                <w:sz w:val="20"/>
                <w:szCs w:val="20"/>
                <w:color w:val="auto"/>
              </w:rPr>
            </w:pPr>
            <w:r>
              <w:rPr>
                <w:rFonts w:ascii="Arial" w:cs="Arial" w:eastAsia="Arial" w:hAnsi="Arial"/>
                <w:sz w:val="17"/>
                <w:szCs w:val="17"/>
                <w:color w:val="auto"/>
              </w:rPr>
              <w:t>– 20</w:t>
            </w:r>
          </w:p>
        </w:tc>
      </w:tr>
    </w:tbl>
    <w:p>
      <w:pPr>
        <w:spacing w:after="0" w:line="90" w:lineRule="exact"/>
        <w:rPr>
          <w:sz w:val="20"/>
          <w:szCs w:val="20"/>
          <w:color w:val="auto"/>
        </w:rPr>
      </w:pPr>
    </w:p>
    <w:p>
      <w:pPr>
        <w:ind w:left="560" w:right="1039"/>
        <w:spacing w:after="0" w:line="265" w:lineRule="auto"/>
        <w:rPr>
          <w:sz w:val="20"/>
          <w:szCs w:val="20"/>
          <w:color w:val="auto"/>
        </w:rPr>
      </w:pPr>
      <w:r>
        <w:rPr>
          <w:rFonts w:ascii="Arial" w:cs="Arial" w:eastAsia="Arial" w:hAnsi="Arial"/>
          <w:sz w:val="17"/>
          <w:szCs w:val="17"/>
          <w:color w:val="auto"/>
        </w:rPr>
        <w:t>The assets’ residual values, methods of depreciation and useful lives are reviewed, and adjusted, if appropriate, at each balance sheet date. An asset’s carrying amount is written down immediately to its recoverable amount if the asset’s carrying amount is greater than its estimated recoverable amount.</w:t>
      </w:r>
    </w:p>
    <w:p>
      <w:pPr>
        <w:spacing w:after="0" w:line="200" w:lineRule="exact"/>
        <w:rPr>
          <w:sz w:val="20"/>
          <w:szCs w:val="20"/>
          <w:color w:val="auto"/>
        </w:rPr>
      </w:pPr>
    </w:p>
    <w:p>
      <w:pPr>
        <w:spacing w:after="0" w:line="31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2 — SIGNIFICANT ACCOUNTING POLICIES – (continued)</w:t>
      </w:r>
    </w:p>
    <w:p>
      <w:pPr>
        <w:spacing w:after="0" w:line="1" w:lineRule="exact"/>
        <w:rPr>
          <w:sz w:val="20"/>
          <w:szCs w:val="20"/>
          <w:color w:val="auto"/>
        </w:rPr>
      </w:pPr>
    </w:p>
    <w:p>
      <w:pPr>
        <w:ind w:left="560" w:right="1379"/>
        <w:spacing w:after="0" w:line="278" w:lineRule="auto"/>
        <w:rPr>
          <w:sz w:val="20"/>
          <w:szCs w:val="20"/>
          <w:color w:val="auto"/>
        </w:rPr>
      </w:pPr>
      <w:r>
        <w:rPr>
          <w:rFonts w:ascii="Arial" w:cs="Arial" w:eastAsia="Arial" w:hAnsi="Arial"/>
          <w:sz w:val="17"/>
          <w:szCs w:val="17"/>
          <w:color w:val="auto"/>
        </w:rPr>
        <w:t>Leasehold improvements are amortized by the straight-line method over the term of the lease, which is shorter than the estimated useful life of the improvements.</w:t>
      </w:r>
    </w:p>
    <w:p>
      <w:pPr>
        <w:spacing w:after="0" w:line="62" w:lineRule="exact"/>
        <w:rPr>
          <w:sz w:val="20"/>
          <w:szCs w:val="20"/>
          <w:color w:val="auto"/>
        </w:rPr>
      </w:pPr>
    </w:p>
    <w:p>
      <w:pPr>
        <w:ind w:left="560" w:right="1739"/>
        <w:spacing w:after="0" w:line="278" w:lineRule="auto"/>
        <w:rPr>
          <w:sz w:val="20"/>
          <w:szCs w:val="20"/>
          <w:color w:val="auto"/>
        </w:rPr>
      </w:pPr>
      <w:r>
        <w:rPr>
          <w:rFonts w:ascii="Arial" w:cs="Arial" w:eastAsia="Arial" w:hAnsi="Arial"/>
          <w:sz w:val="17"/>
          <w:szCs w:val="17"/>
          <w:color w:val="auto"/>
        </w:rPr>
        <w:t>Grants received from the OCS are recognized in profit or loss over the life of a depreciable asset as a reduction in depreciation expense.</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  Intangible assets</w:t>
      </w:r>
    </w:p>
    <w:p>
      <w:pPr>
        <w:spacing w:after="0" w:line="119" w:lineRule="exact"/>
        <w:rPr>
          <w:sz w:val="20"/>
          <w:szCs w:val="20"/>
          <w:color w:val="auto"/>
        </w:rPr>
      </w:pPr>
    </w:p>
    <w:p>
      <w:pPr>
        <w:ind w:left="560" w:right="1079"/>
        <w:spacing w:after="0" w:line="347" w:lineRule="auto"/>
        <w:rPr>
          <w:sz w:val="20"/>
          <w:szCs w:val="20"/>
          <w:color w:val="auto"/>
        </w:rPr>
      </w:pPr>
      <w:r>
        <w:rPr>
          <w:rFonts w:ascii="Arial" w:cs="Arial" w:eastAsia="Arial" w:hAnsi="Arial"/>
          <w:sz w:val="15"/>
          <w:szCs w:val="15"/>
          <w:color w:val="auto"/>
        </w:rPr>
        <w:t>The Group applies the cost method of accounting in subsequent measurements of intangible assets. Under this method of accounting, intangible assets are carried at cost less any accumulated amortization and any accumulated impairment losses.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Intellectual property</w:t>
      </w:r>
    </w:p>
    <w:p>
      <w:pPr>
        <w:spacing w:after="0" w:line="113" w:lineRule="exact"/>
        <w:rPr>
          <w:sz w:val="20"/>
          <w:szCs w:val="20"/>
          <w:color w:val="auto"/>
        </w:rPr>
      </w:pPr>
    </w:p>
    <w:p>
      <w:pPr>
        <w:ind w:left="560" w:right="1039"/>
        <w:spacing w:after="0" w:line="265" w:lineRule="auto"/>
        <w:rPr>
          <w:sz w:val="20"/>
          <w:szCs w:val="20"/>
          <w:color w:val="auto"/>
        </w:rPr>
      </w:pPr>
      <w:r>
        <w:rPr>
          <w:rFonts w:ascii="Arial" w:cs="Arial" w:eastAsia="Arial" w:hAnsi="Arial"/>
          <w:sz w:val="17"/>
          <w:szCs w:val="17"/>
          <w:color w:val="auto"/>
        </w:rPr>
        <w:t>The Group recognizes in its financial statements intangible assets developed by the Group to the extent that the conditions stipulated in q. below are met. Intellectual property acquired by the Group is initially measured at cost. Intellectual property acquired by the Group is not amortized and is tested annually for impairment. See f. below.</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Computer software</w:t>
      </w:r>
    </w:p>
    <w:p>
      <w:pPr>
        <w:spacing w:after="0" w:line="113" w:lineRule="exact"/>
        <w:rPr>
          <w:sz w:val="20"/>
          <w:szCs w:val="20"/>
          <w:color w:val="auto"/>
        </w:rPr>
      </w:pPr>
    </w:p>
    <w:p>
      <w:pPr>
        <w:ind w:left="560" w:right="1539"/>
        <w:spacing w:after="0" w:line="347" w:lineRule="auto"/>
        <w:rPr>
          <w:sz w:val="20"/>
          <w:szCs w:val="20"/>
          <w:color w:val="auto"/>
        </w:rPr>
      </w:pPr>
      <w:r>
        <w:rPr>
          <w:rFonts w:ascii="Arial" w:cs="Arial" w:eastAsia="Arial" w:hAnsi="Arial"/>
          <w:sz w:val="15"/>
          <w:szCs w:val="15"/>
          <w:color w:val="auto"/>
        </w:rPr>
        <w:t>Acquired computer software licenses are capitalized on the basis of the costs incurred to acquire and bring to use the specific software. These costs are amortized over the estimated useful lives of the software programs (3 – 5 years).</w:t>
      </w:r>
    </w:p>
    <w:p>
      <w:pPr>
        <w:spacing w:after="0" w:line="10"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f.</w:t>
      </w:r>
      <w:r>
        <w:rPr>
          <w:sz w:val="20"/>
          <w:szCs w:val="20"/>
          <w:color w:val="auto"/>
        </w:rPr>
        <w:tab/>
      </w:r>
      <w:r>
        <w:rPr>
          <w:rFonts w:ascii="Arial" w:cs="Arial" w:eastAsia="Arial" w:hAnsi="Arial"/>
          <w:sz w:val="15"/>
          <w:szCs w:val="15"/>
          <w:b w:val="1"/>
          <w:bCs w:val="1"/>
          <w:color w:val="auto"/>
        </w:rPr>
        <w:t>Impairment of non-financial assets</w:t>
      </w:r>
    </w:p>
    <w:p>
      <w:pPr>
        <w:spacing w:after="0" w:line="119" w:lineRule="exact"/>
        <w:rPr>
          <w:sz w:val="20"/>
          <w:szCs w:val="20"/>
          <w:color w:val="auto"/>
        </w:rPr>
      </w:pPr>
    </w:p>
    <w:p>
      <w:pPr>
        <w:ind w:left="560" w:right="1019"/>
        <w:spacing w:after="0" w:line="257" w:lineRule="auto"/>
        <w:rPr>
          <w:sz w:val="20"/>
          <w:szCs w:val="20"/>
          <w:color w:val="auto"/>
        </w:rPr>
      </w:pPr>
      <w:r>
        <w:rPr>
          <w:rFonts w:ascii="Arial" w:cs="Arial" w:eastAsia="Arial" w:hAnsi="Arial"/>
          <w:sz w:val="17"/>
          <w:szCs w:val="17"/>
          <w:color w:val="auto"/>
        </w:rPr>
        <w:t>Intangible assets are tested annually for impairment, except for computer software that is amortized, as detailed in 2e above. In addition, impairment testing of intellectual property is required when the Group decides to terminate or suspend the development of a project based on such intellectual property. Property and equipment, as well as computer software, are tested for impairment whenever events or changes in circumstances indicate that the carrying amount may not be recoverable. An impairment loss is recognized equal to the amount by which the asset’s carrying amount exceeds its recoverable amount. The recoverable amount is the higher of an asset’s fair value less costs to sell and the asset’s value in use to the Group.</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g.  Government grants</w:t>
      </w:r>
    </w:p>
    <w:p>
      <w:pPr>
        <w:spacing w:after="0" w:line="119" w:lineRule="exact"/>
        <w:rPr>
          <w:sz w:val="20"/>
          <w:szCs w:val="20"/>
          <w:color w:val="auto"/>
        </w:rPr>
      </w:pPr>
    </w:p>
    <w:p>
      <w:pPr>
        <w:ind w:left="560" w:right="1199"/>
        <w:spacing w:after="0" w:line="278" w:lineRule="auto"/>
        <w:rPr>
          <w:sz w:val="20"/>
          <w:szCs w:val="20"/>
          <w:color w:val="auto"/>
        </w:rPr>
      </w:pPr>
      <w:r>
        <w:rPr>
          <w:rFonts w:ascii="Arial" w:cs="Arial" w:eastAsia="Arial" w:hAnsi="Arial"/>
          <w:sz w:val="17"/>
          <w:szCs w:val="17"/>
          <w:color w:val="auto"/>
        </w:rPr>
        <w:t>Government grants are recognized at fair value, whenever it is probable that the grant will be received and that the Group will comply with all the conditions in respect thereof.</w:t>
      </w:r>
    </w:p>
    <w:p>
      <w:pPr>
        <w:spacing w:after="0" w:line="62" w:lineRule="exact"/>
        <w:rPr>
          <w:sz w:val="20"/>
          <w:szCs w:val="20"/>
          <w:color w:val="auto"/>
        </w:rPr>
      </w:pPr>
    </w:p>
    <w:p>
      <w:pPr>
        <w:ind w:left="560" w:right="1159"/>
        <w:spacing w:after="0" w:line="278" w:lineRule="auto"/>
        <w:rPr>
          <w:sz w:val="20"/>
          <w:szCs w:val="20"/>
          <w:color w:val="auto"/>
        </w:rPr>
      </w:pPr>
      <w:r>
        <w:rPr>
          <w:rFonts w:ascii="Arial" w:cs="Arial" w:eastAsia="Arial" w:hAnsi="Arial"/>
          <w:sz w:val="17"/>
          <w:szCs w:val="17"/>
          <w:color w:val="auto"/>
        </w:rPr>
        <w:t>Government grants related to periodic costs are deferred and recognized in profit or loss over the period required to match the related costs.</w:t>
      </w:r>
    </w:p>
    <w:p>
      <w:pPr>
        <w:spacing w:after="0" w:line="62" w:lineRule="exact"/>
        <w:rPr>
          <w:sz w:val="20"/>
          <w:szCs w:val="20"/>
          <w:color w:val="auto"/>
        </w:rPr>
      </w:pPr>
    </w:p>
    <w:p>
      <w:pPr>
        <w:ind w:left="560" w:right="1019"/>
        <w:spacing w:after="0" w:line="278" w:lineRule="auto"/>
        <w:rPr>
          <w:sz w:val="20"/>
          <w:szCs w:val="20"/>
          <w:color w:val="auto"/>
        </w:rPr>
      </w:pPr>
      <w:r>
        <w:rPr>
          <w:rFonts w:ascii="Arial" w:cs="Arial" w:eastAsia="Arial" w:hAnsi="Arial"/>
          <w:sz w:val="17"/>
          <w:szCs w:val="17"/>
          <w:color w:val="auto"/>
        </w:rPr>
        <w:t>Government grants related to fixed assets are recorded as a reduction in the book value of the related assets, and are charged to profit and loss in accordance with the straight-line method.</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2 — SIGNIFICANT ACCOUNTING POLICIES – (continued)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h.  Financial assets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  Classification</w:t>
      </w:r>
    </w:p>
    <w:p>
      <w:pPr>
        <w:spacing w:after="0" w:line="113" w:lineRule="exact"/>
        <w:rPr>
          <w:sz w:val="20"/>
          <w:szCs w:val="20"/>
          <w:color w:val="auto"/>
        </w:rPr>
      </w:pPr>
    </w:p>
    <w:p>
      <w:pPr>
        <w:ind w:left="820" w:right="1299"/>
        <w:spacing w:after="0" w:line="265" w:lineRule="auto"/>
        <w:rPr>
          <w:sz w:val="20"/>
          <w:szCs w:val="20"/>
          <w:color w:val="auto"/>
        </w:rPr>
      </w:pPr>
      <w:r>
        <w:rPr>
          <w:rFonts w:ascii="Arial" w:cs="Arial" w:eastAsia="Arial" w:hAnsi="Arial"/>
          <w:sz w:val="17"/>
          <w:szCs w:val="17"/>
          <w:color w:val="auto"/>
        </w:rPr>
        <w:t>The Group classifies its financial assets in the following categories: at fair value through profit or loss and loans and receivables. The classification depends on the purpose for which each financial asset was acquired. The Group’s management determines the classification of financial assets at initial recognition:</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  Financial assets at fair value through profit or loss</w:t>
      </w:r>
    </w:p>
    <w:p>
      <w:pPr>
        <w:spacing w:after="0" w:line="113" w:lineRule="exact"/>
        <w:rPr>
          <w:sz w:val="20"/>
          <w:szCs w:val="20"/>
          <w:color w:val="auto"/>
        </w:rPr>
      </w:pPr>
    </w:p>
    <w:p>
      <w:pPr>
        <w:ind w:left="1080" w:right="1039"/>
        <w:spacing w:after="0" w:line="255" w:lineRule="auto"/>
        <w:rPr>
          <w:sz w:val="20"/>
          <w:szCs w:val="20"/>
          <w:color w:val="auto"/>
        </w:rPr>
      </w:pPr>
      <w:r>
        <w:rPr>
          <w:rFonts w:ascii="Arial" w:cs="Arial" w:eastAsia="Arial" w:hAnsi="Arial"/>
          <w:sz w:val="17"/>
          <w:szCs w:val="17"/>
          <w:color w:val="auto"/>
        </w:rPr>
        <w:t>A financial asset is classified in this category if management has designated it as a financial asset upon initial recognition, because it is managed and its performance is evaluated on a fair-value basis in accordance with a documented risk management or investment strategy. The Group’s investment policy with regard to its excess cash, as adopted by the Company’s Board of Directors, is composed of the following objectives: (i) preserving investment principal, (ii) providing liquidity and (iii) providing optimum yields pursuant to the policy guidelines and market conditions. The policy provides detailed guidelines as to the securities and other financial instruments in which the Group is allowed to invest. In addition, in order to maintain liquidity, investments are structured to provide flexibility to liquidate at least 50% of all investments within 15 business days. Information about these assets, including details of the portfolio and income earned, is provided internally on a quarterly basis to the Group’s key management personnel. Any divergence from this investment policy requires approval from the Company’s Board of Directors.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b)  Loans and receivables</w:t>
      </w:r>
    </w:p>
    <w:p>
      <w:pPr>
        <w:spacing w:after="0" w:line="113" w:lineRule="exact"/>
        <w:rPr>
          <w:sz w:val="20"/>
          <w:szCs w:val="20"/>
          <w:color w:val="auto"/>
        </w:rPr>
      </w:pPr>
    </w:p>
    <w:p>
      <w:pPr>
        <w:ind w:left="1080" w:right="1039"/>
        <w:spacing w:after="0" w:line="279" w:lineRule="auto"/>
        <w:rPr>
          <w:sz w:val="20"/>
          <w:szCs w:val="20"/>
          <w:color w:val="auto"/>
        </w:rPr>
      </w:pPr>
      <w:r>
        <w:rPr>
          <w:rFonts w:ascii="Arial" w:cs="Arial" w:eastAsia="Arial" w:hAnsi="Arial"/>
          <w:sz w:val="16"/>
          <w:szCs w:val="16"/>
          <w:color w:val="auto"/>
        </w:rPr>
        <w:t>Loans and receivables are non-derivative financial assets with fixed or determinable payments that are not quoted in an active market. These assets are included in current assets, except for installments which are due more than 12 months subsequent to the balance sheet date. Such installments are included in non-current assets. The Group’s loans and receivables include “accounts receivable,” “cash and cash equivalents,” “short-term investments,” “restricted deposits” and “bank loans” in the balance sheet. See Notes 2i, 2j and 2k.</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  Recognition and measurement</w:t>
      </w:r>
    </w:p>
    <w:p>
      <w:pPr>
        <w:spacing w:after="0" w:line="113" w:lineRule="exact"/>
        <w:rPr>
          <w:sz w:val="20"/>
          <w:szCs w:val="20"/>
          <w:color w:val="auto"/>
        </w:rPr>
      </w:pPr>
    </w:p>
    <w:p>
      <w:pPr>
        <w:ind w:left="820" w:right="999"/>
        <w:spacing w:after="0" w:line="256" w:lineRule="auto"/>
        <w:rPr>
          <w:sz w:val="20"/>
          <w:szCs w:val="20"/>
          <w:color w:val="auto"/>
        </w:rPr>
      </w:pPr>
      <w:r>
        <w:rPr>
          <w:rFonts w:ascii="Arial" w:cs="Arial" w:eastAsia="Arial" w:hAnsi="Arial"/>
          <w:sz w:val="17"/>
          <w:szCs w:val="17"/>
          <w:color w:val="auto"/>
        </w:rPr>
        <w:t>Regular purchases and sales of financial assets are recognized on the trade-date — the date on which the Group commits to purchase or sell the asset. Investments are initially recognized at fair value plus transaction costs for all financial assets not carried at fair value through profit or loss. Financial assets carried at fair value through profit or loss are initially recognized at fair value, and transaction costs are expensed in the income statement. Financial assets are de-recognized when the rights to receive cash flows from the investments have expired or have been transferred and the Group has transferred substantially all risks and rewards of ownership. Financial assets at fair value through profit or loss are subsequently carried at fair value. Loans and receivables are subsequently carried at amortized cost using the effective interest method.</w:t>
      </w:r>
    </w:p>
    <w:p>
      <w:pPr>
        <w:spacing w:after="0" w:line="81" w:lineRule="exact"/>
        <w:rPr>
          <w:sz w:val="20"/>
          <w:szCs w:val="20"/>
          <w:color w:val="auto"/>
        </w:rPr>
      </w:pPr>
    </w:p>
    <w:p>
      <w:pPr>
        <w:ind w:left="820" w:right="1139"/>
        <w:spacing w:after="0" w:line="261" w:lineRule="auto"/>
        <w:rPr>
          <w:sz w:val="20"/>
          <w:szCs w:val="20"/>
          <w:color w:val="auto"/>
        </w:rPr>
      </w:pPr>
      <w:r>
        <w:rPr>
          <w:rFonts w:ascii="Arial" w:cs="Arial" w:eastAsia="Arial" w:hAnsi="Arial"/>
          <w:sz w:val="17"/>
          <w:szCs w:val="17"/>
          <w:color w:val="auto"/>
        </w:rPr>
        <w:t>Gains or losses arising from changes in the fair value of the “financial assets at fair value through profit or loss” category are presented in the income statement within “other (losses)/gains — net” in the period in which they arise. Dividend income from financial assets at fair value through profit or loss is recognized in the income statement as part of other income when the Group’s right to receive payments is established.</w:t>
      </w:r>
    </w:p>
    <w:p>
      <w:pPr>
        <w:spacing w:after="0" w:line="200" w:lineRule="exact"/>
        <w:rPr>
          <w:sz w:val="20"/>
          <w:szCs w:val="20"/>
          <w:color w:val="auto"/>
        </w:rPr>
      </w:pPr>
    </w:p>
    <w:p>
      <w:pPr>
        <w:spacing w:after="0" w:line="31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2 — SIGNIFICANT ACCOUNTING POLICIES – (continued)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  Offsetting financial instruments</w:t>
      </w:r>
    </w:p>
    <w:p>
      <w:pPr>
        <w:spacing w:after="0" w:line="113" w:lineRule="exact"/>
        <w:rPr>
          <w:sz w:val="20"/>
          <w:szCs w:val="20"/>
          <w:color w:val="auto"/>
        </w:rPr>
      </w:pPr>
    </w:p>
    <w:p>
      <w:pPr>
        <w:ind w:left="820" w:right="1279"/>
        <w:spacing w:after="0" w:line="265" w:lineRule="auto"/>
        <w:rPr>
          <w:sz w:val="20"/>
          <w:szCs w:val="20"/>
          <w:color w:val="auto"/>
        </w:rPr>
      </w:pPr>
      <w:r>
        <w:rPr>
          <w:rFonts w:ascii="Arial" w:cs="Arial" w:eastAsia="Arial" w:hAnsi="Arial"/>
          <w:sz w:val="17"/>
          <w:szCs w:val="17"/>
          <w:color w:val="auto"/>
        </w:rPr>
        <w:t>Financial assets and liabilities are offset and the net amount reported in the balance sheet when there is a legally enforceable right to offset the recognized amounts and there is an intention to settle on a net basis or realize the asset and settle the liability simultaneously.</w:t>
      </w:r>
    </w:p>
    <w:p>
      <w:pPr>
        <w:spacing w:after="0" w:line="67"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i.</w:t>
      </w:r>
      <w:r>
        <w:rPr>
          <w:sz w:val="20"/>
          <w:szCs w:val="20"/>
          <w:color w:val="auto"/>
        </w:rPr>
        <w:tab/>
      </w:r>
      <w:r>
        <w:rPr>
          <w:rFonts w:ascii="Arial" w:cs="Arial" w:eastAsia="Arial" w:hAnsi="Arial"/>
          <w:sz w:val="15"/>
          <w:szCs w:val="15"/>
          <w:b w:val="1"/>
          <w:bCs w:val="1"/>
          <w:color w:val="auto"/>
        </w:rPr>
        <w:t>Cash equivalents</w:t>
      </w:r>
    </w:p>
    <w:p>
      <w:pPr>
        <w:spacing w:after="0" w:line="119" w:lineRule="exact"/>
        <w:rPr>
          <w:sz w:val="20"/>
          <w:szCs w:val="20"/>
          <w:color w:val="auto"/>
        </w:rPr>
      </w:pPr>
    </w:p>
    <w:p>
      <w:pPr>
        <w:jc w:val="both"/>
        <w:ind w:left="560" w:right="1139"/>
        <w:spacing w:after="0" w:line="265" w:lineRule="auto"/>
        <w:rPr>
          <w:sz w:val="20"/>
          <w:szCs w:val="20"/>
          <w:color w:val="auto"/>
        </w:rPr>
      </w:pPr>
      <w:r>
        <w:rPr>
          <w:rFonts w:ascii="Arial" w:cs="Arial" w:eastAsia="Arial" w:hAnsi="Arial"/>
          <w:sz w:val="17"/>
          <w:szCs w:val="17"/>
          <w:color w:val="auto"/>
        </w:rPr>
        <w:t>In the consolidated statement of cash flows, cash and cash equivalents includes cash on hand and short-term bank deposits (up to three months from date of deposit) that are not restricted as to withdrawal or use, and are therefore considered to be cash equivalents.</w:t>
      </w:r>
    </w:p>
    <w:p>
      <w:pPr>
        <w:spacing w:after="0" w:line="67"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j.</w:t>
      </w:r>
      <w:r>
        <w:rPr>
          <w:sz w:val="20"/>
          <w:szCs w:val="20"/>
          <w:color w:val="auto"/>
        </w:rPr>
        <w:tab/>
      </w:r>
      <w:r>
        <w:rPr>
          <w:rFonts w:ascii="Arial" w:cs="Arial" w:eastAsia="Arial" w:hAnsi="Arial"/>
          <w:sz w:val="14"/>
          <w:szCs w:val="14"/>
          <w:b w:val="1"/>
          <w:bCs w:val="1"/>
          <w:color w:val="auto"/>
        </w:rPr>
        <w:t>Restricted deposits</w:t>
      </w:r>
    </w:p>
    <w:p>
      <w:pPr>
        <w:spacing w:after="0" w:line="119" w:lineRule="exact"/>
        <w:rPr>
          <w:sz w:val="20"/>
          <w:szCs w:val="20"/>
          <w:color w:val="auto"/>
        </w:rPr>
      </w:pPr>
    </w:p>
    <w:p>
      <w:pPr>
        <w:ind w:left="560" w:right="999"/>
        <w:spacing w:after="0" w:line="347" w:lineRule="auto"/>
        <w:rPr>
          <w:sz w:val="20"/>
          <w:szCs w:val="20"/>
          <w:color w:val="auto"/>
        </w:rPr>
      </w:pPr>
      <w:r>
        <w:rPr>
          <w:rFonts w:ascii="Arial" w:cs="Arial" w:eastAsia="Arial" w:hAnsi="Arial"/>
          <w:sz w:val="15"/>
          <w:szCs w:val="15"/>
          <w:color w:val="auto"/>
        </w:rPr>
        <w:t>The Company has placed a lien on NIS and dollar deposits in banks to secure its liabilities to various parties. Those deposits are presented separately as non-current assets, in accordance with the timing of the restriction. See Note 12b(1).</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k.  Trade receivables</w:t>
      </w:r>
    </w:p>
    <w:p>
      <w:pPr>
        <w:spacing w:after="0" w:line="119" w:lineRule="exact"/>
        <w:rPr>
          <w:sz w:val="20"/>
          <w:szCs w:val="20"/>
          <w:color w:val="auto"/>
        </w:rPr>
      </w:pPr>
    </w:p>
    <w:p>
      <w:pPr>
        <w:jc w:val="both"/>
        <w:ind w:left="560" w:right="1199"/>
        <w:spacing w:after="0" w:line="317" w:lineRule="auto"/>
        <w:rPr>
          <w:sz w:val="20"/>
          <w:szCs w:val="20"/>
          <w:color w:val="auto"/>
        </w:rPr>
      </w:pPr>
      <w:r>
        <w:rPr>
          <w:rFonts w:ascii="Arial" w:cs="Arial" w:eastAsia="Arial" w:hAnsi="Arial"/>
          <w:sz w:val="15"/>
          <w:szCs w:val="15"/>
          <w:color w:val="auto"/>
        </w:rPr>
        <w:t>Trade receivable balances relate to amounts receivable from customers of the Group in respect of sub-licenses granted, or services that have been provided, in the ordinary course of business. If collection of these amounts is expected within one year or less, they are classified in current assets; otherwise, they are reflected in non-current assets.</w:t>
      </w:r>
    </w:p>
    <w:p>
      <w:pPr>
        <w:spacing w:after="0" w:line="37" w:lineRule="exact"/>
        <w:rPr>
          <w:sz w:val="20"/>
          <w:szCs w:val="20"/>
          <w:color w:val="auto"/>
        </w:rPr>
      </w:pPr>
    </w:p>
    <w:p>
      <w:pPr>
        <w:jc w:val="both"/>
        <w:ind w:left="560" w:right="1199"/>
        <w:spacing w:after="0" w:line="278" w:lineRule="auto"/>
        <w:rPr>
          <w:sz w:val="20"/>
          <w:szCs w:val="20"/>
          <w:color w:val="auto"/>
        </w:rPr>
      </w:pPr>
      <w:r>
        <w:rPr>
          <w:rFonts w:ascii="Arial" w:cs="Arial" w:eastAsia="Arial" w:hAnsi="Arial"/>
          <w:sz w:val="17"/>
          <w:szCs w:val="17"/>
          <w:color w:val="auto"/>
        </w:rPr>
        <w:t>Trade receivables are initially recognized at their fair value. Thereafter, they are measured at amortized cost, based on the effective interest method, less any allowance for doubtful accounts.</w:t>
      </w:r>
    </w:p>
    <w:p>
      <w:pPr>
        <w:spacing w:after="0" w:line="56"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l.</w:t>
      </w:r>
      <w:r>
        <w:rPr>
          <w:sz w:val="20"/>
          <w:szCs w:val="20"/>
          <w:color w:val="auto"/>
        </w:rPr>
        <w:tab/>
      </w:r>
      <w:r>
        <w:rPr>
          <w:rFonts w:ascii="Arial" w:cs="Arial" w:eastAsia="Arial" w:hAnsi="Arial"/>
          <w:sz w:val="16"/>
          <w:szCs w:val="16"/>
          <w:b w:val="1"/>
          <w:bCs w:val="1"/>
          <w:color w:val="auto"/>
        </w:rPr>
        <w:t>Warrants</w:t>
      </w:r>
    </w:p>
    <w:p>
      <w:pPr>
        <w:spacing w:after="0" w:line="119" w:lineRule="exact"/>
        <w:rPr>
          <w:sz w:val="20"/>
          <w:szCs w:val="20"/>
          <w:color w:val="auto"/>
        </w:rPr>
      </w:pPr>
    </w:p>
    <w:p>
      <w:pPr>
        <w:ind w:left="560" w:right="1019"/>
        <w:spacing w:after="0" w:line="295" w:lineRule="auto"/>
        <w:rPr>
          <w:sz w:val="20"/>
          <w:szCs w:val="20"/>
          <w:color w:val="auto"/>
        </w:rPr>
      </w:pPr>
      <w:r>
        <w:rPr>
          <w:rFonts w:ascii="Arial" w:cs="Arial" w:eastAsia="Arial" w:hAnsi="Arial"/>
          <w:sz w:val="15"/>
          <w:szCs w:val="15"/>
          <w:color w:val="auto"/>
        </w:rPr>
        <w:t>Receipts in respect of warrants are classified as equity to the extent that they confer the right to purchase a fixed number of shares for a fixed exercise price. As part of the Company’s initial public offering on the TASE in February 2007, the Company issued Series 1 warrants with an exercise price linked to the Israeli Consumer Price Index (“CPI”). Accordingly, the exercise price was not deemed to be fixed and, as such, the Series 1 warrants did not qualify for equity classification. As long as the exercise price was linked to the CPI, the Series 1 warrants were classified as liabilities and carried at fair value, with changes in their fair value recognized in profit or loss. The issuance costs of the Series 1 warrants were also directly charged to profit or loss. Following the amendment in 2008 of the terms of the Series 1 warrants, pursuant to which the linkage of the exercise price to the CPI was cancelled, the warrants were classified in equity.</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m. Share capital</w:t>
      </w:r>
    </w:p>
    <w:p>
      <w:pPr>
        <w:spacing w:after="0" w:line="119" w:lineRule="exact"/>
        <w:rPr>
          <w:sz w:val="20"/>
          <w:szCs w:val="20"/>
          <w:color w:val="auto"/>
        </w:rPr>
      </w:pPr>
    </w:p>
    <w:p>
      <w:pPr>
        <w:ind w:left="560" w:right="1439"/>
        <w:spacing w:after="0" w:line="278" w:lineRule="auto"/>
        <w:rPr>
          <w:sz w:val="20"/>
          <w:szCs w:val="20"/>
          <w:color w:val="auto"/>
        </w:rPr>
      </w:pPr>
      <w:r>
        <w:rPr>
          <w:rFonts w:ascii="Arial" w:cs="Arial" w:eastAsia="Arial" w:hAnsi="Arial"/>
          <w:sz w:val="17"/>
          <w:szCs w:val="17"/>
          <w:color w:val="auto"/>
        </w:rPr>
        <w:t>The Company’s Ordinary Shares are classified as equity. Incremental costs directly attributable to the issuance of new shares or warrants are reflected in equity as a deduction from the issuance proceeds.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n.  Trade payables</w:t>
      </w:r>
    </w:p>
    <w:p>
      <w:pPr>
        <w:spacing w:after="0" w:line="119" w:lineRule="exact"/>
        <w:rPr>
          <w:sz w:val="20"/>
          <w:szCs w:val="20"/>
          <w:color w:val="auto"/>
        </w:rPr>
      </w:pPr>
    </w:p>
    <w:p>
      <w:pPr>
        <w:ind w:left="560" w:right="1059"/>
        <w:spacing w:after="0" w:line="282" w:lineRule="auto"/>
        <w:rPr>
          <w:sz w:val="20"/>
          <w:szCs w:val="20"/>
          <w:color w:val="auto"/>
        </w:rPr>
      </w:pPr>
      <w:r>
        <w:rPr>
          <w:rFonts w:ascii="Arial" w:cs="Arial" w:eastAsia="Arial" w:hAnsi="Arial"/>
          <w:sz w:val="16"/>
          <w:szCs w:val="16"/>
          <w:color w:val="auto"/>
        </w:rPr>
        <w:t>Trade payables are obligations to pay for goods or services that have been acquired in the ordinary course of business from suppliers. Accounts payable are classified as current liabilities if payment is due within one year or less (or in the normal operating cycle of the business if longer). If not, they are presented as non-current liabilities. Trade payables are recognized initially at fair value and subsequently measured at amortized cost using the effective interest method.</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2 — SIGNIFICANT ACCOUNTING POLICIES – (continued)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  Deferred taxes</w:t>
      </w:r>
    </w:p>
    <w:p>
      <w:pPr>
        <w:spacing w:after="0" w:line="119" w:lineRule="exact"/>
        <w:rPr>
          <w:sz w:val="20"/>
          <w:szCs w:val="20"/>
          <w:color w:val="auto"/>
        </w:rPr>
      </w:pPr>
    </w:p>
    <w:p>
      <w:pPr>
        <w:ind w:left="560" w:right="1199"/>
        <w:spacing w:after="0" w:line="261" w:lineRule="auto"/>
        <w:rPr>
          <w:sz w:val="20"/>
          <w:szCs w:val="20"/>
          <w:color w:val="auto"/>
        </w:rPr>
      </w:pPr>
      <w:r>
        <w:rPr>
          <w:rFonts w:ascii="Arial" w:cs="Arial" w:eastAsia="Arial" w:hAnsi="Arial"/>
          <w:sz w:val="17"/>
          <w:szCs w:val="17"/>
          <w:color w:val="auto"/>
        </w:rPr>
        <w:t>Deferred taxes are recognized using the liability method, on temporary differences arising between the tax bases of assets and liabilities and their carrying amounts in the consolidated financial statements. Deferred income tax assets are recognized only to the extent that it is probable that future taxable income will be available against which the temporary differences can be utilized.</w:t>
      </w:r>
    </w:p>
    <w:p>
      <w:pPr>
        <w:spacing w:after="0" w:line="76" w:lineRule="exact"/>
        <w:rPr>
          <w:sz w:val="20"/>
          <w:szCs w:val="20"/>
          <w:color w:val="auto"/>
        </w:rPr>
      </w:pPr>
    </w:p>
    <w:p>
      <w:pPr>
        <w:ind w:left="560" w:right="1059"/>
        <w:spacing w:after="0" w:line="278" w:lineRule="auto"/>
        <w:rPr>
          <w:sz w:val="20"/>
          <w:szCs w:val="20"/>
          <w:color w:val="auto"/>
        </w:rPr>
      </w:pPr>
      <w:r>
        <w:rPr>
          <w:rFonts w:ascii="Arial" w:cs="Arial" w:eastAsia="Arial" w:hAnsi="Arial"/>
          <w:sz w:val="17"/>
          <w:szCs w:val="17"/>
          <w:color w:val="auto"/>
        </w:rPr>
        <w:t>As the Group is currently engaged primarily in development activities and is not expected to generate taxable income in the foreseeable future, no deferred tax assets are included in the financial statements.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p.  Revenue recognition</w:t>
      </w:r>
    </w:p>
    <w:p>
      <w:pPr>
        <w:spacing w:after="0" w:line="119" w:lineRule="exact"/>
        <w:rPr>
          <w:sz w:val="20"/>
          <w:szCs w:val="20"/>
          <w:color w:val="auto"/>
        </w:rPr>
      </w:pPr>
    </w:p>
    <w:p>
      <w:pPr>
        <w:ind w:left="560" w:right="1119"/>
        <w:spacing w:after="0" w:line="282" w:lineRule="auto"/>
        <w:rPr>
          <w:sz w:val="20"/>
          <w:szCs w:val="20"/>
          <w:color w:val="auto"/>
        </w:rPr>
      </w:pPr>
      <w:r>
        <w:rPr>
          <w:rFonts w:ascii="Arial" w:cs="Arial" w:eastAsia="Arial" w:hAnsi="Arial"/>
          <w:sz w:val="16"/>
          <w:szCs w:val="16"/>
          <w:color w:val="auto"/>
        </w:rPr>
        <w:t>The Group recognizes revenue in accordance with International Accounting Standard (“IAS”) 18 — “Revenue,” including guidance regarding arrangements with multiple deliverables. Pursuant to this guidance, the Group applies revenue recognition criteria to the separately identifiable components of a single transaction. The consideration from the arrangement is allocated among the separately identifiable components by reference to their fair value.</w:t>
      </w:r>
    </w:p>
    <w:p>
      <w:pPr>
        <w:spacing w:after="0" w:line="61" w:lineRule="exact"/>
        <w:rPr>
          <w:sz w:val="20"/>
          <w:szCs w:val="20"/>
          <w:color w:val="auto"/>
        </w:rPr>
      </w:pPr>
    </w:p>
    <w:p>
      <w:pPr>
        <w:ind w:left="560" w:right="1019"/>
        <w:spacing w:after="0" w:line="278" w:lineRule="auto"/>
        <w:rPr>
          <w:sz w:val="20"/>
          <w:szCs w:val="20"/>
          <w:color w:val="auto"/>
        </w:rPr>
      </w:pPr>
      <w:r>
        <w:rPr>
          <w:rFonts w:ascii="Arial" w:cs="Arial" w:eastAsia="Arial" w:hAnsi="Arial"/>
          <w:sz w:val="17"/>
          <w:szCs w:val="17"/>
          <w:color w:val="auto"/>
        </w:rPr>
        <w:t>Revenues incurred in connection with the out-licensing of the Group’s patents and other intellectual property are recognized when all of the following criteria have been met as of the balance sheet date:</w:t>
      </w:r>
    </w:p>
    <w:p>
      <w:pPr>
        <w:spacing w:after="0" w:line="62" w:lineRule="exact"/>
        <w:rPr>
          <w:sz w:val="20"/>
          <w:szCs w:val="20"/>
          <w:color w:val="auto"/>
        </w:rPr>
      </w:pPr>
    </w:p>
    <w:p>
      <w:pPr>
        <w:ind w:left="1100" w:right="1079" w:hanging="312"/>
        <w:spacing w:after="0" w:line="278"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Group has transferred to the buyer the significant risks and rewards of ownership of the patents and intellectual property.</w:t>
      </w:r>
    </w:p>
    <w:p>
      <w:pPr>
        <w:spacing w:after="0" w:line="61" w:lineRule="exact"/>
        <w:rPr>
          <w:rFonts w:ascii="Arial" w:cs="Arial" w:eastAsia="Arial" w:hAnsi="Arial"/>
          <w:sz w:val="17"/>
          <w:szCs w:val="17"/>
          <w:color w:val="auto"/>
        </w:rPr>
      </w:pPr>
    </w:p>
    <w:p>
      <w:pPr>
        <w:ind w:left="1100" w:right="1479" w:hanging="312"/>
        <w:spacing w:after="0" w:line="278"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Group does not retain either the continuing managerial involvement to the degree usually associated with ownership or the effective control over the patent and intellectual property.</w:t>
      </w:r>
    </w:p>
    <w:p>
      <w:pPr>
        <w:spacing w:after="0" w:line="61" w:lineRule="exact"/>
        <w:rPr>
          <w:rFonts w:ascii="Arial" w:cs="Arial" w:eastAsia="Arial" w:hAnsi="Arial"/>
          <w:sz w:val="17"/>
          <w:szCs w:val="17"/>
          <w:color w:val="auto"/>
        </w:rPr>
      </w:pPr>
    </w:p>
    <w:p>
      <w:pPr>
        <w:ind w:left="1100" w:hanging="312"/>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 of revenue can be measured reliably.</w:t>
      </w:r>
    </w:p>
    <w:p>
      <w:pPr>
        <w:spacing w:after="0" w:line="113" w:lineRule="exact"/>
        <w:rPr>
          <w:rFonts w:ascii="Arial" w:cs="Arial" w:eastAsia="Arial" w:hAnsi="Arial"/>
          <w:sz w:val="17"/>
          <w:szCs w:val="17"/>
          <w:color w:val="auto"/>
        </w:rPr>
      </w:pPr>
    </w:p>
    <w:p>
      <w:pPr>
        <w:ind w:left="1100" w:hanging="312"/>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It is probable that the economic benefits associated with the transaction will flow to the Group.</w:t>
      </w:r>
    </w:p>
    <w:p>
      <w:pPr>
        <w:spacing w:after="0" w:line="113" w:lineRule="exact"/>
        <w:rPr>
          <w:rFonts w:ascii="Arial" w:cs="Arial" w:eastAsia="Arial" w:hAnsi="Arial"/>
          <w:sz w:val="17"/>
          <w:szCs w:val="17"/>
          <w:color w:val="auto"/>
        </w:rPr>
      </w:pPr>
    </w:p>
    <w:p>
      <w:pPr>
        <w:ind w:left="1100" w:hanging="312"/>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costs incurred or to be incurred in respect of the sale can be measured reliably.</w:t>
      </w:r>
    </w:p>
    <w:p>
      <w:pPr>
        <w:spacing w:after="0" w:line="113" w:lineRule="exact"/>
        <w:rPr>
          <w:sz w:val="20"/>
          <w:szCs w:val="20"/>
          <w:color w:val="auto"/>
        </w:rPr>
      </w:pPr>
    </w:p>
    <w:p>
      <w:pPr>
        <w:ind w:left="560" w:right="1059"/>
        <w:spacing w:after="0" w:line="278" w:lineRule="auto"/>
        <w:rPr>
          <w:sz w:val="20"/>
          <w:szCs w:val="20"/>
          <w:color w:val="auto"/>
        </w:rPr>
      </w:pPr>
      <w:r>
        <w:rPr>
          <w:rFonts w:ascii="Arial" w:cs="Arial" w:eastAsia="Arial" w:hAnsi="Arial"/>
          <w:sz w:val="17"/>
          <w:szCs w:val="17"/>
          <w:color w:val="auto"/>
        </w:rPr>
        <w:t>Revenues in connection with rendering of services are recognized by reference to the stage of completion of the transaction as of the balance sheet date, if and when the outcome of the transaction can be estimated reliably.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Revenues from royalties are recognized on an accrual basis in accordance with the substance of the relevant agreement.</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q.  Research and development expenses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expenses are charged to operations as incurred.</w:t>
      </w:r>
    </w:p>
    <w:p>
      <w:pPr>
        <w:spacing w:after="0" w:line="113" w:lineRule="exact"/>
        <w:rPr>
          <w:sz w:val="20"/>
          <w:szCs w:val="20"/>
          <w:color w:val="auto"/>
        </w:rPr>
      </w:pPr>
    </w:p>
    <w:p>
      <w:pPr>
        <w:ind w:left="560" w:right="1139"/>
        <w:spacing w:after="0" w:line="278" w:lineRule="auto"/>
        <w:rPr>
          <w:sz w:val="20"/>
          <w:szCs w:val="20"/>
          <w:color w:val="auto"/>
        </w:rPr>
      </w:pPr>
      <w:r>
        <w:rPr>
          <w:rFonts w:ascii="Arial" w:cs="Arial" w:eastAsia="Arial" w:hAnsi="Arial"/>
          <w:sz w:val="17"/>
          <w:szCs w:val="17"/>
          <w:color w:val="auto"/>
        </w:rPr>
        <w:t>An intangible asset arising from development (or from the development phase of an internal project) is recognized if all of the following conditions are fulfilled:</w:t>
      </w:r>
    </w:p>
    <w:p>
      <w:pPr>
        <w:spacing w:after="0" w:line="62" w:lineRule="exact"/>
        <w:rPr>
          <w:sz w:val="20"/>
          <w:szCs w:val="20"/>
          <w:color w:val="auto"/>
        </w:rPr>
      </w:pPr>
    </w:p>
    <w:p>
      <w:pPr>
        <w:ind w:left="1100" w:right="1179" w:hanging="312"/>
        <w:spacing w:after="0" w:line="278"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technical feasibility exists for completing development of the intangible asset so that it will be available for use or sale.</w:t>
      </w:r>
    </w:p>
    <w:p>
      <w:pPr>
        <w:spacing w:after="0" w:line="61" w:lineRule="exact"/>
        <w:rPr>
          <w:rFonts w:ascii="Arial" w:cs="Arial" w:eastAsia="Arial" w:hAnsi="Arial"/>
          <w:sz w:val="17"/>
          <w:szCs w:val="17"/>
          <w:color w:val="auto"/>
        </w:rPr>
      </w:pPr>
    </w:p>
    <w:p>
      <w:pPr>
        <w:ind w:left="1100" w:hanging="312"/>
        <w:spacing w:after="0"/>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it is management’s intention to complete development of the intangible asset for use or sale.</w:t>
      </w:r>
    </w:p>
    <w:p>
      <w:pPr>
        <w:spacing w:after="0" w:line="113" w:lineRule="exact"/>
        <w:rPr>
          <w:rFonts w:ascii="Arial" w:cs="Arial" w:eastAsia="Arial" w:hAnsi="Arial"/>
          <w:sz w:val="17"/>
          <w:szCs w:val="17"/>
          <w:color w:val="auto"/>
        </w:rPr>
      </w:pPr>
    </w:p>
    <w:p>
      <w:pPr>
        <w:ind w:left="1100" w:hanging="312"/>
        <w:spacing w:after="0"/>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has the ability to use or sell the intangible asset.</w:t>
      </w:r>
    </w:p>
    <w:p>
      <w:pPr>
        <w:spacing w:after="0" w:line="200" w:lineRule="exact"/>
        <w:rPr>
          <w:sz w:val="20"/>
          <w:szCs w:val="20"/>
          <w:color w:val="auto"/>
        </w:rPr>
      </w:pPr>
    </w:p>
    <w:p>
      <w:pPr>
        <w:spacing w:after="0" w:line="35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2 — SIGNIFICANT ACCOUNTING POLICIES – (continued)</w:t>
      </w:r>
    </w:p>
    <w:p>
      <w:pPr>
        <w:spacing w:after="0" w:line="1" w:lineRule="exact"/>
        <w:rPr>
          <w:sz w:val="20"/>
          <w:szCs w:val="20"/>
          <w:color w:val="auto"/>
        </w:rPr>
      </w:pPr>
    </w:p>
    <w:p>
      <w:pPr>
        <w:ind w:left="1100" w:right="1039" w:hanging="312"/>
        <w:spacing w:after="0" w:line="265"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it is probable that the intangible asset will generate future economic benefits, including existence of a market for the output of the intangible asset or the intangible asset itself or, if the intangible asset is to be used internally, the usefulness of the intangible asset.</w:t>
      </w:r>
    </w:p>
    <w:p>
      <w:pPr>
        <w:spacing w:after="0" w:line="72" w:lineRule="exact"/>
        <w:rPr>
          <w:rFonts w:ascii="Arial" w:cs="Arial" w:eastAsia="Arial" w:hAnsi="Arial"/>
          <w:sz w:val="17"/>
          <w:szCs w:val="17"/>
          <w:color w:val="auto"/>
        </w:rPr>
      </w:pPr>
    </w:p>
    <w:p>
      <w:pPr>
        <w:ind w:left="1100" w:right="1219" w:hanging="312"/>
        <w:spacing w:after="0" w:line="278"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adequate technical, financial and other resources are available to complete development of the intangible asset, as well as the use or sale thereof.</w:t>
      </w:r>
    </w:p>
    <w:p>
      <w:pPr>
        <w:spacing w:after="0" w:line="61" w:lineRule="exact"/>
        <w:rPr>
          <w:rFonts w:ascii="Arial" w:cs="Arial" w:eastAsia="Arial" w:hAnsi="Arial"/>
          <w:sz w:val="17"/>
          <w:szCs w:val="17"/>
          <w:color w:val="auto"/>
        </w:rPr>
      </w:pPr>
    </w:p>
    <w:p>
      <w:pPr>
        <w:ind w:left="1100" w:right="1559" w:hanging="312"/>
        <w:spacing w:after="0" w:line="278"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has the ability to reliably measure the expenditure attributable to the intangible asset during its development.</w:t>
      </w:r>
    </w:p>
    <w:p>
      <w:pPr>
        <w:spacing w:after="0" w:line="62" w:lineRule="exact"/>
        <w:rPr>
          <w:sz w:val="20"/>
          <w:szCs w:val="20"/>
          <w:color w:val="auto"/>
        </w:rPr>
      </w:pPr>
    </w:p>
    <w:p>
      <w:pPr>
        <w:ind w:left="560" w:right="999"/>
        <w:spacing w:after="0" w:line="265" w:lineRule="auto"/>
        <w:rPr>
          <w:sz w:val="20"/>
          <w:szCs w:val="20"/>
          <w:color w:val="auto"/>
        </w:rPr>
      </w:pPr>
      <w:r>
        <w:rPr>
          <w:rFonts w:ascii="Arial" w:cs="Arial" w:eastAsia="Arial" w:hAnsi="Arial"/>
          <w:sz w:val="17"/>
          <w:szCs w:val="17"/>
          <w:color w:val="auto"/>
        </w:rPr>
        <w:t>Other development costs that do not meet the foregoing conditions are charged to operations as incurred. Development costs previously expensed are not recognized as an asset in subsequent periods. As of December 31, 2010, the Group has not yet capitalized development expenses.</w:t>
      </w:r>
    </w:p>
    <w:p>
      <w:pPr>
        <w:spacing w:after="0" w:line="67"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r.</w:t>
      </w:r>
      <w:r>
        <w:rPr>
          <w:sz w:val="20"/>
          <w:szCs w:val="20"/>
          <w:color w:val="auto"/>
        </w:rPr>
        <w:tab/>
      </w:r>
      <w:r>
        <w:rPr>
          <w:rFonts w:ascii="Arial" w:cs="Arial" w:eastAsia="Arial" w:hAnsi="Arial"/>
          <w:sz w:val="15"/>
          <w:szCs w:val="15"/>
          <w:b w:val="1"/>
          <w:bCs w:val="1"/>
          <w:color w:val="auto"/>
        </w:rPr>
        <w:t>Government participation in research and development expenses</w:t>
      </w:r>
    </w:p>
    <w:p>
      <w:pPr>
        <w:spacing w:after="0" w:line="119" w:lineRule="exact"/>
        <w:rPr>
          <w:sz w:val="20"/>
          <w:szCs w:val="20"/>
          <w:color w:val="auto"/>
        </w:rPr>
      </w:pPr>
    </w:p>
    <w:p>
      <w:pPr>
        <w:jc w:val="both"/>
        <w:ind w:left="560" w:right="1199"/>
        <w:spacing w:after="0" w:line="265" w:lineRule="auto"/>
        <w:rPr>
          <w:sz w:val="20"/>
          <w:szCs w:val="20"/>
          <w:color w:val="auto"/>
        </w:rPr>
      </w:pPr>
      <w:r>
        <w:rPr>
          <w:rFonts w:ascii="Arial" w:cs="Arial" w:eastAsia="Arial" w:hAnsi="Arial"/>
          <w:sz w:val="17"/>
          <w:szCs w:val="17"/>
          <w:color w:val="auto"/>
        </w:rPr>
        <w:t>The Group receives participation in research and development expenses from the State of Israel through the OCS, both in the form of loans extended to the Incubator for research and development, as described in Note 12a(1), and in the form of grants, as described in Note 12a(2).</w:t>
      </w:r>
    </w:p>
    <w:p>
      <w:pPr>
        <w:spacing w:after="0" w:line="73" w:lineRule="exact"/>
        <w:rPr>
          <w:sz w:val="20"/>
          <w:szCs w:val="20"/>
          <w:color w:val="auto"/>
        </w:rPr>
      </w:pPr>
    </w:p>
    <w:p>
      <w:pPr>
        <w:ind w:left="560" w:right="1139"/>
        <w:spacing w:after="0" w:line="261" w:lineRule="auto"/>
        <w:rPr>
          <w:sz w:val="20"/>
          <w:szCs w:val="20"/>
          <w:color w:val="auto"/>
        </w:rPr>
      </w:pPr>
      <w:r>
        <w:rPr>
          <w:rFonts w:ascii="Arial" w:cs="Arial" w:eastAsia="Arial" w:hAnsi="Arial"/>
          <w:sz w:val="17"/>
          <w:szCs w:val="17"/>
          <w:color w:val="auto"/>
        </w:rPr>
        <w:t>Despite the formal difference between the two types of support from the OCS, there is no material financial difference between them. Each loan and grant qualifies as a “forgivable loan” in accordance with IAS 20, “Accounting for Government Grants and Disclosure of Government Assistance,” since the loans and grants are repayable only if the Group generates revenues related to the project that is the subject of the loan or grant.</w:t>
      </w:r>
    </w:p>
    <w:p>
      <w:pPr>
        <w:spacing w:after="0" w:line="76" w:lineRule="exact"/>
        <w:rPr>
          <w:sz w:val="20"/>
          <w:szCs w:val="20"/>
          <w:color w:val="auto"/>
        </w:rPr>
      </w:pPr>
    </w:p>
    <w:p>
      <w:pPr>
        <w:ind w:left="560" w:right="1059"/>
        <w:spacing w:after="0" w:line="282" w:lineRule="auto"/>
        <w:rPr>
          <w:sz w:val="20"/>
          <w:szCs w:val="20"/>
          <w:color w:val="auto"/>
        </w:rPr>
      </w:pPr>
      <w:r>
        <w:rPr>
          <w:rFonts w:ascii="Arial" w:cs="Arial" w:eastAsia="Arial" w:hAnsi="Arial"/>
          <w:sz w:val="16"/>
          <w:szCs w:val="16"/>
          <w:color w:val="auto"/>
        </w:rPr>
        <w:t>The Company recognizes each forgivable loan on a systematic basis at the same time the Company records, as an expense, the related development costs for which the grant/loan is received, provided that there is reasonable assurance that (a) the Company complies with the conditions attached to the grant/loan and (b) the grant/loan will be received. The amount of the forgivable loan is recognized based on the participation rate approved by the OCS.</w:t>
      </w:r>
    </w:p>
    <w:p>
      <w:pPr>
        <w:spacing w:after="0" w:line="61" w:lineRule="exact"/>
        <w:rPr>
          <w:sz w:val="20"/>
          <w:szCs w:val="20"/>
          <w:color w:val="auto"/>
        </w:rPr>
      </w:pPr>
    </w:p>
    <w:p>
      <w:pPr>
        <w:ind w:left="560" w:right="999"/>
        <w:spacing w:after="0" w:line="265" w:lineRule="auto"/>
        <w:rPr>
          <w:sz w:val="20"/>
          <w:szCs w:val="20"/>
          <w:color w:val="auto"/>
        </w:rPr>
      </w:pPr>
      <w:r>
        <w:rPr>
          <w:rFonts w:ascii="Arial" w:cs="Arial" w:eastAsia="Arial" w:hAnsi="Arial"/>
          <w:sz w:val="17"/>
          <w:szCs w:val="17"/>
          <w:color w:val="auto"/>
        </w:rPr>
        <w:t>The Company accounts for each forgivable loan as a liability unless it is more likely than not that the Company will meet the terms of forgiveness, in which case the forgivable loan is accounted for as a government grant and carried to income as a reduction of research and development expenses.</w:t>
      </w:r>
    </w:p>
    <w:p>
      <w:pPr>
        <w:spacing w:after="0" w:line="73" w:lineRule="exact"/>
        <w:rPr>
          <w:sz w:val="20"/>
          <w:szCs w:val="20"/>
          <w:color w:val="auto"/>
        </w:rPr>
      </w:pPr>
    </w:p>
    <w:p>
      <w:pPr>
        <w:ind w:left="560" w:right="1099"/>
        <w:spacing w:after="0" w:line="278" w:lineRule="auto"/>
        <w:rPr>
          <w:sz w:val="20"/>
          <w:szCs w:val="20"/>
          <w:color w:val="auto"/>
        </w:rPr>
      </w:pPr>
      <w:r>
        <w:rPr>
          <w:rFonts w:ascii="Arial" w:cs="Arial" w:eastAsia="Arial" w:hAnsi="Arial"/>
          <w:sz w:val="17"/>
          <w:szCs w:val="17"/>
          <w:color w:val="auto"/>
        </w:rPr>
        <w:t>Government grants received in respect of investments in property and equipment are presented as a reduction of the cost of such assets.</w:t>
      </w:r>
    </w:p>
    <w:p>
      <w:pPr>
        <w:spacing w:after="0" w:line="62" w:lineRule="exact"/>
        <w:rPr>
          <w:sz w:val="20"/>
          <w:szCs w:val="20"/>
          <w:color w:val="auto"/>
        </w:rPr>
      </w:pPr>
    </w:p>
    <w:p>
      <w:pPr>
        <w:ind w:left="560" w:right="999"/>
        <w:spacing w:after="0" w:line="265" w:lineRule="auto"/>
        <w:rPr>
          <w:sz w:val="20"/>
          <w:szCs w:val="20"/>
          <w:color w:val="auto"/>
        </w:rPr>
      </w:pPr>
      <w:r>
        <w:rPr>
          <w:rFonts w:ascii="Arial" w:cs="Arial" w:eastAsia="Arial" w:hAnsi="Arial"/>
          <w:sz w:val="17"/>
          <w:szCs w:val="17"/>
          <w:color w:val="auto"/>
        </w:rPr>
        <w:t>If forgivable loans are initially carried to income, as described above, and, in subsequent periods, it appears more likely than not that the project will be successful and that the loans will be repaid or royalties paid to the OCS, the Group recognizes a liability on the balance sheet.</w:t>
      </w:r>
    </w:p>
    <w:p>
      <w:pPr>
        <w:spacing w:after="0" w:line="67" w:lineRule="exact"/>
        <w:rPr>
          <w:sz w:val="20"/>
          <w:szCs w:val="20"/>
          <w:color w:val="auto"/>
        </w:rPr>
      </w:pPr>
    </w:p>
    <w:p>
      <w:pPr>
        <w:ind w:left="540" w:hanging="267"/>
        <w:spacing w:after="0"/>
        <w:tabs>
          <w:tab w:leader="none" w:pos="54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w:t>
      </w:r>
    </w:p>
    <w:p>
      <w:pPr>
        <w:spacing w:after="0" w:line="119" w:lineRule="exact"/>
        <w:rPr>
          <w:rFonts w:ascii="Arial" w:cs="Arial" w:eastAsia="Arial" w:hAnsi="Arial"/>
          <w:sz w:val="17"/>
          <w:szCs w:val="17"/>
          <w:b w:val="1"/>
          <w:bCs w:val="1"/>
          <w:color w:val="auto"/>
        </w:rPr>
      </w:pPr>
    </w:p>
    <w:p>
      <w:pPr>
        <w:ind w:left="780" w:hanging="250"/>
        <w:spacing w:after="0"/>
        <w:tabs>
          <w:tab w:leader="none" w:pos="7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Pension and severance pay obligations</w:t>
      </w:r>
    </w:p>
    <w:p>
      <w:pPr>
        <w:spacing w:after="0" w:line="113" w:lineRule="exact"/>
        <w:rPr>
          <w:sz w:val="20"/>
          <w:szCs w:val="20"/>
          <w:color w:val="auto"/>
        </w:rPr>
      </w:pPr>
    </w:p>
    <w:p>
      <w:pPr>
        <w:ind w:left="820" w:right="1159"/>
        <w:spacing w:after="0" w:line="265" w:lineRule="auto"/>
        <w:rPr>
          <w:sz w:val="20"/>
          <w:szCs w:val="20"/>
          <w:color w:val="auto"/>
        </w:rPr>
      </w:pPr>
      <w:r>
        <w:rPr>
          <w:rFonts w:ascii="Arial" w:cs="Arial" w:eastAsia="Arial" w:hAnsi="Arial"/>
          <w:sz w:val="17"/>
          <w:szCs w:val="17"/>
          <w:color w:val="auto"/>
        </w:rPr>
        <w:t>Israeli labor laws and the Group’s agreements require the Group to pay retirement benefits to employees terminated or leaving their employ in certain other circumstances. Most of the Group’s employees are covered by a defined contribution plan under Section 14 of the Israel Severance Pay Law.</w:t>
      </w:r>
    </w:p>
    <w:p>
      <w:pPr>
        <w:spacing w:after="0" w:line="73" w:lineRule="exact"/>
        <w:rPr>
          <w:sz w:val="20"/>
          <w:szCs w:val="20"/>
          <w:color w:val="auto"/>
        </w:rPr>
      </w:pPr>
    </w:p>
    <w:p>
      <w:pPr>
        <w:ind w:left="820" w:right="1139"/>
        <w:spacing w:after="0" w:line="278" w:lineRule="auto"/>
        <w:rPr>
          <w:sz w:val="20"/>
          <w:szCs w:val="20"/>
          <w:color w:val="auto"/>
        </w:rPr>
      </w:pPr>
      <w:r>
        <w:rPr>
          <w:rFonts w:ascii="Arial" w:cs="Arial" w:eastAsia="Arial" w:hAnsi="Arial"/>
          <w:sz w:val="17"/>
          <w:szCs w:val="17"/>
          <w:color w:val="auto"/>
        </w:rPr>
        <w:t>The amount recorded as an employee benefit expense in respect of defined contribution plans for the years 2008, 2009 and 2010 was NIS 1,884,000, NIS 1,887,000, and NIS 1,982,000, respectively.</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2 — SIGNIFICANT ACCOUNTING POLICIES – (continued)</w:t>
      </w:r>
    </w:p>
    <w:p>
      <w:pPr>
        <w:spacing w:after="0" w:line="1" w:lineRule="exact"/>
        <w:rPr>
          <w:sz w:val="20"/>
          <w:szCs w:val="20"/>
          <w:color w:val="auto"/>
        </w:rPr>
      </w:pPr>
    </w:p>
    <w:p>
      <w:pPr>
        <w:ind w:left="820" w:right="1019"/>
        <w:spacing w:after="0" w:line="257" w:lineRule="auto"/>
        <w:rPr>
          <w:sz w:val="20"/>
          <w:szCs w:val="20"/>
          <w:color w:val="auto"/>
        </w:rPr>
      </w:pPr>
      <w:r>
        <w:rPr>
          <w:rFonts w:ascii="Arial" w:cs="Arial" w:eastAsia="Arial" w:hAnsi="Arial"/>
          <w:sz w:val="17"/>
          <w:szCs w:val="17"/>
          <w:color w:val="auto"/>
        </w:rPr>
        <w:t>With respect to the remaining employees, the Group records a liability on its balance sheet for defined benefit plans that represents the present value of the defined benefit obligation as of balance sheet date, net of the fair value of plan assets, and adjustments for unrecognized actuarial gains or losses. The defined benefit obligation is computed annually by independent actuaries, using the corridor method. The present value of the defined benefit liability is determined by discounting the anticipated future cash outflows, using interest rates that are denominated in the currency in which the benefits will be payable.</w:t>
      </w:r>
    </w:p>
    <w:p>
      <w:pPr>
        <w:spacing w:after="0" w:line="82" w:lineRule="exact"/>
        <w:rPr>
          <w:sz w:val="20"/>
          <w:szCs w:val="20"/>
          <w:color w:val="auto"/>
        </w:rPr>
      </w:pPr>
    </w:p>
    <w:p>
      <w:pPr>
        <w:ind w:left="820" w:right="1359"/>
        <w:spacing w:after="0" w:line="278" w:lineRule="auto"/>
        <w:rPr>
          <w:sz w:val="20"/>
          <w:szCs w:val="20"/>
          <w:color w:val="auto"/>
        </w:rPr>
      </w:pPr>
      <w:r>
        <w:rPr>
          <w:rFonts w:ascii="Arial" w:cs="Arial" w:eastAsia="Arial" w:hAnsi="Arial"/>
          <w:sz w:val="17"/>
          <w:szCs w:val="17"/>
          <w:color w:val="auto"/>
        </w:rPr>
        <w:t>Actuarial gains and losses arising from experience adjustments and changes in actuarial assumptions are charged to income.</w:t>
      </w:r>
    </w:p>
    <w:p>
      <w:pPr>
        <w:spacing w:after="0" w:line="62" w:lineRule="exact"/>
        <w:rPr>
          <w:sz w:val="20"/>
          <w:szCs w:val="20"/>
          <w:color w:val="auto"/>
        </w:rPr>
      </w:pPr>
    </w:p>
    <w:p>
      <w:pPr>
        <w:jc w:val="both"/>
        <w:ind w:left="820" w:right="1139"/>
        <w:spacing w:after="0" w:line="265" w:lineRule="auto"/>
        <w:rPr>
          <w:sz w:val="20"/>
          <w:szCs w:val="20"/>
          <w:color w:val="auto"/>
        </w:rPr>
      </w:pPr>
      <w:r>
        <w:rPr>
          <w:rFonts w:ascii="Arial" w:cs="Arial" w:eastAsia="Arial" w:hAnsi="Arial"/>
          <w:sz w:val="17"/>
          <w:szCs w:val="17"/>
          <w:color w:val="auto"/>
        </w:rPr>
        <w:t>Past-service costs are recognized immediately in income, unless the changes to the pension plan are conditional on the employees remaining in service for a specified period of time (the vesting period). In such cases, the past-service costs are amortized on a straight-line basis over the vesting period.</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  Vacation days and recreation pay</w:t>
      </w:r>
    </w:p>
    <w:p>
      <w:pPr>
        <w:spacing w:after="0" w:line="113" w:lineRule="exact"/>
        <w:rPr>
          <w:sz w:val="20"/>
          <w:szCs w:val="20"/>
          <w:color w:val="auto"/>
        </w:rPr>
      </w:pPr>
    </w:p>
    <w:p>
      <w:pPr>
        <w:ind w:left="820" w:right="1019"/>
        <w:spacing w:after="0" w:line="261" w:lineRule="auto"/>
        <w:rPr>
          <w:sz w:val="20"/>
          <w:szCs w:val="20"/>
          <w:color w:val="auto"/>
        </w:rPr>
      </w:pPr>
      <w:r>
        <w:rPr>
          <w:rFonts w:ascii="Arial" w:cs="Arial" w:eastAsia="Arial" w:hAnsi="Arial"/>
          <w:sz w:val="17"/>
          <w:szCs w:val="17"/>
          <w:color w:val="auto"/>
        </w:rPr>
        <w:t>Labor laws in Israel provide that every employee is entitled to vacation days and recreation pay, both of which are computed annually. The entitlement with respect to each employee is based on the employee’s length of service with the Company. The Group recognizes a liability and an expense in respect of vacation and recreation pay based on the individual entitlement of each employee.</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  Share-based payments</w:t>
      </w:r>
    </w:p>
    <w:p>
      <w:pPr>
        <w:spacing w:after="0" w:line="113" w:lineRule="exact"/>
        <w:rPr>
          <w:sz w:val="20"/>
          <w:szCs w:val="20"/>
          <w:color w:val="auto"/>
        </w:rPr>
      </w:pPr>
    </w:p>
    <w:p>
      <w:pPr>
        <w:ind w:left="820" w:right="1079"/>
        <w:spacing w:after="0" w:line="261" w:lineRule="auto"/>
        <w:rPr>
          <w:sz w:val="20"/>
          <w:szCs w:val="20"/>
          <w:color w:val="auto"/>
        </w:rPr>
      </w:pPr>
      <w:r>
        <w:rPr>
          <w:rFonts w:ascii="Arial" w:cs="Arial" w:eastAsia="Arial" w:hAnsi="Arial"/>
          <w:sz w:val="17"/>
          <w:szCs w:val="17"/>
          <w:color w:val="auto"/>
        </w:rPr>
        <w:t>The Group operates an equity-settled, share-based compensation plan, under which it receives services from employees as consideration for equity instruments (options) of the Group. The fair value of the employee services received in exchange for the grant of the options is recognized as an expense. The total amount to be expensed is determined by reference to the fair value of the options granted:</w:t>
      </w:r>
    </w:p>
    <w:p>
      <w:pPr>
        <w:spacing w:after="0" w:line="76" w:lineRule="exact"/>
        <w:rPr>
          <w:sz w:val="20"/>
          <w:szCs w:val="20"/>
          <w:color w:val="auto"/>
        </w:rPr>
      </w:pPr>
    </w:p>
    <w:p>
      <w:pPr>
        <w:ind w:left="1100" w:hanging="312"/>
        <w:spacing w:after="0"/>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including any market performance conditions (for example, the Company’s share price);</w:t>
      </w:r>
    </w:p>
    <w:p>
      <w:pPr>
        <w:spacing w:after="0" w:line="113" w:lineRule="exact"/>
        <w:rPr>
          <w:rFonts w:ascii="Arial" w:cs="Arial" w:eastAsia="Arial" w:hAnsi="Arial"/>
          <w:sz w:val="17"/>
          <w:szCs w:val="17"/>
          <w:color w:val="auto"/>
        </w:rPr>
      </w:pPr>
    </w:p>
    <w:p>
      <w:pPr>
        <w:ind w:left="1100" w:right="999" w:hanging="312"/>
        <w:spacing w:after="0" w:line="311" w:lineRule="auto"/>
        <w:tabs>
          <w:tab w:leader="none" w:pos="11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excluding the impact of any service and non-market performance vesting conditions (for example, profitability, sales growth targets and the employee remaining with the entity over a specified time period); and</w:t>
      </w:r>
    </w:p>
    <w:p>
      <w:pPr>
        <w:spacing w:after="0" w:line="37" w:lineRule="exact"/>
        <w:rPr>
          <w:rFonts w:ascii="Arial" w:cs="Arial" w:eastAsia="Arial" w:hAnsi="Arial"/>
          <w:sz w:val="16"/>
          <w:szCs w:val="16"/>
          <w:color w:val="auto"/>
        </w:rPr>
      </w:pPr>
    </w:p>
    <w:p>
      <w:pPr>
        <w:ind w:left="1100" w:hanging="312"/>
        <w:spacing w:after="0"/>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excluding the impact of any non-vesting conditions.</w:t>
      </w:r>
    </w:p>
    <w:p>
      <w:pPr>
        <w:spacing w:after="0" w:line="113" w:lineRule="exact"/>
        <w:rPr>
          <w:sz w:val="20"/>
          <w:szCs w:val="20"/>
          <w:color w:val="auto"/>
        </w:rPr>
      </w:pPr>
    </w:p>
    <w:p>
      <w:pPr>
        <w:ind w:left="820" w:right="979"/>
        <w:spacing w:after="0" w:line="279" w:lineRule="auto"/>
        <w:rPr>
          <w:sz w:val="20"/>
          <w:szCs w:val="20"/>
          <w:color w:val="auto"/>
        </w:rPr>
      </w:pPr>
      <w:r>
        <w:rPr>
          <w:rFonts w:ascii="Arial" w:cs="Arial" w:eastAsia="Arial" w:hAnsi="Arial"/>
          <w:sz w:val="16"/>
          <w:szCs w:val="16"/>
          <w:color w:val="auto"/>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Group revises its estimates of the number of options that are expected to vest based on the non-marketing vesting conditions. It recognizes the impact of the revision to original estimates, if any, in the income statement, with a corresponding adjustment to equity.</w:t>
      </w:r>
    </w:p>
    <w:p>
      <w:pPr>
        <w:spacing w:after="0" w:line="63" w:lineRule="exact"/>
        <w:rPr>
          <w:sz w:val="20"/>
          <w:szCs w:val="20"/>
          <w:color w:val="auto"/>
        </w:rPr>
      </w:pPr>
    </w:p>
    <w:p>
      <w:pPr>
        <w:ind w:left="820" w:right="1079"/>
        <w:spacing w:after="0" w:line="347" w:lineRule="auto"/>
        <w:rPr>
          <w:sz w:val="20"/>
          <w:szCs w:val="20"/>
          <w:color w:val="auto"/>
        </w:rPr>
      </w:pPr>
      <w:r>
        <w:rPr>
          <w:rFonts w:ascii="Arial" w:cs="Arial" w:eastAsia="Arial" w:hAnsi="Arial"/>
          <w:sz w:val="15"/>
          <w:szCs w:val="15"/>
          <w:color w:val="auto"/>
        </w:rPr>
        <w:t>When the options are exercised, the Company issues new shares. The proceeds received, net of any directly attributable transaction costs, are credited to share capital (at par value) and share premium when the options are exercised.</w:t>
      </w:r>
    </w:p>
    <w:p>
      <w:pPr>
        <w:spacing w:after="0" w:line="200" w:lineRule="exact"/>
        <w:rPr>
          <w:sz w:val="20"/>
          <w:szCs w:val="20"/>
          <w:color w:val="auto"/>
        </w:rPr>
      </w:pP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2 — SIGNIFICANT ACCOUNTING POLICIES – (continued)</w:t>
      </w:r>
    </w:p>
    <w:p>
      <w:pPr>
        <w:spacing w:after="0" w:line="113"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t.</w:t>
      </w:r>
      <w:r>
        <w:rPr>
          <w:sz w:val="20"/>
          <w:szCs w:val="20"/>
          <w:color w:val="auto"/>
        </w:rPr>
        <w:tab/>
      </w:r>
      <w:r>
        <w:rPr>
          <w:rFonts w:ascii="Arial" w:cs="Arial" w:eastAsia="Arial" w:hAnsi="Arial"/>
          <w:sz w:val="15"/>
          <w:szCs w:val="15"/>
          <w:b w:val="1"/>
          <w:bCs w:val="1"/>
          <w:color w:val="auto"/>
        </w:rPr>
        <w:t>Earnings (loss) per share</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  Basic</w:t>
      </w:r>
    </w:p>
    <w:p>
      <w:pPr>
        <w:spacing w:after="0" w:line="113" w:lineRule="exact"/>
        <w:rPr>
          <w:sz w:val="20"/>
          <w:szCs w:val="20"/>
          <w:color w:val="auto"/>
        </w:rPr>
      </w:pPr>
    </w:p>
    <w:p>
      <w:pPr>
        <w:ind w:left="820" w:right="1219"/>
        <w:spacing w:after="0" w:line="278" w:lineRule="auto"/>
        <w:rPr>
          <w:sz w:val="20"/>
          <w:szCs w:val="20"/>
          <w:color w:val="auto"/>
        </w:rPr>
      </w:pPr>
      <w:r>
        <w:rPr>
          <w:rFonts w:ascii="Arial" w:cs="Arial" w:eastAsia="Arial" w:hAnsi="Arial"/>
          <w:sz w:val="17"/>
          <w:szCs w:val="17"/>
          <w:color w:val="auto"/>
        </w:rPr>
        <w:t>The basic earnings (loss) per share is calculated by dividing the earnings (loss) attributable to the holders of Ordinary Shares by the weighted average number of outstanding Ordinary Shares during the year.</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  Diluted</w:t>
      </w:r>
    </w:p>
    <w:p>
      <w:pPr>
        <w:spacing w:after="0" w:line="113" w:lineRule="exact"/>
        <w:rPr>
          <w:sz w:val="20"/>
          <w:szCs w:val="20"/>
          <w:color w:val="auto"/>
        </w:rPr>
      </w:pPr>
    </w:p>
    <w:p>
      <w:pPr>
        <w:ind w:left="820" w:right="1019"/>
        <w:spacing w:after="0" w:line="282" w:lineRule="auto"/>
        <w:rPr>
          <w:sz w:val="20"/>
          <w:szCs w:val="20"/>
          <w:color w:val="auto"/>
        </w:rPr>
      </w:pPr>
      <w:r>
        <w:rPr>
          <w:rFonts w:ascii="Arial" w:cs="Arial" w:eastAsia="Arial" w:hAnsi="Arial"/>
          <w:sz w:val="16"/>
          <w:szCs w:val="16"/>
          <w:color w:val="auto"/>
        </w:rPr>
        <w:t>The diluted earnings (loss) per share is calculated by adjusting the weighted average number of outstanding Ordinary Shares, assuming conversion of all dilutive potential shares. The Company’s dilutive potential shares consist of warrants and options granted to employees and service providers. The dilutive potential shares were not taken into account in computing loss per share in 2008 and 2009, as their effect would not have been dilutive.</w:t>
      </w:r>
    </w:p>
    <w:p>
      <w:pPr>
        <w:spacing w:after="0" w:line="55" w:lineRule="exact"/>
        <w:rPr>
          <w:sz w:val="20"/>
          <w:szCs w:val="20"/>
          <w:color w:val="auto"/>
        </w:rPr>
      </w:pPr>
    </w:p>
    <w:p>
      <w:pPr>
        <w:ind w:left="540" w:hanging="267"/>
        <w:spacing w:after="0"/>
        <w:tabs>
          <w:tab w:leader="none" w:pos="5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accounting policy and disclosures</w:t>
      </w:r>
    </w:p>
    <w:p>
      <w:pPr>
        <w:spacing w:after="0" w:line="119" w:lineRule="exact"/>
        <w:rPr>
          <w:rFonts w:ascii="Arial" w:cs="Arial" w:eastAsia="Arial" w:hAnsi="Arial"/>
          <w:sz w:val="17"/>
          <w:szCs w:val="17"/>
          <w:b w:val="1"/>
          <w:bCs w:val="1"/>
          <w:color w:val="auto"/>
        </w:rPr>
      </w:pPr>
    </w:p>
    <w:p>
      <w:pPr>
        <w:ind w:left="780" w:hanging="250"/>
        <w:spacing w:after="0"/>
        <w:tabs>
          <w:tab w:leader="none" w:pos="7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New and amended standards adopted during 2010</w:t>
      </w:r>
    </w:p>
    <w:p>
      <w:pPr>
        <w:spacing w:after="0" w:line="113" w:lineRule="exact"/>
        <w:rPr>
          <w:sz w:val="20"/>
          <w:szCs w:val="20"/>
          <w:color w:val="auto"/>
        </w:rPr>
      </w:pPr>
    </w:p>
    <w:p>
      <w:pPr>
        <w:ind w:left="820" w:right="1039"/>
        <w:spacing w:after="0" w:line="278" w:lineRule="auto"/>
        <w:rPr>
          <w:sz w:val="20"/>
          <w:szCs w:val="20"/>
          <w:color w:val="auto"/>
        </w:rPr>
      </w:pPr>
      <w:r>
        <w:rPr>
          <w:rFonts w:ascii="Arial" w:cs="Arial" w:eastAsia="Arial" w:hAnsi="Arial"/>
          <w:sz w:val="17"/>
          <w:szCs w:val="17"/>
          <w:color w:val="auto"/>
        </w:rPr>
        <w:t>The Group has adopted the following new and amended accounting standards as of January 1, 2010, which did not have a material effect on the financial statements of the Group:</w:t>
      </w:r>
    </w:p>
    <w:p>
      <w:pPr>
        <w:spacing w:after="0" w:line="62" w:lineRule="exact"/>
        <w:rPr>
          <w:sz w:val="20"/>
          <w:szCs w:val="20"/>
          <w:color w:val="auto"/>
        </w:rPr>
      </w:pPr>
    </w:p>
    <w:p>
      <w:pPr>
        <w:ind w:left="1040" w:right="1039" w:hanging="252"/>
        <w:spacing w:after="0" w:line="257"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IAS 27 (revised) requires the effects of all transactions with non-controlling interests to be recorded in equity if there is no change in control and these transactions will no longer result in goodwill or gains and losses. The standard also specifies the accounting when control is lost. Any remaining interest in the entity is re-measured to fair value, and a gain or loss is recognized in profit or loss. The Group did not carry out any transactions with non-controlling interests during 2010 and, accordingly, the initial adoption of IAS 27 (revised) did not have any impact on the Group’s financial statements.</w:t>
      </w:r>
    </w:p>
    <w:p>
      <w:pPr>
        <w:spacing w:after="0" w:line="81" w:lineRule="exact"/>
        <w:rPr>
          <w:rFonts w:ascii="Arial" w:cs="Arial" w:eastAsia="Arial" w:hAnsi="Arial"/>
          <w:sz w:val="17"/>
          <w:szCs w:val="17"/>
          <w:color w:val="auto"/>
        </w:rPr>
      </w:pPr>
    </w:p>
    <w:p>
      <w:pPr>
        <w:ind w:left="1040" w:right="999" w:hanging="252"/>
        <w:spacing w:after="0" w:line="273" w:lineRule="auto"/>
        <w:tabs>
          <w:tab w:leader="none" w:pos="10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IFRS 3 (revised), “Business Combinations” is effective prospectively to business combinations for which the acquisition date is on or after the beginning of the first annual reporting period beginning on or after 1 July 2009. The revised standard continues to apply the acquisition method to business combinations but with some significant changes compared with IFRS 3. For example, all payments to purchase a business are recorded at fair value at the acquisition date, with contingent payments classified as debt subsequently remeasured through the statement of comprehensive income. There is a choice on an acquisition-by-acquisition basis to measure the non-controlling interest in the acquiree either at fair value or at the non-controlling interest’s proportionate share of the acquiree’s net assets. All acquisition-related costs are expensed. The Group elected to adopt IFRS 3 (revised) on a prospective basis for all business combinations, effective January 1, 2010. The initial adoption of IFRS 3 (revised) did not have an effect on the Group’s financial statements.</w:t>
      </w:r>
    </w:p>
    <w:p>
      <w:pPr>
        <w:spacing w:after="0" w:line="68" w:lineRule="exact"/>
        <w:rPr>
          <w:rFonts w:ascii="Arial" w:cs="Arial" w:eastAsia="Arial" w:hAnsi="Arial"/>
          <w:sz w:val="16"/>
          <w:szCs w:val="16"/>
          <w:color w:val="auto"/>
        </w:rPr>
      </w:pPr>
    </w:p>
    <w:p>
      <w:pPr>
        <w:ind w:left="1040" w:right="999" w:hanging="252"/>
        <w:spacing w:after="0" w:line="257"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IAS 1 (amendment), “Presentation of Financial Statements,” clarifies that the potential settlement of a liability by the issue of equity is not relevant to its classification as current or non-current. By amending the definition of current liability, the amendment permits a liability to be classified as non-current (provided that the entity has an unconditional right to defer settlement by transfer of cash or other assets for at least 12 months after the accounting period) notwithstanding the fact that the entity could be required by the counterparty to settle in shares at any time. The Group adopted IAS 1 (amendment) effective January 1, 2010. The initial adoption of IAS 1 (amendment) did not have an effect on the Group’s financial statements.</w:t>
      </w:r>
    </w:p>
    <w:p>
      <w:pPr>
        <w:spacing w:after="0" w:line="200" w:lineRule="exact"/>
        <w:rPr>
          <w:sz w:val="20"/>
          <w:szCs w:val="20"/>
          <w:color w:val="auto"/>
        </w:rPr>
      </w:pPr>
    </w:p>
    <w:p>
      <w:pPr>
        <w:spacing w:after="0" w:line="31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2 — SIGNIFICANT ACCOUNTING POLICIES – (continued)</w:t>
      </w:r>
    </w:p>
    <w:p>
      <w:pPr>
        <w:spacing w:after="0" w:line="1" w:lineRule="exact"/>
        <w:rPr>
          <w:sz w:val="20"/>
          <w:szCs w:val="20"/>
          <w:color w:val="auto"/>
        </w:rPr>
      </w:pPr>
    </w:p>
    <w:p>
      <w:pPr>
        <w:ind w:left="1040" w:right="1099" w:hanging="252"/>
        <w:spacing w:after="0" w:line="261"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IFRS 7 “Financial Instruments — Disclosures” (amendment), requires enhanced disclosures about fair value measurement and liquidity risk. In particular, the amendment requires disclosure of fair value measurements in accordance with a fair value measurement hierarchy. The amendment did not have a material impact on the Group’s financial statements for the periods reported herein.</w:t>
      </w:r>
    </w:p>
    <w:p>
      <w:pPr>
        <w:spacing w:after="0" w:line="75" w:lineRule="exact"/>
        <w:rPr>
          <w:rFonts w:ascii="Arial" w:cs="Arial" w:eastAsia="Arial" w:hAnsi="Arial"/>
          <w:sz w:val="17"/>
          <w:szCs w:val="17"/>
          <w:color w:val="auto"/>
        </w:rPr>
      </w:pPr>
    </w:p>
    <w:p>
      <w:pPr>
        <w:ind w:left="1040" w:right="1099" w:hanging="252"/>
        <w:spacing w:after="0" w:line="265"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IAS 38 (amendment), “Intangible Assets,” is part of the IASB’s annual improvements project published in May 2008. The amendment provides that a prepayment may only be recognized in the event that payment has been made in advance of obtaining the right of access to goods or receipt of services.</w:t>
      </w:r>
    </w:p>
    <w:p>
      <w:pPr>
        <w:spacing w:after="0" w:line="73" w:lineRule="exact"/>
        <w:rPr>
          <w:sz w:val="20"/>
          <w:szCs w:val="20"/>
          <w:color w:val="auto"/>
        </w:rPr>
      </w:pPr>
    </w:p>
    <w:p>
      <w:pPr>
        <w:ind w:left="1080" w:right="1119"/>
        <w:spacing w:after="0" w:line="317" w:lineRule="auto"/>
        <w:rPr>
          <w:sz w:val="20"/>
          <w:szCs w:val="20"/>
          <w:color w:val="auto"/>
        </w:rPr>
      </w:pPr>
      <w:r>
        <w:rPr>
          <w:rFonts w:ascii="Arial" w:cs="Arial" w:eastAsia="Arial" w:hAnsi="Arial"/>
          <w:sz w:val="15"/>
          <w:szCs w:val="15"/>
          <w:color w:val="auto"/>
        </w:rPr>
        <w:t>The amendment also establishes that when re-measuring the book value of a debt instrument at termination of fair value hedge accounting, the effective interest calculated as of the date hedge accounting terminates should be used. The amendment did not have a material impact on the Group’s financial statements for the periods reported herein.</w:t>
      </w:r>
    </w:p>
    <w:p>
      <w:pPr>
        <w:spacing w:after="0" w:line="37" w:lineRule="exact"/>
        <w:rPr>
          <w:sz w:val="20"/>
          <w:szCs w:val="20"/>
          <w:color w:val="auto"/>
        </w:rPr>
      </w:pPr>
    </w:p>
    <w:p>
      <w:pPr>
        <w:ind w:left="780" w:right="1539" w:hanging="250"/>
        <w:spacing w:after="0" w:line="347" w:lineRule="auto"/>
        <w:tabs>
          <w:tab w:leader="none" w:pos="7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Standards, amendments and interpretations to existing standards that are not yet effective and have not been early adopted by the Group, and which are not expected to have a material impact on the Group’s financial statements</w:t>
      </w:r>
    </w:p>
    <w:p>
      <w:pPr>
        <w:spacing w:after="0" w:line="16" w:lineRule="exact"/>
        <w:rPr>
          <w:sz w:val="20"/>
          <w:szCs w:val="20"/>
          <w:color w:val="auto"/>
        </w:rPr>
      </w:pPr>
    </w:p>
    <w:p>
      <w:pPr>
        <w:ind w:left="820" w:right="1019"/>
        <w:spacing w:after="0" w:line="257" w:lineRule="auto"/>
        <w:rPr>
          <w:sz w:val="20"/>
          <w:szCs w:val="20"/>
          <w:color w:val="auto"/>
        </w:rPr>
      </w:pPr>
      <w:r>
        <w:rPr>
          <w:rFonts w:ascii="Arial" w:cs="Arial" w:eastAsia="Arial" w:hAnsi="Arial"/>
          <w:sz w:val="17"/>
          <w:szCs w:val="17"/>
          <w:color w:val="auto"/>
        </w:rPr>
        <w:t>IAS 32 (amendment), “Classification of Rights Issues,” was issued in October 2009. For rights issues offered for a fixed amount of foreign currency, current practice appears to require such issues to be accounted for as derivative liabilities. The amendment states that if such rights are issued pro rata to all existing shareholders of an entity in the same class for a fixed amount of currency, they should be classified as equity regardless of the currency in which the exercise price is denominated. The amendment will be effective for annual periods beginning on or after February 1, 2010, with early application permissible. The Group intends to apply this amendment in its financial statements beginning on January 1, 2011.</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3 — FINANCIAL RISK MANAGEMENT</w:t>
      </w:r>
    </w:p>
    <w:p>
      <w:pPr>
        <w:spacing w:after="0" w:line="119" w:lineRule="exact"/>
        <w:rPr>
          <w:sz w:val="20"/>
          <w:szCs w:val="20"/>
          <w:color w:val="auto"/>
        </w:rPr>
      </w:pPr>
    </w:p>
    <w:p>
      <w:pPr>
        <w:ind w:left="560" w:right="1139"/>
        <w:spacing w:after="0" w:line="265" w:lineRule="auto"/>
        <w:rPr>
          <w:sz w:val="20"/>
          <w:szCs w:val="20"/>
          <w:color w:val="auto"/>
        </w:rPr>
      </w:pPr>
      <w:r>
        <w:rPr>
          <w:rFonts w:ascii="Arial" w:cs="Arial" w:eastAsia="Arial" w:hAnsi="Arial"/>
          <w:sz w:val="17"/>
          <w:szCs w:val="17"/>
          <w:color w:val="auto"/>
        </w:rPr>
        <w:t>According to estimates by the Group’s management, the Group’s exposure to credit risks as of December 31, 2010 is immaterial (see Note 3b). The activities of the Group expose the Group to market risks, particularly as a result of currency risks.</w:t>
      </w:r>
    </w:p>
    <w:p>
      <w:pPr>
        <w:spacing w:after="0" w:line="73" w:lineRule="exact"/>
        <w:rPr>
          <w:sz w:val="20"/>
          <w:szCs w:val="20"/>
          <w:color w:val="auto"/>
        </w:rPr>
      </w:pPr>
    </w:p>
    <w:p>
      <w:pPr>
        <w:ind w:left="560" w:right="1099"/>
        <w:spacing w:after="0" w:line="279" w:lineRule="auto"/>
        <w:rPr>
          <w:sz w:val="20"/>
          <w:szCs w:val="20"/>
          <w:color w:val="auto"/>
        </w:rPr>
      </w:pPr>
      <w:r>
        <w:rPr>
          <w:rFonts w:ascii="Arial" w:cs="Arial" w:eastAsia="Arial" w:hAnsi="Arial"/>
          <w:sz w:val="16"/>
          <w:szCs w:val="16"/>
          <w:color w:val="auto"/>
        </w:rPr>
        <w:t>The Company’s finance department is responsible for carrying out risk management activities in accordance with policies approved by the Company’s Board of Directors. In this regard, the finance department identifies, defines and assesses financial risks in close cooperation with other Company departments. The Board of Directors provides written guidelines for overall risk management, as well as written policies dealing with specific areas, such as exchange rate risk, interest rate risk, credit risk, use of financial instruments, and investment of excess cash.</w:t>
      </w:r>
    </w:p>
    <w:p>
      <w:pPr>
        <w:spacing w:after="0" w:line="57" w:lineRule="exact"/>
        <w:rPr>
          <w:sz w:val="20"/>
          <w:szCs w:val="20"/>
          <w:color w:val="auto"/>
        </w:rPr>
      </w:pPr>
    </w:p>
    <w:p>
      <w:pPr>
        <w:ind w:left="540" w:hanging="267"/>
        <w:spacing w:after="0"/>
        <w:tabs>
          <w:tab w:leader="none" w:pos="54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Market risks</w:t>
      </w:r>
    </w:p>
    <w:p>
      <w:pPr>
        <w:spacing w:after="0" w:line="119" w:lineRule="exact"/>
        <w:rPr>
          <w:rFonts w:ascii="Arial" w:cs="Arial" w:eastAsia="Arial" w:hAnsi="Arial"/>
          <w:sz w:val="17"/>
          <w:szCs w:val="17"/>
          <w:b w:val="1"/>
          <w:bCs w:val="1"/>
          <w:color w:val="auto"/>
        </w:rPr>
      </w:pPr>
    </w:p>
    <w:p>
      <w:pPr>
        <w:ind w:left="780" w:hanging="250"/>
        <w:spacing w:after="0"/>
        <w:tabs>
          <w:tab w:leader="none" w:pos="7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Concentration of currency risks</w:t>
      </w:r>
    </w:p>
    <w:p>
      <w:pPr>
        <w:spacing w:after="0" w:line="113" w:lineRule="exact"/>
        <w:rPr>
          <w:sz w:val="20"/>
          <w:szCs w:val="20"/>
          <w:color w:val="auto"/>
        </w:rPr>
      </w:pPr>
    </w:p>
    <w:p>
      <w:pPr>
        <w:ind w:left="820" w:right="1399"/>
        <w:spacing w:after="0" w:line="278" w:lineRule="auto"/>
        <w:rPr>
          <w:sz w:val="20"/>
          <w:szCs w:val="20"/>
          <w:color w:val="auto"/>
        </w:rPr>
      </w:pPr>
      <w:r>
        <w:rPr>
          <w:rFonts w:ascii="Arial" w:cs="Arial" w:eastAsia="Arial" w:hAnsi="Arial"/>
          <w:sz w:val="17"/>
          <w:szCs w:val="17"/>
          <w:color w:val="auto"/>
        </w:rPr>
        <w:t>The Group’s activities are partly denominated in foreign currency, which exposes the Group to risks resulting from changes in exchange rates (primarily the dollar).</w:t>
      </w:r>
    </w:p>
    <w:p>
      <w:pPr>
        <w:spacing w:after="0" w:line="200" w:lineRule="exact"/>
        <w:rPr>
          <w:sz w:val="20"/>
          <w:szCs w:val="20"/>
          <w:color w:val="auto"/>
        </w:rPr>
      </w:pPr>
    </w:p>
    <w:p>
      <w:pPr>
        <w:spacing w:after="0" w:line="28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3 — FINANCIAL RISK MANAGEMENT – (continued)</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effect of fluctuations in various exchange rates on the Group’s income and equity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9663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2010</w:t>
            </w: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600"/>
              <w:spacing w:after="0" w:line="151"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1080" w:type="dxa"/>
            <w:vAlign w:val="bottom"/>
            <w:gridSpan w:val="3"/>
          </w:tcPr>
          <w:p>
            <w:pPr>
              <w:jc w:val="center"/>
              <w:ind w:right="160"/>
              <w:spacing w:after="0" w:line="151" w:lineRule="exact"/>
              <w:rPr>
                <w:sz w:val="20"/>
                <w:szCs w:val="20"/>
                <w:color w:val="auto"/>
              </w:rPr>
            </w:pPr>
            <w:r>
              <w:rPr>
                <w:rFonts w:ascii="Arial" w:cs="Arial" w:eastAsia="Arial" w:hAnsi="Arial"/>
                <w:sz w:val="14"/>
                <w:szCs w:val="14"/>
                <w:b w:val="1"/>
                <w:bCs w:val="1"/>
                <w:color w:val="auto"/>
                <w:w w:val="89"/>
              </w:rPr>
              <w:t>Value on</w:t>
            </w:r>
          </w:p>
        </w:tc>
        <w:tc>
          <w:tcPr>
            <w:tcW w:w="1960" w:type="dxa"/>
            <w:vAlign w:val="bottom"/>
            <w:gridSpan w:val="5"/>
          </w:tcPr>
          <w:p>
            <w:pPr>
              <w:jc w:val="right"/>
              <w:ind w:right="620"/>
              <w:spacing w:after="0" w:line="151" w:lineRule="exact"/>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balance sheet</w:t>
            </w: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Sensitive instrument</w:t>
            </w:r>
          </w:p>
        </w:tc>
        <w:tc>
          <w:tcPr>
            <w:tcW w:w="100" w:type="dxa"/>
            <w:vAlign w:val="bottom"/>
            <w:vMerge w:val="restart"/>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10% increase</w:t>
            </w:r>
          </w:p>
        </w:tc>
        <w:tc>
          <w:tcPr>
            <w:tcW w:w="8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 increase</w:t>
            </w:r>
          </w:p>
        </w:tc>
        <w:tc>
          <w:tcPr>
            <w:tcW w:w="100" w:type="dxa"/>
            <w:vAlign w:val="bottom"/>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5% decrease</w:t>
            </w: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10% decrease</w:t>
            </w:r>
          </w:p>
        </w:tc>
        <w:tc>
          <w:tcPr>
            <w:tcW w:w="0" w:type="dxa"/>
            <w:vAlign w:val="bottom"/>
          </w:tcPr>
          <w:p>
            <w:pPr>
              <w:spacing w:after="0"/>
              <w:rPr>
                <w:sz w:val="1"/>
                <w:szCs w:val="1"/>
                <w:color w:val="auto"/>
              </w:rPr>
            </w:pPr>
          </w:p>
        </w:tc>
      </w:tr>
      <w:tr>
        <w:trPr>
          <w:trHeight w:val="63"/>
        </w:trPr>
        <w:tc>
          <w:tcPr>
            <w:tcW w:w="2620" w:type="dxa"/>
            <w:vAlign w:val="bottom"/>
            <w:tcBorders>
              <w:bottom w:val="single" w:sz="8" w:color="auto"/>
            </w:tcBorders>
            <w:gridSpan w:val="3"/>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940" w:type="dxa"/>
            <w:vAlign w:val="bottom"/>
            <w:tcBorders>
              <w:bottom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720" w:type="dxa"/>
            <w:vAlign w:val="bottom"/>
            <w:gridSpan w:val="4"/>
            <w:vMerge w:val="restart"/>
          </w:tcPr>
          <w:p>
            <w:pPr>
              <w:spacing w:after="0"/>
              <w:rPr>
                <w:sz w:val="20"/>
                <w:szCs w:val="20"/>
                <w:color w:val="auto"/>
              </w:rPr>
            </w:pPr>
            <w:r>
              <w:rPr>
                <w:rFonts w:ascii="Arial" w:cs="Arial" w:eastAsia="Arial" w:hAnsi="Arial"/>
                <w:sz w:val="17"/>
                <w:szCs w:val="17"/>
                <w:color w:val="auto"/>
              </w:rPr>
              <w:t>Dollar-linked balances: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NIS in thousands</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7,339</w:t>
            </w:r>
          </w:p>
        </w:tc>
        <w:tc>
          <w:tcPr>
            <w:tcW w:w="102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3,670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73,394</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(3,670)</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(7,339)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Arial" w:cs="Arial" w:eastAsia="Arial" w:hAnsi="Arial"/>
                <w:sz w:val="17"/>
                <w:szCs w:val="17"/>
                <w:color w:val="auto"/>
              </w:rPr>
              <w:t>Short-term bank deposits</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2,804</w:t>
            </w: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1,402</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28,037</w:t>
            </w: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(1,402)</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(2,804)</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Restricted deposits*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57</w:t>
            </w:r>
          </w:p>
        </w:tc>
        <w:tc>
          <w:tcPr>
            <w:tcW w:w="102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28</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569</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(28)</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Arial" w:cs="Arial" w:eastAsia="Arial" w:hAnsi="Arial"/>
                <w:sz w:val="17"/>
                <w:szCs w:val="17"/>
                <w:color w:val="auto"/>
              </w:rPr>
              <w:t>Other receivables</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529</w:t>
            </w: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265</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5,294</w:t>
            </w: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(265)</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Trade payables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(179)</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(90)</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(1,792)</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90</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Arial" w:cs="Arial" w:eastAsia="Arial" w:hAnsi="Arial"/>
                <w:sz w:val="17"/>
                <w:szCs w:val="17"/>
                <w:color w:val="auto"/>
              </w:rPr>
              <w:t>Payable to licensors</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(149)</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(75)</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(1,491)</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2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Total dollar-linked balances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10,401</w:t>
            </w:r>
          </w:p>
        </w:tc>
        <w:tc>
          <w:tcPr>
            <w:tcW w:w="102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5,200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104,011</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(5,200)</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(10,401)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6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20" w:type="dxa"/>
            <w:vAlign w:val="bottom"/>
            <w:gridSpan w:val="4"/>
          </w:tcPr>
          <w:p>
            <w:pPr>
              <w:spacing w:after="0"/>
              <w:rPr>
                <w:sz w:val="20"/>
                <w:szCs w:val="20"/>
                <w:color w:val="auto"/>
              </w:rPr>
            </w:pPr>
            <w:r>
              <w:rPr>
                <w:rFonts w:ascii="Arial" w:cs="Arial" w:eastAsia="Arial" w:hAnsi="Arial"/>
                <w:sz w:val="17"/>
                <w:szCs w:val="17"/>
                <w:color w:val="auto"/>
              </w:rPr>
              <w:t>Euro-linked trade payables</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(41)</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(20)</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(406)</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20</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46"/>
        </w:trPr>
        <w:tc>
          <w:tcPr>
            <w:tcW w:w="2720" w:type="dxa"/>
            <w:vAlign w:val="bottom"/>
            <w:gridSpan w:val="4"/>
            <w:shd w:val="clear" w:color="auto" w:fill="CCFFCC"/>
          </w:tcPr>
          <w:p>
            <w:pPr>
              <w:spacing w:after="0"/>
              <w:rPr>
                <w:sz w:val="20"/>
                <w:szCs w:val="20"/>
                <w:color w:val="auto"/>
              </w:rPr>
            </w:pPr>
            <w:r>
              <w:rPr>
                <w:rFonts w:ascii="Arial" w:cs="Arial" w:eastAsia="Arial" w:hAnsi="Arial"/>
                <w:sz w:val="17"/>
                <w:szCs w:val="17"/>
                <w:b w:val="1"/>
                <w:bCs w:val="1"/>
                <w:color w:val="auto"/>
              </w:rPr>
              <w:t>Total</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10,360</w:t>
            </w:r>
          </w:p>
        </w:tc>
        <w:tc>
          <w:tcPr>
            <w:tcW w:w="102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5,180</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103,605</w:t>
            </w:r>
          </w:p>
        </w:tc>
        <w:tc>
          <w:tcPr>
            <w:tcW w:w="160" w:type="dxa"/>
            <w:vAlign w:val="bottom"/>
            <w:tcBorders>
              <w:right w:val="single" w:sz="8" w:color="CCFFCC"/>
            </w:tcBorders>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(5,180)</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(10,360)</w:t>
            </w:r>
          </w:p>
        </w:tc>
        <w:tc>
          <w:tcPr>
            <w:tcW w:w="0" w:type="dxa"/>
            <w:vAlign w:val="bottom"/>
          </w:tcPr>
          <w:p>
            <w:pPr>
              <w:spacing w:after="0"/>
              <w:rPr>
                <w:sz w:val="1"/>
                <w:szCs w:val="1"/>
                <w:color w:val="auto"/>
              </w:rPr>
            </w:pPr>
          </w:p>
        </w:tc>
      </w:tr>
      <w:tr>
        <w:trPr>
          <w:trHeight w:val="254"/>
        </w:trPr>
        <w:tc>
          <w:tcPr>
            <w:tcW w:w="20" w:type="dxa"/>
            <w:vAlign w:val="bottom"/>
            <w:tcBorders>
              <w:top w:val="single" w:sz="8" w:color="CCFFCC"/>
            </w:tcBorders>
          </w:tcPr>
          <w:p>
            <w:pPr>
              <w:spacing w:after="0"/>
              <w:rPr>
                <w:sz w:val="22"/>
                <w:szCs w:val="22"/>
                <w:color w:val="auto"/>
              </w:rPr>
            </w:pPr>
          </w:p>
        </w:tc>
        <w:tc>
          <w:tcPr>
            <w:tcW w:w="920" w:type="dxa"/>
            <w:vAlign w:val="bottom"/>
            <w:tcBorders>
              <w:top w:val="single" w:sz="8" w:color="CCFFCC"/>
              <w:bottom w:val="single" w:sz="8" w:color="auto"/>
            </w:tcBorders>
          </w:tcPr>
          <w:p>
            <w:pPr>
              <w:spacing w:after="0"/>
              <w:rPr>
                <w:sz w:val="22"/>
                <w:szCs w:val="22"/>
                <w:color w:val="auto"/>
              </w:rPr>
            </w:pPr>
          </w:p>
        </w:tc>
        <w:tc>
          <w:tcPr>
            <w:tcW w:w="168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-481330</wp:posOffset>
            </wp:positionV>
            <wp:extent cx="4966335" cy="1390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66335"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4966335"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66335" cy="32385"/>
                    </a:xfrm>
                    <a:prstGeom prst="rect">
                      <a:avLst/>
                    </a:prstGeom>
                    <a:noFill/>
                  </pic:spPr>
                </pic:pic>
              </a:graphicData>
            </a:graphic>
          </wp:anchor>
        </w:drawing>
      </w:r>
    </w:p>
    <w:p>
      <w:pPr>
        <w:spacing w:after="0" w:line="225" w:lineRule="exact"/>
        <w:rPr>
          <w:sz w:val="20"/>
          <w:szCs w:val="20"/>
          <w:color w:val="auto"/>
        </w:rPr>
      </w:pPr>
    </w:p>
    <w:p>
      <w:pPr>
        <w:ind w:left="280" w:hanging="264"/>
        <w:spacing w:after="0"/>
        <w:tabs>
          <w:tab w:leader="none" w:pos="2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See also Note 12b(1).</w:t>
      </w:r>
    </w:p>
    <w:p>
      <w:pPr>
        <w:spacing w:after="0" w:line="113" w:lineRule="exact"/>
        <w:rPr>
          <w:sz w:val="20"/>
          <w:szCs w:val="20"/>
          <w:color w:val="auto"/>
        </w:rPr>
      </w:pPr>
    </w:p>
    <w:p>
      <w:pPr>
        <w:ind w:left="820" w:right="1159"/>
        <w:spacing w:after="0" w:line="278" w:lineRule="auto"/>
        <w:rPr>
          <w:sz w:val="20"/>
          <w:szCs w:val="20"/>
          <w:color w:val="auto"/>
        </w:rPr>
      </w:pPr>
      <w:r>
        <w:rPr>
          <w:rFonts w:ascii="Arial" w:cs="Arial" w:eastAsia="Arial" w:hAnsi="Arial"/>
          <w:sz w:val="17"/>
          <w:szCs w:val="17"/>
          <w:color w:val="auto"/>
        </w:rPr>
        <w:t>The Group also maintains cash and cash equivalent balances that are linked to other currencies in amounts that are not material.</w:t>
      </w:r>
    </w:p>
    <w:p>
      <w:pPr>
        <w:spacing w:after="0" w:line="62" w:lineRule="exact"/>
        <w:rPr>
          <w:sz w:val="20"/>
          <w:szCs w:val="20"/>
          <w:color w:val="auto"/>
        </w:rPr>
      </w:pPr>
    </w:p>
    <w:p>
      <w:pPr>
        <w:ind w:left="820" w:right="1519"/>
        <w:spacing w:after="0" w:line="270" w:lineRule="auto"/>
        <w:rPr>
          <w:sz w:val="20"/>
          <w:szCs w:val="20"/>
          <w:color w:val="auto"/>
        </w:rPr>
      </w:pPr>
      <w:r>
        <w:rPr>
          <w:rFonts w:ascii="Arial" w:cs="Arial" w:eastAsia="Arial" w:hAnsi="Arial"/>
          <w:sz w:val="17"/>
          <w:szCs w:val="17"/>
          <w:color w:val="auto"/>
        </w:rPr>
        <w:t>The Company believes that the likelihood of a fluctuation in exchange rates of up to 10% in the coming period is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663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600"/>
              <w:spacing w:after="0" w:line="151"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1080" w:type="dxa"/>
            <w:vAlign w:val="bottom"/>
            <w:gridSpan w:val="3"/>
          </w:tcPr>
          <w:p>
            <w:pPr>
              <w:jc w:val="center"/>
              <w:ind w:right="160"/>
              <w:spacing w:after="0" w:line="151" w:lineRule="exact"/>
              <w:rPr>
                <w:sz w:val="20"/>
                <w:szCs w:val="20"/>
                <w:color w:val="auto"/>
              </w:rPr>
            </w:pPr>
            <w:r>
              <w:rPr>
                <w:rFonts w:ascii="Arial" w:cs="Arial" w:eastAsia="Arial" w:hAnsi="Arial"/>
                <w:sz w:val="14"/>
                <w:szCs w:val="14"/>
                <w:b w:val="1"/>
                <w:bCs w:val="1"/>
                <w:color w:val="auto"/>
                <w:w w:val="89"/>
              </w:rPr>
              <w:t>Value on</w:t>
            </w:r>
          </w:p>
        </w:tc>
        <w:tc>
          <w:tcPr>
            <w:tcW w:w="1960" w:type="dxa"/>
            <w:vAlign w:val="bottom"/>
            <w:gridSpan w:val="5"/>
          </w:tcPr>
          <w:p>
            <w:pPr>
              <w:jc w:val="right"/>
              <w:ind w:right="620"/>
              <w:spacing w:after="0" w:line="151" w:lineRule="exact"/>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balance sheet</w:t>
            </w: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Sensitive instrument</w:t>
            </w:r>
          </w:p>
        </w:tc>
        <w:tc>
          <w:tcPr>
            <w:tcW w:w="100" w:type="dxa"/>
            <w:vAlign w:val="bottom"/>
            <w:vMerge w:val="restart"/>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10% increase</w:t>
            </w:r>
          </w:p>
        </w:tc>
        <w:tc>
          <w:tcPr>
            <w:tcW w:w="8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 increase</w:t>
            </w:r>
          </w:p>
        </w:tc>
        <w:tc>
          <w:tcPr>
            <w:tcW w:w="100" w:type="dxa"/>
            <w:vAlign w:val="bottom"/>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5% decrease</w:t>
            </w: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10% decrease</w:t>
            </w:r>
          </w:p>
        </w:tc>
        <w:tc>
          <w:tcPr>
            <w:tcW w:w="0" w:type="dxa"/>
            <w:vAlign w:val="bottom"/>
          </w:tcPr>
          <w:p>
            <w:pPr>
              <w:spacing w:after="0"/>
              <w:rPr>
                <w:sz w:val="1"/>
                <w:szCs w:val="1"/>
                <w:color w:val="auto"/>
              </w:rPr>
            </w:pPr>
          </w:p>
        </w:tc>
      </w:tr>
      <w:tr>
        <w:trPr>
          <w:trHeight w:val="63"/>
        </w:trPr>
        <w:tc>
          <w:tcPr>
            <w:tcW w:w="2620" w:type="dxa"/>
            <w:vAlign w:val="bottom"/>
            <w:tcBorders>
              <w:bottom w:val="single" w:sz="8" w:color="auto"/>
            </w:tcBorders>
            <w:gridSpan w:val="3"/>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940" w:type="dxa"/>
            <w:vAlign w:val="bottom"/>
            <w:tcBorders>
              <w:bottom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720" w:type="dxa"/>
            <w:vAlign w:val="bottom"/>
            <w:gridSpan w:val="4"/>
            <w:vMerge w:val="restart"/>
          </w:tcPr>
          <w:p>
            <w:pPr>
              <w:spacing w:after="0"/>
              <w:rPr>
                <w:sz w:val="20"/>
                <w:szCs w:val="20"/>
                <w:color w:val="auto"/>
              </w:rPr>
            </w:pPr>
            <w:r>
              <w:rPr>
                <w:rFonts w:ascii="Arial" w:cs="Arial" w:eastAsia="Arial" w:hAnsi="Arial"/>
                <w:sz w:val="17"/>
                <w:szCs w:val="17"/>
                <w:color w:val="auto"/>
              </w:rPr>
              <w:t>Dollar-linked balances: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NIS in thousands</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3,367</w:t>
            </w:r>
          </w:p>
        </w:tc>
        <w:tc>
          <w:tcPr>
            <w:tcW w:w="180" w:type="dxa"/>
            <w:vAlign w:val="bottom"/>
            <w:shd w:val="clear" w:color="auto" w:fill="CCFFCC"/>
          </w:tcPr>
          <w:p>
            <w:pPr>
              <w:spacing w:after="0"/>
              <w:rPr>
                <w:sz w:val="17"/>
                <w:szCs w:val="17"/>
                <w:color w:val="auto"/>
              </w:rPr>
            </w:pPr>
          </w:p>
        </w:tc>
        <w:tc>
          <w:tcPr>
            <w:tcW w:w="102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1,684</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33,674</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(1,684)</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(3,367)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Arial" w:cs="Arial" w:eastAsia="Arial" w:hAnsi="Arial"/>
                <w:sz w:val="17"/>
                <w:szCs w:val="17"/>
                <w:color w:val="auto"/>
              </w:rPr>
              <w:t>Restricted deposits*</w:t>
            </w:r>
          </w:p>
        </w:tc>
        <w:tc>
          <w:tcPr>
            <w:tcW w:w="760" w:type="dxa"/>
            <w:vAlign w:val="bottom"/>
          </w:tcPr>
          <w:p>
            <w:pPr>
              <w:jc w:val="right"/>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30</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604</w:t>
            </w: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Trade receivables</w:t>
            </w: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3,775</w:t>
            </w:r>
          </w:p>
        </w:tc>
        <w:tc>
          <w:tcPr>
            <w:tcW w:w="180" w:type="dxa"/>
            <w:vAlign w:val="bottom"/>
            <w:shd w:val="clear" w:color="auto" w:fill="CCFFCC"/>
          </w:tcPr>
          <w:p>
            <w:pPr>
              <w:spacing w:after="0"/>
              <w:rPr>
                <w:sz w:val="17"/>
                <w:szCs w:val="17"/>
                <w:color w:val="auto"/>
              </w:rPr>
            </w:pPr>
          </w:p>
        </w:tc>
        <w:tc>
          <w:tcPr>
            <w:tcW w:w="102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1,888</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37,750</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(1,888)</w:t>
            </w:r>
          </w:p>
        </w:tc>
        <w:tc>
          <w:tcPr>
            <w:tcW w:w="10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Arial" w:cs="Arial" w:eastAsia="Arial" w:hAnsi="Arial"/>
                <w:sz w:val="17"/>
                <w:szCs w:val="17"/>
                <w:color w:val="auto"/>
              </w:rPr>
              <w:t>Trade payables</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(299)</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(149)</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(2,987)</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149</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Payable to licensors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(1,057)</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(528)</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(10,570)</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528</w:t>
            </w:r>
          </w:p>
        </w:tc>
        <w:tc>
          <w:tcPr>
            <w:tcW w:w="108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6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20" w:type="dxa"/>
            <w:vAlign w:val="bottom"/>
            <w:gridSpan w:val="4"/>
          </w:tcPr>
          <w:p>
            <w:pPr>
              <w:spacing w:after="0"/>
              <w:rPr>
                <w:sz w:val="20"/>
                <w:szCs w:val="20"/>
                <w:color w:val="auto"/>
              </w:rPr>
            </w:pPr>
            <w:r>
              <w:rPr>
                <w:rFonts w:ascii="Arial" w:cs="Arial" w:eastAsia="Arial" w:hAnsi="Arial"/>
                <w:sz w:val="17"/>
                <w:szCs w:val="17"/>
                <w:color w:val="auto"/>
              </w:rPr>
              <w:t>Total dollar-linked balances</w:t>
            </w:r>
          </w:p>
        </w:tc>
        <w:tc>
          <w:tcPr>
            <w:tcW w:w="760" w:type="dxa"/>
            <w:vAlign w:val="bottom"/>
          </w:tcPr>
          <w:p>
            <w:pPr>
              <w:jc w:val="right"/>
              <w:spacing w:after="0"/>
              <w:rPr>
                <w:sz w:val="20"/>
                <w:szCs w:val="20"/>
                <w:color w:val="auto"/>
              </w:rPr>
            </w:pPr>
            <w:r>
              <w:rPr>
                <w:rFonts w:ascii="Arial" w:cs="Arial" w:eastAsia="Arial" w:hAnsi="Arial"/>
                <w:sz w:val="17"/>
                <w:szCs w:val="17"/>
                <w:color w:val="auto"/>
              </w:rPr>
              <w:t>5,846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58,471</w:t>
            </w: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(2,925)</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(5,846)</w:t>
            </w:r>
          </w:p>
        </w:tc>
        <w:tc>
          <w:tcPr>
            <w:tcW w:w="0" w:type="dxa"/>
            <w:vAlign w:val="bottom"/>
          </w:tcPr>
          <w:p>
            <w:pPr>
              <w:spacing w:after="0"/>
              <w:rPr>
                <w:sz w:val="1"/>
                <w:szCs w:val="1"/>
                <w:color w:val="auto"/>
              </w:rPr>
            </w:pPr>
          </w:p>
        </w:tc>
      </w:tr>
      <w:tr>
        <w:trPr>
          <w:trHeight w:val="199"/>
        </w:trPr>
        <w:tc>
          <w:tcPr>
            <w:tcW w:w="272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Euro-linked balances:</w:t>
            </w:r>
          </w:p>
        </w:tc>
        <w:tc>
          <w:tcPr>
            <w:tcW w:w="76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00" w:type="dxa"/>
            <w:vAlign w:val="bottom"/>
            <w:gridSpan w:val="3"/>
          </w:tcPr>
          <w:p>
            <w:pPr>
              <w:ind w:left="1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77</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1,550</w:t>
            </w: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(77)</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7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Trade payables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(219)</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(110)</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(2,196)</w:t>
            </w:r>
          </w:p>
        </w:tc>
        <w:tc>
          <w:tcPr>
            <w:tcW w:w="160" w:type="dxa"/>
            <w:vAlign w:val="bottom"/>
            <w:tcBorders>
              <w:right w:val="single" w:sz="8" w:color="CCFFCC"/>
            </w:tcBorders>
            <w:shd w:val="clear" w:color="auto" w:fill="CCFFCC"/>
          </w:tcPr>
          <w:p>
            <w:pPr>
              <w:spacing w:after="0"/>
              <w:rPr>
                <w:sz w:val="17"/>
                <w:szCs w:val="17"/>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110</w:t>
            </w:r>
          </w:p>
        </w:tc>
        <w:tc>
          <w:tcPr>
            <w:tcW w:w="108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6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(64)</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(33)</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(646)</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33</w:t>
            </w: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gridSpan w:val="4"/>
            <w:shd w:val="clear" w:color="auto" w:fill="CCFFCC"/>
          </w:tcPr>
          <w:p>
            <w:pPr>
              <w:spacing w:after="0" w:line="186" w:lineRule="exact"/>
              <w:rPr>
                <w:sz w:val="20"/>
                <w:szCs w:val="20"/>
                <w:color w:val="auto"/>
              </w:rPr>
            </w:pPr>
            <w:r>
              <w:rPr>
                <w:rFonts w:ascii="Arial" w:cs="Arial" w:eastAsia="Arial" w:hAnsi="Arial"/>
                <w:sz w:val="17"/>
                <w:szCs w:val="17"/>
                <w:color w:val="auto"/>
              </w:rPr>
              <w:t>Trade payables linked to pound</w:t>
            </w:r>
          </w:p>
        </w:tc>
        <w:tc>
          <w:tcPr>
            <w:tcW w:w="760" w:type="dxa"/>
            <w:vAlign w:val="bottom"/>
            <w:shd w:val="clear" w:color="auto" w:fill="CCFFCC"/>
          </w:tcPr>
          <w:p>
            <w:pPr>
              <w:jc w:val="right"/>
              <w:spacing w:after="0" w:line="186" w:lineRule="exact"/>
              <w:rPr>
                <w:sz w:val="20"/>
                <w:szCs w:val="20"/>
                <w:color w:val="auto"/>
              </w:rPr>
            </w:pPr>
            <w:r>
              <w:rPr>
                <w:rFonts w:ascii="Arial" w:cs="Arial" w:eastAsia="Arial" w:hAnsi="Arial"/>
                <w:sz w:val="17"/>
                <w:szCs w:val="17"/>
                <w:color w:val="auto"/>
              </w:rPr>
              <w:t>40</w:t>
            </w:r>
          </w:p>
        </w:tc>
        <w:tc>
          <w:tcPr>
            <w:tcW w:w="1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86" w:lineRule="exact"/>
              <w:rPr>
                <w:sz w:val="20"/>
                <w:szCs w:val="20"/>
                <w:color w:val="auto"/>
              </w:rPr>
            </w:pPr>
            <w:r>
              <w:rPr>
                <w:rFonts w:ascii="Arial" w:cs="Arial" w:eastAsia="Arial" w:hAnsi="Arial"/>
                <w:sz w:val="17"/>
                <w:szCs w:val="17"/>
                <w:color w:val="auto"/>
              </w:rPr>
              <w:t>20</w:t>
            </w: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line="186" w:lineRule="exact"/>
              <w:rPr>
                <w:sz w:val="20"/>
                <w:szCs w:val="20"/>
                <w:color w:val="auto"/>
              </w:rPr>
            </w:pPr>
            <w:r>
              <w:rPr>
                <w:rFonts w:ascii="Arial" w:cs="Arial" w:eastAsia="Arial" w:hAnsi="Arial"/>
                <w:sz w:val="17"/>
                <w:szCs w:val="17"/>
                <w:color w:val="auto"/>
              </w:rPr>
              <w:t>399</w:t>
            </w:r>
          </w:p>
        </w:tc>
        <w:tc>
          <w:tcPr>
            <w:tcW w:w="160" w:type="dxa"/>
            <w:vAlign w:val="bottom"/>
            <w:tcBorders>
              <w:right w:val="single" w:sz="8" w:color="CCFFCC"/>
            </w:tcBorders>
            <w:shd w:val="clear" w:color="auto" w:fill="CCFFCC"/>
          </w:tcPr>
          <w:p>
            <w:pPr>
              <w:spacing w:after="0"/>
              <w:rPr>
                <w:sz w:val="16"/>
                <w:szCs w:val="16"/>
                <w:color w:val="auto"/>
              </w:rPr>
            </w:pPr>
          </w:p>
        </w:tc>
        <w:tc>
          <w:tcPr>
            <w:tcW w:w="880" w:type="dxa"/>
            <w:vAlign w:val="bottom"/>
            <w:gridSpan w:val="2"/>
            <w:shd w:val="clear" w:color="auto" w:fill="CCFFCC"/>
          </w:tcPr>
          <w:p>
            <w:pPr>
              <w:jc w:val="right"/>
              <w:ind w:right="120"/>
              <w:spacing w:after="0" w:line="186" w:lineRule="exact"/>
              <w:rPr>
                <w:sz w:val="20"/>
                <w:szCs w:val="20"/>
                <w:color w:val="auto"/>
              </w:rPr>
            </w:pPr>
            <w:r>
              <w:rPr>
                <w:rFonts w:ascii="Arial" w:cs="Arial" w:eastAsia="Arial" w:hAnsi="Arial"/>
                <w:sz w:val="17"/>
                <w:szCs w:val="17"/>
                <w:color w:val="auto"/>
              </w:rPr>
              <w:t>(20)</w:t>
            </w:r>
          </w:p>
        </w:tc>
        <w:tc>
          <w:tcPr>
            <w:tcW w:w="1080" w:type="dxa"/>
            <w:vAlign w:val="bottom"/>
            <w:gridSpan w:val="3"/>
            <w:shd w:val="clear" w:color="auto" w:fill="CCFFCC"/>
          </w:tcPr>
          <w:p>
            <w:pPr>
              <w:jc w:val="right"/>
              <w:ind w:right="120"/>
              <w:spacing w:after="0" w:line="186"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FFCC"/>
            </w:tcBorders>
            <w:shd w:val="clear" w:color="auto" w:fill="CCFFCC"/>
          </w:tcPr>
          <w:p>
            <w:pPr>
              <w:spacing w:after="0"/>
              <w:rPr>
                <w:sz w:val="18"/>
                <w:szCs w:val="18"/>
                <w:color w:val="auto"/>
              </w:rPr>
            </w:pPr>
          </w:p>
        </w:tc>
        <w:tc>
          <w:tcPr>
            <w:tcW w:w="27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7"/>
                <w:szCs w:val="17"/>
                <w:color w:val="auto"/>
              </w:rPr>
              <w:t>sterling</w:t>
            </w:r>
          </w:p>
        </w:tc>
        <w:tc>
          <w:tcPr>
            <w:tcW w:w="76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20" w:type="dxa"/>
            <w:vAlign w:val="bottom"/>
            <w:gridSpan w:val="4"/>
          </w:tcPr>
          <w:p>
            <w:pPr>
              <w:spacing w:after="0"/>
              <w:rPr>
                <w:sz w:val="20"/>
                <w:szCs w:val="20"/>
                <w:color w:val="auto"/>
              </w:rPr>
            </w:pPr>
            <w:r>
              <w:rPr>
                <w:rFonts w:ascii="Arial" w:cs="Arial" w:eastAsia="Arial" w:hAnsi="Arial"/>
                <w:sz w:val="17"/>
                <w:szCs w:val="17"/>
                <w:b w:val="1"/>
                <w:bCs w:val="1"/>
                <w:color w:val="auto"/>
              </w:rPr>
              <w:t>Total</w:t>
            </w:r>
          </w:p>
        </w:tc>
        <w:tc>
          <w:tcPr>
            <w:tcW w:w="760" w:type="dxa"/>
            <w:vAlign w:val="bottom"/>
          </w:tcPr>
          <w:p>
            <w:pPr>
              <w:jc w:val="right"/>
              <w:spacing w:after="0"/>
              <w:rPr>
                <w:sz w:val="20"/>
                <w:szCs w:val="20"/>
                <w:color w:val="auto"/>
              </w:rPr>
            </w:pPr>
            <w:r>
              <w:rPr>
                <w:rFonts w:ascii="Arial" w:cs="Arial" w:eastAsia="Arial" w:hAnsi="Arial"/>
                <w:sz w:val="17"/>
                <w:szCs w:val="17"/>
                <w:color w:val="auto"/>
              </w:rPr>
              <w:t>5,882</w:t>
            </w:r>
          </w:p>
        </w:tc>
        <w:tc>
          <w:tcPr>
            <w:tcW w:w="18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rPr>
              <w:t>2,912</w:t>
            </w:r>
          </w:p>
        </w:tc>
        <w:tc>
          <w:tcPr>
            <w:tcW w:w="1020" w:type="dxa"/>
            <w:vAlign w:val="bottom"/>
            <w:gridSpan w:val="3"/>
          </w:tcPr>
          <w:p>
            <w:pPr>
              <w:jc w:val="right"/>
              <w:ind w:right="120"/>
              <w:spacing w:after="0"/>
              <w:rPr>
                <w:sz w:val="20"/>
                <w:szCs w:val="20"/>
                <w:color w:val="auto"/>
              </w:rPr>
            </w:pPr>
            <w:r>
              <w:rPr>
                <w:rFonts w:ascii="Arial" w:cs="Arial" w:eastAsia="Arial" w:hAnsi="Arial"/>
                <w:sz w:val="17"/>
                <w:szCs w:val="17"/>
                <w:color w:val="auto"/>
              </w:rPr>
              <w:t>58,224</w:t>
            </w:r>
          </w:p>
        </w:tc>
        <w:tc>
          <w:tcPr>
            <w:tcW w:w="1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(2,912)</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(5,822)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-1289685</wp:posOffset>
            </wp:positionV>
            <wp:extent cx="4966335" cy="147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-750570</wp:posOffset>
            </wp:positionV>
            <wp:extent cx="4966335" cy="147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-342265</wp:posOffset>
            </wp:positionV>
            <wp:extent cx="4966335"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66335" cy="171450"/>
                    </a:xfrm>
                    <a:prstGeom prst="rect">
                      <a:avLst/>
                    </a:prstGeom>
                    <a:noFill/>
                  </pic:spPr>
                </pic:pic>
              </a:graphicData>
            </a:graphic>
          </wp:anchor>
        </w:drawing>
      </w:r>
    </w:p>
    <w:p>
      <w:pPr>
        <w:spacing w:after="0" w:line="225"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See also Note 12b(1).</w:t>
      </w: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1040"/>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3 — FINANCIAL RISK MANAGEMENT – (continued)</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Set forth below is data regarding exchange rates and the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0919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Exchange rate of</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Exchange rate of</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Exchange rate of</w:t>
            </w:r>
          </w:p>
        </w:tc>
        <w:tc>
          <w:tcPr>
            <w:tcW w:w="80" w:type="dxa"/>
            <w:vAlign w:val="bottom"/>
          </w:tcPr>
          <w:p>
            <w:pPr>
              <w:spacing w:after="0"/>
              <w:rPr>
                <w:sz w:val="14"/>
                <w:szCs w:val="14"/>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rPr>
              <w:t>Israeli CPI*</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USD 1</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1"/>
              </w:rPr>
              <w:t>€ 1</w:t>
            </w:r>
          </w:p>
        </w:tc>
        <w:tc>
          <w:tcPr>
            <w:tcW w:w="114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81"/>
              </w:rPr>
              <w:t>£ 1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960" w:type="dxa"/>
            <w:vAlign w:val="bottom"/>
            <w:gridSpan w:val="3"/>
            <w:vMerge w:val="restart"/>
          </w:tcPr>
          <w:p>
            <w:pPr>
              <w:spacing w:after="0"/>
              <w:rPr>
                <w:sz w:val="20"/>
                <w:szCs w:val="20"/>
                <w:color w:val="auto"/>
              </w:rPr>
            </w:pPr>
            <w:r>
              <w:rPr>
                <w:rFonts w:ascii="Arial" w:cs="Arial" w:eastAsia="Arial" w:hAnsi="Arial"/>
                <w:sz w:val="17"/>
                <w:szCs w:val="17"/>
                <w:color w:val="auto"/>
              </w:rPr>
              <w:t>As of December 31:</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NIS</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NIS</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NIS</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198"/>
        </w:trPr>
        <w:tc>
          <w:tcPr>
            <w:tcW w:w="196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4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2009</w:t>
            </w:r>
          </w:p>
        </w:tc>
        <w:tc>
          <w:tcPr>
            <w:tcW w:w="1020" w:type="dxa"/>
            <w:vAlign w:val="bottom"/>
            <w:shd w:val="clear" w:color="auto" w:fill="CCFFCC"/>
          </w:tcPr>
          <w:p>
            <w:pPr>
              <w:spacing w:after="0"/>
              <w:rPr>
                <w:sz w:val="17"/>
                <w:szCs w:val="17"/>
                <w:color w:val="auto"/>
              </w:rPr>
            </w:pPr>
          </w:p>
        </w:tc>
        <w:tc>
          <w:tcPr>
            <w:tcW w:w="1040" w:type="dxa"/>
            <w:vAlign w:val="bottom"/>
            <w:shd w:val="clear" w:color="auto" w:fill="CCFFCC"/>
          </w:tcPr>
          <w:p>
            <w:pPr>
              <w:jc w:val="right"/>
              <w:ind w:right="302"/>
              <w:spacing w:after="0"/>
              <w:rPr>
                <w:sz w:val="20"/>
                <w:szCs w:val="20"/>
                <w:color w:val="auto"/>
              </w:rPr>
            </w:pPr>
            <w:r>
              <w:rPr>
                <w:rFonts w:ascii="Arial" w:cs="Arial" w:eastAsia="Arial" w:hAnsi="Arial"/>
                <w:sz w:val="17"/>
                <w:szCs w:val="17"/>
                <w:color w:val="auto"/>
              </w:rPr>
              <w:t>3.775</w:t>
            </w:r>
          </w:p>
        </w:tc>
        <w:tc>
          <w:tcPr>
            <w:tcW w:w="1140" w:type="dxa"/>
            <w:vAlign w:val="bottom"/>
            <w:gridSpan w:val="2"/>
            <w:shd w:val="clear" w:color="auto" w:fill="CCFFCC"/>
          </w:tcPr>
          <w:p>
            <w:pPr>
              <w:jc w:val="right"/>
              <w:ind w:right="191"/>
              <w:spacing w:after="0"/>
              <w:rPr>
                <w:sz w:val="20"/>
                <w:szCs w:val="20"/>
                <w:color w:val="auto"/>
              </w:rPr>
            </w:pPr>
            <w:r>
              <w:rPr>
                <w:rFonts w:ascii="Arial" w:cs="Arial" w:eastAsia="Arial" w:hAnsi="Arial"/>
                <w:sz w:val="17"/>
                <w:szCs w:val="17"/>
                <w:color w:val="auto"/>
              </w:rPr>
              <w:t>5.442</w:t>
            </w:r>
          </w:p>
        </w:tc>
        <w:tc>
          <w:tcPr>
            <w:tcW w:w="1140" w:type="dxa"/>
            <w:vAlign w:val="bottom"/>
            <w:gridSpan w:val="2"/>
            <w:shd w:val="clear" w:color="auto" w:fill="CCFFCC"/>
          </w:tcPr>
          <w:p>
            <w:pPr>
              <w:jc w:val="right"/>
              <w:ind w:right="191"/>
              <w:spacing w:after="0"/>
              <w:rPr>
                <w:sz w:val="20"/>
                <w:szCs w:val="20"/>
                <w:color w:val="auto"/>
              </w:rPr>
            </w:pPr>
            <w:r>
              <w:rPr>
                <w:rFonts w:ascii="Arial" w:cs="Arial" w:eastAsia="Arial" w:hAnsi="Arial"/>
                <w:sz w:val="17"/>
                <w:szCs w:val="17"/>
                <w:color w:val="auto"/>
              </w:rPr>
              <w:t>6.111</w:t>
            </w:r>
          </w:p>
        </w:tc>
        <w:tc>
          <w:tcPr>
            <w:tcW w:w="1160" w:type="dxa"/>
            <w:vAlign w:val="bottom"/>
            <w:gridSpan w:val="2"/>
            <w:shd w:val="clear" w:color="auto" w:fill="CCFFCC"/>
          </w:tcPr>
          <w:p>
            <w:pPr>
              <w:jc w:val="right"/>
              <w:ind w:right="211"/>
              <w:spacing w:after="0"/>
              <w:rPr>
                <w:sz w:val="20"/>
                <w:szCs w:val="20"/>
                <w:color w:val="auto"/>
              </w:rPr>
            </w:pPr>
            <w:r>
              <w:rPr>
                <w:rFonts w:ascii="Arial" w:cs="Arial" w:eastAsia="Arial" w:hAnsi="Arial"/>
                <w:sz w:val="17"/>
                <w:szCs w:val="17"/>
                <w:color w:val="auto"/>
              </w:rPr>
              <w:t>122.57</w:t>
            </w:r>
          </w:p>
        </w:tc>
        <w:tc>
          <w:tcPr>
            <w:tcW w:w="0" w:type="dxa"/>
            <w:vAlign w:val="bottom"/>
          </w:tcPr>
          <w:p>
            <w:pPr>
              <w:spacing w:after="0"/>
              <w:rPr>
                <w:sz w:val="1"/>
                <w:szCs w:val="1"/>
                <w:color w:val="auto"/>
              </w:rPr>
            </w:pPr>
          </w:p>
        </w:tc>
      </w:tr>
      <w:tr>
        <w:trPr>
          <w:trHeight w:val="206"/>
        </w:trPr>
        <w:tc>
          <w:tcPr>
            <w:tcW w:w="940" w:type="dxa"/>
            <w:vAlign w:val="bottom"/>
            <w:gridSpan w:val="2"/>
          </w:tcPr>
          <w:p>
            <w:pPr>
              <w:ind w:left="180"/>
              <w:spacing w:after="0"/>
              <w:rPr>
                <w:sz w:val="20"/>
                <w:szCs w:val="20"/>
                <w:color w:val="auto"/>
              </w:rPr>
            </w:pPr>
            <w:r>
              <w:rPr>
                <w:rFonts w:ascii="Arial" w:cs="Arial" w:eastAsia="Arial" w:hAnsi="Arial"/>
                <w:sz w:val="17"/>
                <w:szCs w:val="17"/>
                <w:color w:val="auto"/>
              </w:rPr>
              <w:t>2010</w:t>
            </w:r>
          </w:p>
        </w:tc>
        <w:tc>
          <w:tcPr>
            <w:tcW w:w="1020" w:type="dxa"/>
            <w:vAlign w:val="bottom"/>
          </w:tcPr>
          <w:p>
            <w:pPr>
              <w:spacing w:after="0"/>
              <w:rPr>
                <w:sz w:val="17"/>
                <w:szCs w:val="17"/>
                <w:color w:val="auto"/>
              </w:rPr>
            </w:pPr>
          </w:p>
        </w:tc>
        <w:tc>
          <w:tcPr>
            <w:tcW w:w="1040" w:type="dxa"/>
            <w:vAlign w:val="bottom"/>
          </w:tcPr>
          <w:p>
            <w:pPr>
              <w:jc w:val="right"/>
              <w:ind w:right="302"/>
              <w:spacing w:after="0"/>
              <w:rPr>
                <w:sz w:val="20"/>
                <w:szCs w:val="20"/>
                <w:color w:val="auto"/>
              </w:rPr>
            </w:pPr>
            <w:r>
              <w:rPr>
                <w:rFonts w:ascii="Arial" w:cs="Arial" w:eastAsia="Arial" w:hAnsi="Arial"/>
                <w:sz w:val="17"/>
                <w:szCs w:val="17"/>
                <w:color w:val="auto"/>
              </w:rPr>
              <w:t>3.549</w:t>
            </w:r>
          </w:p>
        </w:tc>
        <w:tc>
          <w:tcPr>
            <w:tcW w:w="1140" w:type="dxa"/>
            <w:vAlign w:val="bottom"/>
            <w:gridSpan w:val="2"/>
          </w:tcPr>
          <w:p>
            <w:pPr>
              <w:jc w:val="right"/>
              <w:ind w:right="191"/>
              <w:spacing w:after="0"/>
              <w:rPr>
                <w:sz w:val="20"/>
                <w:szCs w:val="20"/>
                <w:color w:val="auto"/>
              </w:rPr>
            </w:pPr>
            <w:r>
              <w:rPr>
                <w:rFonts w:ascii="Arial" w:cs="Arial" w:eastAsia="Arial" w:hAnsi="Arial"/>
                <w:sz w:val="17"/>
                <w:szCs w:val="17"/>
                <w:color w:val="auto"/>
              </w:rPr>
              <w:t>4.738</w:t>
            </w:r>
          </w:p>
        </w:tc>
        <w:tc>
          <w:tcPr>
            <w:tcW w:w="1140" w:type="dxa"/>
            <w:vAlign w:val="bottom"/>
            <w:gridSpan w:val="2"/>
          </w:tcPr>
          <w:p>
            <w:pPr>
              <w:jc w:val="right"/>
              <w:ind w:right="191"/>
              <w:spacing w:after="0"/>
              <w:rPr>
                <w:sz w:val="20"/>
                <w:szCs w:val="20"/>
                <w:color w:val="auto"/>
              </w:rPr>
            </w:pPr>
            <w:r>
              <w:rPr>
                <w:rFonts w:ascii="Arial" w:cs="Arial" w:eastAsia="Arial" w:hAnsi="Arial"/>
                <w:sz w:val="17"/>
                <w:szCs w:val="17"/>
                <w:color w:val="auto"/>
              </w:rPr>
              <w:t>5.493</w:t>
            </w:r>
          </w:p>
        </w:tc>
        <w:tc>
          <w:tcPr>
            <w:tcW w:w="1160" w:type="dxa"/>
            <w:vAlign w:val="bottom"/>
            <w:gridSpan w:val="2"/>
          </w:tcPr>
          <w:p>
            <w:pPr>
              <w:jc w:val="right"/>
              <w:ind w:right="211"/>
              <w:spacing w:after="0"/>
              <w:rPr>
                <w:sz w:val="20"/>
                <w:szCs w:val="20"/>
                <w:color w:val="auto"/>
              </w:rPr>
            </w:pPr>
            <w:r>
              <w:rPr>
                <w:rFonts w:ascii="Arial" w:cs="Arial" w:eastAsia="Arial" w:hAnsi="Arial"/>
                <w:sz w:val="17"/>
                <w:szCs w:val="17"/>
                <w:color w:val="auto"/>
              </w:rPr>
              <w:t>125.83</w:t>
            </w:r>
          </w:p>
        </w:tc>
        <w:tc>
          <w:tcPr>
            <w:tcW w:w="0" w:type="dxa"/>
            <w:vAlign w:val="bottom"/>
          </w:tcPr>
          <w:p>
            <w:pPr>
              <w:spacing w:after="0"/>
              <w:rPr>
                <w:sz w:val="1"/>
                <w:szCs w:val="1"/>
                <w:color w:val="auto"/>
              </w:rPr>
            </w:pPr>
          </w:p>
        </w:tc>
      </w:tr>
      <w:tr>
        <w:trPr>
          <w:trHeight w:val="193"/>
        </w:trPr>
        <w:tc>
          <w:tcPr>
            <w:tcW w:w="1960" w:type="dxa"/>
            <w:vAlign w:val="bottom"/>
            <w:gridSpan w:val="3"/>
            <w:shd w:val="clear" w:color="auto" w:fill="CCFFCC"/>
          </w:tcPr>
          <w:p>
            <w:pPr>
              <w:spacing w:after="0" w:line="194" w:lineRule="exact"/>
              <w:rPr>
                <w:sz w:val="20"/>
                <w:szCs w:val="20"/>
                <w:color w:val="auto"/>
              </w:rPr>
            </w:pPr>
            <w:r>
              <w:rPr>
                <w:rFonts w:ascii="Arial" w:cs="Arial" w:eastAsia="Arial" w:hAnsi="Arial"/>
                <w:sz w:val="17"/>
                <w:szCs w:val="17"/>
                <w:color w:val="auto"/>
              </w:rPr>
              <w:t>Percentage increase</w:t>
            </w:r>
          </w:p>
        </w:tc>
        <w:tc>
          <w:tcPr>
            <w:tcW w:w="10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(decrease) in:</w:t>
            </w: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40" w:type="dxa"/>
            <w:vAlign w:val="bottom"/>
            <w:gridSpan w:val="2"/>
          </w:tcPr>
          <w:p>
            <w:pPr>
              <w:ind w:left="180"/>
              <w:spacing w:after="0"/>
              <w:rPr>
                <w:sz w:val="20"/>
                <w:szCs w:val="20"/>
                <w:color w:val="auto"/>
              </w:rPr>
            </w:pPr>
            <w:r>
              <w:rPr>
                <w:rFonts w:ascii="Arial" w:cs="Arial" w:eastAsia="Arial" w:hAnsi="Arial"/>
                <w:sz w:val="17"/>
                <w:szCs w:val="17"/>
                <w:color w:val="auto"/>
              </w:rPr>
              <w:t>2009</w:t>
            </w:r>
          </w:p>
        </w:tc>
        <w:tc>
          <w:tcPr>
            <w:tcW w:w="1020" w:type="dxa"/>
            <w:vAlign w:val="bottom"/>
          </w:tcPr>
          <w:p>
            <w:pPr>
              <w:spacing w:after="0"/>
              <w:rPr>
                <w:sz w:val="17"/>
                <w:szCs w:val="17"/>
                <w:color w:val="auto"/>
              </w:rPr>
            </w:pPr>
          </w:p>
        </w:tc>
        <w:tc>
          <w:tcPr>
            <w:tcW w:w="1040" w:type="dxa"/>
            <w:vAlign w:val="bottom"/>
          </w:tcPr>
          <w:p>
            <w:pPr>
              <w:jc w:val="right"/>
              <w:ind w:right="102"/>
              <w:spacing w:after="0"/>
              <w:rPr>
                <w:sz w:val="20"/>
                <w:szCs w:val="20"/>
                <w:color w:val="auto"/>
              </w:rPr>
            </w:pPr>
            <w:r>
              <w:rPr>
                <w:rFonts w:ascii="Arial" w:cs="Arial" w:eastAsia="Arial" w:hAnsi="Arial"/>
                <w:sz w:val="17"/>
                <w:szCs w:val="17"/>
                <w:color w:val="auto"/>
              </w:rPr>
              <w:t>(0.7)%</w:t>
            </w:r>
          </w:p>
        </w:tc>
        <w:tc>
          <w:tcPr>
            <w:tcW w:w="1140" w:type="dxa"/>
            <w:vAlign w:val="bottom"/>
            <w:gridSpan w:val="2"/>
          </w:tcPr>
          <w:p>
            <w:pPr>
              <w:jc w:val="right"/>
              <w:ind w:right="31"/>
              <w:spacing w:after="0"/>
              <w:rPr>
                <w:sz w:val="20"/>
                <w:szCs w:val="20"/>
                <w:color w:val="auto"/>
              </w:rPr>
            </w:pPr>
            <w:r>
              <w:rPr>
                <w:rFonts w:ascii="Arial" w:cs="Arial" w:eastAsia="Arial" w:hAnsi="Arial"/>
                <w:sz w:val="17"/>
                <w:szCs w:val="17"/>
                <w:color w:val="auto"/>
              </w:rPr>
              <w:t>2.7%</w:t>
            </w:r>
          </w:p>
        </w:tc>
        <w:tc>
          <w:tcPr>
            <w:tcW w:w="1140" w:type="dxa"/>
            <w:vAlign w:val="bottom"/>
            <w:gridSpan w:val="2"/>
          </w:tcPr>
          <w:p>
            <w:pPr>
              <w:jc w:val="right"/>
              <w:ind w:right="51"/>
              <w:spacing w:after="0"/>
              <w:rPr>
                <w:sz w:val="20"/>
                <w:szCs w:val="20"/>
                <w:color w:val="auto"/>
              </w:rPr>
            </w:pPr>
            <w:r>
              <w:rPr>
                <w:rFonts w:ascii="Arial" w:cs="Arial" w:eastAsia="Arial" w:hAnsi="Arial"/>
                <w:sz w:val="17"/>
                <w:szCs w:val="17"/>
                <w:color w:val="auto"/>
              </w:rPr>
              <w:t>10.2%</w:t>
            </w:r>
          </w:p>
        </w:tc>
        <w:tc>
          <w:tcPr>
            <w:tcW w:w="1160" w:type="dxa"/>
            <w:vAlign w:val="bottom"/>
            <w:gridSpan w:val="2"/>
          </w:tcPr>
          <w:p>
            <w:pPr>
              <w:jc w:val="right"/>
              <w:ind w:right="71"/>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6"/>
        </w:trPr>
        <w:tc>
          <w:tcPr>
            <w:tcW w:w="94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2010</w:t>
            </w:r>
          </w:p>
        </w:tc>
        <w:tc>
          <w:tcPr>
            <w:tcW w:w="1020" w:type="dxa"/>
            <w:vAlign w:val="bottom"/>
            <w:shd w:val="clear" w:color="auto" w:fill="CCFFCC"/>
          </w:tcPr>
          <w:p>
            <w:pPr>
              <w:spacing w:after="0"/>
              <w:rPr>
                <w:sz w:val="17"/>
                <w:szCs w:val="17"/>
                <w:color w:val="auto"/>
              </w:rPr>
            </w:pPr>
          </w:p>
        </w:tc>
        <w:tc>
          <w:tcPr>
            <w:tcW w:w="1040" w:type="dxa"/>
            <w:vAlign w:val="bottom"/>
            <w:shd w:val="clear" w:color="auto" w:fill="CCFFCC"/>
          </w:tcPr>
          <w:p>
            <w:pPr>
              <w:jc w:val="right"/>
              <w:ind w:right="102"/>
              <w:spacing w:after="0"/>
              <w:rPr>
                <w:sz w:val="20"/>
                <w:szCs w:val="20"/>
                <w:color w:val="auto"/>
              </w:rPr>
            </w:pPr>
            <w:r>
              <w:rPr>
                <w:rFonts w:ascii="Arial" w:cs="Arial" w:eastAsia="Arial" w:hAnsi="Arial"/>
                <w:sz w:val="17"/>
                <w:szCs w:val="17"/>
                <w:color w:val="auto"/>
              </w:rPr>
              <w:t>(6.0)%</w:t>
            </w:r>
          </w:p>
        </w:tc>
        <w:tc>
          <w:tcPr>
            <w:tcW w:w="1140" w:type="dxa"/>
            <w:vAlign w:val="bottom"/>
            <w:gridSpan w:val="2"/>
            <w:shd w:val="clear" w:color="auto" w:fill="CCFFCC"/>
          </w:tcPr>
          <w:p>
            <w:pPr>
              <w:jc w:val="right"/>
              <w:ind w:right="191"/>
              <w:spacing w:after="0"/>
              <w:rPr>
                <w:sz w:val="20"/>
                <w:szCs w:val="20"/>
                <w:color w:val="auto"/>
              </w:rPr>
            </w:pPr>
            <w:r>
              <w:rPr>
                <w:rFonts w:ascii="Arial" w:cs="Arial" w:eastAsia="Arial" w:hAnsi="Arial"/>
                <w:sz w:val="17"/>
                <w:szCs w:val="17"/>
                <w:color w:val="auto"/>
              </w:rPr>
              <w:t>(12.9%)</w:t>
            </w:r>
          </w:p>
        </w:tc>
        <w:tc>
          <w:tcPr>
            <w:tcW w:w="1140" w:type="dxa"/>
            <w:vAlign w:val="bottom"/>
            <w:gridSpan w:val="2"/>
            <w:shd w:val="clear" w:color="auto" w:fill="CCFFCC"/>
          </w:tcPr>
          <w:p>
            <w:pPr>
              <w:jc w:val="right"/>
              <w:ind w:right="191"/>
              <w:spacing w:after="0"/>
              <w:rPr>
                <w:sz w:val="20"/>
                <w:szCs w:val="20"/>
                <w:color w:val="auto"/>
              </w:rPr>
            </w:pPr>
            <w:r>
              <w:rPr>
                <w:rFonts w:ascii="Arial" w:cs="Arial" w:eastAsia="Arial" w:hAnsi="Arial"/>
                <w:sz w:val="17"/>
                <w:szCs w:val="17"/>
                <w:color w:val="auto"/>
              </w:rPr>
              <w:t>(10.1%)</w:t>
            </w:r>
          </w:p>
        </w:tc>
        <w:tc>
          <w:tcPr>
            <w:tcW w:w="1160" w:type="dxa"/>
            <w:vAlign w:val="bottom"/>
            <w:gridSpan w:val="2"/>
            <w:shd w:val="clear" w:color="auto" w:fill="CCFFCC"/>
          </w:tcPr>
          <w:p>
            <w:pPr>
              <w:jc w:val="right"/>
              <w:ind w:right="71"/>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80" w:hanging="264"/>
        <w:spacing w:after="0"/>
        <w:tabs>
          <w:tab w:leader="none" w:pos="2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the index for the month ending on each balance sheet date, on the basis of 2000 average = 100.</w:t>
      </w:r>
    </w:p>
    <w:p>
      <w:pPr>
        <w:spacing w:after="0" w:line="113" w:lineRule="exact"/>
        <w:rPr>
          <w:sz w:val="20"/>
          <w:szCs w:val="20"/>
          <w:color w:val="auto"/>
        </w:rPr>
      </w:pPr>
    </w:p>
    <w:p>
      <w:pPr>
        <w:jc w:val="center"/>
        <w:ind w:right="4080"/>
        <w:spacing w:after="0"/>
        <w:rPr>
          <w:sz w:val="20"/>
          <w:szCs w:val="20"/>
          <w:color w:val="auto"/>
        </w:rPr>
      </w:pPr>
      <w:r>
        <w:rPr>
          <w:rFonts w:ascii="Arial" w:cs="Arial" w:eastAsia="Arial" w:hAnsi="Arial"/>
          <w:sz w:val="17"/>
          <w:szCs w:val="17"/>
          <w:color w:val="auto"/>
        </w:rPr>
        <w:t>Set forth below is information on the linkage of monetary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9663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8"/>
              </w:rPr>
              <w:t>December 31, 2009</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December 31, 2010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40" w:type="dxa"/>
            <w:vAlign w:val="bottom"/>
          </w:tcPr>
          <w:p>
            <w:pPr>
              <w:spacing w:after="0"/>
              <w:rPr>
                <w:sz w:val="15"/>
                <w:szCs w:val="15"/>
                <w:color w:val="auto"/>
              </w:rPr>
            </w:pPr>
          </w:p>
        </w:tc>
      </w:tr>
      <w:tr>
        <w:trPr>
          <w:trHeight w:val="151"/>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20" w:type="dxa"/>
            <w:vAlign w:val="bottom"/>
          </w:tcPr>
          <w:p>
            <w:pPr>
              <w:jc w:val="right"/>
              <w:ind w:right="35"/>
              <w:spacing w:after="0" w:line="151" w:lineRule="exact"/>
              <w:rPr>
                <w:sz w:val="20"/>
                <w:szCs w:val="20"/>
                <w:color w:val="auto"/>
              </w:rPr>
            </w:pPr>
            <w:r>
              <w:rPr>
                <w:rFonts w:ascii="Arial" w:cs="Arial" w:eastAsia="Arial" w:hAnsi="Arial"/>
                <w:sz w:val="14"/>
                <w:szCs w:val="14"/>
                <w:b w:val="1"/>
                <w:bCs w:val="1"/>
                <w:color w:val="auto"/>
              </w:rPr>
              <w:t>Dollar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center"/>
              <w:ind w:right="320"/>
              <w:spacing w:after="0" w:line="151"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NIS</w:t>
            </w:r>
          </w:p>
        </w:tc>
        <w:tc>
          <w:tcPr>
            <w:tcW w:w="100" w:type="dxa"/>
            <w:vAlign w:val="bottom"/>
          </w:tcPr>
          <w:p>
            <w:pPr>
              <w:spacing w:after="0"/>
              <w:rPr>
                <w:sz w:val="13"/>
                <w:szCs w:val="13"/>
                <w:color w:val="auto"/>
              </w:rPr>
            </w:pPr>
          </w:p>
        </w:tc>
        <w:tc>
          <w:tcPr>
            <w:tcW w:w="720" w:type="dxa"/>
            <w:vAlign w:val="bottom"/>
          </w:tcPr>
          <w:p>
            <w:pPr>
              <w:jc w:val="right"/>
              <w:ind w:right="57"/>
              <w:spacing w:after="0" w:line="151" w:lineRule="exact"/>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3"/>
                <w:szCs w:val="13"/>
                <w:color w:val="auto"/>
              </w:rPr>
            </w:pPr>
          </w:p>
        </w:tc>
        <w:tc>
          <w:tcPr>
            <w:tcW w:w="1080" w:type="dxa"/>
            <w:vAlign w:val="bottom"/>
            <w:gridSpan w:val="4"/>
          </w:tcPr>
          <w:p>
            <w:pPr>
              <w:ind w:left="240"/>
              <w:spacing w:after="0" w:line="151" w:lineRule="exact"/>
              <w:rPr>
                <w:sz w:val="20"/>
                <w:szCs w:val="20"/>
                <w:color w:val="auto"/>
              </w:rPr>
            </w:pPr>
            <w:r>
              <w:rPr>
                <w:rFonts w:ascii="Arial" w:cs="Arial" w:eastAsia="Arial" w:hAnsi="Arial"/>
                <w:sz w:val="14"/>
                <w:szCs w:val="14"/>
                <w:b w:val="1"/>
                <w:bCs w:val="1"/>
                <w:color w:val="auto"/>
              </w:rPr>
              <w:t>Other</w:t>
            </w:r>
          </w:p>
        </w:tc>
        <w:tc>
          <w:tcPr>
            <w:tcW w:w="640" w:type="dxa"/>
            <w:vAlign w:val="bottom"/>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rPr>
              <w:t>NIS</w:t>
            </w:r>
          </w:p>
        </w:tc>
        <w:tc>
          <w:tcPr>
            <w:tcW w:w="2340" w:type="dxa"/>
            <w:vAlign w:val="bottom"/>
          </w:tcPr>
          <w:p>
            <w:pPr>
              <w:spacing w:after="0"/>
              <w:rPr>
                <w:sz w:val="13"/>
                <w:szCs w:val="13"/>
                <w:color w:val="auto"/>
              </w:rPr>
            </w:pPr>
          </w:p>
        </w:tc>
      </w:tr>
      <w:tr>
        <w:trPr>
          <w:trHeight w:val="164"/>
        </w:trPr>
        <w:tc>
          <w:tcPr>
            <w:tcW w:w="1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currencies</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5"/>
              </w:rPr>
              <w:t>currencies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r>
      <w:tr>
        <w:trPr>
          <w:trHeight w:val="193"/>
        </w:trPr>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jc w:val="right"/>
              <w:ind w:right="177"/>
              <w:spacing w:after="0"/>
              <w:rPr>
                <w:sz w:val="20"/>
                <w:szCs w:val="20"/>
                <w:color w:val="auto"/>
              </w:rPr>
            </w:pPr>
            <w:r>
              <w:rPr>
                <w:rFonts w:ascii="Arial" w:cs="Arial" w:eastAsia="Arial" w:hAnsi="Arial"/>
                <w:sz w:val="14"/>
                <w:szCs w:val="14"/>
                <w:color w:val="auto"/>
              </w:rPr>
              <w:t>NIS in thousands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12"/>
        </w:trPr>
        <w:tc>
          <w:tcPr>
            <w:tcW w:w="26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340" w:type="dxa"/>
            <w:vAlign w:val="bottom"/>
          </w:tcPr>
          <w:p>
            <w:pPr>
              <w:spacing w:after="0"/>
              <w:rPr>
                <w:sz w:val="18"/>
                <w:szCs w:val="18"/>
                <w:color w:val="auto"/>
              </w:rPr>
            </w:pPr>
          </w:p>
        </w:tc>
      </w:tr>
      <w:tr>
        <w:trPr>
          <w:trHeight w:val="206"/>
        </w:trPr>
        <w:tc>
          <w:tcPr>
            <w:tcW w:w="2600" w:type="dxa"/>
            <w:vAlign w:val="bottom"/>
            <w:gridSpan w:val="2"/>
          </w:tcPr>
          <w:p>
            <w:pPr>
              <w:ind w:left="180"/>
              <w:spacing w:after="0"/>
              <w:rPr>
                <w:sz w:val="20"/>
                <w:szCs w:val="20"/>
                <w:color w:val="auto"/>
              </w:rPr>
            </w:pPr>
            <w:r>
              <w:rPr>
                <w:rFonts w:ascii="Arial" w:cs="Arial" w:eastAsia="Arial" w:hAnsi="Arial"/>
                <w:sz w:val="17"/>
                <w:szCs w:val="17"/>
                <w:color w:val="auto"/>
              </w:rPr>
              <w:t>Current assets: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6"/>
        </w:trPr>
        <w:tc>
          <w:tcPr>
            <w:tcW w:w="2600" w:type="dxa"/>
            <w:vAlign w:val="bottom"/>
            <w:gridSpan w:val="2"/>
            <w:shd w:val="clear" w:color="auto" w:fill="CCFFCC"/>
          </w:tcPr>
          <w:p>
            <w:pPr>
              <w:ind w:left="340"/>
              <w:spacing w:after="0"/>
              <w:rPr>
                <w:sz w:val="20"/>
                <w:szCs w:val="20"/>
                <w:color w:val="auto"/>
              </w:rPr>
            </w:pPr>
            <w:r>
              <w:rPr>
                <w:rFonts w:ascii="Arial" w:cs="Arial" w:eastAsia="Arial" w:hAnsi="Arial"/>
                <w:sz w:val="17"/>
                <w:szCs w:val="17"/>
                <w:color w:val="auto"/>
              </w:rPr>
              <w:t>Cash and cash equivalents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33,674</w:t>
            </w:r>
          </w:p>
        </w:tc>
        <w:tc>
          <w:tcPr>
            <w:tcW w:w="940" w:type="dxa"/>
            <w:vAlign w:val="bottom"/>
            <w:gridSpan w:val="4"/>
            <w:shd w:val="clear" w:color="auto" w:fill="CCFFCC"/>
          </w:tcPr>
          <w:p>
            <w:pPr>
              <w:jc w:val="right"/>
              <w:ind w:right="140"/>
              <w:spacing w:after="0"/>
              <w:rPr>
                <w:sz w:val="20"/>
                <w:szCs w:val="20"/>
                <w:color w:val="auto"/>
              </w:rPr>
            </w:pPr>
            <w:r>
              <w:rPr>
                <w:rFonts w:ascii="Arial" w:cs="Arial" w:eastAsia="Arial" w:hAnsi="Arial"/>
                <w:sz w:val="17"/>
                <w:szCs w:val="17"/>
                <w:color w:val="auto"/>
              </w:rPr>
              <w:t>1,949</w:t>
            </w: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88"/>
              </w:rPr>
              <w:t>70,267</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73,394</w:t>
            </w:r>
          </w:p>
        </w:tc>
        <w:tc>
          <w:tcPr>
            <w:tcW w:w="940" w:type="dxa"/>
            <w:vAlign w:val="bottom"/>
            <w:tcBorders>
              <w:lef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38,032</w:t>
            </w:r>
          </w:p>
        </w:tc>
        <w:tc>
          <w:tcPr>
            <w:tcW w:w="2340" w:type="dxa"/>
            <w:vAlign w:val="bottom"/>
          </w:tcPr>
          <w:p>
            <w:pPr>
              <w:spacing w:after="0"/>
              <w:rPr>
                <w:sz w:val="17"/>
                <w:szCs w:val="17"/>
                <w:color w:val="auto"/>
              </w:rPr>
            </w:pPr>
          </w:p>
        </w:tc>
      </w:tr>
      <w:tr>
        <w:trPr>
          <w:trHeight w:val="206"/>
        </w:trPr>
        <w:tc>
          <w:tcPr>
            <w:tcW w:w="2600" w:type="dxa"/>
            <w:vAlign w:val="bottom"/>
            <w:gridSpan w:val="2"/>
          </w:tcPr>
          <w:p>
            <w:pPr>
              <w:ind w:left="340"/>
              <w:spacing w:after="0"/>
              <w:rPr>
                <w:sz w:val="20"/>
                <w:szCs w:val="20"/>
                <w:color w:val="auto"/>
              </w:rPr>
            </w:pPr>
            <w:r>
              <w:rPr>
                <w:rFonts w:ascii="Arial" w:cs="Arial" w:eastAsia="Arial" w:hAnsi="Arial"/>
                <w:sz w:val="17"/>
                <w:szCs w:val="17"/>
                <w:color w:val="auto"/>
              </w:rPr>
              <w:t>Short term bank deposits</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right"/>
              <w:ind w:right="4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28,037</w:t>
            </w:r>
          </w:p>
        </w:tc>
        <w:tc>
          <w:tcPr>
            <w:tcW w:w="140" w:type="dxa"/>
            <w:vAlign w:val="bottom"/>
          </w:tcPr>
          <w:p>
            <w:pPr>
              <w:spacing w:after="0"/>
              <w:rPr>
                <w:sz w:val="17"/>
                <w:szCs w:val="17"/>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340" w:type="dxa"/>
            <w:vAlign w:val="bottom"/>
          </w:tcPr>
          <w:p>
            <w:pPr>
              <w:spacing w:after="0"/>
              <w:rPr>
                <w:sz w:val="17"/>
                <w:szCs w:val="17"/>
                <w:color w:val="auto"/>
              </w:rPr>
            </w:pPr>
          </w:p>
        </w:tc>
      </w:tr>
      <w:tr>
        <w:trPr>
          <w:trHeight w:val="206"/>
        </w:trPr>
        <w:tc>
          <w:tcPr>
            <w:tcW w:w="2600" w:type="dxa"/>
            <w:vAlign w:val="bottom"/>
            <w:gridSpan w:val="2"/>
            <w:shd w:val="clear" w:color="auto" w:fill="CCFFCC"/>
          </w:tcPr>
          <w:p>
            <w:pPr>
              <w:ind w:left="340"/>
              <w:spacing w:after="0"/>
              <w:rPr>
                <w:sz w:val="20"/>
                <w:szCs w:val="20"/>
                <w:color w:val="auto"/>
              </w:rPr>
            </w:pPr>
            <w:r>
              <w:rPr>
                <w:rFonts w:ascii="Arial" w:cs="Arial" w:eastAsia="Arial" w:hAnsi="Arial"/>
                <w:sz w:val="17"/>
                <w:szCs w:val="17"/>
                <w:color w:val="auto"/>
              </w:rPr>
              <w:t>Other receivables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20" w:type="dxa"/>
            <w:vAlign w:val="bottom"/>
            <w:gridSpan w:val="4"/>
            <w:shd w:val="clear" w:color="auto" w:fill="CCFFCC"/>
          </w:tcPr>
          <w:p>
            <w:pPr>
              <w:jc w:val="right"/>
              <w:ind w:right="4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2,313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5,294</w:t>
            </w:r>
          </w:p>
        </w:tc>
        <w:tc>
          <w:tcPr>
            <w:tcW w:w="140" w:type="dxa"/>
            <w:vAlign w:val="bottom"/>
            <w:tcBorders>
              <w:left w:val="single" w:sz="8" w:color="CCFFCC"/>
            </w:tcBorders>
            <w:shd w:val="clear" w:color="auto" w:fill="CCFFCC"/>
          </w:tcPr>
          <w:p>
            <w:pPr>
              <w:spacing w:after="0"/>
              <w:rPr>
                <w:sz w:val="17"/>
                <w:szCs w:val="17"/>
                <w:color w:val="auto"/>
              </w:rPr>
            </w:pPr>
          </w:p>
        </w:tc>
        <w:tc>
          <w:tcPr>
            <w:tcW w:w="1080" w:type="dxa"/>
            <w:vAlign w:val="bottom"/>
            <w:gridSpan w:val="4"/>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1,019</w:t>
            </w:r>
          </w:p>
        </w:tc>
        <w:tc>
          <w:tcPr>
            <w:tcW w:w="2340" w:type="dxa"/>
            <w:vAlign w:val="bottom"/>
          </w:tcPr>
          <w:p>
            <w:pPr>
              <w:spacing w:after="0"/>
              <w:rPr>
                <w:sz w:val="17"/>
                <w:szCs w:val="17"/>
                <w:color w:val="auto"/>
              </w:rPr>
            </w:pPr>
          </w:p>
        </w:tc>
      </w:tr>
      <w:tr>
        <w:trPr>
          <w:trHeight w:val="206"/>
        </w:trPr>
        <w:tc>
          <w:tcPr>
            <w:tcW w:w="2600" w:type="dxa"/>
            <w:vAlign w:val="bottom"/>
            <w:gridSpan w:val="2"/>
          </w:tcPr>
          <w:p>
            <w:pPr>
              <w:ind w:left="340"/>
              <w:spacing w:after="0"/>
              <w:rPr>
                <w:sz w:val="20"/>
                <w:szCs w:val="20"/>
                <w:color w:val="auto"/>
              </w:rPr>
            </w:pPr>
            <w:r>
              <w:rPr>
                <w:rFonts w:ascii="Arial" w:cs="Arial" w:eastAsia="Arial" w:hAnsi="Arial"/>
                <w:sz w:val="17"/>
                <w:szCs w:val="17"/>
                <w:color w:val="auto"/>
              </w:rPr>
              <w:t>Trade receivables</w:t>
            </w:r>
          </w:p>
        </w:tc>
        <w:tc>
          <w:tcPr>
            <w:tcW w:w="720" w:type="dxa"/>
            <w:vAlign w:val="bottom"/>
          </w:tcPr>
          <w:p>
            <w:pPr>
              <w:jc w:val="right"/>
              <w:spacing w:after="0"/>
              <w:rPr>
                <w:sz w:val="20"/>
                <w:szCs w:val="20"/>
                <w:color w:val="auto"/>
              </w:rPr>
            </w:pPr>
            <w:r>
              <w:rPr>
                <w:rFonts w:ascii="Arial" w:cs="Arial" w:eastAsia="Arial" w:hAnsi="Arial"/>
                <w:sz w:val="17"/>
                <w:szCs w:val="17"/>
                <w:color w:val="auto"/>
              </w:rPr>
              <w:t>37,750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right"/>
              <w:ind w:right="4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340" w:type="dxa"/>
            <w:vAlign w:val="bottom"/>
          </w:tcPr>
          <w:p>
            <w:pPr>
              <w:spacing w:after="0"/>
              <w:rPr>
                <w:sz w:val="17"/>
                <w:szCs w:val="17"/>
                <w:color w:val="auto"/>
              </w:rPr>
            </w:pPr>
          </w:p>
        </w:tc>
      </w:tr>
      <w:tr>
        <w:trPr>
          <w:trHeight w:val="206"/>
        </w:trPr>
        <w:tc>
          <w:tcPr>
            <w:tcW w:w="260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Non-current assets:</w:t>
            </w: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340" w:type="dxa"/>
            <w:vAlign w:val="bottom"/>
          </w:tcPr>
          <w:p>
            <w:pPr>
              <w:spacing w:after="0"/>
              <w:rPr>
                <w:sz w:val="17"/>
                <w:szCs w:val="17"/>
                <w:color w:val="auto"/>
              </w:rPr>
            </w:pPr>
          </w:p>
        </w:tc>
      </w:tr>
      <w:tr>
        <w:trPr>
          <w:trHeight w:val="206"/>
        </w:trPr>
        <w:tc>
          <w:tcPr>
            <w:tcW w:w="2600" w:type="dxa"/>
            <w:vAlign w:val="bottom"/>
            <w:gridSpan w:val="2"/>
          </w:tcPr>
          <w:p>
            <w:pPr>
              <w:ind w:left="340"/>
              <w:spacing w:after="0"/>
              <w:rPr>
                <w:sz w:val="20"/>
                <w:szCs w:val="20"/>
                <w:color w:val="auto"/>
              </w:rPr>
            </w:pPr>
            <w:r>
              <w:rPr>
                <w:rFonts w:ascii="Arial" w:cs="Arial" w:eastAsia="Arial" w:hAnsi="Arial"/>
                <w:sz w:val="17"/>
                <w:szCs w:val="17"/>
                <w:color w:val="auto"/>
              </w:rPr>
              <w:t>Restricted deposits</w:t>
            </w:r>
          </w:p>
        </w:tc>
        <w:tc>
          <w:tcPr>
            <w:tcW w:w="720" w:type="dxa"/>
            <w:vAlign w:val="bottom"/>
          </w:tcPr>
          <w:p>
            <w:pPr>
              <w:jc w:val="right"/>
              <w:spacing w:after="0"/>
              <w:rPr>
                <w:sz w:val="20"/>
                <w:szCs w:val="20"/>
                <w:color w:val="auto"/>
              </w:rPr>
            </w:pPr>
            <w:r>
              <w:rPr>
                <w:rFonts w:ascii="Arial" w:cs="Arial" w:eastAsia="Arial" w:hAnsi="Arial"/>
                <w:sz w:val="17"/>
                <w:szCs w:val="17"/>
                <w:color w:val="auto"/>
              </w:rPr>
              <w:t>604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7"/>
                <w:szCs w:val="17"/>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1,845</w:t>
            </w:r>
          </w:p>
        </w:tc>
        <w:tc>
          <w:tcPr>
            <w:tcW w:w="23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9"/>
        </w:trPr>
        <w:tc>
          <w:tcPr>
            <w:tcW w:w="26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Total assets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72,028</w:t>
            </w:r>
          </w:p>
        </w:tc>
        <w:tc>
          <w:tcPr>
            <w:tcW w:w="160" w:type="dxa"/>
            <w:vAlign w:val="bottom"/>
            <w:gridSpan w:val="2"/>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1,949</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88"/>
              </w:rPr>
              <w:t>75,680</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107,294</w:t>
            </w:r>
          </w:p>
        </w:tc>
        <w:tc>
          <w:tcPr>
            <w:tcW w:w="940" w:type="dxa"/>
            <w:vAlign w:val="bottom"/>
            <w:tcBorders>
              <w:lef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40,896</w:t>
            </w:r>
          </w:p>
        </w:tc>
        <w:tc>
          <w:tcPr>
            <w:tcW w:w="2340" w:type="dxa"/>
            <w:vAlign w:val="bottom"/>
          </w:tcPr>
          <w:p>
            <w:pPr>
              <w:spacing w:after="0"/>
              <w:rPr>
                <w:sz w:val="17"/>
                <w:szCs w:val="17"/>
                <w:color w:val="auto"/>
              </w:rPr>
            </w:pPr>
          </w:p>
        </w:tc>
      </w:tr>
      <w:tr>
        <w:trPr>
          <w:trHeight w:val="206"/>
        </w:trPr>
        <w:tc>
          <w:tcPr>
            <w:tcW w:w="260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6"/>
        </w:trPr>
        <w:tc>
          <w:tcPr>
            <w:tcW w:w="260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Current liabilities:</w:t>
            </w: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340" w:type="dxa"/>
            <w:vAlign w:val="bottom"/>
          </w:tcPr>
          <w:p>
            <w:pPr>
              <w:spacing w:after="0"/>
              <w:rPr>
                <w:sz w:val="17"/>
                <w:szCs w:val="17"/>
                <w:color w:val="auto"/>
              </w:rPr>
            </w:pPr>
          </w:p>
        </w:tc>
      </w:tr>
      <w:tr>
        <w:trPr>
          <w:trHeight w:val="193"/>
        </w:trPr>
        <w:tc>
          <w:tcPr>
            <w:tcW w:w="2600" w:type="dxa"/>
            <w:vAlign w:val="bottom"/>
            <w:gridSpan w:val="2"/>
          </w:tcPr>
          <w:p>
            <w:pPr>
              <w:ind w:left="340"/>
              <w:spacing w:after="0" w:line="194" w:lineRule="exact"/>
              <w:rPr>
                <w:sz w:val="20"/>
                <w:szCs w:val="20"/>
                <w:color w:val="auto"/>
              </w:rPr>
            </w:pPr>
            <w:r>
              <w:rPr>
                <w:rFonts w:ascii="Arial" w:cs="Arial" w:eastAsia="Arial" w:hAnsi="Arial"/>
                <w:sz w:val="17"/>
                <w:szCs w:val="17"/>
                <w:color w:val="auto"/>
              </w:rPr>
              <w:t>Current maturities of bank</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right"/>
              <w:ind w:right="48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80" w:type="dxa"/>
            <w:vAlign w:val="bottom"/>
            <w:gridSpan w:val="4"/>
          </w:tcPr>
          <w:p>
            <w:pPr>
              <w:jc w:val="right"/>
              <w:ind w:right="460"/>
              <w:spacing w:after="0" w:line="194"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307</w:t>
            </w:r>
          </w:p>
        </w:tc>
        <w:tc>
          <w:tcPr>
            <w:tcW w:w="2340" w:type="dxa"/>
            <w:vAlign w:val="bottom"/>
          </w:tcPr>
          <w:p>
            <w:pPr>
              <w:spacing w:after="0"/>
              <w:rPr>
                <w:sz w:val="16"/>
                <w:szCs w:val="16"/>
                <w:color w:val="auto"/>
              </w:rPr>
            </w:pPr>
          </w:p>
        </w:tc>
      </w:tr>
      <w:tr>
        <w:trPr>
          <w:trHeight w:val="217"/>
        </w:trPr>
        <w:tc>
          <w:tcPr>
            <w:tcW w:w="2600" w:type="dxa"/>
            <w:vAlign w:val="bottom"/>
            <w:gridSpan w:val="2"/>
          </w:tcPr>
          <w:p>
            <w:pPr>
              <w:ind w:left="520"/>
              <w:spacing w:after="0"/>
              <w:rPr>
                <w:sz w:val="20"/>
                <w:szCs w:val="20"/>
                <w:color w:val="auto"/>
              </w:rPr>
            </w:pPr>
            <w:r>
              <w:rPr>
                <w:rFonts w:ascii="Arial" w:cs="Arial" w:eastAsia="Arial" w:hAnsi="Arial"/>
                <w:sz w:val="17"/>
                <w:szCs w:val="17"/>
                <w:color w:val="auto"/>
              </w:rPr>
              <w:t>loan: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7"/>
        </w:trPr>
        <w:tc>
          <w:tcPr>
            <w:tcW w:w="2600" w:type="dxa"/>
            <w:vAlign w:val="bottom"/>
            <w:gridSpan w:val="2"/>
            <w:shd w:val="clear" w:color="auto" w:fill="CCFFCC"/>
          </w:tcPr>
          <w:p>
            <w:pPr>
              <w:ind w:left="340"/>
              <w:spacing w:after="0"/>
              <w:rPr>
                <w:sz w:val="20"/>
                <w:szCs w:val="20"/>
                <w:color w:val="auto"/>
              </w:rPr>
            </w:pPr>
            <w:r>
              <w:rPr>
                <w:rFonts w:ascii="Arial" w:cs="Arial" w:eastAsia="Arial" w:hAnsi="Arial"/>
                <w:sz w:val="17"/>
                <w:szCs w:val="17"/>
                <w:color w:val="auto"/>
                <w:w w:val="93"/>
              </w:rPr>
              <w:t>Accounts payable and accruals:</w:t>
            </w: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340" w:type="dxa"/>
            <w:vAlign w:val="bottom"/>
          </w:tcPr>
          <w:p>
            <w:pPr>
              <w:spacing w:after="0"/>
              <w:rPr>
                <w:sz w:val="17"/>
                <w:szCs w:val="17"/>
                <w:color w:val="auto"/>
              </w:rPr>
            </w:pPr>
          </w:p>
        </w:tc>
      </w:tr>
      <w:tr>
        <w:trPr>
          <w:trHeight w:val="206"/>
        </w:trPr>
        <w:tc>
          <w:tcPr>
            <w:tcW w:w="2600" w:type="dxa"/>
            <w:vAlign w:val="bottom"/>
            <w:gridSpan w:val="2"/>
          </w:tcPr>
          <w:p>
            <w:pPr>
              <w:ind w:left="520"/>
              <w:spacing w:after="0"/>
              <w:rPr>
                <w:sz w:val="20"/>
                <w:szCs w:val="20"/>
                <w:color w:val="auto"/>
              </w:rPr>
            </w:pPr>
            <w:r>
              <w:rPr>
                <w:rFonts w:ascii="Arial" w:cs="Arial" w:eastAsia="Arial" w:hAnsi="Arial"/>
                <w:sz w:val="17"/>
                <w:szCs w:val="17"/>
                <w:color w:val="auto"/>
              </w:rPr>
              <w:t>Trade</w:t>
            </w:r>
          </w:p>
        </w:tc>
        <w:tc>
          <w:tcPr>
            <w:tcW w:w="720" w:type="dxa"/>
            <w:vAlign w:val="bottom"/>
          </w:tcPr>
          <w:p>
            <w:pPr>
              <w:jc w:val="right"/>
              <w:spacing w:after="0"/>
              <w:rPr>
                <w:sz w:val="20"/>
                <w:szCs w:val="20"/>
                <w:color w:val="auto"/>
              </w:rPr>
            </w:pPr>
            <w:r>
              <w:rPr>
                <w:rFonts w:ascii="Arial" w:cs="Arial" w:eastAsia="Arial" w:hAnsi="Arial"/>
                <w:sz w:val="17"/>
                <w:szCs w:val="17"/>
                <w:color w:val="auto"/>
              </w:rPr>
              <w:t>2,987</w:t>
            </w:r>
          </w:p>
        </w:tc>
        <w:tc>
          <w:tcPr>
            <w:tcW w:w="940" w:type="dxa"/>
            <w:vAlign w:val="bottom"/>
            <w:gridSpan w:val="4"/>
          </w:tcPr>
          <w:p>
            <w:pPr>
              <w:jc w:val="right"/>
              <w:ind w:right="140"/>
              <w:spacing w:after="0"/>
              <w:rPr>
                <w:sz w:val="20"/>
                <w:szCs w:val="20"/>
                <w:color w:val="auto"/>
              </w:rPr>
            </w:pPr>
            <w:r>
              <w:rPr>
                <w:rFonts w:ascii="Arial" w:cs="Arial" w:eastAsia="Arial" w:hAnsi="Arial"/>
                <w:sz w:val="17"/>
                <w:szCs w:val="17"/>
                <w:color w:val="auto"/>
              </w:rPr>
              <w:t>2,221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1,244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1,792</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1,542</w:t>
            </w:r>
          </w:p>
        </w:tc>
        <w:tc>
          <w:tcPr>
            <w:tcW w:w="2340" w:type="dxa"/>
            <w:vAlign w:val="bottom"/>
          </w:tcPr>
          <w:p>
            <w:pPr>
              <w:spacing w:after="0"/>
              <w:rPr>
                <w:sz w:val="17"/>
                <w:szCs w:val="17"/>
                <w:color w:val="auto"/>
              </w:rPr>
            </w:pPr>
          </w:p>
        </w:tc>
      </w:tr>
      <w:tr>
        <w:trPr>
          <w:trHeight w:val="206"/>
        </w:trPr>
        <w:tc>
          <w:tcPr>
            <w:tcW w:w="2600" w:type="dxa"/>
            <w:vAlign w:val="bottom"/>
            <w:gridSpan w:val="2"/>
            <w:shd w:val="clear" w:color="auto" w:fill="CCFFCC"/>
          </w:tcPr>
          <w:p>
            <w:pPr>
              <w:ind w:left="520"/>
              <w:spacing w:after="0"/>
              <w:rPr>
                <w:sz w:val="20"/>
                <w:szCs w:val="20"/>
                <w:color w:val="auto"/>
              </w:rPr>
            </w:pPr>
            <w:r>
              <w:rPr>
                <w:rFonts w:ascii="Arial" w:cs="Arial" w:eastAsia="Arial" w:hAnsi="Arial"/>
                <w:sz w:val="17"/>
                <w:szCs w:val="17"/>
                <w:color w:val="auto"/>
              </w:rPr>
              <w:t>OCS</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20" w:type="dxa"/>
            <w:vAlign w:val="bottom"/>
            <w:gridSpan w:val="4"/>
            <w:shd w:val="clear" w:color="auto" w:fill="CCFFCC"/>
          </w:tcPr>
          <w:p>
            <w:pPr>
              <w:jc w:val="right"/>
              <w:ind w:right="4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88"/>
              </w:rPr>
              <w:t>14,005</w:t>
            </w: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FFCC"/>
            </w:tcBorders>
            <w:shd w:val="clear" w:color="auto" w:fill="CCFFCC"/>
          </w:tcPr>
          <w:p>
            <w:pPr>
              <w:spacing w:after="0"/>
              <w:rPr>
                <w:sz w:val="17"/>
                <w:szCs w:val="17"/>
                <w:color w:val="auto"/>
              </w:rPr>
            </w:pPr>
          </w:p>
        </w:tc>
        <w:tc>
          <w:tcPr>
            <w:tcW w:w="1080" w:type="dxa"/>
            <w:vAlign w:val="bottom"/>
            <w:gridSpan w:val="4"/>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5,993</w:t>
            </w:r>
          </w:p>
        </w:tc>
        <w:tc>
          <w:tcPr>
            <w:tcW w:w="2340" w:type="dxa"/>
            <w:vAlign w:val="bottom"/>
          </w:tcPr>
          <w:p>
            <w:pPr>
              <w:spacing w:after="0"/>
              <w:rPr>
                <w:sz w:val="17"/>
                <w:szCs w:val="17"/>
                <w:color w:val="auto"/>
              </w:rPr>
            </w:pPr>
          </w:p>
        </w:tc>
      </w:tr>
      <w:tr>
        <w:trPr>
          <w:trHeight w:val="206"/>
        </w:trPr>
        <w:tc>
          <w:tcPr>
            <w:tcW w:w="2600" w:type="dxa"/>
            <w:vAlign w:val="bottom"/>
            <w:gridSpan w:val="2"/>
          </w:tcPr>
          <w:p>
            <w:pPr>
              <w:ind w:left="520"/>
              <w:spacing w:after="0"/>
              <w:rPr>
                <w:sz w:val="20"/>
                <w:szCs w:val="20"/>
                <w:color w:val="auto"/>
              </w:rPr>
            </w:pPr>
            <w:r>
              <w:rPr>
                <w:rFonts w:ascii="Arial" w:cs="Arial" w:eastAsia="Arial" w:hAnsi="Arial"/>
                <w:sz w:val="17"/>
                <w:szCs w:val="17"/>
                <w:color w:val="auto"/>
              </w:rPr>
              <w:t>Licensors</w:t>
            </w:r>
          </w:p>
        </w:tc>
        <w:tc>
          <w:tcPr>
            <w:tcW w:w="720" w:type="dxa"/>
            <w:vAlign w:val="bottom"/>
          </w:tcPr>
          <w:p>
            <w:pPr>
              <w:jc w:val="right"/>
              <w:spacing w:after="0"/>
              <w:rPr>
                <w:sz w:val="20"/>
                <w:szCs w:val="20"/>
                <w:color w:val="auto"/>
              </w:rPr>
            </w:pPr>
            <w:r>
              <w:rPr>
                <w:rFonts w:ascii="Arial" w:cs="Arial" w:eastAsia="Arial" w:hAnsi="Arial"/>
                <w:sz w:val="17"/>
                <w:szCs w:val="17"/>
                <w:color w:val="auto"/>
              </w:rPr>
              <w:t>10,570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right"/>
              <w:ind w:right="4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1,491</w:t>
            </w:r>
          </w:p>
        </w:tc>
        <w:tc>
          <w:tcPr>
            <w:tcW w:w="140" w:type="dxa"/>
            <w:vAlign w:val="bottom"/>
          </w:tcPr>
          <w:p>
            <w:pPr>
              <w:spacing w:after="0"/>
              <w:rPr>
                <w:sz w:val="17"/>
                <w:szCs w:val="17"/>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340" w:type="dxa"/>
            <w:vAlign w:val="bottom"/>
          </w:tcPr>
          <w:p>
            <w:pPr>
              <w:spacing w:after="0"/>
              <w:rPr>
                <w:sz w:val="17"/>
                <w:szCs w:val="17"/>
                <w:color w:val="auto"/>
              </w:rPr>
            </w:pPr>
          </w:p>
        </w:tc>
      </w:tr>
      <w:tr>
        <w:trPr>
          <w:trHeight w:val="206"/>
        </w:trPr>
        <w:tc>
          <w:tcPr>
            <w:tcW w:w="2600" w:type="dxa"/>
            <w:vAlign w:val="bottom"/>
            <w:gridSpan w:val="2"/>
            <w:shd w:val="clear" w:color="auto" w:fill="CCFFCC"/>
          </w:tcPr>
          <w:p>
            <w:pPr>
              <w:ind w:left="520"/>
              <w:spacing w:after="0"/>
              <w:rPr>
                <w:sz w:val="20"/>
                <w:szCs w:val="20"/>
                <w:color w:val="auto"/>
              </w:rPr>
            </w:pPr>
            <w:r>
              <w:rPr>
                <w:rFonts w:ascii="Arial" w:cs="Arial" w:eastAsia="Arial" w:hAnsi="Arial"/>
                <w:sz w:val="17"/>
                <w:szCs w:val="17"/>
                <w:color w:val="auto"/>
              </w:rPr>
              <w:t>Other</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20" w:type="dxa"/>
            <w:vAlign w:val="bottom"/>
            <w:gridSpan w:val="4"/>
            <w:shd w:val="clear" w:color="auto" w:fill="CCFFCC"/>
          </w:tcPr>
          <w:p>
            <w:pPr>
              <w:jc w:val="right"/>
              <w:ind w:right="48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88"/>
              </w:rPr>
              <w:t>10,203</w:t>
            </w: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FFCC"/>
            </w:tcBorders>
            <w:shd w:val="clear" w:color="auto" w:fill="CCFFCC"/>
          </w:tcPr>
          <w:p>
            <w:pPr>
              <w:spacing w:after="0"/>
              <w:rPr>
                <w:sz w:val="17"/>
                <w:szCs w:val="17"/>
                <w:color w:val="auto"/>
              </w:rPr>
            </w:pPr>
          </w:p>
        </w:tc>
        <w:tc>
          <w:tcPr>
            <w:tcW w:w="1080" w:type="dxa"/>
            <w:vAlign w:val="bottom"/>
            <w:gridSpan w:val="4"/>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6,775</w:t>
            </w:r>
          </w:p>
        </w:tc>
        <w:tc>
          <w:tcPr>
            <w:tcW w:w="2340" w:type="dxa"/>
            <w:vAlign w:val="bottom"/>
          </w:tcPr>
          <w:p>
            <w:pPr>
              <w:spacing w:after="0"/>
              <w:rPr>
                <w:sz w:val="17"/>
                <w:szCs w:val="17"/>
                <w:color w:val="auto"/>
              </w:rPr>
            </w:pPr>
          </w:p>
        </w:tc>
      </w:tr>
      <w:tr>
        <w:trPr>
          <w:trHeight w:val="206"/>
        </w:trPr>
        <w:tc>
          <w:tcPr>
            <w:tcW w:w="2600" w:type="dxa"/>
            <w:vAlign w:val="bottom"/>
            <w:gridSpan w:val="2"/>
          </w:tcPr>
          <w:p>
            <w:pPr>
              <w:ind w:left="180"/>
              <w:spacing w:after="0"/>
              <w:rPr>
                <w:sz w:val="20"/>
                <w:szCs w:val="20"/>
                <w:color w:val="auto"/>
              </w:rPr>
            </w:pPr>
            <w:r>
              <w:rPr>
                <w:rFonts w:ascii="Arial" w:cs="Arial" w:eastAsia="Arial" w:hAnsi="Arial"/>
                <w:sz w:val="17"/>
                <w:szCs w:val="17"/>
                <w:color w:val="auto"/>
              </w:rPr>
              <w:t>Non-current liabilities: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93"/>
        </w:trPr>
        <w:tc>
          <w:tcPr>
            <w:tcW w:w="2600" w:type="dxa"/>
            <w:vAlign w:val="bottom"/>
            <w:gridSpan w:val="2"/>
            <w:shd w:val="clear" w:color="auto" w:fill="CCFFCC"/>
          </w:tcPr>
          <w:p>
            <w:pPr>
              <w:ind w:left="340"/>
              <w:spacing w:after="0" w:line="194" w:lineRule="exact"/>
              <w:rPr>
                <w:sz w:val="20"/>
                <w:szCs w:val="20"/>
                <w:color w:val="auto"/>
              </w:rPr>
            </w:pPr>
            <w:r>
              <w:rPr>
                <w:rFonts w:ascii="Arial" w:cs="Arial" w:eastAsia="Arial" w:hAnsi="Arial"/>
                <w:sz w:val="17"/>
                <w:szCs w:val="17"/>
                <w:color w:val="auto"/>
              </w:rPr>
              <w:t>Long-term bank loan, net of</w:t>
            </w:r>
          </w:p>
        </w:tc>
        <w:tc>
          <w:tcPr>
            <w:tcW w:w="720" w:type="dxa"/>
            <w:vAlign w:val="bottom"/>
            <w:shd w:val="clear" w:color="auto" w:fill="CCFFCC"/>
          </w:tcPr>
          <w:p>
            <w:pPr>
              <w:jc w:val="right"/>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120" w:type="dxa"/>
            <w:vAlign w:val="bottom"/>
            <w:gridSpan w:val="4"/>
            <w:shd w:val="clear" w:color="auto" w:fill="CCFFCC"/>
          </w:tcPr>
          <w:p>
            <w:pPr>
              <w:jc w:val="right"/>
              <w:ind w:right="480"/>
              <w:spacing w:after="0" w:line="194"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6"/>
                <w:szCs w:val="16"/>
                <w:color w:val="auto"/>
              </w:rPr>
            </w:pPr>
          </w:p>
        </w:tc>
        <w:tc>
          <w:tcPr>
            <w:tcW w:w="720" w:type="dxa"/>
            <w:vAlign w:val="bottom"/>
            <w:shd w:val="clear" w:color="auto" w:fill="CCFFCC"/>
          </w:tcPr>
          <w:p>
            <w:pPr>
              <w:jc w:val="right"/>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left w:val="single" w:sz="8" w:color="CCFFCC"/>
            </w:tcBorders>
            <w:shd w:val="clear" w:color="auto" w:fill="CCFFCC"/>
          </w:tcPr>
          <w:p>
            <w:pPr>
              <w:spacing w:after="0"/>
              <w:rPr>
                <w:sz w:val="16"/>
                <w:szCs w:val="16"/>
                <w:color w:val="auto"/>
              </w:rPr>
            </w:pPr>
          </w:p>
        </w:tc>
        <w:tc>
          <w:tcPr>
            <w:tcW w:w="1080" w:type="dxa"/>
            <w:vAlign w:val="bottom"/>
            <w:gridSpan w:val="4"/>
            <w:shd w:val="clear" w:color="auto" w:fill="CCFFCC"/>
          </w:tcPr>
          <w:p>
            <w:pPr>
              <w:jc w:val="right"/>
              <w:ind w:right="460"/>
              <w:spacing w:after="0" w:line="194"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color w:val="auto"/>
              </w:rPr>
              <w:t>432</w:t>
            </w:r>
          </w:p>
        </w:tc>
        <w:tc>
          <w:tcPr>
            <w:tcW w:w="2340" w:type="dxa"/>
            <w:vAlign w:val="bottom"/>
          </w:tcPr>
          <w:p>
            <w:pPr>
              <w:spacing w:after="0"/>
              <w:rPr>
                <w:sz w:val="16"/>
                <w:szCs w:val="16"/>
                <w:color w:val="auto"/>
              </w:rPr>
            </w:pPr>
          </w:p>
        </w:tc>
      </w:tr>
      <w:tr>
        <w:trPr>
          <w:trHeight w:val="217"/>
        </w:trPr>
        <w:tc>
          <w:tcPr>
            <w:tcW w:w="2600" w:type="dxa"/>
            <w:vAlign w:val="bottom"/>
            <w:tcBorders>
              <w:bottom w:val="single" w:sz="8" w:color="CCFFCC"/>
            </w:tcBorders>
            <w:gridSpan w:val="2"/>
            <w:shd w:val="clear" w:color="auto" w:fill="CCFFCC"/>
          </w:tcPr>
          <w:p>
            <w:pPr>
              <w:ind w:left="520"/>
              <w:spacing w:after="0"/>
              <w:rPr>
                <w:sz w:val="20"/>
                <w:szCs w:val="20"/>
                <w:color w:val="auto"/>
              </w:rPr>
            </w:pPr>
            <w:r>
              <w:rPr>
                <w:rFonts w:ascii="Arial" w:cs="Arial" w:eastAsia="Arial" w:hAnsi="Arial"/>
                <w:sz w:val="17"/>
                <w:szCs w:val="17"/>
                <w:color w:val="auto"/>
              </w:rPr>
              <w:t>current maturities</w:t>
            </w:r>
          </w:p>
        </w:tc>
        <w:tc>
          <w:tcPr>
            <w:tcW w:w="7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340" w:type="dxa"/>
            <w:vAlign w:val="bottom"/>
          </w:tcPr>
          <w:p>
            <w:pPr>
              <w:spacing w:after="0"/>
              <w:rPr>
                <w:sz w:val="18"/>
                <w:szCs w:val="18"/>
                <w:color w:val="auto"/>
              </w:rPr>
            </w:pPr>
          </w:p>
        </w:tc>
      </w:tr>
      <w:tr>
        <w:trPr>
          <w:trHeight w:val="199"/>
        </w:trPr>
        <w:tc>
          <w:tcPr>
            <w:tcW w:w="260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720" w:type="dxa"/>
            <w:vAlign w:val="bottom"/>
          </w:tcPr>
          <w:p>
            <w:pPr>
              <w:jc w:val="right"/>
              <w:spacing w:after="0"/>
              <w:rPr>
                <w:sz w:val="20"/>
                <w:szCs w:val="20"/>
                <w:color w:val="auto"/>
              </w:rPr>
            </w:pPr>
            <w:r>
              <w:rPr>
                <w:rFonts w:ascii="Arial" w:cs="Arial" w:eastAsia="Arial" w:hAnsi="Arial"/>
                <w:sz w:val="17"/>
                <w:szCs w:val="17"/>
                <w:color w:val="auto"/>
              </w:rPr>
              <w:t>13,557</w:t>
            </w:r>
          </w:p>
        </w:tc>
        <w:tc>
          <w:tcPr>
            <w:tcW w:w="16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w w:val="88"/>
              </w:rPr>
              <w:t>25,452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3,283</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15,049</w:t>
            </w:r>
          </w:p>
        </w:tc>
        <w:tc>
          <w:tcPr>
            <w:tcW w:w="23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9"/>
        </w:trPr>
        <w:tc>
          <w:tcPr>
            <w:tcW w:w="26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Net asset value</w:t>
            </w: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58,471</w:t>
            </w:r>
          </w:p>
        </w:tc>
        <w:tc>
          <w:tcPr>
            <w:tcW w:w="160" w:type="dxa"/>
            <w:vAlign w:val="bottom"/>
            <w:gridSpan w:val="2"/>
            <w:shd w:val="clear" w:color="auto" w:fill="CCFFCC"/>
          </w:tcPr>
          <w:p>
            <w:pPr>
              <w:spacing w:after="0"/>
              <w:rPr>
                <w:sz w:val="19"/>
                <w:szCs w:val="19"/>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88"/>
              </w:rPr>
              <w:t>50,228</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104,011</w:t>
            </w:r>
          </w:p>
        </w:tc>
        <w:tc>
          <w:tcPr>
            <w:tcW w:w="9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25,847</w:t>
            </w:r>
          </w:p>
        </w:tc>
        <w:tc>
          <w:tcPr>
            <w:tcW w:w="2340" w:type="dxa"/>
            <w:vAlign w:val="bottom"/>
          </w:tcPr>
          <w:p>
            <w:pPr>
              <w:spacing w:after="0"/>
              <w:rPr>
                <w:sz w:val="19"/>
                <w:szCs w:val="19"/>
                <w:color w:val="auto"/>
              </w:rPr>
            </w:pPr>
          </w:p>
        </w:tc>
      </w:tr>
      <w:tr>
        <w:trPr>
          <w:trHeight w:val="20"/>
        </w:trPr>
        <w:tc>
          <w:tcPr>
            <w:tcW w:w="1020" w:type="dxa"/>
            <w:vAlign w:val="bottom"/>
            <w:tcBorders>
              <w:top w:val="single" w:sz="8" w:color="CCFFCC"/>
            </w:tcBorders>
            <w:shd w:val="clear" w:color="auto" w:fill="CCFFCC"/>
          </w:tcPr>
          <w:p>
            <w:pPr>
              <w:spacing w:after="0" w:line="20" w:lineRule="exact"/>
              <w:rPr>
                <w:sz w:val="1"/>
                <w:szCs w:val="1"/>
                <w:color w:val="auto"/>
              </w:rPr>
            </w:pPr>
          </w:p>
        </w:tc>
        <w:tc>
          <w:tcPr>
            <w:tcW w:w="15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723"/>
        </w:trPr>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w w:val="85"/>
              </w:rPr>
              <w:t>F-25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-906145</wp:posOffset>
            </wp:positionV>
            <wp:extent cx="4966335" cy="147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66335" cy="147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-628015</wp:posOffset>
            </wp:positionV>
            <wp:extent cx="4966335" cy="32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66335" cy="3238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57785"/>
                    </a:xfrm>
                    <a:prstGeom prst="rect">
                      <a:avLst/>
                    </a:prstGeom>
                    <a:noFill/>
                  </pic:spPr>
                </pic:pic>
              </a:graphicData>
            </a:graphic>
          </wp:anchor>
        </w:drawing>
      </w:r>
    </w:p>
    <w:p>
      <w:pPr>
        <w:sectPr>
          <w:pgSz w:w="11900" w:h="16838" w:orient="portrait"/>
          <w:cols w:equalWidth="0" w:num="1">
            <w:col w:w="10160"/>
          </w:cols>
          <w:pgMar w:left="360" w:top="760" w:right="137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3 — FINANCIAL RISK MANAGEMENT – (continued)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  Fair value of financial instruments</w:t>
      </w:r>
    </w:p>
    <w:p>
      <w:pPr>
        <w:spacing w:after="0" w:line="113" w:lineRule="exact"/>
        <w:rPr>
          <w:sz w:val="20"/>
          <w:szCs w:val="20"/>
          <w:color w:val="auto"/>
        </w:rPr>
      </w:pPr>
    </w:p>
    <w:p>
      <w:pPr>
        <w:ind w:left="820" w:right="1639"/>
        <w:spacing w:after="0" w:line="278" w:lineRule="auto"/>
        <w:rPr>
          <w:sz w:val="20"/>
          <w:szCs w:val="20"/>
          <w:color w:val="auto"/>
        </w:rPr>
      </w:pPr>
      <w:r>
        <w:rPr>
          <w:rFonts w:ascii="Arial" w:cs="Arial" w:eastAsia="Arial" w:hAnsi="Arial"/>
          <w:sz w:val="17"/>
          <w:szCs w:val="17"/>
          <w:color w:val="auto"/>
        </w:rPr>
        <w:t>As of December 31, 2010, the financial instruments of the Group consist of non-derivative assets and liabilities (primarily working capital items and restricted deposits).</w:t>
      </w:r>
    </w:p>
    <w:p>
      <w:pPr>
        <w:spacing w:after="0" w:line="62" w:lineRule="exact"/>
        <w:rPr>
          <w:sz w:val="20"/>
          <w:szCs w:val="20"/>
          <w:color w:val="auto"/>
        </w:rPr>
      </w:pPr>
    </w:p>
    <w:p>
      <w:pPr>
        <w:jc w:val="both"/>
        <w:ind w:left="820" w:right="1419"/>
        <w:spacing w:after="0" w:line="289" w:lineRule="auto"/>
        <w:rPr>
          <w:sz w:val="20"/>
          <w:szCs w:val="20"/>
          <w:color w:val="auto"/>
        </w:rPr>
      </w:pPr>
      <w:r>
        <w:rPr>
          <w:rFonts w:ascii="Arial" w:cs="Arial" w:eastAsia="Arial" w:hAnsi="Arial"/>
          <w:sz w:val="16"/>
          <w:szCs w:val="16"/>
          <w:color w:val="auto"/>
        </w:rPr>
        <w:t>In view of their nature, the fair value of the financial instruments included in working capital is generally close or identical to their carrying amount. The fair value of the restricted cash in long-term deposits also approximates the carrying amount, as these financial instruments bear interest at a rate similar to the prevailing interest rate.</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  Exposure to market risks and the management thereof</w:t>
      </w:r>
    </w:p>
    <w:p>
      <w:pPr>
        <w:spacing w:after="0" w:line="113" w:lineRule="exact"/>
        <w:rPr>
          <w:sz w:val="20"/>
          <w:szCs w:val="20"/>
          <w:color w:val="auto"/>
        </w:rPr>
      </w:pPr>
    </w:p>
    <w:p>
      <w:pPr>
        <w:ind w:left="820" w:right="1079"/>
        <w:spacing w:after="0" w:line="279" w:lineRule="auto"/>
        <w:rPr>
          <w:sz w:val="20"/>
          <w:szCs w:val="20"/>
          <w:color w:val="auto"/>
        </w:rPr>
      </w:pPr>
      <w:r>
        <w:rPr>
          <w:rFonts w:ascii="Arial" w:cs="Arial" w:eastAsia="Arial" w:hAnsi="Arial"/>
          <w:sz w:val="16"/>
          <w:szCs w:val="16"/>
          <w:color w:val="auto"/>
        </w:rPr>
        <w:t>The trade receivable balance as of December 31, 2009 relates to the transaction with Ikaria Holdings, Inc. (“Ikaria”), which, as described in Note 15, was collected in April 2010. The Company has also invested in deposits and short-term government bonds. Accordingly, in the opinion of the Company’s management, the market risks to which the Company is exposed are primarily related to the exposure to currency risks, as mentioned above. Additionally, the Company’s management does not consider the interest rate risk mentioned in paragraph 4 below to be material.</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4)  Interest rate risks</w:t>
      </w:r>
    </w:p>
    <w:p>
      <w:pPr>
        <w:spacing w:after="0" w:line="113" w:lineRule="exact"/>
        <w:rPr>
          <w:sz w:val="20"/>
          <w:szCs w:val="20"/>
          <w:color w:val="auto"/>
        </w:rPr>
      </w:pPr>
    </w:p>
    <w:p>
      <w:pPr>
        <w:ind w:left="820" w:right="1179"/>
        <w:spacing w:after="0" w:line="265" w:lineRule="auto"/>
        <w:rPr>
          <w:sz w:val="20"/>
          <w:szCs w:val="20"/>
          <w:color w:val="auto"/>
        </w:rPr>
      </w:pPr>
      <w:r>
        <w:rPr>
          <w:rFonts w:ascii="Arial" w:cs="Arial" w:eastAsia="Arial" w:hAnsi="Arial"/>
          <w:sz w:val="17"/>
          <w:szCs w:val="17"/>
          <w:color w:val="auto"/>
        </w:rPr>
        <w:t>The Company’s management does not consider interest rate risk to be material as the Company holds deposits and short-term government bonds whose fair value and/or cash flows are not materially affected by changes in the interest rate.</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Credit risks</w:t>
      </w:r>
    </w:p>
    <w:p>
      <w:pPr>
        <w:spacing w:after="0" w:line="119" w:lineRule="exact"/>
        <w:rPr>
          <w:sz w:val="20"/>
          <w:szCs w:val="20"/>
          <w:color w:val="auto"/>
        </w:rPr>
      </w:pPr>
    </w:p>
    <w:p>
      <w:pPr>
        <w:ind w:left="560" w:right="1579"/>
        <w:spacing w:after="0" w:line="278" w:lineRule="auto"/>
        <w:rPr>
          <w:sz w:val="20"/>
          <w:szCs w:val="20"/>
          <w:color w:val="auto"/>
        </w:rPr>
      </w:pPr>
      <w:r>
        <w:rPr>
          <w:rFonts w:ascii="Arial" w:cs="Arial" w:eastAsia="Arial" w:hAnsi="Arial"/>
          <w:sz w:val="17"/>
          <w:szCs w:val="17"/>
          <w:color w:val="auto"/>
        </w:rPr>
        <w:t>Credit risks are managed at the Group level. These risks relate to cash and cash equivalents, bank deposits and trade receivables.</w:t>
      </w:r>
    </w:p>
    <w:p>
      <w:pPr>
        <w:spacing w:after="0" w:line="62" w:lineRule="exact"/>
        <w:rPr>
          <w:sz w:val="20"/>
          <w:szCs w:val="20"/>
          <w:color w:val="auto"/>
        </w:rPr>
      </w:pPr>
    </w:p>
    <w:p>
      <w:pPr>
        <w:ind w:left="560" w:right="1099"/>
        <w:spacing w:after="0" w:line="278" w:lineRule="auto"/>
        <w:rPr>
          <w:sz w:val="20"/>
          <w:szCs w:val="20"/>
          <w:color w:val="auto"/>
        </w:rPr>
      </w:pPr>
      <w:r>
        <w:rPr>
          <w:rFonts w:ascii="Arial" w:cs="Arial" w:eastAsia="Arial" w:hAnsi="Arial"/>
          <w:sz w:val="17"/>
          <w:szCs w:val="17"/>
          <w:color w:val="auto"/>
        </w:rPr>
        <w:t>The Group’s cash and cash equivalents at December 31, 2009 and 2010 were mainly deposited with major Israeli banks. In the Company’s opinion, the credit risk in respect of these balances is remote.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Group considers its maximum exposure to credit risk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0919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9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540" w:type="dxa"/>
            <w:vAlign w:val="bottom"/>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4540" w:type="dxa"/>
            <w:vAlign w:val="bottom"/>
          </w:tcPr>
          <w:p>
            <w:pPr>
              <w:spacing w:after="0"/>
              <w:rPr>
                <w:sz w:val="16"/>
                <w:szCs w:val="16"/>
                <w:color w:val="auto"/>
              </w:rPr>
            </w:pPr>
          </w:p>
        </w:tc>
        <w:tc>
          <w:tcPr>
            <w:tcW w:w="1900" w:type="dxa"/>
            <w:vAlign w:val="bottom"/>
            <w:gridSpan w:val="4"/>
          </w:tcPr>
          <w:p>
            <w:pPr>
              <w:jc w:val="right"/>
              <w:ind w:right="480"/>
              <w:spacing w:after="0"/>
              <w:rPr>
                <w:sz w:val="20"/>
                <w:szCs w:val="20"/>
                <w:color w:val="auto"/>
              </w:rPr>
            </w:pPr>
            <w:r>
              <w:rPr>
                <w:rFonts w:ascii="Arial" w:cs="Arial" w:eastAsia="Arial" w:hAnsi="Arial"/>
                <w:sz w:val="14"/>
                <w:szCs w:val="14"/>
                <w:color w:val="auto"/>
              </w:rPr>
              <w:t>NIS in thousands</w:t>
            </w:r>
          </w:p>
        </w:tc>
      </w:tr>
      <w:tr>
        <w:trPr>
          <w:trHeight w:val="212"/>
        </w:trPr>
        <w:tc>
          <w:tcPr>
            <w:tcW w:w="45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76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6"/>
        </w:trPr>
        <w:tc>
          <w:tcPr>
            <w:tcW w:w="454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105,890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111,746</w:t>
            </w:r>
          </w:p>
        </w:tc>
      </w:tr>
      <w:tr>
        <w:trPr>
          <w:trHeight w:val="206"/>
        </w:trPr>
        <w:tc>
          <w:tcPr>
            <w:tcW w:w="45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Short term bank deposits</w:t>
            </w: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28,037</w:t>
            </w:r>
          </w:p>
        </w:tc>
      </w:tr>
      <w:tr>
        <w:trPr>
          <w:trHeight w:val="206"/>
        </w:trPr>
        <w:tc>
          <w:tcPr>
            <w:tcW w:w="4540" w:type="dxa"/>
            <w:vAlign w:val="bottom"/>
          </w:tcPr>
          <w:p>
            <w:pPr>
              <w:ind w:left="180"/>
              <w:spacing w:after="0"/>
              <w:rPr>
                <w:sz w:val="20"/>
                <w:szCs w:val="20"/>
                <w:color w:val="auto"/>
              </w:rPr>
            </w:pPr>
            <w:r>
              <w:rPr>
                <w:rFonts w:ascii="Arial" w:cs="Arial" w:eastAsia="Arial" w:hAnsi="Arial"/>
                <w:sz w:val="17"/>
                <w:szCs w:val="17"/>
                <w:color w:val="auto"/>
              </w:rPr>
              <w:t>Trade accounts receivable</w:t>
            </w:r>
          </w:p>
        </w:tc>
        <w:tc>
          <w:tcPr>
            <w:tcW w:w="760" w:type="dxa"/>
            <w:vAlign w:val="bottom"/>
          </w:tcPr>
          <w:p>
            <w:pPr>
              <w:jc w:val="right"/>
              <w:spacing w:after="0"/>
              <w:rPr>
                <w:sz w:val="20"/>
                <w:szCs w:val="20"/>
                <w:color w:val="auto"/>
              </w:rPr>
            </w:pPr>
            <w:r>
              <w:rPr>
                <w:rFonts w:ascii="Arial" w:cs="Arial" w:eastAsia="Arial" w:hAnsi="Arial"/>
                <w:sz w:val="17"/>
                <w:szCs w:val="17"/>
                <w:color w:val="auto"/>
              </w:rPr>
              <w:t>37,750</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6"/>
        </w:trPr>
        <w:tc>
          <w:tcPr>
            <w:tcW w:w="45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Other receivables</w:t>
            </w: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2,313</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6,313</w:t>
            </w:r>
          </w:p>
        </w:tc>
      </w:tr>
      <w:tr>
        <w:trPr>
          <w:trHeight w:val="206"/>
        </w:trPr>
        <w:tc>
          <w:tcPr>
            <w:tcW w:w="4540" w:type="dxa"/>
            <w:vAlign w:val="bottom"/>
          </w:tcPr>
          <w:p>
            <w:pPr>
              <w:ind w:left="180"/>
              <w:spacing w:after="0"/>
              <w:rPr>
                <w:sz w:val="20"/>
                <w:szCs w:val="20"/>
                <w:color w:val="auto"/>
              </w:rPr>
            </w:pPr>
            <w:r>
              <w:rPr>
                <w:rFonts w:ascii="Arial" w:cs="Arial" w:eastAsia="Arial" w:hAnsi="Arial"/>
                <w:sz w:val="17"/>
                <w:szCs w:val="17"/>
                <w:color w:val="auto"/>
              </w:rPr>
              <w:t>Restricted deposits</w:t>
            </w:r>
          </w:p>
        </w:tc>
        <w:tc>
          <w:tcPr>
            <w:tcW w:w="760" w:type="dxa"/>
            <w:vAlign w:val="bottom"/>
          </w:tcPr>
          <w:p>
            <w:pPr>
              <w:jc w:val="right"/>
              <w:spacing w:after="0"/>
              <w:rPr>
                <w:sz w:val="20"/>
                <w:szCs w:val="20"/>
                <w:color w:val="auto"/>
              </w:rPr>
            </w:pPr>
            <w:r>
              <w:rPr>
                <w:rFonts w:ascii="Arial" w:cs="Arial" w:eastAsia="Arial" w:hAnsi="Arial"/>
                <w:sz w:val="17"/>
                <w:szCs w:val="17"/>
                <w:color w:val="auto"/>
              </w:rPr>
              <w:t>3,704</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2,414</w:t>
            </w:r>
          </w:p>
        </w:tc>
      </w:tr>
      <w:tr>
        <w:trPr>
          <w:trHeight w:val="20"/>
        </w:trPr>
        <w:tc>
          <w:tcPr>
            <w:tcW w:w="4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45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Total</w:t>
            </w: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149,657</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148,510</w:t>
            </w:r>
          </w:p>
        </w:tc>
      </w:tr>
      <w:tr>
        <w:trPr>
          <w:trHeight w:val="20"/>
        </w:trPr>
        <w:tc>
          <w:tcPr>
            <w:tcW w:w="454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091940" cy="32385"/>
                    </a:xfrm>
                    <a:prstGeom prst="rect">
                      <a:avLst/>
                    </a:prstGeom>
                    <a:noFill/>
                  </pic:spPr>
                </pic:pic>
              </a:graphicData>
            </a:graphic>
          </wp:anchor>
        </w:drawing>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Liquidity risks</w:t>
      </w:r>
    </w:p>
    <w:p>
      <w:pPr>
        <w:spacing w:after="0" w:line="119" w:lineRule="exact"/>
        <w:rPr>
          <w:sz w:val="20"/>
          <w:szCs w:val="20"/>
          <w:color w:val="auto"/>
        </w:rPr>
      </w:pPr>
    </w:p>
    <w:p>
      <w:pPr>
        <w:ind w:left="560" w:right="1279"/>
        <w:spacing w:after="0" w:line="278" w:lineRule="auto"/>
        <w:rPr>
          <w:sz w:val="20"/>
          <w:szCs w:val="20"/>
          <w:color w:val="auto"/>
        </w:rPr>
      </w:pPr>
      <w:r>
        <w:rPr>
          <w:rFonts w:ascii="Arial" w:cs="Arial" w:eastAsia="Arial" w:hAnsi="Arial"/>
          <w:sz w:val="17"/>
          <w:szCs w:val="17"/>
          <w:color w:val="auto"/>
        </w:rPr>
        <w:t>The Company’s management monitors rolling forecasts of the Group’s liquidity reserves on the basis of anticipated cash flows and maintains the liquidity balances at a level that is sufficient to meet its needs.</w:t>
      </w:r>
    </w:p>
    <w:p>
      <w:pPr>
        <w:spacing w:after="0" w:line="62" w:lineRule="exact"/>
        <w:rPr>
          <w:sz w:val="20"/>
          <w:szCs w:val="20"/>
          <w:color w:val="auto"/>
        </w:rPr>
      </w:pPr>
    </w:p>
    <w:p>
      <w:pPr>
        <w:jc w:val="both"/>
        <w:ind w:left="560" w:right="1039"/>
        <w:spacing w:after="0" w:line="265" w:lineRule="auto"/>
        <w:rPr>
          <w:sz w:val="20"/>
          <w:szCs w:val="20"/>
          <w:color w:val="auto"/>
        </w:rPr>
      </w:pPr>
      <w:r>
        <w:rPr>
          <w:rFonts w:ascii="Arial" w:cs="Arial" w:eastAsia="Arial" w:hAnsi="Arial"/>
          <w:sz w:val="17"/>
          <w:szCs w:val="17"/>
          <w:color w:val="auto"/>
        </w:rPr>
        <w:t>As mentioned in Note 1, although the Company has succeeded in out-licensing two of its products, it cannot determine with reasonable certainty if and when it will become profitable on a current basis. Management of the Company believes that the Company’s current cash balances will enable it</w:t>
      </w:r>
    </w:p>
    <w:p>
      <w:pPr>
        <w:spacing w:after="0" w:line="200" w:lineRule="exact"/>
        <w:rPr>
          <w:sz w:val="20"/>
          <w:szCs w:val="20"/>
          <w:color w:val="auto"/>
        </w:rPr>
      </w:pPr>
    </w:p>
    <w:p>
      <w:pPr>
        <w:spacing w:after="0" w:line="31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1" w:right="1440"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3 — FINANCIAL RISK MANAGEMENT – (continued)</w:t>
      </w:r>
    </w:p>
    <w:p>
      <w:pPr>
        <w:spacing w:after="0" w:line="1" w:lineRule="exact"/>
        <w:rPr>
          <w:sz w:val="20"/>
          <w:szCs w:val="20"/>
          <w:color w:val="auto"/>
        </w:rPr>
      </w:pPr>
    </w:p>
    <w:p>
      <w:pPr>
        <w:ind w:left="560" w:right="1159"/>
        <w:spacing w:after="0" w:line="265" w:lineRule="auto"/>
        <w:rPr>
          <w:sz w:val="20"/>
          <w:szCs w:val="20"/>
          <w:color w:val="auto"/>
        </w:rPr>
      </w:pPr>
      <w:r>
        <w:rPr>
          <w:rFonts w:ascii="Arial" w:cs="Arial" w:eastAsia="Arial" w:hAnsi="Arial"/>
          <w:sz w:val="17"/>
          <w:szCs w:val="17"/>
          <w:color w:val="auto"/>
        </w:rPr>
        <w:t>to execute its operating plans through the end of 2012. Accordingly, in the event that the Company does not continue to generate cash from its operating activities, the Company’s long-term operations in their current form are contingent on the Company’s raising additional capital in the future.</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d.  Financial instruments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2009 and 2010, the Group’s financial instruments consisted solely of loans and receivables.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4 — CRITICAL ACCOUNTING ESTIMATES AND JUDGMENTS</w:t>
      </w:r>
    </w:p>
    <w:p>
      <w:pPr>
        <w:spacing w:after="0" w:line="119" w:lineRule="exact"/>
        <w:rPr>
          <w:sz w:val="20"/>
          <w:szCs w:val="20"/>
          <w:color w:val="auto"/>
        </w:rPr>
      </w:pPr>
    </w:p>
    <w:p>
      <w:pPr>
        <w:ind w:left="320" w:right="1059"/>
        <w:spacing w:after="0" w:line="261" w:lineRule="auto"/>
        <w:rPr>
          <w:sz w:val="20"/>
          <w:szCs w:val="20"/>
          <w:color w:val="auto"/>
        </w:rPr>
      </w:pPr>
      <w:r>
        <w:rPr>
          <w:rFonts w:ascii="Arial" w:cs="Arial" w:eastAsia="Arial" w:hAnsi="Arial"/>
          <w:sz w:val="17"/>
          <w:szCs w:val="17"/>
          <w:color w:val="auto"/>
        </w:rPr>
        <w:t>As part of the financial reporting process, the Company’s management is required to make certain assumptions and estimates that may affect the value of the assets, liabilities, income, expenses and some of the disclosures included in the Company’s consolidated financial statements. By their very nature, such estimates are subjective and complex and consequently may differ from actual results.</w:t>
      </w:r>
    </w:p>
    <w:p>
      <w:pPr>
        <w:spacing w:after="0" w:line="76" w:lineRule="exact"/>
        <w:rPr>
          <w:sz w:val="20"/>
          <w:szCs w:val="20"/>
          <w:color w:val="auto"/>
        </w:rPr>
      </w:pPr>
    </w:p>
    <w:p>
      <w:pPr>
        <w:ind w:left="320" w:right="1099"/>
        <w:spacing w:after="0" w:line="265" w:lineRule="auto"/>
        <w:rPr>
          <w:sz w:val="20"/>
          <w:szCs w:val="20"/>
          <w:color w:val="auto"/>
        </w:rPr>
      </w:pPr>
      <w:r>
        <w:rPr>
          <w:rFonts w:ascii="Arial" w:cs="Arial" w:eastAsia="Arial" w:hAnsi="Arial"/>
          <w:sz w:val="17"/>
          <w:szCs w:val="17"/>
          <w:color w:val="auto"/>
        </w:rPr>
        <w:t>The accounting estimates and assumptions that are used in the preparation of the financial statements are continually evaluated and are based on historical experience and other factors, including expectation of future events that are believed to be reasonable under the circumstances.</w:t>
      </w:r>
    </w:p>
    <w:p>
      <w:pPr>
        <w:spacing w:after="0" w:line="73" w:lineRule="exact"/>
        <w:rPr>
          <w:sz w:val="20"/>
          <w:szCs w:val="20"/>
          <w:color w:val="auto"/>
        </w:rPr>
      </w:pPr>
    </w:p>
    <w:p>
      <w:pPr>
        <w:ind w:left="320" w:right="1179"/>
        <w:spacing w:after="0" w:line="259" w:lineRule="auto"/>
        <w:rPr>
          <w:sz w:val="20"/>
          <w:szCs w:val="20"/>
          <w:color w:val="auto"/>
        </w:rPr>
      </w:pPr>
      <w:r>
        <w:rPr>
          <w:rFonts w:ascii="Arial" w:cs="Arial" w:eastAsia="Arial" w:hAnsi="Arial"/>
          <w:sz w:val="17"/>
          <w:szCs w:val="17"/>
          <w:color w:val="auto"/>
        </w:rPr>
        <w:t>Described below are the critical accounting estimates that are used in the preparation of the financial statements, the formulation of which required the Company’s management to make assumptions as to circumstances and events that involve significant uncertainty. In using its judgment to determine the accounting estimates, the Company takes into consideration, as appropriate, the relevant facts, past experience, the effect of external factors and reasonable assumptions under the circumstances.</w:t>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Development expenses</w:t>
      </w:r>
    </w:p>
    <w:p>
      <w:pPr>
        <w:spacing w:after="0" w:line="119" w:lineRule="exact"/>
        <w:rPr>
          <w:sz w:val="20"/>
          <w:szCs w:val="20"/>
          <w:color w:val="auto"/>
        </w:rPr>
      </w:pPr>
    </w:p>
    <w:p>
      <w:pPr>
        <w:ind w:left="560" w:right="1019"/>
        <w:spacing w:after="0" w:line="275" w:lineRule="auto"/>
        <w:rPr>
          <w:sz w:val="20"/>
          <w:szCs w:val="20"/>
          <w:color w:val="auto"/>
        </w:rPr>
      </w:pPr>
      <w:r>
        <w:rPr>
          <w:rFonts w:ascii="Arial" w:cs="Arial" w:eastAsia="Arial" w:hAnsi="Arial"/>
          <w:sz w:val="16"/>
          <w:szCs w:val="16"/>
          <w:color w:val="auto"/>
        </w:rPr>
        <w:t>Development expenses are capitalized in accordance with the accounting policy described in Note 2q. The capitalization of costs is based on management’s judgment of technological and economic feasibility, which is usually achieved when a product development project reaches a predefined milestone, or when the Company enters into a transaction to sell the know-how that resulted from the development process. In determining the amount to be capitalized, management makes assumptions as to the future anticipated cash inflows from the assets, the discount rate and the anticipated period of future benefits. The Company’s management has concluded that, as of December 31, 2010, the foregoing conditions have not been met and therefore development expenses have not been capitalized for any project.</w:t>
      </w:r>
    </w:p>
    <w:p>
      <w:pPr>
        <w:spacing w:after="0" w:line="68" w:lineRule="exact"/>
        <w:rPr>
          <w:sz w:val="20"/>
          <w:szCs w:val="20"/>
          <w:color w:val="auto"/>
        </w:rPr>
      </w:pPr>
    </w:p>
    <w:p>
      <w:pPr>
        <w:ind w:left="560" w:right="1439"/>
        <w:spacing w:after="0" w:line="278" w:lineRule="auto"/>
        <w:rPr>
          <w:sz w:val="20"/>
          <w:szCs w:val="20"/>
          <w:color w:val="auto"/>
        </w:rPr>
      </w:pPr>
      <w:r>
        <w:rPr>
          <w:rFonts w:ascii="Arial" w:cs="Arial" w:eastAsia="Arial" w:hAnsi="Arial"/>
          <w:sz w:val="17"/>
          <w:szCs w:val="17"/>
          <w:color w:val="auto"/>
        </w:rPr>
        <w:t>If management had assessed that the aforementioned conditions had been met, the capitalization of development costs would have increased the Group’s profit.</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Grants/loans from the OCS</w:t>
      </w:r>
    </w:p>
    <w:p>
      <w:pPr>
        <w:spacing w:after="0" w:line="119" w:lineRule="exact"/>
        <w:rPr>
          <w:sz w:val="20"/>
          <w:szCs w:val="20"/>
          <w:color w:val="auto"/>
        </w:rPr>
      </w:pPr>
    </w:p>
    <w:p>
      <w:pPr>
        <w:ind w:left="560" w:right="1419"/>
        <w:spacing w:after="0" w:line="261" w:lineRule="auto"/>
        <w:rPr>
          <w:sz w:val="20"/>
          <w:szCs w:val="20"/>
          <w:color w:val="auto"/>
        </w:rPr>
      </w:pPr>
      <w:r>
        <w:rPr>
          <w:rFonts w:ascii="Arial" w:cs="Arial" w:eastAsia="Arial" w:hAnsi="Arial"/>
          <w:sz w:val="17"/>
          <w:szCs w:val="17"/>
          <w:color w:val="auto"/>
        </w:rPr>
        <w:t>In accordance with the accounting treatment described in Note 2q, the Company’s management is required to evaluate whether there is reasonable assurance that the grant/loan received will be paid or repaid. Additionally, whenever the grant/loan is initially recognized as income, management is required to evaluate whether the payment of royalties/repayment of loans to the OCS is considered more likely than not.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Notes 12a(1) and 12a(2) with regard to the expected amount repayable to the OCS as of December 31, 2010.</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Revenue recognition</w:t>
      </w:r>
    </w:p>
    <w:p>
      <w:pPr>
        <w:spacing w:after="0" w:line="119" w:lineRule="exact"/>
        <w:rPr>
          <w:sz w:val="20"/>
          <w:szCs w:val="20"/>
          <w:color w:val="auto"/>
        </w:rPr>
      </w:pPr>
    </w:p>
    <w:p>
      <w:pPr>
        <w:ind w:left="560" w:right="1419"/>
        <w:spacing w:after="0" w:line="278" w:lineRule="auto"/>
        <w:rPr>
          <w:sz w:val="20"/>
          <w:szCs w:val="20"/>
          <w:color w:val="auto"/>
        </w:rPr>
      </w:pPr>
      <w:r>
        <w:rPr>
          <w:rFonts w:ascii="Arial" w:cs="Arial" w:eastAsia="Arial" w:hAnsi="Arial"/>
          <w:sz w:val="17"/>
          <w:szCs w:val="17"/>
          <w:color w:val="auto"/>
        </w:rPr>
        <w:t>In accordance with the accounting treatment described in Note 2p, the Company’s management is required to evaluate whether it is probable that the economic benefits related to the out-licensing</w:t>
      </w:r>
    </w:p>
    <w:p>
      <w:pPr>
        <w:spacing w:after="0" w:line="200" w:lineRule="exact"/>
        <w:rPr>
          <w:sz w:val="20"/>
          <w:szCs w:val="20"/>
          <w:color w:val="auto"/>
        </w:rPr>
      </w:pPr>
    </w:p>
    <w:p>
      <w:pPr>
        <w:spacing w:after="0" w:line="28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4 — CRITICAL ACCOUNTING ESTIMATES AND JUDGMENTS – (continued)</w:t>
      </w:r>
    </w:p>
    <w:p>
      <w:pPr>
        <w:spacing w:after="0" w:line="119" w:lineRule="exact"/>
        <w:rPr>
          <w:sz w:val="20"/>
          <w:szCs w:val="20"/>
          <w:color w:val="auto"/>
        </w:rPr>
      </w:pPr>
    </w:p>
    <w:p>
      <w:pPr>
        <w:ind w:left="560" w:right="1299"/>
        <w:spacing w:after="0" w:line="278" w:lineRule="auto"/>
        <w:rPr>
          <w:sz w:val="20"/>
          <w:szCs w:val="20"/>
          <w:color w:val="auto"/>
        </w:rPr>
      </w:pPr>
      <w:r>
        <w:rPr>
          <w:rFonts w:ascii="Arial" w:cs="Arial" w:eastAsia="Arial" w:hAnsi="Arial"/>
          <w:sz w:val="17"/>
          <w:szCs w:val="17"/>
          <w:color w:val="auto"/>
        </w:rPr>
        <w:t>agreements with Ikaria and Cypress Bioscience will flow to the Group and whether it is possible to reliably measure the amount of the revenues relating to the transaction.</w:t>
      </w:r>
    </w:p>
    <w:p>
      <w:pPr>
        <w:spacing w:after="0" w:line="62" w:lineRule="exact"/>
        <w:rPr>
          <w:sz w:val="20"/>
          <w:szCs w:val="20"/>
          <w:color w:val="auto"/>
        </w:rPr>
      </w:pPr>
    </w:p>
    <w:p>
      <w:pPr>
        <w:ind w:left="560" w:right="1339"/>
        <w:spacing w:after="0" w:line="265" w:lineRule="auto"/>
        <w:rPr>
          <w:sz w:val="20"/>
          <w:szCs w:val="20"/>
          <w:color w:val="auto"/>
        </w:rPr>
      </w:pPr>
      <w:r>
        <w:rPr>
          <w:rFonts w:ascii="Arial" w:cs="Arial" w:eastAsia="Arial" w:hAnsi="Arial"/>
          <w:sz w:val="17"/>
          <w:szCs w:val="17"/>
          <w:color w:val="auto"/>
        </w:rPr>
        <w:t>As of December 31, 2010, receipt of additional economic benefits associated with such transactions was not considered probable. Accordingly, no revenues with respect to additional milestone payments were recorded in the 2010 financial statements.</w:t>
      </w:r>
    </w:p>
    <w:p>
      <w:pPr>
        <w:spacing w:after="0" w:line="105" w:lineRule="exact"/>
        <w:rPr>
          <w:sz w:val="20"/>
          <w:szCs w:val="20"/>
          <w:color w:val="auto"/>
        </w:rPr>
      </w:pPr>
    </w:p>
    <w:p>
      <w:pPr>
        <w:ind w:left="280" w:right="3839" w:hanging="218"/>
        <w:spacing w:after="0" w:line="337" w:lineRule="auto"/>
        <w:rPr>
          <w:sz w:val="20"/>
          <w:szCs w:val="20"/>
          <w:color w:val="auto"/>
        </w:rPr>
      </w:pPr>
      <w:r>
        <w:rPr>
          <w:rFonts w:ascii="Arial" w:cs="Arial" w:eastAsia="Arial" w:hAnsi="Arial"/>
          <w:sz w:val="17"/>
          <w:szCs w:val="17"/>
          <w:b w:val="1"/>
          <w:bCs w:val="1"/>
          <w:color w:val="auto"/>
        </w:rPr>
        <w:t>NOTE 5 — CASH, CASH EQUIVALENTS AND SHORT-TERM BANK DEPOSITS a.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0919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9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540" w:type="dxa"/>
            <w:vAlign w:val="bottom"/>
          </w:tcPr>
          <w:p>
            <w:pPr>
              <w:spacing w:after="0"/>
              <w:rPr>
                <w:sz w:val="16"/>
                <w:szCs w:val="16"/>
                <w:color w:val="auto"/>
              </w:rPr>
            </w:pPr>
          </w:p>
        </w:tc>
        <w:tc>
          <w:tcPr>
            <w:tcW w:w="7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4540" w:type="dxa"/>
            <w:vAlign w:val="bottom"/>
          </w:tcPr>
          <w:p>
            <w:pPr>
              <w:spacing w:after="0"/>
              <w:rPr>
                <w:sz w:val="16"/>
                <w:szCs w:val="16"/>
                <w:color w:val="auto"/>
              </w:rPr>
            </w:pPr>
          </w:p>
        </w:tc>
        <w:tc>
          <w:tcPr>
            <w:tcW w:w="1900" w:type="dxa"/>
            <w:vAlign w:val="bottom"/>
            <w:gridSpan w:val="4"/>
          </w:tcPr>
          <w:p>
            <w:pPr>
              <w:jc w:val="right"/>
              <w:ind w:right="480"/>
              <w:spacing w:after="0"/>
              <w:rPr>
                <w:sz w:val="20"/>
                <w:szCs w:val="20"/>
                <w:color w:val="auto"/>
              </w:rPr>
            </w:pPr>
            <w:r>
              <w:rPr>
                <w:rFonts w:ascii="Arial" w:cs="Arial" w:eastAsia="Arial" w:hAnsi="Arial"/>
                <w:sz w:val="14"/>
                <w:szCs w:val="14"/>
                <w:color w:val="auto"/>
              </w:rPr>
              <w:t>NIS in thousands</w:t>
            </w:r>
          </w:p>
        </w:tc>
      </w:tr>
      <w:tr>
        <w:trPr>
          <w:trHeight w:val="212"/>
        </w:trPr>
        <w:tc>
          <w:tcPr>
            <w:tcW w:w="4540" w:type="dxa"/>
            <w:vAlign w:val="bottom"/>
            <w:shd w:val="clear" w:color="auto" w:fill="CCFFCC"/>
          </w:tcPr>
          <w:p>
            <w:pPr>
              <w:spacing w:after="0"/>
              <w:rPr>
                <w:sz w:val="20"/>
                <w:szCs w:val="20"/>
                <w:color w:val="auto"/>
              </w:rPr>
            </w:pPr>
            <w:r>
              <w:rPr>
                <w:rFonts w:ascii="Arial" w:cs="Arial" w:eastAsia="Arial" w:hAnsi="Arial"/>
                <w:sz w:val="17"/>
                <w:szCs w:val="17"/>
                <w:color w:val="auto"/>
              </w:rPr>
              <w:t>Cash on hand and in bank</w:t>
            </w: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700</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1,642</w:t>
            </w:r>
          </w:p>
        </w:tc>
      </w:tr>
      <w:tr>
        <w:trPr>
          <w:trHeight w:val="206"/>
        </w:trPr>
        <w:tc>
          <w:tcPr>
            <w:tcW w:w="4540" w:type="dxa"/>
            <w:vAlign w:val="bottom"/>
          </w:tcPr>
          <w:p>
            <w:pPr>
              <w:spacing w:after="0"/>
              <w:rPr>
                <w:sz w:val="20"/>
                <w:szCs w:val="20"/>
                <w:color w:val="auto"/>
              </w:rPr>
            </w:pPr>
            <w:r>
              <w:rPr>
                <w:rFonts w:ascii="Arial" w:cs="Arial" w:eastAsia="Arial" w:hAnsi="Arial"/>
                <w:sz w:val="17"/>
                <w:szCs w:val="17"/>
                <w:color w:val="auto"/>
              </w:rPr>
              <w:t>Short-term bank deposits</w:t>
            </w:r>
          </w:p>
        </w:tc>
        <w:tc>
          <w:tcPr>
            <w:tcW w:w="760" w:type="dxa"/>
            <w:vAlign w:val="bottom"/>
          </w:tcPr>
          <w:p>
            <w:pPr>
              <w:jc w:val="right"/>
              <w:spacing w:after="0"/>
              <w:rPr>
                <w:sz w:val="20"/>
                <w:szCs w:val="20"/>
                <w:color w:val="auto"/>
              </w:rPr>
            </w:pPr>
            <w:r>
              <w:rPr>
                <w:rFonts w:ascii="Arial" w:cs="Arial" w:eastAsia="Arial" w:hAnsi="Arial"/>
                <w:sz w:val="17"/>
                <w:szCs w:val="17"/>
                <w:color w:val="auto"/>
              </w:rPr>
              <w:t>105,190</w:t>
            </w:r>
          </w:p>
        </w:tc>
        <w:tc>
          <w:tcPr>
            <w:tcW w:w="1140" w:type="dxa"/>
            <w:vAlign w:val="bottom"/>
            <w:gridSpan w:val="3"/>
          </w:tcPr>
          <w:p>
            <w:pPr>
              <w:jc w:val="right"/>
              <w:ind w:right="60"/>
              <w:spacing w:after="0"/>
              <w:rPr>
                <w:sz w:val="20"/>
                <w:szCs w:val="20"/>
                <w:color w:val="auto"/>
              </w:rPr>
            </w:pPr>
            <w:r>
              <w:rPr>
                <w:rFonts w:ascii="Arial" w:cs="Arial" w:eastAsia="Arial" w:hAnsi="Arial"/>
                <w:sz w:val="17"/>
                <w:szCs w:val="17"/>
                <w:color w:val="auto"/>
              </w:rPr>
              <w:t>110,104</w:t>
            </w:r>
          </w:p>
        </w:tc>
      </w:tr>
      <w:tr>
        <w:trPr>
          <w:trHeight w:val="20"/>
        </w:trPr>
        <w:tc>
          <w:tcPr>
            <w:tcW w:w="4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454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105,890</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111,746</w:t>
            </w:r>
          </w:p>
        </w:tc>
      </w:tr>
      <w:tr>
        <w:trPr>
          <w:trHeight w:val="20"/>
        </w:trPr>
        <w:tc>
          <w:tcPr>
            <w:tcW w:w="454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091940" cy="32385"/>
                    </a:xfrm>
                    <a:prstGeom prst="rect">
                      <a:avLst/>
                    </a:prstGeom>
                    <a:noFill/>
                  </pic:spPr>
                </pic:pic>
              </a:graphicData>
            </a:graphic>
          </wp:anchor>
        </w:drawing>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short-term bank deposits included in cash and cash equivalents bear interest at annual rates of between 0.65% and</w:t>
      </w:r>
    </w:p>
    <w:p>
      <w:pPr>
        <w:spacing w:after="0" w:line="33" w:lineRule="exact"/>
        <w:rPr>
          <w:sz w:val="20"/>
          <w:szCs w:val="20"/>
          <w:color w:val="auto"/>
        </w:rPr>
      </w:pPr>
    </w:p>
    <w:p>
      <w:pPr>
        <w:ind w:left="560" w:right="1139"/>
        <w:spacing w:after="0" w:line="265" w:lineRule="auto"/>
        <w:rPr>
          <w:sz w:val="20"/>
          <w:szCs w:val="20"/>
          <w:color w:val="auto"/>
        </w:rPr>
      </w:pPr>
      <w:r>
        <w:rPr>
          <w:rFonts w:ascii="Arial" w:cs="Arial" w:eastAsia="Arial" w:hAnsi="Arial"/>
          <w:sz w:val="17"/>
          <w:szCs w:val="17"/>
          <w:color w:val="auto"/>
        </w:rPr>
        <w:t>1.51%. The carrying amount of cash and cash equivalents is close or identical to their fair value, since they bear interest at rates similar to the prevailing market interest rates.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Short-term bank deposits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short-term bank deposits are linked to the dollar and bear interest at annual rates of between 1.03% and 1.67%.</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6 — PROPERTY AND EQUIPMENT</w:t>
      </w:r>
    </w:p>
    <w:p>
      <w:pPr>
        <w:spacing w:after="0" w:line="119" w:lineRule="exact"/>
        <w:rPr>
          <w:sz w:val="20"/>
          <w:szCs w:val="20"/>
          <w:color w:val="auto"/>
        </w:rPr>
      </w:pPr>
    </w:p>
    <w:p>
      <w:pPr>
        <w:ind w:left="560" w:right="999"/>
        <w:spacing w:after="0" w:line="278" w:lineRule="auto"/>
        <w:rPr>
          <w:sz w:val="20"/>
          <w:szCs w:val="20"/>
          <w:color w:val="auto"/>
        </w:rPr>
      </w:pPr>
      <w:r>
        <w:rPr>
          <w:rFonts w:ascii="Arial" w:cs="Arial" w:eastAsia="Arial" w:hAnsi="Arial"/>
          <w:sz w:val="17"/>
          <w:szCs w:val="17"/>
          <w:color w:val="auto"/>
        </w:rPr>
        <w:t>Set forth below are the composition of property and equipment and the accumulated depreciation thereon, grouped by major classifications, and the changes therein for the respective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57829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57829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Accumulated depreciation</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Net book value</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74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Balance at</w:t>
            </w:r>
          </w:p>
        </w:tc>
        <w:tc>
          <w:tcPr>
            <w:tcW w:w="74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89"/>
              </w:rPr>
              <w:t>Additions</w:t>
            </w: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Deletions</w:t>
            </w:r>
          </w:p>
        </w:tc>
        <w:tc>
          <w:tcPr>
            <w:tcW w:w="74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Balance at</w:t>
            </w: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Deletions</w:t>
            </w:r>
          </w:p>
        </w:tc>
        <w:tc>
          <w:tcPr>
            <w:tcW w:w="60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1480" w:type="dxa"/>
            <w:vAlign w:val="bottom"/>
            <w:gridSpan w:val="4"/>
          </w:tcPr>
          <w:p>
            <w:pPr>
              <w:jc w:val="center"/>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3"/>
              </w:rPr>
              <w:t>beginning</w:t>
            </w:r>
          </w:p>
        </w:tc>
        <w:tc>
          <w:tcPr>
            <w:tcW w:w="74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during</w:t>
            </w: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5"/>
              </w:rPr>
              <w:t>end of</w:t>
            </w:r>
          </w:p>
        </w:tc>
        <w:tc>
          <w:tcPr>
            <w:tcW w:w="64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beginning</w:t>
            </w:r>
          </w:p>
        </w:tc>
        <w:tc>
          <w:tcPr>
            <w:tcW w:w="100" w:type="dxa"/>
            <w:vAlign w:val="bottom"/>
          </w:tcPr>
          <w:p>
            <w:pPr>
              <w:spacing w:after="0"/>
              <w:rPr>
                <w:sz w:val="5"/>
                <w:szCs w:val="5"/>
                <w:color w:val="auto"/>
              </w:rPr>
            </w:pPr>
          </w:p>
        </w:tc>
        <w:tc>
          <w:tcPr>
            <w:tcW w:w="62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during</w:t>
            </w:r>
          </w:p>
        </w:tc>
        <w:tc>
          <w:tcPr>
            <w:tcW w:w="100" w:type="dxa"/>
            <w:vAlign w:val="bottom"/>
          </w:tcPr>
          <w:p>
            <w:pPr>
              <w:spacing w:after="0"/>
              <w:rPr>
                <w:sz w:val="5"/>
                <w:szCs w:val="5"/>
                <w:color w:val="auto"/>
              </w:rPr>
            </w:pPr>
          </w:p>
        </w:tc>
        <w:tc>
          <w:tcPr>
            <w:tcW w:w="78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91"/>
              </w:rPr>
              <w:t>during</w:t>
            </w:r>
          </w:p>
        </w:tc>
        <w:tc>
          <w:tcPr>
            <w:tcW w:w="6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5"/>
              </w:rPr>
              <w:t>end of</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5"/>
                <w:szCs w:val="5"/>
                <w:color w:val="auto"/>
              </w:rPr>
            </w:pPr>
          </w:p>
        </w:tc>
        <w:tc>
          <w:tcPr>
            <w:tcW w:w="6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74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3"/>
              </w:rPr>
              <w:t>of year</w:t>
            </w:r>
          </w:p>
        </w:tc>
        <w:tc>
          <w:tcPr>
            <w:tcW w:w="740" w:type="dxa"/>
            <w:vAlign w:val="bottom"/>
            <w:gridSpan w:val="2"/>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8"/>
              </w:rPr>
              <w:t>of year</w:t>
            </w:r>
          </w:p>
        </w:tc>
        <w:tc>
          <w:tcPr>
            <w:tcW w:w="100" w:type="dxa"/>
            <w:vAlign w:val="bottom"/>
          </w:tcPr>
          <w:p>
            <w:pPr>
              <w:spacing w:after="0"/>
              <w:rPr>
                <w:sz w:val="9"/>
                <w:szCs w:val="9"/>
                <w:color w:val="auto"/>
              </w:rPr>
            </w:pPr>
          </w:p>
        </w:tc>
        <w:tc>
          <w:tcPr>
            <w:tcW w:w="620" w:type="dxa"/>
            <w:vAlign w:val="bottom"/>
            <w:vMerge w:val="restart"/>
          </w:tcPr>
          <w:p>
            <w:pPr>
              <w:jc w:val="center"/>
              <w:ind w:left="13"/>
              <w:spacing w:after="0" w:line="118" w:lineRule="exact"/>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9"/>
                <w:szCs w:val="9"/>
                <w:color w:val="auto"/>
              </w:rPr>
            </w:pPr>
          </w:p>
        </w:tc>
        <w:tc>
          <w:tcPr>
            <w:tcW w:w="78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60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6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6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Composition in 2008</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NIS in thousands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color w:val="auto"/>
                <w:w w:val="88"/>
              </w:rPr>
              <w:t>NIS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Office furniture and</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446</w:t>
            </w:r>
          </w:p>
        </w:tc>
        <w:tc>
          <w:tcPr>
            <w:tcW w:w="740" w:type="dxa"/>
            <w:vAlign w:val="bottom"/>
            <w:tcBorders>
              <w:right w:val="single" w:sz="8" w:color="CCFFCC"/>
            </w:tcBorders>
            <w:gridSpan w:val="2"/>
            <w:shd w:val="clear" w:color="auto" w:fill="CCFFCC"/>
          </w:tcPr>
          <w:p>
            <w:pPr>
              <w:jc w:val="right"/>
              <w:ind w:right="131"/>
              <w:spacing w:after="0"/>
              <w:rPr>
                <w:sz w:val="20"/>
                <w:szCs w:val="20"/>
                <w:color w:val="auto"/>
              </w:rPr>
            </w:pPr>
            <w:r>
              <w:rPr>
                <w:rFonts w:ascii="Arial" w:cs="Arial" w:eastAsia="Arial" w:hAnsi="Arial"/>
                <w:sz w:val="15"/>
                <w:szCs w:val="15"/>
                <w:color w:val="auto"/>
              </w:rPr>
              <w:t>250</w:t>
            </w:r>
          </w:p>
        </w:tc>
        <w:tc>
          <w:tcPr>
            <w:tcW w:w="720" w:type="dxa"/>
            <w:vAlign w:val="bottom"/>
            <w:tcBorders>
              <w:right w:val="single" w:sz="8" w:color="CCFFCC"/>
            </w:tcBorders>
            <w:gridSpan w:val="2"/>
            <w:shd w:val="clear" w:color="auto" w:fill="CCFFCC"/>
          </w:tcPr>
          <w:p>
            <w:pPr>
              <w:ind w:left="42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696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76</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tcBorders>
              <w:right w:val="single" w:sz="8" w:color="CCFFCC"/>
            </w:tcBorders>
            <w:gridSpan w:val="2"/>
            <w:shd w:val="clear" w:color="auto" w:fill="CCFFCC"/>
          </w:tcPr>
          <w:p>
            <w:pPr>
              <w:ind w:left="4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111</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370</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01"/>
        </w:trPr>
        <w:tc>
          <w:tcPr>
            <w:tcW w:w="1740" w:type="dxa"/>
            <w:vAlign w:val="bottom"/>
            <w:shd w:val="clear" w:color="auto" w:fill="CCFFCC"/>
          </w:tcPr>
          <w:p>
            <w:pPr>
              <w:ind w:left="180"/>
              <w:spacing w:after="0"/>
              <w:rPr>
                <w:sz w:val="20"/>
                <w:szCs w:val="20"/>
                <w:color w:val="auto"/>
              </w:rPr>
            </w:pPr>
            <w:r>
              <w:rPr>
                <w:rFonts w:ascii="Arial" w:cs="Arial" w:eastAsia="Arial" w:hAnsi="Arial"/>
                <w:sz w:val="15"/>
                <w:szCs w:val="15"/>
                <w:color w:val="auto"/>
              </w:rPr>
              <w:t>equipment</w:t>
            </w: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20"/>
                <w:szCs w:val="20"/>
                <w:color w:val="auto"/>
              </w:rPr>
            </w:pPr>
            <w:r>
              <w:rPr>
                <w:rFonts w:ascii="Arial" w:cs="Arial" w:eastAsia="Arial" w:hAnsi="Arial"/>
                <w:sz w:val="15"/>
                <w:szCs w:val="15"/>
                <w:color w:val="auto"/>
              </w:rPr>
              <w:t>Computers and</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1,137</w:t>
            </w:r>
          </w:p>
        </w:tc>
        <w:tc>
          <w:tcPr>
            <w:tcW w:w="740" w:type="dxa"/>
            <w:vAlign w:val="bottom"/>
            <w:gridSpan w:val="2"/>
          </w:tcPr>
          <w:p>
            <w:pPr>
              <w:jc w:val="right"/>
              <w:ind w:right="131"/>
              <w:spacing w:after="0"/>
              <w:rPr>
                <w:sz w:val="20"/>
                <w:szCs w:val="20"/>
                <w:color w:val="auto"/>
              </w:rPr>
            </w:pPr>
            <w:r>
              <w:rPr>
                <w:rFonts w:ascii="Arial" w:cs="Arial" w:eastAsia="Arial" w:hAnsi="Arial"/>
                <w:sz w:val="15"/>
                <w:szCs w:val="15"/>
                <w:color w:val="auto"/>
              </w:rPr>
              <w:t>314</w:t>
            </w: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1,451</w:t>
            </w:r>
          </w:p>
        </w:tc>
        <w:tc>
          <w:tcPr>
            <w:tcW w:w="640" w:type="dxa"/>
            <w:vAlign w:val="bottom"/>
          </w:tcPr>
          <w:p>
            <w:pPr>
              <w:jc w:val="right"/>
              <w:spacing w:after="0"/>
              <w:rPr>
                <w:sz w:val="20"/>
                <w:szCs w:val="20"/>
                <w:color w:val="auto"/>
              </w:rPr>
            </w:pPr>
            <w:r>
              <w:rPr>
                <w:rFonts w:ascii="Arial" w:cs="Arial" w:eastAsia="Arial" w:hAnsi="Arial"/>
                <w:sz w:val="15"/>
                <w:szCs w:val="15"/>
                <w:color w:val="auto"/>
              </w:rPr>
              <w:t>705</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997</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432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193"/>
        </w:trPr>
        <w:tc>
          <w:tcPr>
            <w:tcW w:w="1740" w:type="dxa"/>
            <w:vAlign w:val="bottom"/>
          </w:tcPr>
          <w:p>
            <w:pPr>
              <w:ind w:left="180"/>
              <w:spacing w:after="0"/>
              <w:rPr>
                <w:sz w:val="20"/>
                <w:szCs w:val="20"/>
                <w:color w:val="auto"/>
              </w:rPr>
            </w:pPr>
            <w:r>
              <w:rPr>
                <w:rFonts w:ascii="Arial" w:cs="Arial" w:eastAsia="Arial" w:hAnsi="Arial"/>
                <w:sz w:val="15"/>
                <w:szCs w:val="15"/>
                <w:color w:val="auto"/>
              </w:rPr>
              <w:t>communications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180"/>
              <w:spacing w:after="0"/>
              <w:rPr>
                <w:sz w:val="20"/>
                <w:szCs w:val="20"/>
                <w:color w:val="auto"/>
              </w:rPr>
            </w:pPr>
            <w:r>
              <w:rPr>
                <w:rFonts w:ascii="Arial" w:cs="Arial" w:eastAsia="Arial" w:hAnsi="Arial"/>
                <w:sz w:val="15"/>
                <w:szCs w:val="15"/>
                <w:color w:val="auto"/>
              </w:rPr>
              <w:t>equipment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Laboratory equipment,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1,654</w:t>
            </w:r>
          </w:p>
        </w:tc>
        <w:tc>
          <w:tcPr>
            <w:tcW w:w="740" w:type="dxa"/>
            <w:vAlign w:val="bottom"/>
            <w:tcBorders>
              <w:right w:val="single" w:sz="8" w:color="CCFFCC"/>
            </w:tcBorders>
            <w:gridSpan w:val="2"/>
            <w:shd w:val="clear" w:color="auto" w:fill="CCFFCC"/>
          </w:tcPr>
          <w:p>
            <w:pPr>
              <w:jc w:val="right"/>
              <w:ind w:right="131"/>
              <w:spacing w:after="0"/>
              <w:rPr>
                <w:sz w:val="20"/>
                <w:szCs w:val="20"/>
                <w:color w:val="auto"/>
              </w:rPr>
            </w:pPr>
            <w:r>
              <w:rPr>
                <w:rFonts w:ascii="Arial" w:cs="Arial" w:eastAsia="Arial" w:hAnsi="Arial"/>
                <w:sz w:val="15"/>
                <w:szCs w:val="15"/>
                <w:color w:val="auto"/>
              </w:rPr>
              <w:t>1,346</w:t>
            </w:r>
          </w:p>
        </w:tc>
        <w:tc>
          <w:tcPr>
            <w:tcW w:w="720" w:type="dxa"/>
            <w:vAlign w:val="bottom"/>
            <w:tcBorders>
              <w:right w:val="single" w:sz="8" w:color="CCFFCC"/>
            </w:tcBorders>
            <w:gridSpan w:val="2"/>
            <w:shd w:val="clear" w:color="auto" w:fill="CCFFCC"/>
          </w:tcPr>
          <w:p>
            <w:pPr>
              <w:ind w:left="42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3,000</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459</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374</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tcBorders>
              <w:right w:val="single" w:sz="8" w:color="CCFFCC"/>
            </w:tcBorders>
            <w:gridSpan w:val="2"/>
            <w:shd w:val="clear" w:color="auto" w:fill="CCFFCC"/>
          </w:tcPr>
          <w:p>
            <w:pPr>
              <w:ind w:left="4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833</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1,195</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201"/>
        </w:trPr>
        <w:tc>
          <w:tcPr>
            <w:tcW w:w="1740" w:type="dxa"/>
            <w:vAlign w:val="bottom"/>
            <w:shd w:val="clear" w:color="auto" w:fill="CCFFCC"/>
          </w:tcPr>
          <w:p>
            <w:pPr>
              <w:ind w:left="180"/>
              <w:spacing w:after="0"/>
              <w:rPr>
                <w:sz w:val="20"/>
                <w:szCs w:val="20"/>
                <w:color w:val="auto"/>
              </w:rPr>
            </w:pPr>
            <w:r>
              <w:rPr>
                <w:rFonts w:ascii="Arial" w:cs="Arial" w:eastAsia="Arial" w:hAnsi="Arial"/>
                <w:sz w:val="15"/>
                <w:szCs w:val="15"/>
                <w:color w:val="auto"/>
              </w:rPr>
              <w:t>net*</w:t>
            </w: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580" w:type="dxa"/>
            <w:vAlign w:val="bottom"/>
          </w:tcPr>
          <w:p>
            <w:pPr>
              <w:jc w:val="right"/>
              <w:spacing w:after="0"/>
              <w:rPr>
                <w:sz w:val="20"/>
                <w:szCs w:val="20"/>
                <w:color w:val="auto"/>
              </w:rPr>
            </w:pPr>
            <w:r>
              <w:rPr>
                <w:rFonts w:ascii="Arial" w:cs="Arial" w:eastAsia="Arial" w:hAnsi="Arial"/>
                <w:sz w:val="15"/>
                <w:szCs w:val="15"/>
                <w:color w:val="auto"/>
              </w:rPr>
              <w:t>2,830</w:t>
            </w:r>
          </w:p>
        </w:tc>
        <w:tc>
          <w:tcPr>
            <w:tcW w:w="160" w:type="dxa"/>
            <w:vAlign w:val="bottom"/>
          </w:tcPr>
          <w:p>
            <w:pPr>
              <w:spacing w:after="0"/>
              <w:rPr>
                <w:sz w:val="16"/>
                <w:szCs w:val="16"/>
                <w:color w:val="auto"/>
              </w:rPr>
            </w:pPr>
          </w:p>
        </w:tc>
        <w:tc>
          <w:tcPr>
            <w:tcW w:w="740" w:type="dxa"/>
            <w:vAlign w:val="bottom"/>
            <w:gridSpan w:val="2"/>
          </w:tcPr>
          <w:p>
            <w:pPr>
              <w:jc w:val="right"/>
              <w:ind w:right="131"/>
              <w:spacing w:after="0"/>
              <w:rPr>
                <w:sz w:val="20"/>
                <w:szCs w:val="20"/>
                <w:color w:val="auto"/>
              </w:rPr>
            </w:pPr>
            <w:r>
              <w:rPr>
                <w:rFonts w:ascii="Arial" w:cs="Arial" w:eastAsia="Arial" w:hAnsi="Arial"/>
                <w:sz w:val="15"/>
                <w:szCs w:val="15"/>
                <w:color w:val="auto"/>
              </w:rPr>
              <w:t>1,317</w:t>
            </w: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4,147</w:t>
            </w:r>
          </w:p>
        </w:tc>
        <w:tc>
          <w:tcPr>
            <w:tcW w:w="640" w:type="dxa"/>
            <w:vAlign w:val="bottom"/>
          </w:tcPr>
          <w:p>
            <w:pPr>
              <w:jc w:val="right"/>
              <w:spacing w:after="0"/>
              <w:rPr>
                <w:sz w:val="20"/>
                <w:szCs w:val="20"/>
                <w:color w:val="auto"/>
              </w:rPr>
            </w:pPr>
            <w:r>
              <w:rPr>
                <w:rFonts w:ascii="Arial" w:cs="Arial" w:eastAsia="Arial" w:hAnsi="Arial"/>
                <w:sz w:val="15"/>
                <w:szCs w:val="15"/>
                <w:color w:val="auto"/>
              </w:rPr>
              <w:t>1,097</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772</w:t>
            </w:r>
          </w:p>
        </w:tc>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1,869</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1,733</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2,278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40" w:type="dxa"/>
            <w:vAlign w:val="bottom"/>
            <w:shd w:val="clear" w:color="auto" w:fill="CCFFCC"/>
          </w:tcPr>
          <w:p>
            <w:pPr>
              <w:spacing w:after="0"/>
              <w:rPr>
                <w:sz w:val="17"/>
                <w:szCs w:val="17"/>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6,067</w:t>
            </w:r>
          </w:p>
        </w:tc>
        <w:tc>
          <w:tcPr>
            <w:tcW w:w="160" w:type="dxa"/>
            <w:vAlign w:val="bottom"/>
            <w:tcBorders>
              <w:right w:val="single" w:sz="8" w:color="CCFFCC"/>
            </w:tcBorders>
            <w:shd w:val="clear" w:color="auto" w:fill="CCFFCC"/>
          </w:tcPr>
          <w:p>
            <w:pPr>
              <w:spacing w:after="0"/>
              <w:rPr>
                <w:sz w:val="17"/>
                <w:szCs w:val="17"/>
                <w:color w:val="auto"/>
              </w:rPr>
            </w:pPr>
          </w:p>
        </w:tc>
        <w:tc>
          <w:tcPr>
            <w:tcW w:w="740" w:type="dxa"/>
            <w:vAlign w:val="bottom"/>
            <w:tcBorders>
              <w:right w:val="single" w:sz="8" w:color="CCFFCC"/>
            </w:tcBorders>
            <w:gridSpan w:val="2"/>
            <w:shd w:val="clear" w:color="auto" w:fill="CCFFCC"/>
          </w:tcPr>
          <w:p>
            <w:pPr>
              <w:jc w:val="right"/>
              <w:ind w:right="131"/>
              <w:spacing w:after="0"/>
              <w:rPr>
                <w:sz w:val="20"/>
                <w:szCs w:val="20"/>
                <w:color w:val="auto"/>
              </w:rPr>
            </w:pPr>
            <w:r>
              <w:rPr>
                <w:rFonts w:ascii="Arial" w:cs="Arial" w:eastAsia="Arial" w:hAnsi="Arial"/>
                <w:sz w:val="15"/>
                <w:szCs w:val="15"/>
                <w:color w:val="auto"/>
              </w:rPr>
              <w:t>3,227</w:t>
            </w:r>
          </w:p>
        </w:tc>
        <w:tc>
          <w:tcPr>
            <w:tcW w:w="720" w:type="dxa"/>
            <w:vAlign w:val="bottom"/>
            <w:tcBorders>
              <w:right w:val="single" w:sz="8" w:color="CCFFCC"/>
            </w:tcBorders>
            <w:gridSpan w:val="2"/>
            <w:shd w:val="clear" w:color="auto" w:fill="CCFFCC"/>
          </w:tcPr>
          <w:p>
            <w:pPr>
              <w:ind w:left="42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9,294</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2,337</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1,473</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tcBorders>
              <w:right w:val="single" w:sz="8" w:color="CCFFCC"/>
            </w:tcBorders>
            <w:gridSpan w:val="2"/>
            <w:shd w:val="clear" w:color="auto" w:fill="CCFFCC"/>
          </w:tcPr>
          <w:p>
            <w:pPr>
              <w:ind w:left="4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3,810</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3,730</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5,484</w:t>
            </w:r>
          </w:p>
        </w:tc>
        <w:tc>
          <w:tcPr>
            <w:tcW w:w="0" w:type="dxa"/>
            <w:vAlign w:val="bottom"/>
          </w:tcPr>
          <w:p>
            <w:pPr>
              <w:spacing w:after="0"/>
              <w:rPr>
                <w:sz w:val="1"/>
                <w:szCs w:val="1"/>
                <w:color w:val="auto"/>
              </w:rPr>
            </w:pP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40" w:type="dxa"/>
            <w:vAlign w:val="bottom"/>
          </w:tcPr>
          <w:p>
            <w:pPr>
              <w:spacing w:after="0"/>
              <w:rPr>
                <w:sz w:val="20"/>
                <w:szCs w:val="20"/>
                <w:color w:val="auto"/>
              </w:rPr>
            </w:pPr>
            <w:r>
              <w:rPr>
                <w:rFonts w:ascii="Arial" w:cs="Arial" w:eastAsia="Arial" w:hAnsi="Arial"/>
                <w:sz w:val="15"/>
                <w:szCs w:val="15"/>
                <w:color w:val="auto"/>
                <w:w w:val="96"/>
              </w:rPr>
              <w:t>* Item is net of OCS grants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(2,222)</w:t>
            </w:r>
          </w:p>
        </w:tc>
        <w:tc>
          <w:tcPr>
            <w:tcW w:w="740" w:type="dxa"/>
            <w:vAlign w:val="bottom"/>
            <w:gridSpan w:val="2"/>
          </w:tcPr>
          <w:p>
            <w:pPr>
              <w:jc w:val="right"/>
              <w:ind w:right="71"/>
              <w:spacing w:after="0"/>
              <w:rPr>
                <w:sz w:val="20"/>
                <w:szCs w:val="20"/>
                <w:color w:val="auto"/>
              </w:rPr>
            </w:pPr>
            <w:r>
              <w:rPr>
                <w:rFonts w:ascii="Arial" w:cs="Arial" w:eastAsia="Arial" w:hAnsi="Arial"/>
                <w:sz w:val="15"/>
                <w:szCs w:val="15"/>
                <w:color w:val="auto"/>
              </w:rPr>
              <w:t>(28)</w:t>
            </w:r>
          </w:p>
        </w:tc>
        <w:tc>
          <w:tcPr>
            <w:tcW w:w="7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(2,250)</w:t>
            </w:r>
          </w:p>
        </w:tc>
        <w:tc>
          <w:tcPr>
            <w:tcW w:w="640" w:type="dxa"/>
            <w:vAlign w:val="bottom"/>
          </w:tcPr>
          <w:p>
            <w:pPr>
              <w:jc w:val="right"/>
              <w:spacing w:after="0"/>
              <w:rPr>
                <w:sz w:val="20"/>
                <w:szCs w:val="20"/>
                <w:color w:val="auto"/>
              </w:rPr>
            </w:pPr>
            <w:r>
              <w:rPr>
                <w:rFonts w:ascii="Arial" w:cs="Arial" w:eastAsia="Arial" w:hAnsi="Arial"/>
                <w:sz w:val="15"/>
                <w:szCs w:val="15"/>
                <w:color w:val="auto"/>
              </w:rPr>
              <w:t>478</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15"/>
                <w:szCs w:val="15"/>
                <w:color w:val="auto"/>
              </w:rPr>
            </w:pPr>
          </w:p>
        </w:tc>
        <w:tc>
          <w:tcPr>
            <w:tcW w:w="78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812</w:t>
            </w:r>
          </w:p>
        </w:tc>
        <w:tc>
          <w:tcPr>
            <w:tcW w:w="860" w:type="dxa"/>
            <w:vAlign w:val="bottom"/>
            <w:gridSpan w:val="3"/>
          </w:tcPr>
          <w:p>
            <w:pPr>
              <w:jc w:val="right"/>
              <w:ind w:right="120"/>
              <w:spacing w:after="0"/>
              <w:rPr>
                <w:sz w:val="20"/>
                <w:szCs w:val="20"/>
                <w:color w:val="auto"/>
              </w:rPr>
            </w:pPr>
            <w:r>
              <w:rPr>
                <w:rFonts w:ascii="Arial" w:cs="Arial" w:eastAsia="Arial" w:hAnsi="Arial"/>
                <w:sz w:val="15"/>
                <w:szCs w:val="15"/>
                <w:color w:val="auto"/>
              </w:rPr>
              <w:t>(1,744)</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(1,438)</w:t>
            </w:r>
          </w:p>
        </w:tc>
        <w:tc>
          <w:tcPr>
            <w:tcW w:w="0" w:type="dxa"/>
            <w:vAlign w:val="bottom"/>
          </w:tcPr>
          <w:p>
            <w:pPr>
              <w:spacing w:after="0"/>
              <w:rPr>
                <w:sz w:val="1"/>
                <w:szCs w:val="1"/>
                <w:color w:val="auto"/>
              </w:rPr>
            </w:pPr>
          </w:p>
        </w:tc>
      </w:tr>
      <w:tr>
        <w:trPr>
          <w:trHeight w:val="198"/>
        </w:trPr>
        <w:tc>
          <w:tcPr>
            <w:tcW w:w="1740" w:type="dxa"/>
            <w:vAlign w:val="bottom"/>
          </w:tcPr>
          <w:p>
            <w:pPr>
              <w:ind w:left="180"/>
              <w:spacing w:after="0"/>
              <w:rPr>
                <w:sz w:val="20"/>
                <w:szCs w:val="20"/>
                <w:color w:val="auto"/>
              </w:rPr>
            </w:pPr>
            <w:r>
              <w:rPr>
                <w:rFonts w:ascii="Arial" w:cs="Arial" w:eastAsia="Arial" w:hAnsi="Arial"/>
                <w:sz w:val="15"/>
                <w:szCs w:val="15"/>
                <w:color w:val="auto"/>
                <w:w w:val="97"/>
              </w:rPr>
              <w:t>received – see b. below</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5782945" cy="3105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82945" cy="31051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444" w:lineRule="auto"/>
        <w:rPr>
          <w:sz w:val="20"/>
          <w:szCs w:val="20"/>
          <w:color w:val="auto"/>
        </w:rPr>
      </w:pPr>
      <w:r>
        <w:rPr>
          <w:rFonts w:ascii="Arial" w:cs="Arial" w:eastAsia="Arial" w:hAnsi="Arial"/>
          <w:sz w:val="17"/>
          <w:szCs w:val="17"/>
          <w:b w:val="1"/>
          <w:bCs w:val="1"/>
          <w:color w:val="auto"/>
        </w:rPr>
        <w:t>NOTES TO THE FINANCIAL STATEMENTS NOTE 6 — PROPERTY AND EQUIPMENT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57829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140335</wp:posOffset>
            </wp:positionV>
            <wp:extent cx="57829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Cost</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9"/>
              </w:rPr>
              <w:t>Accumulated depreciation</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Net book value</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74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Balance at</w:t>
            </w:r>
          </w:p>
        </w:tc>
        <w:tc>
          <w:tcPr>
            <w:tcW w:w="740" w:type="dxa"/>
            <w:vAlign w:val="bottom"/>
            <w:gridSpan w:val="2"/>
          </w:tcPr>
          <w:p>
            <w:pPr>
              <w:jc w:val="center"/>
              <w:ind w:right="40"/>
              <w:spacing w:after="0" w:line="138" w:lineRule="exact"/>
              <w:rPr>
                <w:sz w:val="20"/>
                <w:szCs w:val="20"/>
                <w:color w:val="auto"/>
              </w:rPr>
            </w:pPr>
            <w:r>
              <w:rPr>
                <w:rFonts w:ascii="Arial" w:cs="Arial" w:eastAsia="Arial" w:hAnsi="Arial"/>
                <w:sz w:val="14"/>
                <w:szCs w:val="14"/>
                <w:b w:val="1"/>
                <w:bCs w:val="1"/>
                <w:color w:val="auto"/>
                <w:w w:val="89"/>
              </w:rPr>
              <w:t>Additions</w:t>
            </w: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Deletions</w:t>
            </w:r>
          </w:p>
        </w:tc>
        <w:tc>
          <w:tcPr>
            <w:tcW w:w="74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Balance at</w:t>
            </w: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Deletions</w:t>
            </w:r>
          </w:p>
        </w:tc>
        <w:tc>
          <w:tcPr>
            <w:tcW w:w="60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1480" w:type="dxa"/>
            <w:vAlign w:val="bottom"/>
            <w:gridSpan w:val="4"/>
          </w:tcPr>
          <w:p>
            <w:pPr>
              <w:jc w:val="center"/>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3"/>
              </w:rPr>
              <w:t>beginning</w:t>
            </w: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91"/>
              </w:rPr>
              <w:t>during</w:t>
            </w: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5"/>
              </w:rPr>
              <w:t>end of</w:t>
            </w:r>
          </w:p>
        </w:tc>
        <w:tc>
          <w:tcPr>
            <w:tcW w:w="64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beginning</w:t>
            </w:r>
          </w:p>
        </w:tc>
        <w:tc>
          <w:tcPr>
            <w:tcW w:w="100" w:type="dxa"/>
            <w:vAlign w:val="bottom"/>
          </w:tcPr>
          <w:p>
            <w:pPr>
              <w:spacing w:after="0"/>
              <w:rPr>
                <w:sz w:val="5"/>
                <w:szCs w:val="5"/>
                <w:color w:val="auto"/>
              </w:rPr>
            </w:pPr>
          </w:p>
        </w:tc>
        <w:tc>
          <w:tcPr>
            <w:tcW w:w="62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during</w:t>
            </w:r>
          </w:p>
        </w:tc>
        <w:tc>
          <w:tcPr>
            <w:tcW w:w="100" w:type="dxa"/>
            <w:vAlign w:val="bottom"/>
          </w:tcPr>
          <w:p>
            <w:pPr>
              <w:spacing w:after="0"/>
              <w:rPr>
                <w:sz w:val="5"/>
                <w:szCs w:val="5"/>
                <w:color w:val="auto"/>
              </w:rPr>
            </w:pPr>
          </w:p>
        </w:tc>
        <w:tc>
          <w:tcPr>
            <w:tcW w:w="78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91"/>
              </w:rPr>
              <w:t>during</w:t>
            </w:r>
          </w:p>
        </w:tc>
        <w:tc>
          <w:tcPr>
            <w:tcW w:w="6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5"/>
              </w:rPr>
              <w:t>end of</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5"/>
                <w:szCs w:val="5"/>
                <w:color w:val="auto"/>
              </w:rPr>
            </w:pPr>
          </w:p>
        </w:tc>
        <w:tc>
          <w:tcPr>
            <w:tcW w:w="6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74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3"/>
              </w:rPr>
              <w:t>of year</w:t>
            </w: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8"/>
              </w:rPr>
              <w:t>of year</w:t>
            </w:r>
          </w:p>
        </w:tc>
        <w:tc>
          <w:tcPr>
            <w:tcW w:w="100" w:type="dxa"/>
            <w:vAlign w:val="bottom"/>
          </w:tcPr>
          <w:p>
            <w:pPr>
              <w:spacing w:after="0"/>
              <w:rPr>
                <w:sz w:val="9"/>
                <w:szCs w:val="9"/>
                <w:color w:val="auto"/>
              </w:rPr>
            </w:pPr>
          </w:p>
        </w:tc>
        <w:tc>
          <w:tcPr>
            <w:tcW w:w="620" w:type="dxa"/>
            <w:vAlign w:val="bottom"/>
            <w:vMerge w:val="restart"/>
          </w:tcPr>
          <w:p>
            <w:pPr>
              <w:jc w:val="center"/>
              <w:ind w:left="13"/>
              <w:spacing w:after="0" w:line="118" w:lineRule="exact"/>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9"/>
                <w:szCs w:val="9"/>
                <w:color w:val="auto"/>
              </w:rPr>
            </w:pPr>
          </w:p>
        </w:tc>
        <w:tc>
          <w:tcPr>
            <w:tcW w:w="78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60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6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6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Composition in 2009</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NIS in thousands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color w:val="auto"/>
              </w:rPr>
              <w:t>NIS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Office furniture and</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696</w:t>
            </w: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696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111</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58</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169</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585</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01"/>
        </w:trPr>
        <w:tc>
          <w:tcPr>
            <w:tcW w:w="1740" w:type="dxa"/>
            <w:vAlign w:val="bottom"/>
            <w:shd w:val="clear" w:color="auto" w:fill="CCFFCC"/>
          </w:tcPr>
          <w:p>
            <w:pPr>
              <w:ind w:left="180"/>
              <w:spacing w:after="0"/>
              <w:rPr>
                <w:sz w:val="20"/>
                <w:szCs w:val="20"/>
                <w:color w:val="auto"/>
              </w:rPr>
            </w:pPr>
            <w:r>
              <w:rPr>
                <w:rFonts w:ascii="Arial" w:cs="Arial" w:eastAsia="Arial" w:hAnsi="Arial"/>
                <w:sz w:val="15"/>
                <w:szCs w:val="15"/>
                <w:color w:val="auto"/>
              </w:rPr>
              <w:t>equipment</w:t>
            </w: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8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20"/>
                <w:szCs w:val="20"/>
                <w:color w:val="auto"/>
              </w:rPr>
            </w:pPr>
            <w:r>
              <w:rPr>
                <w:rFonts w:ascii="Arial" w:cs="Arial" w:eastAsia="Arial" w:hAnsi="Arial"/>
                <w:sz w:val="15"/>
                <w:szCs w:val="15"/>
                <w:color w:val="auto"/>
              </w:rPr>
              <w:t>Computers and</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1,451</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106</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1,549</w:t>
            </w:r>
          </w:p>
        </w:tc>
        <w:tc>
          <w:tcPr>
            <w:tcW w:w="640" w:type="dxa"/>
            <w:vAlign w:val="bottom"/>
          </w:tcPr>
          <w:p>
            <w:pPr>
              <w:jc w:val="right"/>
              <w:spacing w:after="0"/>
              <w:rPr>
                <w:sz w:val="20"/>
                <w:szCs w:val="20"/>
                <w:color w:val="auto"/>
              </w:rPr>
            </w:pPr>
            <w:r>
              <w:rPr>
                <w:rFonts w:ascii="Arial" w:cs="Arial" w:eastAsia="Arial" w:hAnsi="Arial"/>
                <w:sz w:val="15"/>
                <w:szCs w:val="15"/>
                <w:color w:val="auto"/>
              </w:rPr>
              <w:t>997</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258</w:t>
            </w:r>
          </w:p>
        </w:tc>
        <w:tc>
          <w:tcPr>
            <w:tcW w:w="880" w:type="dxa"/>
            <w:vAlign w:val="bottom"/>
            <w:gridSpan w:val="3"/>
          </w:tcPr>
          <w:p>
            <w:pPr>
              <w:jc w:val="right"/>
              <w:ind w:right="220"/>
              <w:spacing w:after="0"/>
              <w:rPr>
                <w:sz w:val="20"/>
                <w:szCs w:val="20"/>
                <w:color w:val="auto"/>
              </w:rPr>
            </w:pPr>
            <w:r>
              <w:rPr>
                <w:rFonts w:ascii="Arial" w:cs="Arial" w:eastAsia="Arial" w:hAnsi="Arial"/>
                <w:sz w:val="15"/>
                <w:szCs w:val="15"/>
                <w:color w:val="auto"/>
              </w:rPr>
              <w:t>(4)</w:t>
            </w:r>
          </w:p>
        </w:tc>
        <w:tc>
          <w:tcPr>
            <w:tcW w:w="600" w:type="dxa"/>
            <w:vAlign w:val="bottom"/>
          </w:tcPr>
          <w:p>
            <w:pPr>
              <w:jc w:val="right"/>
              <w:spacing w:after="0"/>
              <w:rPr>
                <w:sz w:val="20"/>
                <w:szCs w:val="20"/>
                <w:color w:val="auto"/>
              </w:rPr>
            </w:pPr>
            <w:r>
              <w:rPr>
                <w:rFonts w:ascii="Arial" w:cs="Arial" w:eastAsia="Arial" w:hAnsi="Arial"/>
                <w:sz w:val="15"/>
                <w:szCs w:val="15"/>
                <w:color w:val="auto"/>
              </w:rPr>
              <w:t>1,251</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454</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193"/>
        </w:trPr>
        <w:tc>
          <w:tcPr>
            <w:tcW w:w="1740" w:type="dxa"/>
            <w:vAlign w:val="bottom"/>
          </w:tcPr>
          <w:p>
            <w:pPr>
              <w:ind w:left="180"/>
              <w:spacing w:after="0"/>
              <w:rPr>
                <w:sz w:val="20"/>
                <w:szCs w:val="20"/>
                <w:color w:val="auto"/>
              </w:rPr>
            </w:pPr>
            <w:r>
              <w:rPr>
                <w:rFonts w:ascii="Arial" w:cs="Arial" w:eastAsia="Arial" w:hAnsi="Arial"/>
                <w:sz w:val="15"/>
                <w:szCs w:val="15"/>
                <w:color w:val="auto"/>
              </w:rPr>
              <w:t>communications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180"/>
              <w:spacing w:after="0"/>
              <w:rPr>
                <w:sz w:val="20"/>
                <w:szCs w:val="20"/>
                <w:color w:val="auto"/>
              </w:rPr>
            </w:pPr>
            <w:r>
              <w:rPr>
                <w:rFonts w:ascii="Arial" w:cs="Arial" w:eastAsia="Arial" w:hAnsi="Arial"/>
                <w:sz w:val="15"/>
                <w:szCs w:val="15"/>
                <w:color w:val="auto"/>
              </w:rPr>
              <w:t>equipment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Laboratory equipment,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3,000</w:t>
            </w: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136</w:t>
            </w:r>
          </w:p>
        </w:tc>
        <w:tc>
          <w:tcPr>
            <w:tcW w:w="7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3,136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833</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467</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1,300</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2,167</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1,836</w:t>
            </w:r>
          </w:p>
        </w:tc>
        <w:tc>
          <w:tcPr>
            <w:tcW w:w="0" w:type="dxa"/>
            <w:vAlign w:val="bottom"/>
          </w:tcPr>
          <w:p>
            <w:pPr>
              <w:spacing w:after="0"/>
              <w:rPr>
                <w:sz w:val="1"/>
                <w:szCs w:val="1"/>
                <w:color w:val="auto"/>
              </w:rPr>
            </w:pPr>
          </w:p>
        </w:tc>
      </w:tr>
      <w:tr>
        <w:trPr>
          <w:trHeight w:val="201"/>
        </w:trPr>
        <w:tc>
          <w:tcPr>
            <w:tcW w:w="1740" w:type="dxa"/>
            <w:vAlign w:val="bottom"/>
            <w:shd w:val="clear" w:color="auto" w:fill="CCFFCC"/>
          </w:tcPr>
          <w:p>
            <w:pPr>
              <w:ind w:left="180"/>
              <w:spacing w:after="0"/>
              <w:rPr>
                <w:sz w:val="20"/>
                <w:szCs w:val="20"/>
                <w:color w:val="auto"/>
              </w:rPr>
            </w:pPr>
            <w:r>
              <w:rPr>
                <w:rFonts w:ascii="Arial" w:cs="Arial" w:eastAsia="Arial" w:hAnsi="Arial"/>
                <w:sz w:val="15"/>
                <w:szCs w:val="15"/>
                <w:color w:val="auto"/>
              </w:rPr>
              <w:t>net*</w:t>
            </w: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8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580" w:type="dxa"/>
            <w:vAlign w:val="bottom"/>
          </w:tcPr>
          <w:p>
            <w:pPr>
              <w:jc w:val="right"/>
              <w:spacing w:after="0"/>
              <w:rPr>
                <w:sz w:val="20"/>
                <w:szCs w:val="20"/>
                <w:color w:val="auto"/>
              </w:rPr>
            </w:pPr>
            <w:r>
              <w:rPr>
                <w:rFonts w:ascii="Arial" w:cs="Arial" w:eastAsia="Arial" w:hAnsi="Arial"/>
                <w:sz w:val="15"/>
                <w:szCs w:val="15"/>
                <w:color w:val="auto"/>
              </w:rPr>
              <w:t>4,147</w:t>
            </w:r>
          </w:p>
        </w:tc>
        <w:tc>
          <w:tcPr>
            <w:tcW w:w="1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4,147</w:t>
            </w:r>
          </w:p>
        </w:tc>
        <w:tc>
          <w:tcPr>
            <w:tcW w:w="640" w:type="dxa"/>
            <w:vAlign w:val="bottom"/>
          </w:tcPr>
          <w:p>
            <w:pPr>
              <w:jc w:val="right"/>
              <w:spacing w:after="0"/>
              <w:rPr>
                <w:sz w:val="20"/>
                <w:szCs w:val="20"/>
                <w:color w:val="auto"/>
              </w:rPr>
            </w:pPr>
            <w:r>
              <w:rPr>
                <w:rFonts w:ascii="Arial" w:cs="Arial" w:eastAsia="Arial" w:hAnsi="Arial"/>
                <w:sz w:val="15"/>
                <w:szCs w:val="15"/>
                <w:color w:val="auto"/>
              </w:rPr>
              <w:t>1,869</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764</w:t>
            </w:r>
          </w:p>
        </w:tc>
        <w:tc>
          <w:tcPr>
            <w:tcW w:w="1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2,633</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2,278</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1,514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40" w:type="dxa"/>
            <w:vAlign w:val="bottom"/>
            <w:shd w:val="clear" w:color="auto" w:fill="CCFFCC"/>
          </w:tcPr>
          <w:p>
            <w:pPr>
              <w:spacing w:after="0"/>
              <w:rPr>
                <w:sz w:val="17"/>
                <w:szCs w:val="17"/>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9,294</w:t>
            </w:r>
          </w:p>
        </w:tc>
        <w:tc>
          <w:tcPr>
            <w:tcW w:w="160" w:type="dxa"/>
            <w:vAlign w:val="bottom"/>
            <w:tcBorders>
              <w:right w:val="single" w:sz="8" w:color="CCFFCC"/>
            </w:tcBorders>
            <w:shd w:val="clear" w:color="auto" w:fill="CCFFCC"/>
          </w:tcPr>
          <w:p>
            <w:pPr>
              <w:spacing w:after="0"/>
              <w:rPr>
                <w:sz w:val="17"/>
                <w:szCs w:val="17"/>
                <w:color w:val="auto"/>
              </w:rPr>
            </w:pP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242</w:t>
            </w:r>
          </w:p>
        </w:tc>
        <w:tc>
          <w:tcPr>
            <w:tcW w:w="7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8</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9,528</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3,810</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1,547</w:t>
            </w:r>
          </w:p>
        </w:tc>
        <w:tc>
          <w:tcPr>
            <w:tcW w:w="880" w:type="dxa"/>
            <w:vAlign w:val="bottom"/>
            <w:tcBorders>
              <w:left w:val="single" w:sz="8" w:color="CCFFCC"/>
              <w:right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5"/>
                <w:szCs w:val="15"/>
                <w:color w:val="auto"/>
              </w:rPr>
              <w:t>(4)</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5,353</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5,484</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4,175</w:t>
            </w:r>
          </w:p>
        </w:tc>
        <w:tc>
          <w:tcPr>
            <w:tcW w:w="0" w:type="dxa"/>
            <w:vAlign w:val="bottom"/>
          </w:tcPr>
          <w:p>
            <w:pPr>
              <w:spacing w:after="0"/>
              <w:rPr>
                <w:sz w:val="1"/>
                <w:szCs w:val="1"/>
                <w:color w:val="auto"/>
              </w:rPr>
            </w:pP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40" w:type="dxa"/>
            <w:vAlign w:val="bottom"/>
          </w:tcPr>
          <w:p>
            <w:pPr>
              <w:spacing w:after="0"/>
              <w:rPr>
                <w:sz w:val="20"/>
                <w:szCs w:val="20"/>
                <w:color w:val="auto"/>
              </w:rPr>
            </w:pPr>
            <w:r>
              <w:rPr>
                <w:rFonts w:ascii="Arial" w:cs="Arial" w:eastAsia="Arial" w:hAnsi="Arial"/>
                <w:sz w:val="15"/>
                <w:szCs w:val="15"/>
                <w:color w:val="auto"/>
                <w:w w:val="96"/>
              </w:rPr>
              <w:t>* Item is net of OCS grants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(2,250)</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(2,250)</w:t>
            </w:r>
          </w:p>
        </w:tc>
        <w:tc>
          <w:tcPr>
            <w:tcW w:w="640" w:type="dxa"/>
            <w:vAlign w:val="bottom"/>
          </w:tcPr>
          <w:p>
            <w:pPr>
              <w:jc w:val="right"/>
              <w:spacing w:after="0"/>
              <w:rPr>
                <w:sz w:val="20"/>
                <w:szCs w:val="20"/>
                <w:color w:val="auto"/>
              </w:rPr>
            </w:pPr>
            <w:r>
              <w:rPr>
                <w:rFonts w:ascii="Arial" w:cs="Arial" w:eastAsia="Arial" w:hAnsi="Arial"/>
                <w:sz w:val="15"/>
                <w:szCs w:val="15"/>
                <w:color w:val="auto"/>
              </w:rPr>
              <w:t>812</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1,150</w:t>
            </w:r>
          </w:p>
        </w:tc>
        <w:tc>
          <w:tcPr>
            <w:tcW w:w="860" w:type="dxa"/>
            <w:vAlign w:val="bottom"/>
            <w:gridSpan w:val="3"/>
          </w:tcPr>
          <w:p>
            <w:pPr>
              <w:jc w:val="right"/>
              <w:ind w:right="120"/>
              <w:spacing w:after="0"/>
              <w:rPr>
                <w:sz w:val="20"/>
                <w:szCs w:val="20"/>
                <w:color w:val="auto"/>
              </w:rPr>
            </w:pPr>
            <w:r>
              <w:rPr>
                <w:rFonts w:ascii="Arial" w:cs="Arial" w:eastAsia="Arial" w:hAnsi="Arial"/>
                <w:sz w:val="15"/>
                <w:szCs w:val="15"/>
                <w:color w:val="auto"/>
              </w:rPr>
              <w:t>(1,438)</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(1,100)</w:t>
            </w:r>
          </w:p>
        </w:tc>
        <w:tc>
          <w:tcPr>
            <w:tcW w:w="0" w:type="dxa"/>
            <w:vAlign w:val="bottom"/>
          </w:tcPr>
          <w:p>
            <w:pPr>
              <w:spacing w:after="0"/>
              <w:rPr>
                <w:sz w:val="1"/>
                <w:szCs w:val="1"/>
                <w:color w:val="auto"/>
              </w:rPr>
            </w:pPr>
          </w:p>
        </w:tc>
      </w:tr>
      <w:tr>
        <w:trPr>
          <w:trHeight w:val="193"/>
        </w:trPr>
        <w:tc>
          <w:tcPr>
            <w:tcW w:w="1740" w:type="dxa"/>
            <w:vAlign w:val="bottom"/>
          </w:tcPr>
          <w:p>
            <w:pPr>
              <w:ind w:left="180"/>
              <w:spacing w:after="0"/>
              <w:rPr>
                <w:sz w:val="20"/>
                <w:szCs w:val="20"/>
                <w:color w:val="auto"/>
              </w:rPr>
            </w:pPr>
            <w:r>
              <w:rPr>
                <w:rFonts w:ascii="Arial" w:cs="Arial" w:eastAsia="Arial" w:hAnsi="Arial"/>
                <w:sz w:val="15"/>
                <w:szCs w:val="15"/>
                <w:color w:val="auto"/>
              </w:rPr>
              <w:t>received – see Note</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180"/>
              <w:spacing w:after="0"/>
              <w:rPr>
                <w:sz w:val="20"/>
                <w:szCs w:val="20"/>
                <w:color w:val="auto"/>
              </w:rPr>
            </w:pPr>
            <w:r>
              <w:rPr>
                <w:rFonts w:ascii="Arial" w:cs="Arial" w:eastAsia="Arial" w:hAnsi="Arial"/>
                <w:sz w:val="15"/>
                <w:szCs w:val="15"/>
                <w:color w:val="auto"/>
              </w:rPr>
              <w:t>12a(1)d</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5782945" cy="4330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82945" cy="433070"/>
                    </a:xfrm>
                    <a:prstGeom prst="rect">
                      <a:avLst/>
                    </a:prstGeom>
                    <a:noFill/>
                  </pic:spPr>
                </pic:pic>
              </a:graphicData>
            </a:graphic>
          </wp:anchor>
        </w:drawing>
      </w:r>
    </w:p>
    <w:p>
      <w:pPr>
        <w:spacing w:after="0" w:line="70" w:lineRule="exact"/>
        <w:rPr>
          <w:sz w:val="20"/>
          <w:szCs w:val="20"/>
          <w:color w:val="auto"/>
        </w:rPr>
      </w:pPr>
    </w:p>
    <w:p>
      <w:pPr>
        <w:ind w:left="560" w:right="999"/>
        <w:spacing w:after="0" w:line="278" w:lineRule="auto"/>
        <w:rPr>
          <w:sz w:val="20"/>
          <w:szCs w:val="20"/>
          <w:color w:val="auto"/>
        </w:rPr>
      </w:pPr>
      <w:r>
        <w:rPr>
          <w:rFonts w:ascii="Arial" w:cs="Arial" w:eastAsia="Arial" w:hAnsi="Arial"/>
          <w:sz w:val="17"/>
          <w:szCs w:val="17"/>
          <w:color w:val="auto"/>
        </w:rPr>
        <w:t>Set forth below are the composition of property and equipment and the accumulated depreciation thereon, grouped by major classifications, and the changes therein for the respective years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57829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57829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9"/>
              </w:rPr>
              <w:t>Accumulated depreciation</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Net book value</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74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Balance at</w:t>
            </w:r>
          </w:p>
        </w:tc>
        <w:tc>
          <w:tcPr>
            <w:tcW w:w="740" w:type="dxa"/>
            <w:vAlign w:val="bottom"/>
            <w:gridSpan w:val="2"/>
          </w:tcPr>
          <w:p>
            <w:pPr>
              <w:jc w:val="center"/>
              <w:ind w:right="40"/>
              <w:spacing w:after="0" w:line="138" w:lineRule="exact"/>
              <w:rPr>
                <w:sz w:val="20"/>
                <w:szCs w:val="20"/>
                <w:color w:val="auto"/>
              </w:rPr>
            </w:pPr>
            <w:r>
              <w:rPr>
                <w:rFonts w:ascii="Arial" w:cs="Arial" w:eastAsia="Arial" w:hAnsi="Arial"/>
                <w:sz w:val="14"/>
                <w:szCs w:val="14"/>
                <w:b w:val="1"/>
                <w:bCs w:val="1"/>
                <w:color w:val="auto"/>
                <w:w w:val="89"/>
              </w:rPr>
              <w:t>Additions</w:t>
            </w: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Deletions</w:t>
            </w:r>
          </w:p>
        </w:tc>
        <w:tc>
          <w:tcPr>
            <w:tcW w:w="74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Balance at</w:t>
            </w: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Deletions</w:t>
            </w:r>
          </w:p>
        </w:tc>
        <w:tc>
          <w:tcPr>
            <w:tcW w:w="60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1480" w:type="dxa"/>
            <w:vAlign w:val="bottom"/>
            <w:gridSpan w:val="4"/>
          </w:tcPr>
          <w:p>
            <w:pPr>
              <w:jc w:val="center"/>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3"/>
              </w:rPr>
              <w:t>beginning</w:t>
            </w: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91"/>
              </w:rPr>
              <w:t>during</w:t>
            </w: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85"/>
              </w:rPr>
              <w:t>end of</w:t>
            </w:r>
          </w:p>
        </w:tc>
        <w:tc>
          <w:tcPr>
            <w:tcW w:w="64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beginning</w:t>
            </w:r>
          </w:p>
        </w:tc>
        <w:tc>
          <w:tcPr>
            <w:tcW w:w="100" w:type="dxa"/>
            <w:vAlign w:val="bottom"/>
          </w:tcPr>
          <w:p>
            <w:pPr>
              <w:spacing w:after="0"/>
              <w:rPr>
                <w:sz w:val="5"/>
                <w:szCs w:val="5"/>
                <w:color w:val="auto"/>
              </w:rPr>
            </w:pPr>
          </w:p>
        </w:tc>
        <w:tc>
          <w:tcPr>
            <w:tcW w:w="62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during</w:t>
            </w:r>
          </w:p>
        </w:tc>
        <w:tc>
          <w:tcPr>
            <w:tcW w:w="100" w:type="dxa"/>
            <w:vAlign w:val="bottom"/>
          </w:tcPr>
          <w:p>
            <w:pPr>
              <w:spacing w:after="0"/>
              <w:rPr>
                <w:sz w:val="5"/>
                <w:szCs w:val="5"/>
                <w:color w:val="auto"/>
              </w:rPr>
            </w:pPr>
          </w:p>
        </w:tc>
        <w:tc>
          <w:tcPr>
            <w:tcW w:w="78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91"/>
              </w:rPr>
              <w:t>during</w:t>
            </w:r>
          </w:p>
        </w:tc>
        <w:tc>
          <w:tcPr>
            <w:tcW w:w="6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5"/>
              </w:rPr>
              <w:t>end of</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5"/>
                <w:szCs w:val="5"/>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74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3"/>
              </w:rPr>
              <w:t>of year</w:t>
            </w: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8"/>
              </w:rPr>
              <w:t>of year</w:t>
            </w:r>
          </w:p>
        </w:tc>
        <w:tc>
          <w:tcPr>
            <w:tcW w:w="100" w:type="dxa"/>
            <w:vAlign w:val="bottom"/>
          </w:tcPr>
          <w:p>
            <w:pPr>
              <w:spacing w:after="0"/>
              <w:rPr>
                <w:sz w:val="9"/>
                <w:szCs w:val="9"/>
                <w:color w:val="auto"/>
              </w:rPr>
            </w:pPr>
          </w:p>
        </w:tc>
        <w:tc>
          <w:tcPr>
            <w:tcW w:w="620" w:type="dxa"/>
            <w:vAlign w:val="bottom"/>
            <w:vMerge w:val="restart"/>
          </w:tcPr>
          <w:p>
            <w:pPr>
              <w:jc w:val="center"/>
              <w:ind w:left="13"/>
              <w:spacing w:after="0" w:line="118" w:lineRule="exact"/>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9"/>
                <w:szCs w:val="9"/>
                <w:color w:val="auto"/>
              </w:rPr>
            </w:pPr>
          </w:p>
        </w:tc>
        <w:tc>
          <w:tcPr>
            <w:tcW w:w="78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60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6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6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Composition in 2010</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color w:val="auto"/>
              </w:rPr>
              <w:t>NIS in thousands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color w:val="auto"/>
              </w:rPr>
              <w:t>NIS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Office furniture and</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696</w:t>
            </w: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28</w:t>
            </w:r>
          </w:p>
        </w:tc>
        <w:tc>
          <w:tcPr>
            <w:tcW w:w="72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724</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169</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42</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211</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527</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201"/>
        </w:trPr>
        <w:tc>
          <w:tcPr>
            <w:tcW w:w="1740" w:type="dxa"/>
            <w:vAlign w:val="bottom"/>
            <w:shd w:val="clear" w:color="auto" w:fill="CCFFCC"/>
          </w:tcPr>
          <w:p>
            <w:pPr>
              <w:ind w:left="180"/>
              <w:spacing w:after="0"/>
              <w:rPr>
                <w:sz w:val="20"/>
                <w:szCs w:val="20"/>
                <w:color w:val="auto"/>
              </w:rPr>
            </w:pPr>
            <w:r>
              <w:rPr>
                <w:rFonts w:ascii="Arial" w:cs="Arial" w:eastAsia="Arial" w:hAnsi="Arial"/>
                <w:sz w:val="15"/>
                <w:szCs w:val="15"/>
                <w:color w:val="auto"/>
              </w:rPr>
              <w:t>equipment</w:t>
            </w: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740" w:type="dxa"/>
            <w:vAlign w:val="bottom"/>
          </w:tcPr>
          <w:p>
            <w:pPr>
              <w:spacing w:after="0"/>
              <w:rPr>
                <w:sz w:val="20"/>
                <w:szCs w:val="20"/>
                <w:color w:val="auto"/>
              </w:rPr>
            </w:pPr>
            <w:r>
              <w:rPr>
                <w:rFonts w:ascii="Arial" w:cs="Arial" w:eastAsia="Arial" w:hAnsi="Arial"/>
                <w:sz w:val="15"/>
                <w:szCs w:val="15"/>
                <w:color w:val="auto"/>
              </w:rPr>
              <w:t>Computers and</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1,549</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372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(772)</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1,149</w:t>
            </w:r>
          </w:p>
        </w:tc>
        <w:tc>
          <w:tcPr>
            <w:tcW w:w="640" w:type="dxa"/>
            <w:vAlign w:val="bottom"/>
          </w:tcPr>
          <w:p>
            <w:pPr>
              <w:jc w:val="right"/>
              <w:spacing w:after="0"/>
              <w:rPr>
                <w:sz w:val="20"/>
                <w:szCs w:val="20"/>
                <w:color w:val="auto"/>
              </w:rPr>
            </w:pPr>
            <w:r>
              <w:rPr>
                <w:rFonts w:ascii="Arial" w:cs="Arial" w:eastAsia="Arial" w:hAnsi="Arial"/>
                <w:sz w:val="15"/>
                <w:szCs w:val="15"/>
                <w:color w:val="auto"/>
              </w:rPr>
              <w:t>1,251</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234</w:t>
            </w: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(772)</w:t>
            </w:r>
          </w:p>
        </w:tc>
        <w:tc>
          <w:tcPr>
            <w:tcW w:w="600" w:type="dxa"/>
            <w:vAlign w:val="bottom"/>
          </w:tcPr>
          <w:p>
            <w:pPr>
              <w:jc w:val="right"/>
              <w:spacing w:after="0"/>
              <w:rPr>
                <w:sz w:val="20"/>
                <w:szCs w:val="20"/>
                <w:color w:val="auto"/>
              </w:rPr>
            </w:pPr>
            <w:r>
              <w:rPr>
                <w:rFonts w:ascii="Arial" w:cs="Arial" w:eastAsia="Arial" w:hAnsi="Arial"/>
                <w:sz w:val="15"/>
                <w:szCs w:val="15"/>
                <w:color w:val="auto"/>
              </w:rPr>
              <w:t>713</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298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193"/>
        </w:trPr>
        <w:tc>
          <w:tcPr>
            <w:tcW w:w="1740" w:type="dxa"/>
            <w:vAlign w:val="bottom"/>
          </w:tcPr>
          <w:p>
            <w:pPr>
              <w:ind w:left="180"/>
              <w:spacing w:after="0"/>
              <w:rPr>
                <w:sz w:val="20"/>
                <w:szCs w:val="20"/>
                <w:color w:val="auto"/>
              </w:rPr>
            </w:pPr>
            <w:r>
              <w:rPr>
                <w:rFonts w:ascii="Arial" w:cs="Arial" w:eastAsia="Arial" w:hAnsi="Arial"/>
                <w:sz w:val="15"/>
                <w:szCs w:val="15"/>
                <w:color w:val="auto"/>
              </w:rPr>
              <w:t>communications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180"/>
              <w:spacing w:after="0"/>
              <w:rPr>
                <w:sz w:val="20"/>
                <w:szCs w:val="20"/>
                <w:color w:val="auto"/>
              </w:rPr>
            </w:pPr>
            <w:r>
              <w:rPr>
                <w:rFonts w:ascii="Arial" w:cs="Arial" w:eastAsia="Arial" w:hAnsi="Arial"/>
                <w:sz w:val="15"/>
                <w:szCs w:val="15"/>
                <w:color w:val="auto"/>
              </w:rPr>
              <w:t>equipment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Laboratory equipment,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3,136</w:t>
            </w: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1,510</w:t>
            </w:r>
          </w:p>
        </w:tc>
        <w:tc>
          <w:tcPr>
            <w:tcW w:w="72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4,646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1,300</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611</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1,911</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1,836</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2,735</w:t>
            </w:r>
          </w:p>
        </w:tc>
        <w:tc>
          <w:tcPr>
            <w:tcW w:w="0" w:type="dxa"/>
            <w:vAlign w:val="bottom"/>
          </w:tcPr>
          <w:p>
            <w:pPr>
              <w:spacing w:after="0"/>
              <w:rPr>
                <w:sz w:val="1"/>
                <w:szCs w:val="1"/>
                <w:color w:val="auto"/>
              </w:rPr>
            </w:pPr>
          </w:p>
        </w:tc>
      </w:tr>
      <w:tr>
        <w:trPr>
          <w:trHeight w:val="201"/>
        </w:trPr>
        <w:tc>
          <w:tcPr>
            <w:tcW w:w="1740" w:type="dxa"/>
            <w:vAlign w:val="bottom"/>
            <w:shd w:val="clear" w:color="auto" w:fill="CCFFCC"/>
          </w:tcPr>
          <w:p>
            <w:pPr>
              <w:ind w:left="180"/>
              <w:spacing w:after="0"/>
              <w:rPr>
                <w:sz w:val="20"/>
                <w:szCs w:val="20"/>
                <w:color w:val="auto"/>
              </w:rPr>
            </w:pPr>
            <w:r>
              <w:rPr>
                <w:rFonts w:ascii="Arial" w:cs="Arial" w:eastAsia="Arial" w:hAnsi="Arial"/>
                <w:sz w:val="15"/>
                <w:szCs w:val="15"/>
                <w:color w:val="auto"/>
              </w:rPr>
              <w:t>net*</w:t>
            </w: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580" w:type="dxa"/>
            <w:vAlign w:val="bottom"/>
          </w:tcPr>
          <w:p>
            <w:pPr>
              <w:jc w:val="right"/>
              <w:spacing w:after="0"/>
              <w:rPr>
                <w:sz w:val="20"/>
                <w:szCs w:val="20"/>
                <w:color w:val="auto"/>
              </w:rPr>
            </w:pPr>
            <w:r>
              <w:rPr>
                <w:rFonts w:ascii="Arial" w:cs="Arial" w:eastAsia="Arial" w:hAnsi="Arial"/>
                <w:sz w:val="15"/>
                <w:szCs w:val="15"/>
                <w:color w:val="auto"/>
              </w:rPr>
              <w:t>4,147</w:t>
            </w:r>
          </w:p>
        </w:tc>
        <w:tc>
          <w:tcPr>
            <w:tcW w:w="16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47</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4,194</w:t>
            </w:r>
          </w:p>
        </w:tc>
        <w:tc>
          <w:tcPr>
            <w:tcW w:w="640" w:type="dxa"/>
            <w:vAlign w:val="bottom"/>
          </w:tcPr>
          <w:p>
            <w:pPr>
              <w:jc w:val="right"/>
              <w:spacing w:after="0"/>
              <w:rPr>
                <w:sz w:val="20"/>
                <w:szCs w:val="20"/>
                <w:color w:val="auto"/>
              </w:rPr>
            </w:pPr>
            <w:r>
              <w:rPr>
                <w:rFonts w:ascii="Arial" w:cs="Arial" w:eastAsia="Arial" w:hAnsi="Arial"/>
                <w:sz w:val="15"/>
                <w:szCs w:val="15"/>
                <w:color w:val="auto"/>
              </w:rPr>
              <w:t>2,633</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736</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3,369</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1,514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825</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40" w:type="dxa"/>
            <w:vAlign w:val="bottom"/>
            <w:shd w:val="clear" w:color="auto" w:fill="CCFFCC"/>
          </w:tcPr>
          <w:p>
            <w:pPr>
              <w:spacing w:after="0"/>
              <w:rPr>
                <w:sz w:val="17"/>
                <w:szCs w:val="17"/>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9,528</w:t>
            </w:r>
          </w:p>
        </w:tc>
        <w:tc>
          <w:tcPr>
            <w:tcW w:w="160" w:type="dxa"/>
            <w:vAlign w:val="bottom"/>
            <w:tcBorders>
              <w:right w:val="single" w:sz="8" w:color="CCFFCC"/>
            </w:tcBorders>
            <w:shd w:val="clear" w:color="auto" w:fill="CCFFCC"/>
          </w:tcPr>
          <w:p>
            <w:pPr>
              <w:spacing w:after="0"/>
              <w:rPr>
                <w:sz w:val="17"/>
                <w:szCs w:val="17"/>
                <w:color w:val="auto"/>
              </w:rPr>
            </w:pP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1,957</w:t>
            </w:r>
          </w:p>
        </w:tc>
        <w:tc>
          <w:tcPr>
            <w:tcW w:w="7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(772)</w:t>
            </w:r>
          </w:p>
        </w:tc>
        <w:tc>
          <w:tcPr>
            <w:tcW w:w="7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10,713</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5,353</w:t>
            </w:r>
          </w:p>
        </w:tc>
        <w:tc>
          <w:tcPr>
            <w:tcW w:w="7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1,623</w:t>
            </w:r>
          </w:p>
        </w:tc>
        <w:tc>
          <w:tcPr>
            <w:tcW w:w="88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(772)</w:t>
            </w:r>
          </w:p>
        </w:tc>
        <w:tc>
          <w:tcPr>
            <w:tcW w:w="6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6,204</w:t>
            </w:r>
          </w:p>
        </w:tc>
        <w:tc>
          <w:tcPr>
            <w:tcW w:w="860" w:type="dxa"/>
            <w:vAlign w:val="bottom"/>
            <w:tcBorders>
              <w:left w:val="single" w:sz="8" w:color="CCFFCC"/>
              <w:right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4,175</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4,509</w:t>
            </w:r>
          </w:p>
        </w:tc>
        <w:tc>
          <w:tcPr>
            <w:tcW w:w="0" w:type="dxa"/>
            <w:vAlign w:val="bottom"/>
          </w:tcPr>
          <w:p>
            <w:pPr>
              <w:spacing w:after="0"/>
              <w:rPr>
                <w:sz w:val="1"/>
                <w:szCs w:val="1"/>
                <w:color w:val="auto"/>
              </w:rPr>
            </w:pP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40" w:type="dxa"/>
            <w:vAlign w:val="bottom"/>
          </w:tcPr>
          <w:p>
            <w:pPr>
              <w:spacing w:after="0"/>
              <w:rPr>
                <w:sz w:val="20"/>
                <w:szCs w:val="20"/>
                <w:color w:val="auto"/>
              </w:rPr>
            </w:pPr>
            <w:r>
              <w:rPr>
                <w:rFonts w:ascii="Arial" w:cs="Arial" w:eastAsia="Arial" w:hAnsi="Arial"/>
                <w:sz w:val="15"/>
                <w:szCs w:val="15"/>
                <w:color w:val="auto"/>
                <w:w w:val="96"/>
              </w:rPr>
              <w:t>* Item is net of OCS grants</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(2,250)</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(2,250)</w:t>
            </w:r>
          </w:p>
        </w:tc>
        <w:tc>
          <w:tcPr>
            <w:tcW w:w="640" w:type="dxa"/>
            <w:vAlign w:val="bottom"/>
          </w:tcPr>
          <w:p>
            <w:pPr>
              <w:jc w:val="right"/>
              <w:spacing w:after="0"/>
              <w:rPr>
                <w:sz w:val="20"/>
                <w:szCs w:val="20"/>
                <w:color w:val="auto"/>
              </w:rPr>
            </w:pPr>
            <w:r>
              <w:rPr>
                <w:rFonts w:ascii="Arial" w:cs="Arial" w:eastAsia="Arial" w:hAnsi="Arial"/>
                <w:sz w:val="15"/>
                <w:szCs w:val="15"/>
                <w:color w:val="auto"/>
              </w:rPr>
              <w:t>1,150</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1,488</w:t>
            </w:r>
          </w:p>
        </w:tc>
        <w:tc>
          <w:tcPr>
            <w:tcW w:w="860" w:type="dxa"/>
            <w:vAlign w:val="bottom"/>
            <w:gridSpan w:val="3"/>
          </w:tcPr>
          <w:p>
            <w:pPr>
              <w:jc w:val="right"/>
              <w:ind w:right="120"/>
              <w:spacing w:after="0"/>
              <w:rPr>
                <w:sz w:val="20"/>
                <w:szCs w:val="20"/>
                <w:color w:val="auto"/>
              </w:rPr>
            </w:pPr>
            <w:r>
              <w:rPr>
                <w:rFonts w:ascii="Arial" w:cs="Arial" w:eastAsia="Arial" w:hAnsi="Arial"/>
                <w:sz w:val="15"/>
                <w:szCs w:val="15"/>
                <w:color w:val="auto"/>
              </w:rPr>
              <w:t>(1,100)</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193"/>
        </w:trPr>
        <w:tc>
          <w:tcPr>
            <w:tcW w:w="1740" w:type="dxa"/>
            <w:vAlign w:val="bottom"/>
          </w:tcPr>
          <w:p>
            <w:pPr>
              <w:ind w:left="180"/>
              <w:spacing w:after="0"/>
              <w:rPr>
                <w:sz w:val="20"/>
                <w:szCs w:val="20"/>
                <w:color w:val="auto"/>
              </w:rPr>
            </w:pPr>
            <w:r>
              <w:rPr>
                <w:rFonts w:ascii="Arial" w:cs="Arial" w:eastAsia="Arial" w:hAnsi="Arial"/>
                <w:sz w:val="15"/>
                <w:szCs w:val="15"/>
                <w:color w:val="auto"/>
              </w:rPr>
              <w:t>received – see Note</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180"/>
              <w:spacing w:after="0"/>
              <w:rPr>
                <w:sz w:val="20"/>
                <w:szCs w:val="20"/>
                <w:color w:val="auto"/>
              </w:rPr>
            </w:pPr>
            <w:r>
              <w:rPr>
                <w:rFonts w:ascii="Arial" w:cs="Arial" w:eastAsia="Arial" w:hAnsi="Arial"/>
                <w:sz w:val="15"/>
                <w:szCs w:val="15"/>
                <w:color w:val="auto"/>
              </w:rPr>
              <w:t>12a(1)d</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5782945" cy="4330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82945" cy="43307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7 —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57829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88"/>
              </w:rPr>
              <w:t>Accumulated depreciation and impairment</w:t>
            </w: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Net book value</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1"/>
                <w:szCs w:val="11"/>
                <w:color w:val="auto"/>
              </w:rPr>
            </w:pPr>
          </w:p>
        </w:tc>
        <w:tc>
          <w:tcPr>
            <w:tcW w:w="740" w:type="dxa"/>
            <w:vAlign w:val="bottom"/>
            <w:gridSpan w:val="2"/>
          </w:tcPr>
          <w:p>
            <w:pPr>
              <w:jc w:val="center"/>
              <w:ind w:right="40"/>
              <w:spacing w:after="0" w:line="138" w:lineRule="exact"/>
              <w:rPr>
                <w:sz w:val="20"/>
                <w:szCs w:val="20"/>
                <w:color w:val="auto"/>
              </w:rPr>
            </w:pPr>
            <w:r>
              <w:rPr>
                <w:rFonts w:ascii="Arial" w:cs="Arial" w:eastAsia="Arial" w:hAnsi="Arial"/>
                <w:sz w:val="14"/>
                <w:szCs w:val="14"/>
                <w:b w:val="1"/>
                <w:bCs w:val="1"/>
                <w:color w:val="auto"/>
                <w:w w:val="89"/>
              </w:rPr>
              <w:t>Additions</w:t>
            </w: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Deletions</w:t>
            </w: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9"/>
              </w:rPr>
              <w:t>Additions</w:t>
            </w: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Deletions</w:t>
            </w: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8"/>
              </w:rPr>
              <w:t>Balance at</w:t>
            </w:r>
          </w:p>
        </w:tc>
        <w:tc>
          <w:tcPr>
            <w:tcW w:w="1480" w:type="dxa"/>
            <w:vAlign w:val="bottom"/>
            <w:gridSpan w:val="4"/>
          </w:tcPr>
          <w:p>
            <w:pPr>
              <w:jc w:val="center"/>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640" w:type="dxa"/>
            <w:vAlign w:val="bottom"/>
            <w:vMerge w:val="restart"/>
          </w:tcPr>
          <w:p>
            <w:pPr>
              <w:jc w:val="center"/>
              <w:ind w:left="8"/>
              <w:spacing w:after="0" w:line="141" w:lineRule="exact"/>
              <w:rPr>
                <w:sz w:val="20"/>
                <w:szCs w:val="20"/>
                <w:color w:val="auto"/>
              </w:rPr>
            </w:pPr>
            <w:r>
              <w:rPr>
                <w:rFonts w:ascii="Arial" w:cs="Arial" w:eastAsia="Arial" w:hAnsi="Arial"/>
                <w:sz w:val="14"/>
                <w:szCs w:val="14"/>
                <w:b w:val="1"/>
                <w:bCs w:val="1"/>
                <w:color w:val="auto"/>
                <w:w w:val="83"/>
              </w:rPr>
              <w:t>beginning</w:t>
            </w:r>
          </w:p>
        </w:tc>
        <w:tc>
          <w:tcPr>
            <w:tcW w:w="100" w:type="dxa"/>
            <w:vAlign w:val="bottom"/>
          </w:tcPr>
          <w:p>
            <w:pPr>
              <w:spacing w:after="0"/>
              <w:rPr>
                <w:sz w:val="5"/>
                <w:szCs w:val="5"/>
                <w:color w:val="auto"/>
              </w:rPr>
            </w:pP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91"/>
              </w:rPr>
              <w:t>during</w:t>
            </w: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640" w:type="dxa"/>
            <w:vAlign w:val="bottom"/>
            <w:vMerge w:val="restart"/>
          </w:tcPr>
          <w:p>
            <w:pPr>
              <w:jc w:val="center"/>
              <w:ind w:left="8"/>
              <w:spacing w:after="0" w:line="141" w:lineRule="exact"/>
              <w:rPr>
                <w:sz w:val="20"/>
                <w:szCs w:val="20"/>
                <w:color w:val="auto"/>
              </w:rPr>
            </w:pPr>
            <w:r>
              <w:rPr>
                <w:rFonts w:ascii="Arial" w:cs="Arial" w:eastAsia="Arial" w:hAnsi="Arial"/>
                <w:sz w:val="14"/>
                <w:szCs w:val="14"/>
                <w:b w:val="1"/>
                <w:bCs w:val="1"/>
                <w:color w:val="auto"/>
                <w:w w:val="85"/>
              </w:rPr>
              <w:t>end of</w:t>
            </w:r>
          </w:p>
        </w:tc>
        <w:tc>
          <w:tcPr>
            <w:tcW w:w="100" w:type="dxa"/>
            <w:vAlign w:val="bottom"/>
          </w:tcPr>
          <w:p>
            <w:pPr>
              <w:spacing w:after="0"/>
              <w:rPr>
                <w:sz w:val="5"/>
                <w:szCs w:val="5"/>
                <w:color w:val="auto"/>
              </w:rPr>
            </w:pPr>
          </w:p>
        </w:tc>
        <w:tc>
          <w:tcPr>
            <w:tcW w:w="68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beginning</w:t>
            </w: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78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91"/>
              </w:rPr>
              <w:t>during</w:t>
            </w:r>
          </w:p>
        </w:tc>
        <w:tc>
          <w:tcPr>
            <w:tcW w:w="70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85"/>
              </w:rPr>
              <w:t>end of</w:t>
            </w: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640" w:type="dxa"/>
            <w:vAlign w:val="bottom"/>
            <w:vMerge w:val="restart"/>
          </w:tcPr>
          <w:p>
            <w:pPr>
              <w:jc w:val="center"/>
              <w:ind w:left="8"/>
              <w:spacing w:after="0" w:line="118" w:lineRule="exact"/>
              <w:rPr>
                <w:sz w:val="20"/>
                <w:szCs w:val="20"/>
                <w:color w:val="auto"/>
              </w:rPr>
            </w:pPr>
            <w:r>
              <w:rPr>
                <w:rFonts w:ascii="Arial" w:cs="Arial" w:eastAsia="Arial" w:hAnsi="Arial"/>
                <w:sz w:val="13"/>
                <w:szCs w:val="13"/>
                <w:b w:val="1"/>
                <w:bCs w:val="1"/>
                <w:color w:val="auto"/>
                <w:w w:val="93"/>
              </w:rPr>
              <w:t>of year</w:t>
            </w:r>
          </w:p>
        </w:tc>
        <w:tc>
          <w:tcPr>
            <w:tcW w:w="100" w:type="dxa"/>
            <w:vAlign w:val="bottom"/>
          </w:tcPr>
          <w:p>
            <w:pPr>
              <w:spacing w:after="0"/>
              <w:rPr>
                <w:sz w:val="9"/>
                <w:szCs w:val="9"/>
                <w:color w:val="auto"/>
              </w:rPr>
            </w:pP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9"/>
                <w:szCs w:val="9"/>
                <w:color w:val="auto"/>
              </w:rPr>
            </w:pPr>
          </w:p>
        </w:tc>
        <w:tc>
          <w:tcPr>
            <w:tcW w:w="680" w:type="dxa"/>
            <w:vAlign w:val="bottom"/>
            <w:gridSpan w:val="2"/>
            <w:vMerge w:val="restart"/>
          </w:tcPr>
          <w:p>
            <w:pPr>
              <w:jc w:val="center"/>
              <w:spacing w:after="0" w:line="118" w:lineRule="exact"/>
              <w:rPr>
                <w:sz w:val="20"/>
                <w:szCs w:val="20"/>
                <w:color w:val="auto"/>
              </w:rPr>
            </w:pPr>
            <w:r>
              <w:rPr>
                <w:rFonts w:ascii="Arial" w:cs="Arial" w:eastAsia="Arial" w:hAnsi="Arial"/>
                <w:sz w:val="13"/>
                <w:szCs w:val="13"/>
                <w:b w:val="1"/>
                <w:bCs w:val="1"/>
                <w:color w:val="auto"/>
                <w:w w:val="98"/>
              </w:rPr>
              <w:t>of year</w:t>
            </w:r>
          </w:p>
        </w:tc>
        <w:tc>
          <w:tcPr>
            <w:tcW w:w="60" w:type="dxa"/>
            <w:vAlign w:val="bottom"/>
          </w:tcPr>
          <w:p>
            <w:pPr>
              <w:spacing w:after="0"/>
              <w:rPr>
                <w:sz w:val="9"/>
                <w:szCs w:val="9"/>
                <w:color w:val="auto"/>
              </w:rPr>
            </w:pP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78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70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gridSpan w:val="2"/>
            <w:vMerge w:val="continue"/>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Composition in 2008</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NIS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color w:val="auto"/>
                <w:w w:val="88"/>
              </w:rPr>
              <w:t>NIS in thousands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Intellectual property</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1,568</w:t>
            </w:r>
          </w:p>
        </w:tc>
        <w:tc>
          <w:tcPr>
            <w:tcW w:w="840" w:type="dxa"/>
            <w:vAlign w:val="bottom"/>
            <w:tcBorders>
              <w:left w:val="single" w:sz="8" w:color="CCFFCC"/>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1,856</w:t>
            </w:r>
          </w:p>
        </w:tc>
        <w:tc>
          <w:tcPr>
            <w:tcW w:w="7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3,424</w:t>
            </w:r>
          </w:p>
        </w:tc>
        <w:tc>
          <w:tcPr>
            <w:tcW w:w="100" w:type="dxa"/>
            <w:vAlign w:val="bottom"/>
            <w:tcBorders>
              <w:left w:val="single" w:sz="8" w:color="CCFFCC"/>
            </w:tcBorders>
            <w:shd w:val="clear" w:color="auto" w:fill="CCFFCC"/>
          </w:tcPr>
          <w:p>
            <w:pPr>
              <w:spacing w:after="0"/>
              <w:rPr>
                <w:sz w:val="17"/>
                <w:szCs w:val="17"/>
                <w:color w:val="auto"/>
              </w:rPr>
            </w:pP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FFCC"/>
            </w:tcBorders>
            <w:shd w:val="clear" w:color="auto" w:fill="CCFFCC"/>
          </w:tcPr>
          <w:p>
            <w:pPr>
              <w:spacing w:after="0"/>
              <w:rPr>
                <w:sz w:val="17"/>
                <w:szCs w:val="17"/>
                <w:color w:val="auto"/>
              </w:rPr>
            </w:pPr>
          </w:p>
        </w:tc>
        <w:tc>
          <w:tcPr>
            <w:tcW w:w="7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603</w:t>
            </w:r>
          </w:p>
        </w:tc>
        <w:tc>
          <w:tcPr>
            <w:tcW w:w="5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603</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1,568</w:t>
            </w:r>
          </w:p>
        </w:tc>
        <w:tc>
          <w:tcPr>
            <w:tcW w:w="8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2,821</w:t>
            </w:r>
          </w:p>
        </w:tc>
        <w:tc>
          <w:tcPr>
            <w:tcW w:w="0" w:type="dxa"/>
            <w:vAlign w:val="bottom"/>
          </w:tcPr>
          <w:p>
            <w:pPr>
              <w:spacing w:after="0"/>
              <w:rPr>
                <w:sz w:val="1"/>
                <w:szCs w:val="1"/>
                <w:color w:val="auto"/>
              </w:rPr>
            </w:pPr>
          </w:p>
        </w:tc>
      </w:tr>
      <w:tr>
        <w:trPr>
          <w:trHeight w:val="193"/>
        </w:trPr>
        <w:tc>
          <w:tcPr>
            <w:tcW w:w="1740" w:type="dxa"/>
            <w:vAlign w:val="bottom"/>
          </w:tcPr>
          <w:p>
            <w:pPr>
              <w:spacing w:after="0"/>
              <w:rPr>
                <w:sz w:val="20"/>
                <w:szCs w:val="20"/>
                <w:color w:val="auto"/>
              </w:rPr>
            </w:pPr>
            <w:r>
              <w:rPr>
                <w:rFonts w:ascii="Arial" w:cs="Arial" w:eastAsia="Arial" w:hAnsi="Arial"/>
                <w:sz w:val="15"/>
                <w:szCs w:val="15"/>
                <w:color w:val="auto"/>
              </w:rPr>
              <w:t>Computer software</w:t>
            </w:r>
          </w:p>
        </w:tc>
        <w:tc>
          <w:tcPr>
            <w:tcW w:w="640" w:type="dxa"/>
            <w:vAlign w:val="bottom"/>
          </w:tcPr>
          <w:p>
            <w:pPr>
              <w:jc w:val="right"/>
              <w:spacing w:after="0"/>
              <w:rPr>
                <w:sz w:val="20"/>
                <w:szCs w:val="20"/>
                <w:color w:val="auto"/>
              </w:rPr>
            </w:pPr>
            <w:r>
              <w:rPr>
                <w:rFonts w:ascii="Arial" w:cs="Arial" w:eastAsia="Arial" w:hAnsi="Arial"/>
                <w:sz w:val="15"/>
                <w:szCs w:val="15"/>
                <w:color w:val="auto"/>
              </w:rPr>
              <w:t>549</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172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721</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203</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337</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415</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4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2,117</w:t>
            </w:r>
          </w:p>
        </w:tc>
        <w:tc>
          <w:tcPr>
            <w:tcW w:w="840" w:type="dxa"/>
            <w:vAlign w:val="bottom"/>
            <w:tcBorders>
              <w:left w:val="single" w:sz="8" w:color="CCFFCC"/>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2,028</w:t>
            </w:r>
          </w:p>
        </w:tc>
        <w:tc>
          <w:tcPr>
            <w:tcW w:w="7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4,145</w:t>
            </w:r>
          </w:p>
        </w:tc>
        <w:tc>
          <w:tcPr>
            <w:tcW w:w="7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134</w:t>
            </w:r>
          </w:p>
        </w:tc>
        <w:tc>
          <w:tcPr>
            <w:tcW w:w="80" w:type="dxa"/>
            <w:vAlign w:val="bottom"/>
            <w:tcBorders>
              <w:left w:val="single" w:sz="8" w:color="CCFFCC"/>
            </w:tcBorders>
            <w:shd w:val="clear" w:color="auto" w:fill="CCFFCC"/>
          </w:tcPr>
          <w:p>
            <w:pPr>
              <w:spacing w:after="0"/>
              <w:rPr>
                <w:sz w:val="17"/>
                <w:szCs w:val="17"/>
                <w:color w:val="auto"/>
              </w:rPr>
            </w:pPr>
          </w:p>
        </w:tc>
        <w:tc>
          <w:tcPr>
            <w:tcW w:w="7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203</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603</w:t>
            </w:r>
          </w:p>
        </w:tc>
        <w:tc>
          <w:tcPr>
            <w:tcW w:w="5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940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1,983</w:t>
            </w:r>
          </w:p>
        </w:tc>
        <w:tc>
          <w:tcPr>
            <w:tcW w:w="8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3,205</w:t>
            </w:r>
          </w:p>
        </w:tc>
        <w:tc>
          <w:tcPr>
            <w:tcW w:w="0" w:type="dxa"/>
            <w:vAlign w:val="bottom"/>
          </w:tcPr>
          <w:p>
            <w:pPr>
              <w:spacing w:after="0"/>
              <w:rPr>
                <w:sz w:val="1"/>
                <w:szCs w:val="1"/>
                <w:color w:val="auto"/>
              </w:rPr>
            </w:pP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auto"/>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left w:val="single" w:sz="8" w:color="auto"/>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auto"/>
              <w:right w:val="single" w:sz="8" w:color="auto"/>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7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20"/>
              <w:spacing w:after="0" w:line="159" w:lineRule="exact"/>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center"/>
              <w:ind w:right="20"/>
              <w:spacing w:after="0" w:line="159" w:lineRule="exact"/>
              <w:rPr>
                <w:sz w:val="20"/>
                <w:szCs w:val="20"/>
                <w:color w:val="auto"/>
              </w:rPr>
            </w:pPr>
            <w:r>
              <w:rPr>
                <w:rFonts w:ascii="Arial" w:cs="Arial" w:eastAsia="Arial" w:hAnsi="Arial"/>
                <w:sz w:val="14"/>
                <w:szCs w:val="14"/>
                <w:b w:val="1"/>
                <w:bCs w:val="1"/>
                <w:color w:val="auto"/>
                <w:w w:val="87"/>
              </w:rPr>
              <w:t>Accumulated depreciation</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line="159" w:lineRule="exact"/>
              <w:rPr>
                <w:sz w:val="20"/>
                <w:szCs w:val="20"/>
                <w:color w:val="auto"/>
              </w:rPr>
            </w:pPr>
            <w:r>
              <w:rPr>
                <w:rFonts w:ascii="Arial" w:cs="Arial" w:eastAsia="Arial" w:hAnsi="Arial"/>
                <w:sz w:val="14"/>
                <w:szCs w:val="14"/>
                <w:b w:val="1"/>
                <w:bCs w:val="1"/>
                <w:color w:val="auto"/>
                <w:w w:val="86"/>
              </w:rPr>
              <w:t>Net book value</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1"/>
                <w:szCs w:val="11"/>
                <w:color w:val="auto"/>
              </w:rPr>
            </w:pPr>
          </w:p>
        </w:tc>
        <w:tc>
          <w:tcPr>
            <w:tcW w:w="740" w:type="dxa"/>
            <w:vAlign w:val="bottom"/>
            <w:gridSpan w:val="2"/>
          </w:tcPr>
          <w:p>
            <w:pPr>
              <w:jc w:val="center"/>
              <w:ind w:right="40"/>
              <w:spacing w:after="0" w:line="138" w:lineRule="exact"/>
              <w:rPr>
                <w:sz w:val="20"/>
                <w:szCs w:val="20"/>
                <w:color w:val="auto"/>
              </w:rPr>
            </w:pPr>
            <w:r>
              <w:rPr>
                <w:rFonts w:ascii="Arial" w:cs="Arial" w:eastAsia="Arial" w:hAnsi="Arial"/>
                <w:sz w:val="14"/>
                <w:szCs w:val="14"/>
                <w:b w:val="1"/>
                <w:bCs w:val="1"/>
                <w:color w:val="auto"/>
                <w:w w:val="89"/>
              </w:rPr>
              <w:t>Additions</w:t>
            </w: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Deletions</w:t>
            </w: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9"/>
              </w:rPr>
              <w:t>Additions</w:t>
            </w: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Deletions</w:t>
            </w: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8"/>
              </w:rPr>
              <w:t>Balance at</w:t>
            </w:r>
          </w:p>
        </w:tc>
        <w:tc>
          <w:tcPr>
            <w:tcW w:w="1480" w:type="dxa"/>
            <w:vAlign w:val="bottom"/>
            <w:gridSpan w:val="4"/>
          </w:tcPr>
          <w:p>
            <w:pPr>
              <w:jc w:val="center"/>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640" w:type="dxa"/>
            <w:vAlign w:val="bottom"/>
            <w:vMerge w:val="restart"/>
          </w:tcPr>
          <w:p>
            <w:pPr>
              <w:jc w:val="center"/>
              <w:ind w:left="8"/>
              <w:spacing w:after="0" w:line="141" w:lineRule="exact"/>
              <w:rPr>
                <w:sz w:val="20"/>
                <w:szCs w:val="20"/>
                <w:color w:val="auto"/>
              </w:rPr>
            </w:pPr>
            <w:r>
              <w:rPr>
                <w:rFonts w:ascii="Arial" w:cs="Arial" w:eastAsia="Arial" w:hAnsi="Arial"/>
                <w:sz w:val="14"/>
                <w:szCs w:val="14"/>
                <w:b w:val="1"/>
                <w:bCs w:val="1"/>
                <w:color w:val="auto"/>
                <w:w w:val="83"/>
              </w:rPr>
              <w:t>beginning</w:t>
            </w:r>
          </w:p>
        </w:tc>
        <w:tc>
          <w:tcPr>
            <w:tcW w:w="100" w:type="dxa"/>
            <w:vAlign w:val="bottom"/>
          </w:tcPr>
          <w:p>
            <w:pPr>
              <w:spacing w:after="0"/>
              <w:rPr>
                <w:sz w:val="5"/>
                <w:szCs w:val="5"/>
                <w:color w:val="auto"/>
              </w:rPr>
            </w:pP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91"/>
              </w:rPr>
              <w:t>during</w:t>
            </w: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640" w:type="dxa"/>
            <w:vAlign w:val="bottom"/>
            <w:vMerge w:val="restart"/>
          </w:tcPr>
          <w:p>
            <w:pPr>
              <w:jc w:val="center"/>
              <w:ind w:left="8"/>
              <w:spacing w:after="0" w:line="141" w:lineRule="exact"/>
              <w:rPr>
                <w:sz w:val="20"/>
                <w:szCs w:val="20"/>
                <w:color w:val="auto"/>
              </w:rPr>
            </w:pPr>
            <w:r>
              <w:rPr>
                <w:rFonts w:ascii="Arial" w:cs="Arial" w:eastAsia="Arial" w:hAnsi="Arial"/>
                <w:sz w:val="14"/>
                <w:szCs w:val="14"/>
                <w:b w:val="1"/>
                <w:bCs w:val="1"/>
                <w:color w:val="auto"/>
                <w:w w:val="85"/>
              </w:rPr>
              <w:t>end of</w:t>
            </w:r>
          </w:p>
        </w:tc>
        <w:tc>
          <w:tcPr>
            <w:tcW w:w="100" w:type="dxa"/>
            <w:vAlign w:val="bottom"/>
          </w:tcPr>
          <w:p>
            <w:pPr>
              <w:spacing w:after="0"/>
              <w:rPr>
                <w:sz w:val="5"/>
                <w:szCs w:val="5"/>
                <w:color w:val="auto"/>
              </w:rPr>
            </w:pPr>
          </w:p>
        </w:tc>
        <w:tc>
          <w:tcPr>
            <w:tcW w:w="68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beginning</w:t>
            </w: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78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91"/>
              </w:rPr>
              <w:t>during</w:t>
            </w:r>
          </w:p>
        </w:tc>
        <w:tc>
          <w:tcPr>
            <w:tcW w:w="70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85"/>
              </w:rPr>
              <w:t>end of</w:t>
            </w: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640" w:type="dxa"/>
            <w:vAlign w:val="bottom"/>
            <w:vMerge w:val="restart"/>
          </w:tcPr>
          <w:p>
            <w:pPr>
              <w:jc w:val="center"/>
              <w:ind w:left="8"/>
              <w:spacing w:after="0" w:line="118" w:lineRule="exact"/>
              <w:rPr>
                <w:sz w:val="20"/>
                <w:szCs w:val="20"/>
                <w:color w:val="auto"/>
              </w:rPr>
            </w:pPr>
            <w:r>
              <w:rPr>
                <w:rFonts w:ascii="Arial" w:cs="Arial" w:eastAsia="Arial" w:hAnsi="Arial"/>
                <w:sz w:val="13"/>
                <w:szCs w:val="13"/>
                <w:b w:val="1"/>
                <w:bCs w:val="1"/>
                <w:color w:val="auto"/>
                <w:w w:val="93"/>
              </w:rPr>
              <w:t>of year</w:t>
            </w:r>
          </w:p>
        </w:tc>
        <w:tc>
          <w:tcPr>
            <w:tcW w:w="100" w:type="dxa"/>
            <w:vAlign w:val="bottom"/>
          </w:tcPr>
          <w:p>
            <w:pPr>
              <w:spacing w:after="0"/>
              <w:rPr>
                <w:sz w:val="9"/>
                <w:szCs w:val="9"/>
                <w:color w:val="auto"/>
              </w:rPr>
            </w:pP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9"/>
                <w:szCs w:val="9"/>
                <w:color w:val="auto"/>
              </w:rPr>
            </w:pPr>
          </w:p>
        </w:tc>
        <w:tc>
          <w:tcPr>
            <w:tcW w:w="680" w:type="dxa"/>
            <w:vAlign w:val="bottom"/>
            <w:gridSpan w:val="2"/>
            <w:vMerge w:val="restart"/>
          </w:tcPr>
          <w:p>
            <w:pPr>
              <w:jc w:val="center"/>
              <w:spacing w:after="0" w:line="118" w:lineRule="exact"/>
              <w:rPr>
                <w:sz w:val="20"/>
                <w:szCs w:val="20"/>
                <w:color w:val="auto"/>
              </w:rPr>
            </w:pPr>
            <w:r>
              <w:rPr>
                <w:rFonts w:ascii="Arial" w:cs="Arial" w:eastAsia="Arial" w:hAnsi="Arial"/>
                <w:sz w:val="13"/>
                <w:szCs w:val="13"/>
                <w:b w:val="1"/>
                <w:bCs w:val="1"/>
                <w:color w:val="auto"/>
                <w:w w:val="98"/>
              </w:rPr>
              <w:t>of year</w:t>
            </w:r>
          </w:p>
        </w:tc>
        <w:tc>
          <w:tcPr>
            <w:tcW w:w="60" w:type="dxa"/>
            <w:vAlign w:val="bottom"/>
          </w:tcPr>
          <w:p>
            <w:pPr>
              <w:spacing w:after="0"/>
              <w:rPr>
                <w:sz w:val="9"/>
                <w:szCs w:val="9"/>
                <w:color w:val="auto"/>
              </w:rPr>
            </w:pP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78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70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gridSpan w:val="2"/>
            <w:vMerge w:val="continue"/>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Composition in 2009</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NIS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color w:val="auto"/>
                <w:w w:val="88"/>
              </w:rPr>
              <w:t>NIS in thousands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Intellectual property</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3,424</w:t>
            </w:r>
          </w:p>
        </w:tc>
        <w:tc>
          <w:tcPr>
            <w:tcW w:w="7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589</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(436)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3,577</w:t>
            </w:r>
          </w:p>
        </w:tc>
        <w:tc>
          <w:tcPr>
            <w:tcW w:w="7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603</w:t>
            </w:r>
          </w:p>
        </w:tc>
        <w:tc>
          <w:tcPr>
            <w:tcW w:w="80" w:type="dxa"/>
            <w:vAlign w:val="bottom"/>
            <w:tcBorders>
              <w:left w:val="single" w:sz="8" w:color="CCFFCC"/>
            </w:tcBorders>
            <w:shd w:val="clear" w:color="auto" w:fill="CCFFCC"/>
          </w:tcPr>
          <w:p>
            <w:pPr>
              <w:spacing w:after="0"/>
              <w:rPr>
                <w:sz w:val="17"/>
                <w:szCs w:val="17"/>
                <w:color w:val="auto"/>
              </w:rPr>
            </w:pPr>
          </w:p>
        </w:tc>
        <w:tc>
          <w:tcPr>
            <w:tcW w:w="60" w:type="dxa"/>
            <w:vAlign w:val="bottom"/>
            <w:tcBorders>
              <w:right w:val="single" w:sz="8" w:color="CCFFCC"/>
            </w:tcBorders>
            <w:shd w:val="clear" w:color="auto" w:fill="CCFFCC"/>
          </w:tcPr>
          <w:p>
            <w:pPr>
              <w:spacing w:after="0"/>
              <w:rPr>
                <w:sz w:val="17"/>
                <w:szCs w:val="17"/>
                <w:color w:val="auto"/>
              </w:rPr>
            </w:pPr>
          </w:p>
        </w:tc>
        <w:tc>
          <w:tcPr>
            <w:tcW w:w="7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148</w:t>
            </w:r>
          </w:p>
        </w:tc>
        <w:tc>
          <w:tcPr>
            <w:tcW w:w="7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751</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2,821</w:t>
            </w:r>
          </w:p>
        </w:tc>
        <w:tc>
          <w:tcPr>
            <w:tcW w:w="8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2,826</w:t>
            </w:r>
          </w:p>
        </w:tc>
        <w:tc>
          <w:tcPr>
            <w:tcW w:w="0" w:type="dxa"/>
            <w:vAlign w:val="bottom"/>
          </w:tcPr>
          <w:p>
            <w:pPr>
              <w:spacing w:after="0"/>
              <w:rPr>
                <w:sz w:val="1"/>
                <w:szCs w:val="1"/>
                <w:color w:val="auto"/>
              </w:rPr>
            </w:pPr>
          </w:p>
        </w:tc>
      </w:tr>
      <w:tr>
        <w:trPr>
          <w:trHeight w:val="193"/>
        </w:trPr>
        <w:tc>
          <w:tcPr>
            <w:tcW w:w="1740" w:type="dxa"/>
            <w:vAlign w:val="bottom"/>
          </w:tcPr>
          <w:p>
            <w:pPr>
              <w:spacing w:after="0"/>
              <w:rPr>
                <w:sz w:val="20"/>
                <w:szCs w:val="20"/>
                <w:color w:val="auto"/>
              </w:rPr>
            </w:pPr>
            <w:r>
              <w:rPr>
                <w:rFonts w:ascii="Arial" w:cs="Arial" w:eastAsia="Arial" w:hAnsi="Arial"/>
                <w:sz w:val="15"/>
                <w:szCs w:val="15"/>
                <w:color w:val="auto"/>
              </w:rPr>
              <w:t>Computer software</w:t>
            </w:r>
          </w:p>
        </w:tc>
        <w:tc>
          <w:tcPr>
            <w:tcW w:w="640" w:type="dxa"/>
            <w:vAlign w:val="bottom"/>
          </w:tcPr>
          <w:p>
            <w:pPr>
              <w:jc w:val="right"/>
              <w:spacing w:after="0"/>
              <w:rPr>
                <w:sz w:val="20"/>
                <w:szCs w:val="20"/>
                <w:color w:val="auto"/>
              </w:rPr>
            </w:pPr>
            <w:r>
              <w:rPr>
                <w:rFonts w:ascii="Arial" w:cs="Arial" w:eastAsia="Arial" w:hAnsi="Arial"/>
                <w:sz w:val="15"/>
                <w:szCs w:val="15"/>
                <w:color w:val="auto"/>
              </w:rPr>
              <w:t>721</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760</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337</w:t>
            </w:r>
          </w:p>
        </w:tc>
        <w:tc>
          <w:tcPr>
            <w:tcW w:w="80" w:type="dxa"/>
            <w:vAlign w:val="bottom"/>
          </w:tcPr>
          <w:p>
            <w:pPr>
              <w:spacing w:after="0"/>
              <w:rPr>
                <w:sz w:val="16"/>
                <w:szCs w:val="16"/>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207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544</w:t>
            </w:r>
          </w:p>
        </w:tc>
        <w:tc>
          <w:tcPr>
            <w:tcW w:w="640" w:type="dxa"/>
            <w:vAlign w:val="bottom"/>
          </w:tcPr>
          <w:p>
            <w:pPr>
              <w:jc w:val="right"/>
              <w:spacing w:after="0"/>
              <w:rPr>
                <w:sz w:val="20"/>
                <w:szCs w:val="20"/>
                <w:color w:val="auto"/>
              </w:rPr>
            </w:pPr>
            <w:r>
              <w:rPr>
                <w:rFonts w:ascii="Arial" w:cs="Arial" w:eastAsia="Arial" w:hAnsi="Arial"/>
                <w:sz w:val="15"/>
                <w:szCs w:val="15"/>
                <w:color w:val="auto"/>
              </w:rPr>
              <w:t>384</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4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4,145</w:t>
            </w:r>
          </w:p>
        </w:tc>
        <w:tc>
          <w:tcPr>
            <w:tcW w:w="7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628</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(436)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4,337</w:t>
            </w:r>
          </w:p>
        </w:tc>
        <w:tc>
          <w:tcPr>
            <w:tcW w:w="7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940</w:t>
            </w:r>
          </w:p>
        </w:tc>
        <w:tc>
          <w:tcPr>
            <w:tcW w:w="80" w:type="dxa"/>
            <w:vAlign w:val="bottom"/>
            <w:tcBorders>
              <w:left w:val="single" w:sz="8" w:color="CCFFCC"/>
            </w:tcBorders>
            <w:shd w:val="clear" w:color="auto" w:fill="CCFFCC"/>
          </w:tcPr>
          <w:p>
            <w:pPr>
              <w:spacing w:after="0"/>
              <w:rPr>
                <w:sz w:val="17"/>
                <w:szCs w:val="17"/>
                <w:color w:val="auto"/>
              </w:rPr>
            </w:pPr>
          </w:p>
        </w:tc>
        <w:tc>
          <w:tcPr>
            <w:tcW w:w="7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207</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148</w:t>
            </w:r>
          </w:p>
        </w:tc>
        <w:tc>
          <w:tcPr>
            <w:tcW w:w="7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1,295</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3,205</w:t>
            </w:r>
          </w:p>
        </w:tc>
        <w:tc>
          <w:tcPr>
            <w:tcW w:w="8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3,042</w:t>
            </w:r>
          </w:p>
        </w:tc>
        <w:tc>
          <w:tcPr>
            <w:tcW w:w="0" w:type="dxa"/>
            <w:vAlign w:val="bottom"/>
          </w:tcPr>
          <w:p>
            <w:pPr>
              <w:spacing w:after="0"/>
              <w:rPr>
                <w:sz w:val="1"/>
                <w:szCs w:val="1"/>
                <w:color w:val="auto"/>
              </w:rPr>
            </w:pP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auto"/>
              <w:right w:val="single" w:sz="8" w:color="auto"/>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auto"/>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7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7"/>
              </w:rPr>
              <w:t>Accumulated depreciation</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Net book value</w:t>
            </w: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1"/>
                <w:szCs w:val="11"/>
                <w:color w:val="auto"/>
              </w:rPr>
            </w:pPr>
          </w:p>
        </w:tc>
        <w:tc>
          <w:tcPr>
            <w:tcW w:w="740" w:type="dxa"/>
            <w:vAlign w:val="bottom"/>
            <w:gridSpan w:val="2"/>
          </w:tcPr>
          <w:p>
            <w:pPr>
              <w:jc w:val="center"/>
              <w:ind w:right="40"/>
              <w:spacing w:after="0" w:line="138" w:lineRule="exact"/>
              <w:rPr>
                <w:sz w:val="20"/>
                <w:szCs w:val="20"/>
                <w:color w:val="auto"/>
              </w:rPr>
            </w:pPr>
            <w:r>
              <w:rPr>
                <w:rFonts w:ascii="Arial" w:cs="Arial" w:eastAsia="Arial" w:hAnsi="Arial"/>
                <w:sz w:val="14"/>
                <w:szCs w:val="14"/>
                <w:b w:val="1"/>
                <w:bCs w:val="1"/>
                <w:color w:val="auto"/>
                <w:w w:val="89"/>
              </w:rPr>
              <w:t>Additions</w:t>
            </w: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5"/>
              </w:rPr>
              <w:t>Deletions</w:t>
            </w:r>
          </w:p>
        </w:tc>
        <w:tc>
          <w:tcPr>
            <w:tcW w:w="6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88"/>
              </w:rPr>
              <w:t>Balance at</w:t>
            </w: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8" w:lineRule="exact"/>
              <w:rPr>
                <w:sz w:val="20"/>
                <w:szCs w:val="20"/>
                <w:color w:val="auto"/>
              </w:rPr>
            </w:pPr>
            <w:r>
              <w:rPr>
                <w:rFonts w:ascii="Arial" w:cs="Arial" w:eastAsia="Arial" w:hAnsi="Arial"/>
                <w:sz w:val="14"/>
                <w:szCs w:val="14"/>
                <w:b w:val="1"/>
                <w:bCs w:val="1"/>
                <w:color w:val="auto"/>
                <w:w w:val="89"/>
              </w:rPr>
              <w:t>Additions</w:t>
            </w: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5"/>
              </w:rPr>
              <w:t>Deletions</w:t>
            </w: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4"/>
                <w:szCs w:val="14"/>
                <w:b w:val="1"/>
                <w:bCs w:val="1"/>
                <w:color w:val="auto"/>
                <w:w w:val="88"/>
              </w:rPr>
              <w:t>Balance at</w:t>
            </w:r>
          </w:p>
        </w:tc>
        <w:tc>
          <w:tcPr>
            <w:tcW w:w="1480" w:type="dxa"/>
            <w:vAlign w:val="bottom"/>
            <w:gridSpan w:val="4"/>
          </w:tcPr>
          <w:p>
            <w:pPr>
              <w:jc w:val="center"/>
              <w:spacing w:after="0" w:line="138"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640" w:type="dxa"/>
            <w:vAlign w:val="bottom"/>
            <w:vMerge w:val="restart"/>
          </w:tcPr>
          <w:p>
            <w:pPr>
              <w:jc w:val="center"/>
              <w:ind w:left="8"/>
              <w:spacing w:after="0" w:line="141" w:lineRule="exact"/>
              <w:rPr>
                <w:sz w:val="20"/>
                <w:szCs w:val="20"/>
                <w:color w:val="auto"/>
              </w:rPr>
            </w:pPr>
            <w:r>
              <w:rPr>
                <w:rFonts w:ascii="Arial" w:cs="Arial" w:eastAsia="Arial" w:hAnsi="Arial"/>
                <w:sz w:val="14"/>
                <w:szCs w:val="14"/>
                <w:b w:val="1"/>
                <w:bCs w:val="1"/>
                <w:color w:val="auto"/>
                <w:w w:val="83"/>
              </w:rPr>
              <w:t>beginning</w:t>
            </w:r>
          </w:p>
        </w:tc>
        <w:tc>
          <w:tcPr>
            <w:tcW w:w="100" w:type="dxa"/>
            <w:vAlign w:val="bottom"/>
          </w:tcPr>
          <w:p>
            <w:pPr>
              <w:spacing w:after="0"/>
              <w:rPr>
                <w:sz w:val="5"/>
                <w:szCs w:val="5"/>
                <w:color w:val="auto"/>
              </w:rPr>
            </w:pPr>
          </w:p>
        </w:tc>
        <w:tc>
          <w:tcPr>
            <w:tcW w:w="740" w:type="dxa"/>
            <w:vAlign w:val="bottom"/>
            <w:gridSpan w:val="2"/>
            <w:vMerge w:val="restart"/>
          </w:tcPr>
          <w:p>
            <w:pPr>
              <w:jc w:val="center"/>
              <w:ind w:right="20"/>
              <w:spacing w:after="0" w:line="141" w:lineRule="exact"/>
              <w:rPr>
                <w:sz w:val="20"/>
                <w:szCs w:val="20"/>
                <w:color w:val="auto"/>
              </w:rPr>
            </w:pPr>
            <w:r>
              <w:rPr>
                <w:rFonts w:ascii="Arial" w:cs="Arial" w:eastAsia="Arial" w:hAnsi="Arial"/>
                <w:sz w:val="14"/>
                <w:szCs w:val="14"/>
                <w:b w:val="1"/>
                <w:bCs w:val="1"/>
                <w:color w:val="auto"/>
                <w:w w:val="91"/>
              </w:rPr>
              <w:t>during</w:t>
            </w: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640" w:type="dxa"/>
            <w:vAlign w:val="bottom"/>
            <w:vMerge w:val="restart"/>
          </w:tcPr>
          <w:p>
            <w:pPr>
              <w:jc w:val="center"/>
              <w:ind w:left="8"/>
              <w:spacing w:after="0" w:line="141" w:lineRule="exact"/>
              <w:rPr>
                <w:sz w:val="20"/>
                <w:szCs w:val="20"/>
                <w:color w:val="auto"/>
              </w:rPr>
            </w:pPr>
            <w:r>
              <w:rPr>
                <w:rFonts w:ascii="Arial" w:cs="Arial" w:eastAsia="Arial" w:hAnsi="Arial"/>
                <w:sz w:val="14"/>
                <w:szCs w:val="14"/>
                <w:b w:val="1"/>
                <w:bCs w:val="1"/>
                <w:color w:val="auto"/>
                <w:w w:val="85"/>
              </w:rPr>
              <w:t>end of</w:t>
            </w:r>
          </w:p>
        </w:tc>
        <w:tc>
          <w:tcPr>
            <w:tcW w:w="100" w:type="dxa"/>
            <w:vAlign w:val="bottom"/>
          </w:tcPr>
          <w:p>
            <w:pPr>
              <w:spacing w:after="0"/>
              <w:rPr>
                <w:sz w:val="5"/>
                <w:szCs w:val="5"/>
                <w:color w:val="auto"/>
              </w:rPr>
            </w:pPr>
          </w:p>
        </w:tc>
        <w:tc>
          <w:tcPr>
            <w:tcW w:w="68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beginning</w:t>
            </w:r>
          </w:p>
        </w:tc>
        <w:tc>
          <w:tcPr>
            <w:tcW w:w="60" w:type="dxa"/>
            <w:vAlign w:val="bottom"/>
          </w:tcPr>
          <w:p>
            <w:pPr>
              <w:spacing w:after="0"/>
              <w:rPr>
                <w:sz w:val="5"/>
                <w:szCs w:val="5"/>
                <w:color w:val="auto"/>
              </w:rPr>
            </w:pPr>
          </w:p>
        </w:tc>
        <w:tc>
          <w:tcPr>
            <w:tcW w:w="720" w:type="dxa"/>
            <w:vAlign w:val="bottom"/>
            <w:gridSpan w:val="2"/>
            <w:vMerge w:val="restart"/>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during</w:t>
            </w:r>
          </w:p>
        </w:tc>
        <w:tc>
          <w:tcPr>
            <w:tcW w:w="78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91"/>
              </w:rPr>
              <w:t>during</w:t>
            </w:r>
          </w:p>
        </w:tc>
        <w:tc>
          <w:tcPr>
            <w:tcW w:w="700" w:type="dxa"/>
            <w:vAlign w:val="bottom"/>
            <w:gridSpan w:val="2"/>
            <w:vMerge w:val="restart"/>
          </w:tcPr>
          <w:p>
            <w:pPr>
              <w:jc w:val="center"/>
              <w:ind w:right="60"/>
              <w:spacing w:after="0" w:line="141" w:lineRule="exact"/>
              <w:rPr>
                <w:sz w:val="20"/>
                <w:szCs w:val="20"/>
                <w:color w:val="auto"/>
              </w:rPr>
            </w:pPr>
            <w:r>
              <w:rPr>
                <w:rFonts w:ascii="Arial" w:cs="Arial" w:eastAsia="Arial" w:hAnsi="Arial"/>
                <w:sz w:val="14"/>
                <w:szCs w:val="14"/>
                <w:b w:val="1"/>
                <w:bCs w:val="1"/>
                <w:color w:val="auto"/>
                <w:w w:val="85"/>
              </w:rPr>
              <w:t>end of</w:t>
            </w: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2009</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Pr>
          <w:p>
            <w:pPr>
              <w:spacing w:after="0"/>
              <w:rPr>
                <w:sz w:val="9"/>
                <w:szCs w:val="9"/>
                <w:color w:val="auto"/>
              </w:rPr>
            </w:pPr>
          </w:p>
        </w:tc>
        <w:tc>
          <w:tcPr>
            <w:tcW w:w="640" w:type="dxa"/>
            <w:vAlign w:val="bottom"/>
            <w:vMerge w:val="restart"/>
          </w:tcPr>
          <w:p>
            <w:pPr>
              <w:jc w:val="center"/>
              <w:ind w:left="8"/>
              <w:spacing w:after="0" w:line="118" w:lineRule="exact"/>
              <w:rPr>
                <w:sz w:val="20"/>
                <w:szCs w:val="20"/>
                <w:color w:val="auto"/>
              </w:rPr>
            </w:pPr>
            <w:r>
              <w:rPr>
                <w:rFonts w:ascii="Arial" w:cs="Arial" w:eastAsia="Arial" w:hAnsi="Arial"/>
                <w:sz w:val="13"/>
                <w:szCs w:val="13"/>
                <w:b w:val="1"/>
                <w:bCs w:val="1"/>
                <w:color w:val="auto"/>
                <w:w w:val="93"/>
              </w:rPr>
              <w:t>of year</w:t>
            </w:r>
          </w:p>
        </w:tc>
        <w:tc>
          <w:tcPr>
            <w:tcW w:w="100" w:type="dxa"/>
            <w:vAlign w:val="bottom"/>
          </w:tcPr>
          <w:p>
            <w:pPr>
              <w:spacing w:after="0"/>
              <w:rPr>
                <w:sz w:val="9"/>
                <w:szCs w:val="9"/>
                <w:color w:val="auto"/>
              </w:rPr>
            </w:pPr>
          </w:p>
        </w:tc>
        <w:tc>
          <w:tcPr>
            <w:tcW w:w="740" w:type="dxa"/>
            <w:vAlign w:val="bottom"/>
            <w:gridSpan w:val="2"/>
            <w:vMerge w:val="restart"/>
          </w:tcPr>
          <w:p>
            <w:pPr>
              <w:jc w:val="center"/>
              <w:ind w:right="40"/>
              <w:spacing w:after="0" w:line="118" w:lineRule="exact"/>
              <w:rPr>
                <w:sz w:val="20"/>
                <w:szCs w:val="20"/>
                <w:color w:val="auto"/>
              </w:rPr>
            </w:pPr>
            <w:r>
              <w:rPr>
                <w:rFonts w:ascii="Arial" w:cs="Arial" w:eastAsia="Arial" w:hAnsi="Arial"/>
                <w:sz w:val="13"/>
                <w:szCs w:val="13"/>
                <w:b w:val="1"/>
                <w:bCs w:val="1"/>
                <w:color w:val="auto"/>
                <w:w w:val="97"/>
              </w:rPr>
              <w:t>year</w:t>
            </w: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restart"/>
          </w:tcPr>
          <w:p>
            <w:pPr>
              <w:jc w:val="center"/>
              <w:spacing w:after="0" w:line="118" w:lineRule="exact"/>
              <w:rPr>
                <w:sz w:val="20"/>
                <w:szCs w:val="20"/>
                <w:color w:val="auto"/>
              </w:rPr>
            </w:pPr>
            <w:r>
              <w:rPr>
                <w:rFonts w:ascii="Arial" w:cs="Arial" w:eastAsia="Arial" w:hAnsi="Arial"/>
                <w:sz w:val="13"/>
                <w:szCs w:val="13"/>
                <w:b w:val="1"/>
                <w:bCs w:val="1"/>
                <w:color w:val="auto"/>
                <w:w w:val="97"/>
              </w:rPr>
              <w:t>year</w:t>
            </w:r>
          </w:p>
        </w:tc>
        <w:tc>
          <w:tcPr>
            <w:tcW w:w="100" w:type="dxa"/>
            <w:vAlign w:val="bottom"/>
          </w:tcPr>
          <w:p>
            <w:pPr>
              <w:spacing w:after="0"/>
              <w:rPr>
                <w:sz w:val="9"/>
                <w:szCs w:val="9"/>
                <w:color w:val="auto"/>
              </w:rPr>
            </w:pPr>
          </w:p>
        </w:tc>
        <w:tc>
          <w:tcPr>
            <w:tcW w:w="680" w:type="dxa"/>
            <w:vAlign w:val="bottom"/>
            <w:gridSpan w:val="2"/>
            <w:vMerge w:val="restart"/>
          </w:tcPr>
          <w:p>
            <w:pPr>
              <w:jc w:val="center"/>
              <w:spacing w:after="0" w:line="118" w:lineRule="exact"/>
              <w:rPr>
                <w:sz w:val="20"/>
                <w:szCs w:val="20"/>
                <w:color w:val="auto"/>
              </w:rPr>
            </w:pPr>
            <w:r>
              <w:rPr>
                <w:rFonts w:ascii="Arial" w:cs="Arial" w:eastAsia="Arial" w:hAnsi="Arial"/>
                <w:sz w:val="13"/>
                <w:szCs w:val="13"/>
                <w:b w:val="1"/>
                <w:bCs w:val="1"/>
                <w:color w:val="auto"/>
                <w:w w:val="98"/>
              </w:rPr>
              <w:t>of year</w:t>
            </w:r>
          </w:p>
        </w:tc>
        <w:tc>
          <w:tcPr>
            <w:tcW w:w="60" w:type="dxa"/>
            <w:vAlign w:val="bottom"/>
          </w:tcPr>
          <w:p>
            <w:pPr>
              <w:spacing w:after="0"/>
              <w:rPr>
                <w:sz w:val="9"/>
                <w:szCs w:val="9"/>
                <w:color w:val="auto"/>
              </w:rPr>
            </w:pPr>
          </w:p>
        </w:tc>
        <w:tc>
          <w:tcPr>
            <w:tcW w:w="720" w:type="dxa"/>
            <w:vAlign w:val="bottom"/>
            <w:gridSpan w:val="2"/>
            <w:vMerge w:val="restart"/>
          </w:tcPr>
          <w:p>
            <w:pPr>
              <w:jc w:val="center"/>
              <w:ind w:right="20"/>
              <w:spacing w:after="0" w:line="118" w:lineRule="exact"/>
              <w:rPr>
                <w:sz w:val="20"/>
                <w:szCs w:val="20"/>
                <w:color w:val="auto"/>
              </w:rPr>
            </w:pPr>
            <w:r>
              <w:rPr>
                <w:rFonts w:ascii="Arial" w:cs="Arial" w:eastAsia="Arial" w:hAnsi="Arial"/>
                <w:sz w:val="13"/>
                <w:szCs w:val="13"/>
                <w:b w:val="1"/>
                <w:bCs w:val="1"/>
                <w:color w:val="auto"/>
                <w:w w:val="97"/>
              </w:rPr>
              <w:t>year</w:t>
            </w:r>
          </w:p>
        </w:tc>
        <w:tc>
          <w:tcPr>
            <w:tcW w:w="78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700" w:type="dxa"/>
            <w:vAlign w:val="bottom"/>
            <w:gridSpan w:val="2"/>
            <w:vMerge w:val="restart"/>
          </w:tcPr>
          <w:p>
            <w:pPr>
              <w:jc w:val="center"/>
              <w:ind w:right="80"/>
              <w:spacing w:after="0" w:line="118" w:lineRule="exact"/>
              <w:rPr>
                <w:sz w:val="20"/>
                <w:szCs w:val="20"/>
                <w:color w:val="auto"/>
              </w:rPr>
            </w:pPr>
            <w:r>
              <w:rPr>
                <w:rFonts w:ascii="Arial" w:cs="Arial" w:eastAsia="Arial" w:hAnsi="Arial"/>
                <w:sz w:val="13"/>
                <w:szCs w:val="13"/>
                <w:b w:val="1"/>
                <w:bCs w:val="1"/>
                <w:color w:val="auto"/>
                <w:w w:val="97"/>
              </w:rPr>
              <w:t>year</w:t>
            </w:r>
          </w:p>
        </w:tc>
        <w:tc>
          <w:tcPr>
            <w:tcW w:w="6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40" w:type="dxa"/>
            <w:vAlign w:val="bottom"/>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vMerge w:val="continue"/>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gridSpan w:val="2"/>
            <w:vMerge w:val="continue"/>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vMerge w:val="continue"/>
          </w:tcPr>
          <w:p>
            <w:pPr>
              <w:spacing w:after="0"/>
              <w:rPr>
                <w:sz w:val="2"/>
                <w:szCs w:val="2"/>
                <w:color w:val="auto"/>
              </w:rPr>
            </w:pPr>
          </w:p>
        </w:tc>
        <w:tc>
          <w:tcPr>
            <w:tcW w:w="780" w:type="dxa"/>
            <w:vAlign w:val="bottom"/>
            <w:tcBorders>
              <w:bottom w:val="single" w:sz="8" w:color="auto"/>
            </w:tcBorders>
            <w:gridSpan w:val="2"/>
            <w:vMerge w:val="continue"/>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740" w:type="dxa"/>
            <w:vAlign w:val="bottom"/>
            <w:vMerge w:val="restart"/>
          </w:tcPr>
          <w:p>
            <w:pPr>
              <w:spacing w:after="0"/>
              <w:rPr>
                <w:sz w:val="20"/>
                <w:szCs w:val="20"/>
                <w:color w:val="auto"/>
              </w:rPr>
            </w:pPr>
            <w:r>
              <w:rPr>
                <w:rFonts w:ascii="Arial" w:cs="Arial" w:eastAsia="Arial" w:hAnsi="Arial"/>
                <w:sz w:val="15"/>
                <w:szCs w:val="15"/>
                <w:b w:val="1"/>
                <w:bCs w:val="1"/>
                <w:color w:val="auto"/>
              </w:rPr>
              <w:t>Composition in 2010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NIS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color w:val="auto"/>
                <w:w w:val="88"/>
              </w:rPr>
              <w:t>NIS in thousands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FFCC"/>
          </w:tcPr>
          <w:p>
            <w:pPr>
              <w:spacing w:after="0"/>
              <w:rPr>
                <w:sz w:val="20"/>
                <w:szCs w:val="20"/>
                <w:color w:val="auto"/>
              </w:rPr>
            </w:pPr>
            <w:r>
              <w:rPr>
                <w:rFonts w:ascii="Arial" w:cs="Arial" w:eastAsia="Arial" w:hAnsi="Arial"/>
                <w:sz w:val="15"/>
                <w:szCs w:val="15"/>
                <w:color w:val="auto"/>
              </w:rPr>
              <w:t>Intellectual property</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3,577</w:t>
            </w:r>
          </w:p>
        </w:tc>
        <w:tc>
          <w:tcPr>
            <w:tcW w:w="100" w:type="dxa"/>
            <w:vAlign w:val="bottom"/>
            <w:tcBorders>
              <w:left w:val="single" w:sz="8" w:color="CCFFCC"/>
            </w:tcBorders>
            <w:shd w:val="clear" w:color="auto" w:fill="CCFFCC"/>
          </w:tcPr>
          <w:p>
            <w:pPr>
              <w:spacing w:after="0"/>
              <w:rPr>
                <w:sz w:val="17"/>
                <w:szCs w:val="17"/>
                <w:color w:val="auto"/>
              </w:rPr>
            </w:pPr>
          </w:p>
        </w:tc>
        <w:tc>
          <w:tcPr>
            <w:tcW w:w="7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(1,846)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1,731</w:t>
            </w:r>
          </w:p>
        </w:tc>
        <w:tc>
          <w:tcPr>
            <w:tcW w:w="78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5"/>
                <w:szCs w:val="15"/>
                <w:color w:val="auto"/>
              </w:rPr>
              <w:t>751</w:t>
            </w:r>
          </w:p>
        </w:tc>
        <w:tc>
          <w:tcPr>
            <w:tcW w:w="60" w:type="dxa"/>
            <w:vAlign w:val="bottom"/>
            <w:tcBorders>
              <w:right w:val="single" w:sz="8" w:color="CCFFCC"/>
            </w:tcBorders>
            <w:shd w:val="clear" w:color="auto" w:fill="CCFFCC"/>
          </w:tcPr>
          <w:p>
            <w:pPr>
              <w:spacing w:after="0"/>
              <w:rPr>
                <w:sz w:val="17"/>
                <w:szCs w:val="17"/>
                <w:color w:val="auto"/>
              </w:rPr>
            </w:pPr>
          </w:p>
        </w:tc>
        <w:tc>
          <w:tcPr>
            <w:tcW w:w="7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751</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2,826</w:t>
            </w:r>
          </w:p>
        </w:tc>
        <w:tc>
          <w:tcPr>
            <w:tcW w:w="8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980</w:t>
            </w:r>
          </w:p>
        </w:tc>
        <w:tc>
          <w:tcPr>
            <w:tcW w:w="0" w:type="dxa"/>
            <w:vAlign w:val="bottom"/>
          </w:tcPr>
          <w:p>
            <w:pPr>
              <w:spacing w:after="0"/>
              <w:rPr>
                <w:sz w:val="1"/>
                <w:szCs w:val="1"/>
                <w:color w:val="auto"/>
              </w:rPr>
            </w:pPr>
          </w:p>
        </w:tc>
      </w:tr>
      <w:tr>
        <w:trPr>
          <w:trHeight w:val="193"/>
        </w:trPr>
        <w:tc>
          <w:tcPr>
            <w:tcW w:w="1740" w:type="dxa"/>
            <w:vAlign w:val="bottom"/>
          </w:tcPr>
          <w:p>
            <w:pPr>
              <w:spacing w:after="0"/>
              <w:rPr>
                <w:sz w:val="20"/>
                <w:szCs w:val="20"/>
                <w:color w:val="auto"/>
              </w:rPr>
            </w:pPr>
            <w:r>
              <w:rPr>
                <w:rFonts w:ascii="Arial" w:cs="Arial" w:eastAsia="Arial" w:hAnsi="Arial"/>
                <w:sz w:val="15"/>
                <w:szCs w:val="15"/>
                <w:color w:val="auto"/>
              </w:rPr>
              <w:t>Computer software</w:t>
            </w:r>
          </w:p>
        </w:tc>
        <w:tc>
          <w:tcPr>
            <w:tcW w:w="640" w:type="dxa"/>
            <w:vAlign w:val="bottom"/>
          </w:tcPr>
          <w:p>
            <w:pPr>
              <w:jc w:val="right"/>
              <w:spacing w:after="0"/>
              <w:rPr>
                <w:sz w:val="20"/>
                <w:szCs w:val="20"/>
                <w:color w:val="auto"/>
              </w:rPr>
            </w:pPr>
            <w:r>
              <w:rPr>
                <w:rFonts w:ascii="Arial" w:cs="Arial" w:eastAsia="Arial" w:hAnsi="Arial"/>
                <w:sz w:val="15"/>
                <w:szCs w:val="15"/>
                <w:color w:val="auto"/>
              </w:rPr>
              <w:t>760</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347</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1,107</w:t>
            </w:r>
          </w:p>
        </w:tc>
        <w:tc>
          <w:tcPr>
            <w:tcW w:w="780" w:type="dxa"/>
            <w:vAlign w:val="bottom"/>
            <w:gridSpan w:val="3"/>
          </w:tcPr>
          <w:p>
            <w:pPr>
              <w:jc w:val="right"/>
              <w:ind w:right="40"/>
              <w:spacing w:after="0"/>
              <w:rPr>
                <w:sz w:val="20"/>
                <w:szCs w:val="20"/>
                <w:color w:val="auto"/>
              </w:rPr>
            </w:pPr>
            <w:r>
              <w:rPr>
                <w:rFonts w:ascii="Arial" w:cs="Arial" w:eastAsia="Arial" w:hAnsi="Arial"/>
                <w:sz w:val="15"/>
                <w:szCs w:val="15"/>
                <w:color w:val="auto"/>
              </w:rPr>
              <w:t>544</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191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735</w:t>
            </w:r>
          </w:p>
        </w:tc>
        <w:tc>
          <w:tcPr>
            <w:tcW w:w="640" w:type="dxa"/>
            <w:vAlign w:val="bottom"/>
          </w:tcPr>
          <w:p>
            <w:pPr>
              <w:jc w:val="right"/>
              <w:spacing w:after="0"/>
              <w:rPr>
                <w:sz w:val="20"/>
                <w:szCs w:val="20"/>
                <w:color w:val="auto"/>
              </w:rPr>
            </w:pPr>
            <w:r>
              <w:rPr>
                <w:rFonts w:ascii="Arial" w:cs="Arial" w:eastAsia="Arial" w:hAnsi="Arial"/>
                <w:sz w:val="15"/>
                <w:szCs w:val="15"/>
                <w:color w:val="auto"/>
              </w:rPr>
              <w:t>216</w:t>
            </w: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74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4,337</w:t>
            </w:r>
          </w:p>
        </w:tc>
        <w:tc>
          <w:tcPr>
            <w:tcW w:w="7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347</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(1,846)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2,838</w:t>
            </w:r>
          </w:p>
        </w:tc>
        <w:tc>
          <w:tcPr>
            <w:tcW w:w="78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5"/>
                <w:szCs w:val="15"/>
                <w:color w:val="auto"/>
              </w:rPr>
              <w:t>1,295</w:t>
            </w:r>
          </w:p>
        </w:tc>
        <w:tc>
          <w:tcPr>
            <w:tcW w:w="7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191</w:t>
            </w:r>
          </w:p>
        </w:tc>
        <w:tc>
          <w:tcPr>
            <w:tcW w:w="7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1,486</w:t>
            </w:r>
          </w:p>
        </w:tc>
        <w:tc>
          <w:tcPr>
            <w:tcW w:w="6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3,042</w:t>
            </w:r>
          </w:p>
        </w:tc>
        <w:tc>
          <w:tcPr>
            <w:tcW w:w="8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1,352</w:t>
            </w:r>
          </w:p>
        </w:tc>
        <w:tc>
          <w:tcPr>
            <w:tcW w:w="0" w:type="dxa"/>
            <w:vAlign w:val="bottom"/>
          </w:tcPr>
          <w:p>
            <w:pPr>
              <w:spacing w:after="0"/>
              <w:rPr>
                <w:sz w:val="1"/>
                <w:szCs w:val="1"/>
                <w:color w:val="auto"/>
              </w:rPr>
            </w:pP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left w:val="single" w:sz="8" w:color="auto"/>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right w:val="single" w:sz="8" w:color="auto"/>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auto"/>
              <w:righ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-2245360</wp:posOffset>
            </wp:positionV>
            <wp:extent cx="5782945"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82945"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-1200150</wp:posOffset>
            </wp:positionV>
            <wp:extent cx="5782945"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82945"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782945"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82945"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-2286635</wp:posOffset>
            </wp:positionV>
            <wp:extent cx="57829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-1240790</wp:posOffset>
            </wp:positionV>
            <wp:extent cx="57829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8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-1118235</wp:posOffset>
            </wp:positionV>
            <wp:extent cx="57829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82945" cy="8255"/>
                    </a:xfrm>
                    <a:prstGeom prst="rect">
                      <a:avLst/>
                    </a:prstGeom>
                    <a:noFill/>
                  </pic:spPr>
                </pic:pic>
              </a:graphicData>
            </a:graphic>
          </wp:anchor>
        </w:drawing>
      </w:r>
    </w:p>
    <w:p>
      <w:pPr>
        <w:spacing w:after="0" w:line="70" w:lineRule="exact"/>
        <w:rPr>
          <w:sz w:val="20"/>
          <w:szCs w:val="20"/>
          <w:color w:val="auto"/>
        </w:rPr>
      </w:pPr>
    </w:p>
    <w:p>
      <w:pPr>
        <w:ind w:left="560" w:right="1039"/>
        <w:spacing w:after="0" w:line="265" w:lineRule="auto"/>
        <w:rPr>
          <w:sz w:val="20"/>
          <w:szCs w:val="20"/>
          <w:color w:val="auto"/>
        </w:rPr>
      </w:pPr>
      <w:r>
        <w:rPr>
          <w:rFonts w:ascii="Arial" w:cs="Arial" w:eastAsia="Arial" w:hAnsi="Arial"/>
          <w:sz w:val="17"/>
          <w:szCs w:val="17"/>
          <w:color w:val="auto"/>
        </w:rPr>
        <w:t>During 2009, intellectual property dispositions with a total cost of NIS 436,000 were recorded to cost of revenues in respect of the BL-1040 project (see Note 14). During 2010, the Group wrote-off intellectual property in the total amount of NIS 1,846,000 in respect of three projects that were terminated — BL-2030, BL-4060 and BL-5020.</w:t>
      </w:r>
    </w:p>
    <w:p>
      <w:pPr>
        <w:spacing w:after="0" w:line="73" w:lineRule="exact"/>
        <w:rPr>
          <w:sz w:val="20"/>
          <w:szCs w:val="20"/>
          <w:color w:val="auto"/>
        </w:rPr>
      </w:pPr>
    </w:p>
    <w:p>
      <w:pPr>
        <w:ind w:left="560" w:right="999"/>
        <w:spacing w:after="0" w:line="278" w:lineRule="auto"/>
        <w:rPr>
          <w:sz w:val="20"/>
          <w:szCs w:val="20"/>
          <w:color w:val="auto"/>
        </w:rPr>
      </w:pPr>
      <w:r>
        <w:rPr>
          <w:rFonts w:ascii="Arial" w:cs="Arial" w:eastAsia="Arial" w:hAnsi="Arial"/>
          <w:sz w:val="17"/>
          <w:szCs w:val="17"/>
          <w:color w:val="auto"/>
        </w:rPr>
        <w:t>Depreciation in respect of computer software and the amortization of intellectual property in 2010 were included in research and development expenses.</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8 — LONG-TERM BANK LOAN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0919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60" w:type="dxa"/>
            <w:vAlign w:val="bottom"/>
          </w:tcPr>
          <w:p>
            <w:pPr>
              <w:spacing w:after="0"/>
              <w:rPr>
                <w:sz w:val="15"/>
                <w:szCs w:val="15"/>
                <w:color w:val="auto"/>
              </w:rPr>
            </w:pPr>
          </w:p>
        </w:tc>
        <w:tc>
          <w:tcPr>
            <w:tcW w:w="14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960" w:type="dxa"/>
            <w:vAlign w:val="bottom"/>
          </w:tcPr>
          <w:p>
            <w:pPr>
              <w:spacing w:after="0"/>
              <w:rPr>
                <w:sz w:val="16"/>
                <w:szCs w:val="16"/>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1480" w:type="dxa"/>
            <w:vAlign w:val="bottom"/>
            <w:gridSpan w:val="5"/>
          </w:tcPr>
          <w:p>
            <w:pPr>
              <w:ind w:left="260"/>
              <w:spacing w:after="0"/>
              <w:rPr>
                <w:sz w:val="20"/>
                <w:szCs w:val="20"/>
                <w:color w:val="auto"/>
              </w:rPr>
            </w:pPr>
            <w:r>
              <w:rPr>
                <w:rFonts w:ascii="Arial" w:cs="Arial" w:eastAsia="Arial" w:hAnsi="Arial"/>
                <w:sz w:val="14"/>
                <w:szCs w:val="14"/>
                <w:color w:val="auto"/>
              </w:rPr>
              <w:t>NIS in thousands</w:t>
            </w:r>
          </w:p>
        </w:tc>
      </w:tr>
      <w:tr>
        <w:trPr>
          <w:trHeight w:val="212"/>
        </w:trPr>
        <w:tc>
          <w:tcPr>
            <w:tcW w:w="4960" w:type="dxa"/>
            <w:vAlign w:val="bottom"/>
            <w:shd w:val="clear" w:color="auto" w:fill="CCFFCC"/>
          </w:tcPr>
          <w:p>
            <w:pPr>
              <w:spacing w:after="0"/>
              <w:rPr>
                <w:sz w:val="20"/>
                <w:szCs w:val="20"/>
                <w:color w:val="auto"/>
              </w:rPr>
            </w:pPr>
            <w:r>
              <w:rPr>
                <w:rFonts w:ascii="Arial" w:cs="Arial" w:eastAsia="Arial" w:hAnsi="Arial"/>
                <w:sz w:val="17"/>
                <w:szCs w:val="17"/>
                <w:color w:val="auto"/>
              </w:rPr>
              <w:t>Loan balance</w:t>
            </w:r>
          </w:p>
        </w:tc>
        <w:tc>
          <w:tcPr>
            <w:tcW w:w="600" w:type="dxa"/>
            <w:vAlign w:val="bottom"/>
            <w:gridSpan w:val="2"/>
            <w:shd w:val="clear" w:color="auto" w:fill="CCFFCC"/>
          </w:tcPr>
          <w:p>
            <w:pPr>
              <w:ind w:left="36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739</w:t>
            </w:r>
          </w:p>
        </w:tc>
      </w:tr>
      <w:tr>
        <w:trPr>
          <w:trHeight w:val="206"/>
        </w:trPr>
        <w:tc>
          <w:tcPr>
            <w:tcW w:w="4960" w:type="dxa"/>
            <w:vAlign w:val="bottom"/>
          </w:tcPr>
          <w:p>
            <w:pPr>
              <w:spacing w:after="0"/>
              <w:rPr>
                <w:sz w:val="20"/>
                <w:szCs w:val="20"/>
                <w:color w:val="auto"/>
              </w:rPr>
            </w:pPr>
            <w:r>
              <w:rPr>
                <w:rFonts w:ascii="Arial" w:cs="Arial" w:eastAsia="Arial" w:hAnsi="Arial"/>
                <w:sz w:val="17"/>
                <w:szCs w:val="17"/>
                <w:color w:val="auto"/>
              </w:rPr>
              <w:t>Less current maturities</w:t>
            </w: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(307)</w:t>
            </w:r>
          </w:p>
        </w:tc>
      </w:tr>
      <w:tr>
        <w:trPr>
          <w:trHeight w:val="20"/>
        </w:trPr>
        <w:tc>
          <w:tcPr>
            <w:tcW w:w="4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4960" w:type="dxa"/>
            <w:vAlign w:val="bottom"/>
            <w:shd w:val="clear" w:color="auto" w:fill="CCFFCC"/>
          </w:tcPr>
          <w:p>
            <w:pPr>
              <w:spacing w:after="0"/>
              <w:rPr>
                <w:sz w:val="19"/>
                <w:szCs w:val="19"/>
                <w:color w:val="auto"/>
              </w:rPr>
            </w:pPr>
          </w:p>
        </w:tc>
        <w:tc>
          <w:tcPr>
            <w:tcW w:w="600" w:type="dxa"/>
            <w:vAlign w:val="bottom"/>
            <w:gridSpan w:val="2"/>
            <w:shd w:val="clear" w:color="auto" w:fill="CCFFCC"/>
          </w:tcPr>
          <w:p>
            <w:pPr>
              <w:ind w:left="36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432</w:t>
            </w:r>
          </w:p>
        </w:tc>
      </w:tr>
      <w:tr>
        <w:trPr>
          <w:trHeight w:val="20"/>
        </w:trPr>
        <w:tc>
          <w:tcPr>
            <w:tcW w:w="496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91940" cy="32385"/>
                    </a:xfrm>
                    <a:prstGeom prst="rect">
                      <a:avLst/>
                    </a:prstGeom>
                    <a:noFill/>
                  </pic:spPr>
                </pic:pic>
              </a:graphicData>
            </a:graphic>
          </wp:anchor>
        </w:drawing>
      </w:r>
    </w:p>
    <w:p>
      <w:pPr>
        <w:spacing w:after="0" w:line="70" w:lineRule="exact"/>
        <w:rPr>
          <w:sz w:val="20"/>
          <w:szCs w:val="20"/>
          <w:color w:val="auto"/>
        </w:rPr>
      </w:pPr>
    </w:p>
    <w:p>
      <w:pPr>
        <w:ind w:left="560" w:right="1159"/>
        <w:spacing w:after="0" w:line="278" w:lineRule="auto"/>
        <w:rPr>
          <w:sz w:val="20"/>
          <w:szCs w:val="20"/>
          <w:color w:val="auto"/>
        </w:rPr>
      </w:pPr>
      <w:r>
        <w:rPr>
          <w:rFonts w:ascii="Arial" w:cs="Arial" w:eastAsia="Arial" w:hAnsi="Arial"/>
          <w:sz w:val="17"/>
          <w:szCs w:val="17"/>
          <w:color w:val="auto"/>
        </w:rPr>
        <w:t>The loan is denominated in NIS, linked to the CPI and bears interest at an annual rate of 2.4%. The book value of the loan approximates its fair value.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loan is repayable in 36 monthly installments.</w:t>
      </w:r>
    </w:p>
    <w:p>
      <w:pPr>
        <w:spacing w:after="0" w:line="107" w:lineRule="exact"/>
        <w:rPr>
          <w:sz w:val="20"/>
          <w:szCs w:val="20"/>
          <w:color w:val="auto"/>
        </w:rPr>
      </w:pPr>
    </w:p>
    <w:p>
      <w:pPr>
        <w:ind w:left="540" w:right="1259" w:hanging="267"/>
        <w:spacing w:after="0" w:line="263" w:lineRule="auto"/>
        <w:tabs>
          <w:tab w:leader="none" w:pos="54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Future repayments of long-term bank loans (other than current maturities) in the years subsequent to the balance sheet date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40919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720" w:type="dxa"/>
            <w:vAlign w:val="bottom"/>
          </w:tcPr>
          <w:p>
            <w:pPr>
              <w:jc w:val="right"/>
              <w:ind w:right="5294"/>
              <w:spacing w:after="0"/>
              <w:rPr>
                <w:sz w:val="20"/>
                <w:szCs w:val="20"/>
                <w:color w:val="auto"/>
              </w:rPr>
            </w:pPr>
            <w:r>
              <w:rPr>
                <w:rFonts w:ascii="Arial" w:cs="Arial" w:eastAsia="Arial" w:hAnsi="Arial"/>
                <w:sz w:val="17"/>
                <w:szCs w:val="17"/>
                <w:color w:val="auto"/>
                <w:w w:val="84"/>
              </w:rPr>
              <w:t>2012</w:t>
            </w:r>
          </w:p>
        </w:tc>
        <w:tc>
          <w:tcPr>
            <w:tcW w:w="62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8"/>
                <w:szCs w:val="18"/>
                <w:color w:val="auto"/>
              </w:rPr>
            </w:pPr>
          </w:p>
        </w:tc>
      </w:tr>
      <w:tr>
        <w:trPr>
          <w:trHeight w:val="206"/>
        </w:trPr>
        <w:tc>
          <w:tcPr>
            <w:tcW w:w="5720" w:type="dxa"/>
            <w:vAlign w:val="bottom"/>
            <w:shd w:val="clear" w:color="auto" w:fill="CCFFCC"/>
          </w:tcPr>
          <w:p>
            <w:pPr>
              <w:jc w:val="right"/>
              <w:ind w:right="5294"/>
              <w:spacing w:after="0"/>
              <w:rPr>
                <w:sz w:val="20"/>
                <w:szCs w:val="20"/>
                <w:color w:val="auto"/>
              </w:rPr>
            </w:pPr>
            <w:r>
              <w:rPr>
                <w:rFonts w:ascii="Arial" w:cs="Arial" w:eastAsia="Arial" w:hAnsi="Arial"/>
                <w:sz w:val="17"/>
                <w:szCs w:val="17"/>
                <w:color w:val="auto"/>
                <w:w w:val="84"/>
              </w:rPr>
              <w:t>2013</w:t>
            </w: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FFCC"/>
          </w:tcPr>
          <w:p>
            <w:pPr>
              <w:spacing w:after="0"/>
              <w:rPr>
                <w:sz w:val="17"/>
                <w:szCs w:val="17"/>
                <w:color w:val="auto"/>
              </w:rPr>
            </w:pPr>
          </w:p>
        </w:tc>
      </w:tr>
      <w:tr>
        <w:trPr>
          <w:trHeight w:val="20"/>
        </w:trPr>
        <w:tc>
          <w:tcPr>
            <w:tcW w:w="5720" w:type="dxa"/>
            <w:vAlign w:val="bottom"/>
            <w:shd w:val="clear" w:color="auto" w:fill="CCFFCC"/>
          </w:tcPr>
          <w:p>
            <w:pPr>
              <w:spacing w:after="0" w:line="20" w:lineRule="exact"/>
              <w:rPr>
                <w:sz w:val="1"/>
                <w:szCs w:val="1"/>
                <w:color w:val="auto"/>
              </w:rPr>
            </w:pPr>
          </w:p>
        </w:tc>
        <w:tc>
          <w:tcPr>
            <w:tcW w:w="6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99"/>
        </w:trPr>
        <w:tc>
          <w:tcPr>
            <w:tcW w:w="572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409194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091940" cy="171450"/>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9 — EQUITY</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Share capital</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As of December 31, 2009 and 2010, share capital is composed of Ordinary Shares, par value NIS 0.01 per share,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40836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6"/>
              </w:rPr>
              <w:t>Number of Ordinary Shares</w:t>
            </w:r>
          </w:p>
        </w:tc>
      </w:tr>
      <w:tr>
        <w:trPr>
          <w:trHeight w:val="186"/>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300" w:type="dxa"/>
            <w:vAlign w:val="bottom"/>
          </w:tcPr>
          <w:p>
            <w:pPr>
              <w:spacing w:after="0"/>
              <w:rPr>
                <w:sz w:val="16"/>
                <w:szCs w:val="16"/>
                <w:color w:val="auto"/>
              </w:rPr>
            </w:pPr>
          </w:p>
        </w:tc>
        <w:tc>
          <w:tcPr>
            <w:tcW w:w="1000" w:type="dxa"/>
            <w:vAlign w:val="bottom"/>
            <w:tcBorders>
              <w:bottom w:val="single" w:sz="8" w:color="auto"/>
            </w:tcBorders>
            <w:gridSpan w:val="2"/>
          </w:tcPr>
          <w:p>
            <w:pPr>
              <w:jc w:val="right"/>
              <w:ind w:right="28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r>
      <w:tr>
        <w:trPr>
          <w:trHeight w:val="219"/>
        </w:trPr>
        <w:tc>
          <w:tcPr>
            <w:tcW w:w="4300" w:type="dxa"/>
            <w:vAlign w:val="bottom"/>
            <w:shd w:val="clear" w:color="auto" w:fill="CCFFCC"/>
          </w:tcPr>
          <w:p>
            <w:pPr>
              <w:spacing w:after="0"/>
              <w:rPr>
                <w:sz w:val="20"/>
                <w:szCs w:val="20"/>
                <w:color w:val="auto"/>
              </w:rPr>
            </w:pPr>
            <w:r>
              <w:rPr>
                <w:rFonts w:ascii="Arial" w:cs="Arial" w:eastAsia="Arial" w:hAnsi="Arial"/>
                <w:sz w:val="17"/>
                <w:szCs w:val="17"/>
                <w:color w:val="auto"/>
              </w:rPr>
              <w:t>Authorized share capital</w:t>
            </w:r>
          </w:p>
        </w:tc>
        <w:tc>
          <w:tcPr>
            <w:tcW w:w="10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w w:val="99"/>
              </w:rPr>
              <w:t>250,000,000</w:t>
            </w:r>
          </w:p>
        </w:tc>
        <w:tc>
          <w:tcPr>
            <w:tcW w:w="1140" w:type="dxa"/>
            <w:vAlign w:val="bottom"/>
            <w:tcBorders>
              <w:right w:val="single" w:sz="8" w:color="CCFFCC"/>
            </w:tcBorders>
            <w:gridSpan w:val="2"/>
            <w:shd w:val="clear" w:color="auto" w:fill="CCFFCC"/>
          </w:tcPr>
          <w:p>
            <w:pPr>
              <w:jc w:val="center"/>
              <w:ind w:left="119"/>
              <w:spacing w:after="0"/>
              <w:rPr>
                <w:sz w:val="20"/>
                <w:szCs w:val="20"/>
                <w:color w:val="auto"/>
              </w:rPr>
            </w:pPr>
            <w:r>
              <w:rPr>
                <w:rFonts w:ascii="Arial" w:cs="Arial" w:eastAsia="Arial" w:hAnsi="Arial"/>
                <w:sz w:val="17"/>
                <w:szCs w:val="17"/>
                <w:color w:val="auto"/>
                <w:w w:val="90"/>
              </w:rPr>
              <w:t>250,000,000</w:t>
            </w:r>
          </w:p>
        </w:tc>
      </w:tr>
      <w:tr>
        <w:trPr>
          <w:trHeight w:val="20"/>
        </w:trPr>
        <w:tc>
          <w:tcPr>
            <w:tcW w:w="4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r>
      <w:tr>
        <w:trPr>
          <w:trHeight w:val="197"/>
        </w:trPr>
        <w:tc>
          <w:tcPr>
            <w:tcW w:w="4300" w:type="dxa"/>
            <w:vAlign w:val="bottom"/>
          </w:tcPr>
          <w:p>
            <w:pPr>
              <w:spacing w:after="0"/>
              <w:rPr>
                <w:sz w:val="20"/>
                <w:szCs w:val="20"/>
                <w:color w:val="auto"/>
              </w:rPr>
            </w:pPr>
            <w:r>
              <w:rPr>
                <w:rFonts w:ascii="Arial" w:cs="Arial" w:eastAsia="Arial" w:hAnsi="Arial"/>
                <w:sz w:val="17"/>
                <w:szCs w:val="17"/>
                <w:color w:val="auto"/>
              </w:rPr>
              <w:t>Issued share capital</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w w:val="99"/>
              </w:rPr>
              <w:t>123,497,029</w:t>
            </w:r>
          </w:p>
        </w:tc>
        <w:tc>
          <w:tcPr>
            <w:tcW w:w="1140" w:type="dxa"/>
            <w:vAlign w:val="bottom"/>
            <w:gridSpan w:val="2"/>
          </w:tcPr>
          <w:p>
            <w:pPr>
              <w:jc w:val="center"/>
              <w:ind w:left="119"/>
              <w:spacing w:after="0"/>
              <w:rPr>
                <w:sz w:val="20"/>
                <w:szCs w:val="20"/>
                <w:color w:val="auto"/>
              </w:rPr>
            </w:pPr>
            <w:r>
              <w:rPr>
                <w:rFonts w:ascii="Arial" w:cs="Arial" w:eastAsia="Arial" w:hAnsi="Arial"/>
                <w:sz w:val="17"/>
                <w:szCs w:val="17"/>
                <w:color w:val="auto"/>
                <w:w w:val="90"/>
              </w:rPr>
              <w:t>123,558,660</w:t>
            </w: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300" w:type="dxa"/>
            <w:vAlign w:val="bottom"/>
            <w:shd w:val="clear" w:color="auto" w:fill="CCFFCC"/>
          </w:tcPr>
          <w:p>
            <w:pPr>
              <w:spacing w:after="0"/>
              <w:rPr>
                <w:sz w:val="20"/>
                <w:szCs w:val="20"/>
                <w:color w:val="auto"/>
              </w:rPr>
            </w:pPr>
            <w:r>
              <w:rPr>
                <w:rFonts w:ascii="Arial" w:cs="Arial" w:eastAsia="Arial" w:hAnsi="Arial"/>
                <w:sz w:val="17"/>
                <w:szCs w:val="17"/>
                <w:color w:val="auto"/>
              </w:rPr>
              <w:t>Paid-up share capital</w:t>
            </w:r>
          </w:p>
        </w:tc>
        <w:tc>
          <w:tcPr>
            <w:tcW w:w="10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w w:val="99"/>
              </w:rPr>
              <w:t>123,497,029</w:t>
            </w:r>
          </w:p>
        </w:tc>
        <w:tc>
          <w:tcPr>
            <w:tcW w:w="1140" w:type="dxa"/>
            <w:vAlign w:val="bottom"/>
            <w:tcBorders>
              <w:right w:val="single" w:sz="8" w:color="CCFFCC"/>
            </w:tcBorders>
            <w:gridSpan w:val="2"/>
            <w:shd w:val="clear" w:color="auto" w:fill="CCFFCC"/>
          </w:tcPr>
          <w:p>
            <w:pPr>
              <w:jc w:val="center"/>
              <w:ind w:left="119"/>
              <w:spacing w:after="0"/>
              <w:rPr>
                <w:sz w:val="20"/>
                <w:szCs w:val="20"/>
                <w:color w:val="auto"/>
              </w:rPr>
            </w:pPr>
            <w:r>
              <w:rPr>
                <w:rFonts w:ascii="Arial" w:cs="Arial" w:eastAsia="Arial" w:hAnsi="Arial"/>
                <w:sz w:val="17"/>
                <w:szCs w:val="17"/>
                <w:color w:val="auto"/>
                <w:w w:val="90"/>
              </w:rPr>
              <w:t>123,558,660</w:t>
            </w:r>
          </w:p>
        </w:tc>
      </w:tr>
      <w:tr>
        <w:trPr>
          <w:trHeight w:val="20"/>
        </w:trPr>
        <w:tc>
          <w:tcPr>
            <w:tcW w:w="4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r>
      <w:tr>
        <w:trPr>
          <w:trHeight w:val="184"/>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w w:val="75"/>
              </w:rPr>
              <w:t>In NIS</w:t>
            </w: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r>
      <w:tr>
        <w:trPr>
          <w:trHeight w:val="219"/>
        </w:trPr>
        <w:tc>
          <w:tcPr>
            <w:tcW w:w="4300" w:type="dxa"/>
            <w:vAlign w:val="bottom"/>
            <w:shd w:val="clear" w:color="auto" w:fill="CCFFCC"/>
          </w:tcPr>
          <w:p>
            <w:pPr>
              <w:spacing w:after="0"/>
              <w:rPr>
                <w:sz w:val="20"/>
                <w:szCs w:val="20"/>
                <w:color w:val="auto"/>
              </w:rPr>
            </w:pPr>
            <w:r>
              <w:rPr>
                <w:rFonts w:ascii="Arial" w:cs="Arial" w:eastAsia="Arial" w:hAnsi="Arial"/>
                <w:sz w:val="17"/>
                <w:szCs w:val="17"/>
                <w:color w:val="auto"/>
              </w:rPr>
              <w:t>Authorized share capital</w:t>
            </w:r>
          </w:p>
        </w:tc>
        <w:tc>
          <w:tcPr>
            <w:tcW w:w="12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2,500,000</w:t>
            </w:r>
          </w:p>
        </w:tc>
        <w:tc>
          <w:tcPr>
            <w:tcW w:w="160" w:type="dxa"/>
            <w:vAlign w:val="bottom"/>
            <w:shd w:val="clear" w:color="auto" w:fill="CCFFCC"/>
          </w:tcPr>
          <w:p>
            <w:pPr>
              <w:spacing w:after="0"/>
              <w:rPr>
                <w:sz w:val="19"/>
                <w:szCs w:val="19"/>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2,500,000</w:t>
            </w:r>
          </w:p>
        </w:tc>
      </w:tr>
      <w:tr>
        <w:trPr>
          <w:trHeight w:val="20"/>
        </w:trPr>
        <w:tc>
          <w:tcPr>
            <w:tcW w:w="4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r>
      <w:tr>
        <w:trPr>
          <w:trHeight w:val="197"/>
        </w:trPr>
        <w:tc>
          <w:tcPr>
            <w:tcW w:w="4300" w:type="dxa"/>
            <w:vAlign w:val="bottom"/>
          </w:tcPr>
          <w:p>
            <w:pPr>
              <w:spacing w:after="0"/>
              <w:rPr>
                <w:sz w:val="20"/>
                <w:szCs w:val="20"/>
                <w:color w:val="auto"/>
              </w:rPr>
            </w:pPr>
            <w:r>
              <w:rPr>
                <w:rFonts w:ascii="Arial" w:cs="Arial" w:eastAsia="Arial" w:hAnsi="Arial"/>
                <w:sz w:val="17"/>
                <w:szCs w:val="17"/>
                <w:color w:val="auto"/>
              </w:rPr>
              <w:t>Issued share capital</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1,234,970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1,235,587</w:t>
            </w: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300" w:type="dxa"/>
            <w:vAlign w:val="bottom"/>
            <w:shd w:val="clear" w:color="auto" w:fill="CCFFCC"/>
          </w:tcPr>
          <w:p>
            <w:pPr>
              <w:spacing w:after="0"/>
              <w:rPr>
                <w:sz w:val="20"/>
                <w:szCs w:val="20"/>
                <w:color w:val="auto"/>
              </w:rPr>
            </w:pPr>
            <w:r>
              <w:rPr>
                <w:rFonts w:ascii="Arial" w:cs="Arial" w:eastAsia="Arial" w:hAnsi="Arial"/>
                <w:sz w:val="17"/>
                <w:szCs w:val="17"/>
                <w:color w:val="auto"/>
              </w:rPr>
              <w:t>Paid-up share capital</w:t>
            </w:r>
          </w:p>
        </w:tc>
        <w:tc>
          <w:tcPr>
            <w:tcW w:w="12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1,234,970</w:t>
            </w:r>
          </w:p>
        </w:tc>
        <w:tc>
          <w:tcPr>
            <w:tcW w:w="16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1,235,587</w:t>
            </w:r>
          </w:p>
        </w:tc>
      </w:tr>
      <w:tr>
        <w:trPr>
          <w:trHeight w:val="20"/>
        </w:trPr>
        <w:tc>
          <w:tcPr>
            <w:tcW w:w="43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-1240790</wp:posOffset>
            </wp:positionV>
            <wp:extent cx="4091940" cy="1962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091940" cy="1962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-914400</wp:posOffset>
            </wp:positionV>
            <wp:extent cx="409194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-358775</wp:posOffset>
            </wp:positionV>
            <wp:extent cx="4091940" cy="1962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091940" cy="1962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-955040</wp:posOffset>
            </wp:positionV>
            <wp:extent cx="408368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pacing w:after="0" w:line="70" w:lineRule="exact"/>
        <w:rPr>
          <w:sz w:val="20"/>
          <w:szCs w:val="20"/>
          <w:color w:val="auto"/>
        </w:rPr>
      </w:pPr>
    </w:p>
    <w:p>
      <w:pPr>
        <w:ind w:left="560" w:right="1279"/>
        <w:spacing w:after="0" w:line="278" w:lineRule="auto"/>
        <w:rPr>
          <w:sz w:val="20"/>
          <w:szCs w:val="20"/>
          <w:color w:val="auto"/>
        </w:rPr>
      </w:pPr>
      <w:r>
        <w:rPr>
          <w:rFonts w:ascii="Arial" w:cs="Arial" w:eastAsia="Arial" w:hAnsi="Arial"/>
          <w:sz w:val="17"/>
          <w:szCs w:val="17"/>
          <w:color w:val="auto"/>
        </w:rPr>
        <w:t>The Ordinary Shares are traded on the Tel Aviv Stock Exchange. The price per Ordinary Share as of December 31, 2010 was NIS 3.21.</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Rights related to shares</w:t>
      </w:r>
    </w:p>
    <w:p>
      <w:pPr>
        <w:spacing w:after="0" w:line="119" w:lineRule="exact"/>
        <w:rPr>
          <w:sz w:val="20"/>
          <w:szCs w:val="20"/>
          <w:color w:val="auto"/>
        </w:rPr>
      </w:pPr>
    </w:p>
    <w:p>
      <w:pPr>
        <w:ind w:left="560" w:right="1279"/>
        <w:spacing w:after="0" w:line="347" w:lineRule="auto"/>
        <w:rPr>
          <w:sz w:val="20"/>
          <w:szCs w:val="20"/>
          <w:color w:val="auto"/>
        </w:rPr>
      </w:pPr>
      <w:r>
        <w:rPr>
          <w:rFonts w:ascii="Arial" w:cs="Arial" w:eastAsia="Arial" w:hAnsi="Arial"/>
          <w:sz w:val="15"/>
          <w:szCs w:val="15"/>
          <w:color w:val="auto"/>
        </w:rPr>
        <w:t>The Ordinary Shares confer upon their holders voting and dividend rights and the right to receive assets of the Company upon its liquidation. As of December 31, 2010 and 2009, all outstanding share capital consisted of Ordinary Shares.</w:t>
      </w:r>
    </w:p>
    <w:p>
      <w:pPr>
        <w:spacing w:after="0" w:line="200" w:lineRule="exact"/>
        <w:rPr>
          <w:sz w:val="20"/>
          <w:szCs w:val="20"/>
          <w:color w:val="auto"/>
        </w:rPr>
      </w:pPr>
    </w:p>
    <w:p>
      <w:pPr>
        <w:spacing w:after="0" w:line="24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9 — EQUITY – (continued)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Changes in the Company’s equity</w:t>
      </w:r>
    </w:p>
    <w:p>
      <w:pPr>
        <w:spacing w:after="0" w:line="119" w:lineRule="exact"/>
        <w:rPr>
          <w:sz w:val="20"/>
          <w:szCs w:val="20"/>
          <w:color w:val="auto"/>
        </w:rPr>
      </w:pPr>
    </w:p>
    <w:p>
      <w:pPr>
        <w:ind w:left="780" w:right="1279" w:hanging="250"/>
        <w:spacing w:after="0" w:line="265" w:lineRule="auto"/>
        <w:tabs>
          <w:tab w:leader="none" w:pos="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February 2007, the Company conducted an initial public offering on the TASE of 28,690,000 Ordinary Shares and 14,345,000 Series 1 warrants. The net proceeds to the Company from the issuance amounted to approximately NIS 198,000,000.</w:t>
      </w:r>
    </w:p>
    <w:p>
      <w:pPr>
        <w:spacing w:after="0" w:line="73" w:lineRule="exact"/>
        <w:rPr>
          <w:sz w:val="20"/>
          <w:szCs w:val="20"/>
          <w:color w:val="auto"/>
        </w:rPr>
      </w:pPr>
    </w:p>
    <w:p>
      <w:pPr>
        <w:ind w:left="820" w:right="999"/>
        <w:spacing w:after="0" w:line="275" w:lineRule="auto"/>
        <w:rPr>
          <w:sz w:val="20"/>
          <w:szCs w:val="20"/>
          <w:color w:val="auto"/>
        </w:rPr>
      </w:pPr>
      <w:r>
        <w:rPr>
          <w:rFonts w:ascii="Arial" w:cs="Arial" w:eastAsia="Arial" w:hAnsi="Arial"/>
          <w:sz w:val="16"/>
          <w:szCs w:val="16"/>
          <w:color w:val="auto"/>
        </w:rPr>
        <w:t>Each Series 1 warrant was exercisable into one Ordinary Share at an exercise price of NIS 8.50 which, in accordance with the original terms of such warrants, was linked to the CPI (subject to adjustments). The warrants were exercisable over a period of two years from the date of their listing for trading. The consideration allocated to the warrants was approximately NIS 32,100,000, computed under the Black-Scholes model, which reflected their fair value as of the issuance date. Issuance costs related to the warrants of approximately NIS 2,100,000 were recorded as an expense. As of December 31, 2007, the warrants were marked to market on the Company’s balance sheet (at the market price on the TASE), with the change in fair value of the warrants recorded to income (see also Note 2l).</w:t>
      </w:r>
    </w:p>
    <w:p>
      <w:pPr>
        <w:spacing w:after="0" w:line="68" w:lineRule="exact"/>
        <w:rPr>
          <w:sz w:val="20"/>
          <w:szCs w:val="20"/>
          <w:color w:val="auto"/>
        </w:rPr>
      </w:pPr>
    </w:p>
    <w:p>
      <w:pPr>
        <w:ind w:left="820" w:right="1139"/>
        <w:spacing w:after="0" w:line="311" w:lineRule="auto"/>
        <w:rPr>
          <w:sz w:val="20"/>
          <w:szCs w:val="20"/>
          <w:color w:val="auto"/>
        </w:rPr>
      </w:pPr>
      <w:r>
        <w:rPr>
          <w:rFonts w:ascii="Arial" w:cs="Arial" w:eastAsia="Arial" w:hAnsi="Arial"/>
          <w:sz w:val="16"/>
          <w:szCs w:val="16"/>
          <w:color w:val="auto"/>
        </w:rPr>
        <w:t>In July 2008, the exercise price of the warrants ceased to be linked to the CPI and, accordingly, the market value of the warrants at that time, amounting to NIS 947,000, was reclassified from current liabilities to equity.</w:t>
      </w:r>
    </w:p>
    <w:p>
      <w:pPr>
        <w:spacing w:after="0" w:line="38" w:lineRule="exact"/>
        <w:rPr>
          <w:sz w:val="20"/>
          <w:szCs w:val="20"/>
          <w:color w:val="auto"/>
        </w:rPr>
      </w:pPr>
    </w:p>
    <w:p>
      <w:pPr>
        <w:ind w:left="820" w:right="1419"/>
        <w:spacing w:after="0" w:line="278" w:lineRule="auto"/>
        <w:rPr>
          <w:sz w:val="20"/>
          <w:szCs w:val="20"/>
          <w:color w:val="auto"/>
        </w:rPr>
      </w:pPr>
      <w:r>
        <w:rPr>
          <w:rFonts w:ascii="Arial" w:cs="Arial" w:eastAsia="Arial" w:hAnsi="Arial"/>
          <w:sz w:val="17"/>
          <w:szCs w:val="17"/>
          <w:color w:val="auto"/>
        </w:rPr>
        <w:t>In February 2009, 380 warrants were exercised for total consideration of NIS 3,000, and the remaining 14,344,620 warrants expired.</w:t>
      </w:r>
    </w:p>
    <w:p>
      <w:pPr>
        <w:spacing w:after="0" w:line="62" w:lineRule="exact"/>
        <w:rPr>
          <w:sz w:val="20"/>
          <w:szCs w:val="20"/>
          <w:color w:val="auto"/>
        </w:rPr>
      </w:pPr>
    </w:p>
    <w:p>
      <w:pPr>
        <w:ind w:left="780" w:right="1039" w:hanging="250"/>
        <w:spacing w:after="0" w:line="261" w:lineRule="auto"/>
        <w:tabs>
          <w:tab w:leader="none" w:pos="7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July 2009, the Company issued 46,667,719 Ordinary Shares in a public rights offering. The total net proceeds from the offering amounted to NIS 51,800,000, after deducting NIS 900,000 of issuance costs. The rights offering included an embedded benefit of 25% to the Company’s shareholders (such embedded benefit being essentially a stock dividend for financial statement purposes).</w:t>
      </w:r>
    </w:p>
    <w:p>
      <w:pPr>
        <w:spacing w:after="0" w:line="75" w:lineRule="exact"/>
        <w:rPr>
          <w:rFonts w:ascii="Arial" w:cs="Arial" w:eastAsia="Arial" w:hAnsi="Arial"/>
          <w:sz w:val="17"/>
          <w:szCs w:val="17"/>
          <w:color w:val="auto"/>
        </w:rPr>
      </w:pPr>
    </w:p>
    <w:p>
      <w:pPr>
        <w:ind w:left="780" w:right="1059" w:hanging="250"/>
        <w:spacing w:after="0" w:line="289" w:lineRule="auto"/>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December 2009, the Company issued 11,293,419 Ordinary shares and 7,528,946 Series 2 warrants in a public offering. Each warrant is exercisable into one Ordinary Share at an exercise price of NIS 6.08 (not linked). The warrants are exercisable for a period of two years from the date that they were registered for trading.</w:t>
      </w:r>
    </w:p>
    <w:p>
      <w:pPr>
        <w:spacing w:after="0" w:line="56" w:lineRule="exact"/>
        <w:rPr>
          <w:sz w:val="20"/>
          <w:szCs w:val="20"/>
          <w:color w:val="auto"/>
        </w:rPr>
      </w:pPr>
    </w:p>
    <w:p>
      <w:pPr>
        <w:jc w:val="both"/>
        <w:ind w:left="820" w:right="1119"/>
        <w:spacing w:after="0" w:line="289" w:lineRule="auto"/>
        <w:rPr>
          <w:sz w:val="20"/>
          <w:szCs w:val="20"/>
          <w:color w:val="auto"/>
        </w:rPr>
      </w:pPr>
      <w:r>
        <w:rPr>
          <w:rFonts w:ascii="Arial" w:cs="Arial" w:eastAsia="Arial" w:hAnsi="Arial"/>
          <w:sz w:val="16"/>
          <w:szCs w:val="16"/>
          <w:color w:val="auto"/>
        </w:rPr>
        <w:t>The total net proceeds from the offering amounted to NIS 45,700,000, after deducting NIS 1,400,000 in issuance costs. The issuance costs have been allocated between share premium and the warrants based on the relative market value (as indicated on the TASE) of the shares and warrants on the date of the offering.</w:t>
      </w:r>
    </w:p>
    <w:p>
      <w:pPr>
        <w:spacing w:after="0" w:line="50" w:lineRule="exact"/>
        <w:rPr>
          <w:sz w:val="20"/>
          <w:szCs w:val="20"/>
          <w:color w:val="auto"/>
        </w:rPr>
      </w:pPr>
    </w:p>
    <w:p>
      <w:pPr>
        <w:ind w:left="540" w:hanging="267"/>
        <w:spacing w:after="0"/>
        <w:tabs>
          <w:tab w:leader="none" w:pos="54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payments</w:t>
      </w:r>
    </w:p>
    <w:p>
      <w:pPr>
        <w:spacing w:after="0" w:line="119" w:lineRule="exact"/>
        <w:rPr>
          <w:rFonts w:ascii="Arial" w:cs="Arial" w:eastAsia="Arial" w:hAnsi="Arial"/>
          <w:sz w:val="17"/>
          <w:szCs w:val="17"/>
          <w:b w:val="1"/>
          <w:bCs w:val="1"/>
          <w:color w:val="auto"/>
        </w:rPr>
      </w:pPr>
    </w:p>
    <w:p>
      <w:pPr>
        <w:ind w:left="780" w:right="1039" w:hanging="250"/>
        <w:spacing w:after="0" w:line="257" w:lineRule="auto"/>
        <w:tabs>
          <w:tab w:leader="none" w:pos="7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2003, the Company’s Board of Directors approved a stock compensation plan for employees and consultants pursuant to which 1,328,500 Ordinary Shares were reserved for issuance upon the exercise of options. In 2005, the Company’s Board of Directors approved an expansion of the stock compensation plan for employees and consultants to allow the allotment of an additional up to 2,136,022 options exercisable into Ordinary Shares. In 2007, the Company’s Board of Directors approved a grant to employees and consultants of 9,996,556 shares and options exercisable into Ordinary Shares.</w:t>
      </w:r>
    </w:p>
    <w:p>
      <w:pPr>
        <w:spacing w:after="0" w:line="82" w:lineRule="exact"/>
        <w:rPr>
          <w:sz w:val="20"/>
          <w:szCs w:val="20"/>
          <w:color w:val="auto"/>
        </w:rPr>
      </w:pPr>
    </w:p>
    <w:p>
      <w:pPr>
        <w:ind w:left="820" w:right="1079"/>
        <w:spacing w:after="0" w:line="282" w:lineRule="auto"/>
        <w:rPr>
          <w:sz w:val="20"/>
          <w:szCs w:val="20"/>
          <w:color w:val="auto"/>
        </w:rPr>
      </w:pPr>
      <w:r>
        <w:rPr>
          <w:rFonts w:ascii="Arial" w:cs="Arial" w:eastAsia="Arial" w:hAnsi="Arial"/>
          <w:sz w:val="16"/>
          <w:szCs w:val="16"/>
          <w:color w:val="auto"/>
        </w:rPr>
        <w:t>In February and March 2010, the Company’s Board of Directors approved the grant of 4,020,300 options to the Company’s employees and members of the Scientific Advisory Board. Each option is exercisable into one Ordinary Share, par value NIS 0.01. The options vest as follows: 50% at the end of two years from the grant date; 25% at the end of three years from the grant date; and the remaining 25% at the end of four years from the grant date.</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9 — EQUITY – (continued)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  Employee stock options</w:t>
      </w:r>
    </w:p>
    <w:p>
      <w:pPr>
        <w:spacing w:after="0" w:line="113" w:lineRule="exact"/>
        <w:rPr>
          <w:sz w:val="20"/>
          <w:szCs w:val="20"/>
          <w:color w:val="auto"/>
        </w:rPr>
      </w:pPr>
    </w:p>
    <w:p>
      <w:pPr>
        <w:ind w:left="820" w:right="1239"/>
        <w:spacing w:after="0" w:line="270" w:lineRule="auto"/>
        <w:rPr>
          <w:sz w:val="20"/>
          <w:szCs w:val="20"/>
          <w:color w:val="auto"/>
        </w:rPr>
      </w:pPr>
      <w:r>
        <w:rPr>
          <w:rFonts w:ascii="Arial" w:cs="Arial" w:eastAsia="Arial" w:hAnsi="Arial"/>
          <w:sz w:val="17"/>
          <w:szCs w:val="17"/>
          <w:color w:val="auto"/>
        </w:rPr>
        <w:t>The following table contains additional information concerning options granted to employees and directors under the existing stock-option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9663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19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86"/>
        </w:trPr>
        <w:tc>
          <w:tcPr>
            <w:tcW w:w="1980" w:type="dxa"/>
            <w:vAlign w:val="bottom"/>
          </w:tcPr>
          <w:p>
            <w:pPr>
              <w:spacing w:after="0"/>
              <w:rPr>
                <w:sz w:val="16"/>
                <w:szCs w:val="16"/>
                <w:color w:val="auto"/>
              </w:rPr>
            </w:pPr>
          </w:p>
        </w:tc>
        <w:tc>
          <w:tcPr>
            <w:tcW w:w="174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6"/>
                <w:szCs w:val="16"/>
                <w:color w:val="auto"/>
              </w:rPr>
            </w:pPr>
          </w:p>
        </w:tc>
        <w:tc>
          <w:tcPr>
            <w:tcW w:w="1860" w:type="dxa"/>
            <w:vAlign w:val="bottom"/>
            <w:gridSpan w:val="5"/>
          </w:tcPr>
          <w:p>
            <w:pPr>
              <w:jc w:val="right"/>
              <w:ind w:right="61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6"/>
                <w:szCs w:val="16"/>
                <w:color w:val="auto"/>
              </w:rPr>
            </w:pPr>
          </w:p>
        </w:tc>
        <w:tc>
          <w:tcPr>
            <w:tcW w:w="1860" w:type="dxa"/>
            <w:vAlign w:val="bottom"/>
            <w:gridSpan w:val="5"/>
          </w:tcPr>
          <w:p>
            <w:pPr>
              <w:jc w:val="right"/>
              <w:ind w:right="611"/>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6"/>
                <w:szCs w:val="16"/>
                <w:color w:val="auto"/>
              </w:rPr>
            </w:pPr>
          </w:p>
        </w:tc>
      </w:tr>
      <w:tr>
        <w:trPr>
          <w:trHeight w:val="151"/>
        </w:trPr>
        <w:tc>
          <w:tcPr>
            <w:tcW w:w="198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120"/>
              <w:spacing w:after="0" w:line="151" w:lineRule="exact"/>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120"/>
              <w:spacing w:after="0" w:line="151" w:lineRule="exact"/>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120"/>
              <w:spacing w:after="0" w:line="151" w:lineRule="exact"/>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8"/>
              </w:rPr>
              <w:t>Weighted</w:t>
            </w:r>
          </w:p>
        </w:tc>
      </w:tr>
      <w:tr>
        <w:trPr>
          <w:trHeight w:val="141"/>
        </w:trPr>
        <w:tc>
          <w:tcPr>
            <w:tcW w:w="1980" w:type="dxa"/>
            <w:vAlign w:val="bottom"/>
          </w:tcPr>
          <w:p>
            <w:pPr>
              <w:spacing w:after="0"/>
              <w:rPr>
                <w:sz w:val="12"/>
                <w:szCs w:val="12"/>
                <w:color w:val="auto"/>
              </w:rPr>
            </w:pPr>
          </w:p>
        </w:tc>
        <w:tc>
          <w:tcPr>
            <w:tcW w:w="88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3"/>
              </w:rPr>
              <w:t>average</w:t>
            </w:r>
          </w:p>
        </w:tc>
      </w:tr>
      <w:tr>
        <w:trPr>
          <w:trHeight w:val="141"/>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5"/>
              </w:rPr>
              <w:t>exercise price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5"/>
              </w:rPr>
              <w:t>exercise price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5"/>
              </w:rPr>
              <w:t>exercise price</w:t>
            </w:r>
          </w:p>
        </w:tc>
      </w:tr>
      <w:tr>
        <w:trPr>
          <w:trHeight w:val="164"/>
        </w:trPr>
        <w:tc>
          <w:tcPr>
            <w:tcW w:w="19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NIS)</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NIS)</w:t>
            </w: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(in NIS)</w:t>
            </w:r>
          </w:p>
        </w:tc>
      </w:tr>
      <w:tr>
        <w:trPr>
          <w:trHeight w:val="186"/>
        </w:trPr>
        <w:tc>
          <w:tcPr>
            <w:tcW w:w="1980" w:type="dxa"/>
            <w:vAlign w:val="bottom"/>
            <w:shd w:val="clear" w:color="auto" w:fill="CCFFCC"/>
          </w:tcPr>
          <w:p>
            <w:pPr>
              <w:spacing w:after="0" w:line="186" w:lineRule="exact"/>
              <w:rPr>
                <w:sz w:val="20"/>
                <w:szCs w:val="20"/>
                <w:color w:val="auto"/>
              </w:rPr>
            </w:pPr>
            <w:r>
              <w:rPr>
                <w:rFonts w:ascii="Arial" w:cs="Arial" w:eastAsia="Arial" w:hAnsi="Arial"/>
                <w:sz w:val="17"/>
                <w:szCs w:val="17"/>
                <w:color w:val="auto"/>
              </w:rPr>
              <w:t>Outstanding at beginning</w:t>
            </w:r>
          </w:p>
        </w:tc>
        <w:tc>
          <w:tcPr>
            <w:tcW w:w="780" w:type="dxa"/>
            <w:vAlign w:val="bottom"/>
            <w:shd w:val="clear" w:color="auto" w:fill="CCFFCC"/>
          </w:tcPr>
          <w:p>
            <w:pPr>
              <w:jc w:val="right"/>
              <w:spacing w:after="0" w:line="186" w:lineRule="exact"/>
              <w:rPr>
                <w:sz w:val="20"/>
                <w:szCs w:val="20"/>
                <w:color w:val="auto"/>
              </w:rPr>
            </w:pPr>
            <w:r>
              <w:rPr>
                <w:rFonts w:ascii="Arial" w:cs="Arial" w:eastAsia="Arial" w:hAnsi="Arial"/>
                <w:sz w:val="17"/>
                <w:szCs w:val="17"/>
                <w:color w:val="auto"/>
              </w:rPr>
              <w:t>5,071,486</w:t>
            </w:r>
          </w:p>
        </w:tc>
        <w:tc>
          <w:tcPr>
            <w:tcW w:w="100" w:type="dxa"/>
            <w:vAlign w:val="bottom"/>
            <w:shd w:val="clear" w:color="auto" w:fill="CCFFCC"/>
          </w:tcPr>
          <w:p>
            <w:pPr>
              <w:spacing w:after="0"/>
              <w:rPr>
                <w:sz w:val="16"/>
                <w:szCs w:val="16"/>
                <w:color w:val="auto"/>
              </w:rPr>
            </w:pPr>
          </w:p>
        </w:tc>
        <w:tc>
          <w:tcPr>
            <w:tcW w:w="980" w:type="dxa"/>
            <w:vAlign w:val="bottom"/>
            <w:gridSpan w:val="3"/>
            <w:shd w:val="clear" w:color="auto" w:fill="CCFFCC"/>
          </w:tcPr>
          <w:p>
            <w:pPr>
              <w:jc w:val="right"/>
              <w:ind w:right="120"/>
              <w:spacing w:after="0" w:line="186" w:lineRule="exact"/>
              <w:rPr>
                <w:sz w:val="20"/>
                <w:szCs w:val="20"/>
                <w:color w:val="auto"/>
              </w:rPr>
            </w:pPr>
            <w:r>
              <w:rPr>
                <w:rFonts w:ascii="Arial" w:cs="Arial" w:eastAsia="Arial" w:hAnsi="Arial"/>
                <w:sz w:val="17"/>
                <w:szCs w:val="17"/>
                <w:color w:val="auto"/>
              </w:rPr>
              <w:t>1.02</w:t>
            </w:r>
          </w:p>
        </w:tc>
        <w:tc>
          <w:tcPr>
            <w:tcW w:w="1000" w:type="dxa"/>
            <w:vAlign w:val="bottom"/>
            <w:gridSpan w:val="3"/>
            <w:shd w:val="clear" w:color="auto" w:fill="CCFFCC"/>
          </w:tcPr>
          <w:p>
            <w:pPr>
              <w:jc w:val="right"/>
              <w:ind w:right="100"/>
              <w:spacing w:after="0" w:line="186" w:lineRule="exact"/>
              <w:rPr>
                <w:sz w:val="20"/>
                <w:szCs w:val="20"/>
                <w:color w:val="auto"/>
              </w:rPr>
            </w:pPr>
            <w:r>
              <w:rPr>
                <w:rFonts w:ascii="Arial" w:cs="Arial" w:eastAsia="Arial" w:hAnsi="Arial"/>
                <w:sz w:val="17"/>
                <w:szCs w:val="17"/>
                <w:color w:val="auto"/>
              </w:rPr>
              <w:t>5,509,986</w:t>
            </w:r>
          </w:p>
        </w:tc>
        <w:tc>
          <w:tcPr>
            <w:tcW w:w="980" w:type="dxa"/>
            <w:vAlign w:val="bottom"/>
            <w:gridSpan w:val="3"/>
            <w:shd w:val="clear" w:color="auto" w:fill="CCFFCC"/>
          </w:tcPr>
          <w:p>
            <w:pPr>
              <w:jc w:val="right"/>
              <w:ind w:right="120"/>
              <w:spacing w:after="0" w:line="186" w:lineRule="exact"/>
              <w:rPr>
                <w:sz w:val="20"/>
                <w:szCs w:val="20"/>
                <w:color w:val="auto"/>
              </w:rPr>
            </w:pPr>
            <w:r>
              <w:rPr>
                <w:rFonts w:ascii="Arial" w:cs="Arial" w:eastAsia="Arial" w:hAnsi="Arial"/>
                <w:sz w:val="17"/>
                <w:szCs w:val="17"/>
                <w:color w:val="auto"/>
              </w:rPr>
              <w:t>1.16</w:t>
            </w:r>
          </w:p>
        </w:tc>
        <w:tc>
          <w:tcPr>
            <w:tcW w:w="980" w:type="dxa"/>
            <w:vAlign w:val="bottom"/>
            <w:gridSpan w:val="3"/>
            <w:shd w:val="clear" w:color="auto" w:fill="CCFFCC"/>
          </w:tcPr>
          <w:p>
            <w:pPr>
              <w:jc w:val="right"/>
              <w:ind w:right="100"/>
              <w:spacing w:after="0" w:line="186" w:lineRule="exact"/>
              <w:rPr>
                <w:sz w:val="20"/>
                <w:szCs w:val="20"/>
                <w:color w:val="auto"/>
              </w:rPr>
            </w:pPr>
            <w:r>
              <w:rPr>
                <w:rFonts w:ascii="Arial" w:cs="Arial" w:eastAsia="Arial" w:hAnsi="Arial"/>
                <w:sz w:val="17"/>
                <w:szCs w:val="17"/>
                <w:color w:val="auto"/>
              </w:rPr>
              <w:t>2,053,551</w:t>
            </w:r>
          </w:p>
        </w:tc>
        <w:tc>
          <w:tcPr>
            <w:tcW w:w="1020" w:type="dxa"/>
            <w:vAlign w:val="bottom"/>
            <w:gridSpan w:val="3"/>
            <w:shd w:val="clear" w:color="auto" w:fill="CCFFCC"/>
          </w:tcPr>
          <w:p>
            <w:pPr>
              <w:jc w:val="right"/>
              <w:ind w:right="140"/>
              <w:spacing w:after="0" w:line="186" w:lineRule="exact"/>
              <w:rPr>
                <w:sz w:val="20"/>
                <w:szCs w:val="20"/>
                <w:color w:val="auto"/>
              </w:rPr>
            </w:pPr>
            <w:r>
              <w:rPr>
                <w:rFonts w:ascii="Arial" w:cs="Arial" w:eastAsia="Arial" w:hAnsi="Arial"/>
                <w:sz w:val="17"/>
                <w:szCs w:val="17"/>
                <w:color w:val="auto"/>
              </w:rPr>
              <w:t>2.44</w:t>
            </w:r>
          </w:p>
        </w:tc>
      </w:tr>
      <w:tr>
        <w:trPr>
          <w:trHeight w:val="218"/>
        </w:trPr>
        <w:tc>
          <w:tcPr>
            <w:tcW w:w="19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of year</w:t>
            </w: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06"/>
        </w:trPr>
        <w:tc>
          <w:tcPr>
            <w:tcW w:w="1980" w:type="dxa"/>
            <w:vAlign w:val="bottom"/>
          </w:tcPr>
          <w:p>
            <w:pPr>
              <w:ind w:left="180"/>
              <w:spacing w:after="0"/>
              <w:rPr>
                <w:sz w:val="20"/>
                <w:szCs w:val="20"/>
                <w:color w:val="auto"/>
              </w:rPr>
            </w:pPr>
            <w:r>
              <w:rPr>
                <w:rFonts w:ascii="Arial" w:cs="Arial" w:eastAsia="Arial" w:hAnsi="Arial"/>
                <w:sz w:val="17"/>
                <w:szCs w:val="17"/>
                <w:color w:val="auto"/>
              </w:rPr>
              <w:t>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491,500</w:t>
            </w:r>
          </w:p>
        </w:tc>
        <w:tc>
          <w:tcPr>
            <w:tcW w:w="10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2.98</w:t>
            </w: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198,330</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2.31</w:t>
            </w: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4,905,400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4.11</w:t>
            </w:r>
          </w:p>
        </w:tc>
      </w:tr>
      <w:tr>
        <w:trPr>
          <w:trHeight w:val="206"/>
        </w:trPr>
        <w:tc>
          <w:tcPr>
            <w:tcW w:w="1980" w:type="dxa"/>
            <w:vAlign w:val="bottom"/>
            <w:shd w:val="clear" w:color="auto" w:fill="CCFFCC"/>
          </w:tcPr>
          <w:p>
            <w:pPr>
              <w:ind w:left="180"/>
              <w:spacing w:after="0"/>
              <w:rPr>
                <w:sz w:val="20"/>
                <w:szCs w:val="20"/>
                <w:color w:val="auto"/>
              </w:rPr>
            </w:pPr>
            <w:r>
              <w:rPr>
                <w:rFonts w:ascii="Arial" w:cs="Arial" w:eastAsia="Arial" w:hAnsi="Arial"/>
                <w:sz w:val="17"/>
                <w:szCs w:val="17"/>
                <w:color w:val="auto"/>
              </w:rPr>
              <w:t>Forfeited</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(53,000)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4.25</w:t>
            </w: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(658,137)</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2.61</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(443,873)</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4.89</w:t>
            </w:r>
          </w:p>
        </w:tc>
      </w:tr>
      <w:tr>
        <w:trPr>
          <w:trHeight w:val="206"/>
        </w:trPr>
        <w:tc>
          <w:tcPr>
            <w:tcW w:w="198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7"/>
                <w:szCs w:val="17"/>
                <w:color w:val="auto"/>
              </w:rPr>
              <w:t>(2,996,628)</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0.04</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(53,103)</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0.46</w:t>
            </w:r>
          </w:p>
        </w:tc>
      </w:tr>
      <w:tr>
        <w:trPr>
          <w:trHeight w:val="20"/>
        </w:trPr>
        <w:tc>
          <w:tcPr>
            <w:tcW w:w="1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9"/>
        </w:trPr>
        <w:tc>
          <w:tcPr>
            <w:tcW w:w="1980" w:type="dxa"/>
            <w:vAlign w:val="bottom"/>
            <w:shd w:val="clear" w:color="auto" w:fill="CCFFCC"/>
          </w:tcPr>
          <w:p>
            <w:pPr>
              <w:spacing w:after="0"/>
              <w:rPr>
                <w:sz w:val="20"/>
                <w:szCs w:val="20"/>
                <w:color w:val="auto"/>
              </w:rPr>
            </w:pPr>
            <w:r>
              <w:rPr>
                <w:rFonts w:ascii="Arial" w:cs="Arial" w:eastAsia="Arial" w:hAnsi="Arial"/>
                <w:sz w:val="17"/>
                <w:szCs w:val="17"/>
                <w:color w:val="auto"/>
                <w:w w:val="97"/>
              </w:rPr>
              <w:t>Outstanding at end of year</w:t>
            </w:r>
          </w:p>
        </w:tc>
        <w:tc>
          <w:tcPr>
            <w:tcW w:w="7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5,509,986</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1.16</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2,053,551</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2.44</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6,461,975</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3.56</w:t>
            </w:r>
          </w:p>
        </w:tc>
      </w:tr>
      <w:tr>
        <w:trPr>
          <w:trHeight w:val="20"/>
        </w:trPr>
        <w:tc>
          <w:tcPr>
            <w:tcW w:w="19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17"/>
                <w:szCs w:val="17"/>
                <w:color w:val="auto"/>
                <w:w w:val="99"/>
              </w:rPr>
              <w:t>Exercisable at end of year</w:t>
            </w:r>
          </w:p>
        </w:tc>
        <w:tc>
          <w:tcPr>
            <w:tcW w:w="780" w:type="dxa"/>
            <w:vAlign w:val="bottom"/>
          </w:tcPr>
          <w:p>
            <w:pPr>
              <w:jc w:val="right"/>
              <w:spacing w:after="0"/>
              <w:rPr>
                <w:sz w:val="20"/>
                <w:szCs w:val="20"/>
                <w:color w:val="auto"/>
              </w:rPr>
            </w:pPr>
            <w:r>
              <w:rPr>
                <w:rFonts w:ascii="Arial" w:cs="Arial" w:eastAsia="Arial" w:hAnsi="Arial"/>
                <w:sz w:val="17"/>
                <w:szCs w:val="17"/>
                <w:color w:val="auto"/>
              </w:rPr>
              <w:t>2,972,124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0.67</w:t>
            </w: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689,946</w:t>
            </w:r>
          </w:p>
        </w:tc>
        <w:tc>
          <w:tcPr>
            <w:tcW w:w="980" w:type="dxa"/>
            <w:vAlign w:val="bottom"/>
            <w:gridSpan w:val="3"/>
          </w:tcPr>
          <w:p>
            <w:pPr>
              <w:jc w:val="right"/>
              <w:ind w:right="120"/>
              <w:spacing w:after="0"/>
              <w:rPr>
                <w:sz w:val="20"/>
                <w:szCs w:val="20"/>
                <w:color w:val="auto"/>
              </w:rPr>
            </w:pPr>
            <w:r>
              <w:rPr>
                <w:rFonts w:ascii="Arial" w:cs="Arial" w:eastAsia="Arial" w:hAnsi="Arial"/>
                <w:sz w:val="17"/>
                <w:szCs w:val="17"/>
                <w:color w:val="auto"/>
              </w:rPr>
              <w:t>2.92</w:t>
            </w: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1,120,270</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1.69</w:t>
            </w:r>
          </w:p>
        </w:tc>
      </w:tr>
      <w:tr>
        <w:trPr>
          <w:trHeight w:val="20"/>
        </w:trPr>
        <w:tc>
          <w:tcPr>
            <w:tcW w:w="1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4966335" cy="1962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66335" cy="196215"/>
                    </a:xfrm>
                    <a:prstGeom prst="rect">
                      <a:avLst/>
                    </a:prstGeom>
                    <a:noFill/>
                  </pic:spPr>
                </pic:pic>
              </a:graphicData>
            </a:graphic>
          </wp:anchor>
        </w:drawing>
      </w:r>
    </w:p>
    <w:p>
      <w:pPr>
        <w:spacing w:after="0" w:line="70" w:lineRule="exact"/>
        <w:rPr>
          <w:sz w:val="20"/>
          <w:szCs w:val="20"/>
          <w:color w:val="auto"/>
        </w:rPr>
      </w:pPr>
    </w:p>
    <w:p>
      <w:pPr>
        <w:ind w:left="820" w:right="1319"/>
        <w:spacing w:after="0" w:line="278" w:lineRule="auto"/>
        <w:rPr>
          <w:sz w:val="20"/>
          <w:szCs w:val="20"/>
          <w:color w:val="auto"/>
        </w:rPr>
      </w:pPr>
      <w:r>
        <w:rPr>
          <w:rFonts w:ascii="Arial" w:cs="Arial" w:eastAsia="Arial" w:hAnsi="Arial"/>
          <w:sz w:val="17"/>
          <w:szCs w:val="17"/>
          <w:color w:val="auto"/>
        </w:rPr>
        <w:t>The total consideration received from the exercise of stock options during 2009 and 2010 was NIS 116,000 and NIS 26,000, respectively.</w:t>
      </w:r>
    </w:p>
    <w:p>
      <w:pPr>
        <w:spacing w:after="0" w:line="62" w:lineRule="exact"/>
        <w:rPr>
          <w:sz w:val="20"/>
          <w:szCs w:val="20"/>
          <w:color w:val="auto"/>
        </w:rPr>
      </w:pPr>
    </w:p>
    <w:p>
      <w:pPr>
        <w:ind w:left="820" w:right="1139"/>
        <w:spacing w:after="0" w:line="278" w:lineRule="auto"/>
        <w:rPr>
          <w:sz w:val="20"/>
          <w:szCs w:val="20"/>
          <w:color w:val="auto"/>
        </w:rPr>
      </w:pPr>
      <w:r>
        <w:rPr>
          <w:rFonts w:ascii="Arial" w:cs="Arial" w:eastAsia="Arial" w:hAnsi="Arial"/>
          <w:sz w:val="17"/>
          <w:szCs w:val="17"/>
          <w:color w:val="auto"/>
        </w:rPr>
        <w:t>The weighted average price of the Company’s shares on the dates of exercise was NIS 2.42 and NIS 3.53 for 2009 and 2010, respectively.</w:t>
      </w:r>
    </w:p>
    <w:p>
      <w:pPr>
        <w:spacing w:after="0" w:line="62" w:lineRule="exact"/>
        <w:rPr>
          <w:sz w:val="20"/>
          <w:szCs w:val="20"/>
          <w:color w:val="auto"/>
        </w:rPr>
      </w:pPr>
    </w:p>
    <w:p>
      <w:pPr>
        <w:ind w:left="820" w:right="1059"/>
        <w:spacing w:after="0" w:line="270" w:lineRule="auto"/>
        <w:rPr>
          <w:sz w:val="20"/>
          <w:szCs w:val="20"/>
          <w:color w:val="auto"/>
        </w:rPr>
      </w:pPr>
      <w:r>
        <w:rPr>
          <w:rFonts w:ascii="Arial" w:cs="Arial" w:eastAsia="Arial" w:hAnsi="Arial"/>
          <w:sz w:val="17"/>
          <w:szCs w:val="17"/>
          <w:color w:val="auto"/>
        </w:rPr>
        <w:t>Set forth below is data regarding the range of exercise prices and weighted-average remaining contractual life (in years) for the options outstanding at the end of each of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0919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300" w:type="dxa"/>
            <w:vAlign w:val="bottom"/>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2"/>
                <w:szCs w:val="12"/>
                <w:color w:val="auto"/>
              </w:rPr>
            </w:pPr>
          </w:p>
        </w:tc>
        <w:tc>
          <w:tcPr>
            <w:tcW w:w="8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Range of</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Weighted</w:t>
            </w:r>
          </w:p>
        </w:tc>
      </w:tr>
      <w:tr>
        <w:trPr>
          <w:trHeight w:val="141"/>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r>
      <w:tr>
        <w:trPr>
          <w:trHeight w:val="141"/>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2"/>
              </w:rPr>
              <w:t>prices</w:t>
            </w:r>
          </w:p>
        </w:tc>
        <w:tc>
          <w:tcPr>
            <w:tcW w:w="16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remaining</w:t>
            </w:r>
          </w:p>
        </w:tc>
      </w:tr>
      <w:tr>
        <w:trPr>
          <w:trHeight w:val="141"/>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(in NIS)</w:t>
            </w:r>
          </w:p>
        </w:tc>
        <w:tc>
          <w:tcPr>
            <w:tcW w:w="16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contractual life</w:t>
            </w:r>
          </w:p>
        </w:tc>
      </w:tr>
      <w:tr>
        <w:trPr>
          <w:trHeight w:val="164"/>
        </w:trPr>
        <w:tc>
          <w:tcPr>
            <w:tcW w:w="3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r>
      <w:tr>
        <w:trPr>
          <w:trHeight w:val="199"/>
        </w:trPr>
        <w:tc>
          <w:tcPr>
            <w:tcW w:w="3300" w:type="dxa"/>
            <w:vAlign w:val="bottom"/>
            <w:shd w:val="clear" w:color="auto" w:fill="CCFFCC"/>
          </w:tcPr>
          <w:p>
            <w:pPr>
              <w:spacing w:after="0"/>
              <w:rPr>
                <w:sz w:val="20"/>
                <w:szCs w:val="20"/>
                <w:color w:val="auto"/>
              </w:rPr>
            </w:pPr>
            <w:r>
              <w:rPr>
                <w:rFonts w:ascii="Arial" w:cs="Arial" w:eastAsia="Arial" w:hAnsi="Arial"/>
                <w:sz w:val="17"/>
                <w:szCs w:val="17"/>
                <w:color w:val="auto"/>
              </w:rPr>
              <w:t>2008</w:t>
            </w:r>
          </w:p>
        </w:tc>
        <w:tc>
          <w:tcPr>
            <w:tcW w:w="1000" w:type="dxa"/>
            <w:vAlign w:val="bottom"/>
            <w:gridSpan w:val="2"/>
            <w:shd w:val="clear" w:color="auto" w:fill="CCFFCC"/>
          </w:tcPr>
          <w:p>
            <w:pPr>
              <w:ind w:left="260"/>
              <w:spacing w:after="0"/>
              <w:rPr>
                <w:sz w:val="20"/>
                <w:szCs w:val="20"/>
                <w:color w:val="auto"/>
              </w:rPr>
            </w:pPr>
            <w:r>
              <w:rPr>
                <w:rFonts w:ascii="Arial" w:cs="Arial" w:eastAsia="Arial" w:hAnsi="Arial"/>
                <w:sz w:val="17"/>
                <w:szCs w:val="17"/>
                <w:color w:val="auto"/>
                <w:w w:val="95"/>
              </w:rPr>
              <w:t>5,509,986</w:t>
            </w:r>
          </w:p>
        </w:tc>
        <w:tc>
          <w:tcPr>
            <w:tcW w:w="140" w:type="dxa"/>
            <w:vAlign w:val="bottom"/>
            <w:shd w:val="clear" w:color="auto" w:fill="CCFFCC"/>
          </w:tcPr>
          <w:p>
            <w:pPr>
              <w:spacing w:after="0"/>
              <w:rPr>
                <w:sz w:val="17"/>
                <w:szCs w:val="17"/>
                <w:color w:val="auto"/>
              </w:rPr>
            </w:pPr>
          </w:p>
        </w:tc>
        <w:tc>
          <w:tcPr>
            <w:tcW w:w="9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0.04 – 5.04</w:t>
            </w:r>
          </w:p>
        </w:tc>
        <w:tc>
          <w:tcPr>
            <w:tcW w:w="1080" w:type="dxa"/>
            <w:vAlign w:val="bottom"/>
            <w:gridSpan w:val="2"/>
            <w:shd w:val="clear" w:color="auto" w:fill="CCFFCC"/>
          </w:tcPr>
          <w:p>
            <w:pPr>
              <w:jc w:val="right"/>
              <w:ind w:right="71"/>
              <w:spacing w:after="0"/>
              <w:rPr>
                <w:sz w:val="20"/>
                <w:szCs w:val="20"/>
                <w:color w:val="auto"/>
              </w:rPr>
            </w:pPr>
            <w:r>
              <w:rPr>
                <w:rFonts w:ascii="Arial" w:cs="Arial" w:eastAsia="Arial" w:hAnsi="Arial"/>
                <w:sz w:val="17"/>
                <w:szCs w:val="17"/>
                <w:color w:val="auto"/>
              </w:rPr>
              <w:t>7.45</w:t>
            </w:r>
          </w:p>
        </w:tc>
      </w:tr>
      <w:tr>
        <w:trPr>
          <w:trHeight w:val="206"/>
        </w:trPr>
        <w:tc>
          <w:tcPr>
            <w:tcW w:w="3300" w:type="dxa"/>
            <w:vAlign w:val="bottom"/>
          </w:tcPr>
          <w:p>
            <w:pPr>
              <w:spacing w:after="0"/>
              <w:rPr>
                <w:sz w:val="20"/>
                <w:szCs w:val="20"/>
                <w:color w:val="auto"/>
              </w:rPr>
            </w:pPr>
            <w:r>
              <w:rPr>
                <w:rFonts w:ascii="Arial" w:cs="Arial" w:eastAsia="Arial" w:hAnsi="Arial"/>
                <w:sz w:val="17"/>
                <w:szCs w:val="17"/>
                <w:color w:val="auto"/>
              </w:rPr>
              <w:t>2009</w:t>
            </w:r>
          </w:p>
        </w:tc>
        <w:tc>
          <w:tcPr>
            <w:tcW w:w="1000" w:type="dxa"/>
            <w:vAlign w:val="bottom"/>
            <w:gridSpan w:val="2"/>
          </w:tcPr>
          <w:p>
            <w:pPr>
              <w:ind w:left="260"/>
              <w:spacing w:after="0"/>
              <w:rPr>
                <w:sz w:val="20"/>
                <w:szCs w:val="20"/>
                <w:color w:val="auto"/>
              </w:rPr>
            </w:pPr>
            <w:r>
              <w:rPr>
                <w:rFonts w:ascii="Arial" w:cs="Arial" w:eastAsia="Arial" w:hAnsi="Arial"/>
                <w:sz w:val="17"/>
                <w:szCs w:val="17"/>
                <w:color w:val="auto"/>
                <w:w w:val="95"/>
              </w:rPr>
              <w:t>2,053,551</w:t>
            </w: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0.04 – 5.04</w:t>
            </w:r>
          </w:p>
        </w:tc>
        <w:tc>
          <w:tcPr>
            <w:tcW w:w="1080" w:type="dxa"/>
            <w:vAlign w:val="bottom"/>
            <w:gridSpan w:val="2"/>
          </w:tcPr>
          <w:p>
            <w:pPr>
              <w:jc w:val="right"/>
              <w:ind w:right="71"/>
              <w:spacing w:after="0"/>
              <w:rPr>
                <w:sz w:val="20"/>
                <w:szCs w:val="20"/>
                <w:color w:val="auto"/>
              </w:rPr>
            </w:pPr>
            <w:r>
              <w:rPr>
                <w:rFonts w:ascii="Arial" w:cs="Arial" w:eastAsia="Arial" w:hAnsi="Arial"/>
                <w:sz w:val="17"/>
                <w:szCs w:val="17"/>
                <w:color w:val="auto"/>
              </w:rPr>
              <w:t>6.56</w:t>
            </w:r>
          </w:p>
        </w:tc>
      </w:tr>
      <w:tr>
        <w:trPr>
          <w:trHeight w:val="206"/>
        </w:trPr>
        <w:tc>
          <w:tcPr>
            <w:tcW w:w="3300" w:type="dxa"/>
            <w:vAlign w:val="bottom"/>
            <w:shd w:val="clear" w:color="auto" w:fill="CCFFCC"/>
          </w:tcPr>
          <w:p>
            <w:pPr>
              <w:spacing w:after="0"/>
              <w:rPr>
                <w:sz w:val="20"/>
                <w:szCs w:val="20"/>
                <w:color w:val="auto"/>
              </w:rPr>
            </w:pPr>
            <w:r>
              <w:rPr>
                <w:rFonts w:ascii="Arial" w:cs="Arial" w:eastAsia="Arial" w:hAnsi="Arial"/>
                <w:sz w:val="17"/>
                <w:szCs w:val="17"/>
                <w:color w:val="auto"/>
              </w:rPr>
              <w:t>2010</w:t>
            </w:r>
          </w:p>
        </w:tc>
        <w:tc>
          <w:tcPr>
            <w:tcW w:w="1000" w:type="dxa"/>
            <w:vAlign w:val="bottom"/>
            <w:gridSpan w:val="2"/>
            <w:shd w:val="clear" w:color="auto" w:fill="CCFFCC"/>
          </w:tcPr>
          <w:p>
            <w:pPr>
              <w:ind w:left="260"/>
              <w:spacing w:after="0"/>
              <w:rPr>
                <w:sz w:val="20"/>
                <w:szCs w:val="20"/>
                <w:color w:val="auto"/>
              </w:rPr>
            </w:pPr>
            <w:r>
              <w:rPr>
                <w:rFonts w:ascii="Arial" w:cs="Arial" w:eastAsia="Arial" w:hAnsi="Arial"/>
                <w:sz w:val="17"/>
                <w:szCs w:val="17"/>
                <w:color w:val="auto"/>
                <w:w w:val="95"/>
              </w:rPr>
              <w:t>6,461,975</w:t>
            </w:r>
          </w:p>
        </w:tc>
        <w:tc>
          <w:tcPr>
            <w:tcW w:w="140" w:type="dxa"/>
            <w:vAlign w:val="bottom"/>
            <w:shd w:val="clear" w:color="auto" w:fill="CCFFCC"/>
          </w:tcPr>
          <w:p>
            <w:pPr>
              <w:spacing w:after="0"/>
              <w:rPr>
                <w:sz w:val="17"/>
                <w:szCs w:val="17"/>
                <w:color w:val="auto"/>
              </w:rPr>
            </w:pPr>
          </w:p>
        </w:tc>
        <w:tc>
          <w:tcPr>
            <w:tcW w:w="92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0.04 – 5.04</w:t>
            </w:r>
          </w:p>
        </w:tc>
        <w:tc>
          <w:tcPr>
            <w:tcW w:w="1080" w:type="dxa"/>
            <w:vAlign w:val="bottom"/>
            <w:gridSpan w:val="2"/>
            <w:shd w:val="clear" w:color="auto" w:fill="CCFFCC"/>
          </w:tcPr>
          <w:p>
            <w:pPr>
              <w:jc w:val="right"/>
              <w:ind w:right="71"/>
              <w:spacing w:after="0"/>
              <w:rPr>
                <w:sz w:val="20"/>
                <w:szCs w:val="20"/>
                <w:color w:val="auto"/>
              </w:rPr>
            </w:pPr>
            <w:r>
              <w:rPr>
                <w:rFonts w:ascii="Arial" w:cs="Arial" w:eastAsia="Arial" w:hAnsi="Arial"/>
                <w:sz w:val="17"/>
                <w:szCs w:val="17"/>
                <w:color w:val="auto"/>
              </w:rPr>
              <w:t>4.69</w:t>
            </w:r>
          </w:p>
        </w:tc>
      </w:tr>
    </w:tbl>
    <w:p>
      <w:pPr>
        <w:spacing w:after="0" w:line="90"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Ordinary Shares allotted under these plans will confer the same rights as all other Ordinary Shares in the Company.</w:t>
      </w:r>
    </w:p>
    <w:p>
      <w:pPr>
        <w:spacing w:after="0" w:line="136" w:lineRule="exact"/>
        <w:rPr>
          <w:sz w:val="20"/>
          <w:szCs w:val="20"/>
          <w:color w:val="auto"/>
        </w:rPr>
      </w:pPr>
    </w:p>
    <w:p>
      <w:pPr>
        <w:ind w:left="820" w:right="999"/>
        <w:spacing w:after="0" w:line="261" w:lineRule="auto"/>
        <w:rPr>
          <w:sz w:val="20"/>
          <w:szCs w:val="20"/>
          <w:color w:val="auto"/>
        </w:rPr>
      </w:pPr>
      <w:r>
        <w:rPr>
          <w:rFonts w:ascii="Arial" w:cs="Arial" w:eastAsia="Arial" w:hAnsi="Arial"/>
          <w:sz w:val="17"/>
          <w:szCs w:val="17"/>
          <w:color w:val="auto"/>
        </w:rPr>
        <w:t>Employees of the Group have been granted options under Section 102 of the Israeli Income Tax Ordinance (the “Ordinance”). Non-employees of the Group (service providers, consultants, etc.), as well as controlling shareholders in the Company (as this term is defined in Section 32(9) of the Ordinance), have been granted options under Section 3(i) of the Ordinance.</w:t>
      </w:r>
    </w:p>
    <w:p>
      <w:pPr>
        <w:spacing w:after="0" w:line="200" w:lineRule="exact"/>
        <w:rPr>
          <w:sz w:val="20"/>
          <w:szCs w:val="20"/>
          <w:color w:val="auto"/>
        </w:rPr>
      </w:pPr>
    </w:p>
    <w:p>
      <w:pPr>
        <w:spacing w:after="0" w:line="31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9 — EQUITY – (continued)</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fair value of all options granted to employees through December 31, 2010 has been determined using the Black-</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Scholes option-pricing model. These values are based on the following assumptions as of the applicable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40919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80" w:type="dxa"/>
            <w:vAlign w:val="bottom"/>
          </w:tcPr>
          <w:p>
            <w:pPr>
              <w:spacing w:after="0"/>
              <w:rPr>
                <w:sz w:val="15"/>
                <w:szCs w:val="15"/>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2010</w:t>
            </w:r>
          </w:p>
        </w:tc>
      </w:tr>
      <w:tr>
        <w:trPr>
          <w:trHeight w:val="199"/>
        </w:trPr>
        <w:tc>
          <w:tcPr>
            <w:tcW w:w="4180" w:type="dxa"/>
            <w:vAlign w:val="bottom"/>
            <w:shd w:val="clear" w:color="auto" w:fill="CCFFCC"/>
          </w:tcPr>
          <w:p>
            <w:pPr>
              <w:spacing w:after="0"/>
              <w:rPr>
                <w:sz w:val="20"/>
                <w:szCs w:val="20"/>
                <w:color w:val="auto"/>
              </w:rPr>
            </w:pPr>
            <w:r>
              <w:rPr>
                <w:rFonts w:ascii="Arial" w:cs="Arial" w:eastAsia="Arial" w:hAnsi="Arial"/>
                <w:sz w:val="17"/>
                <w:szCs w:val="17"/>
                <w:color w:val="auto"/>
              </w:rPr>
              <w:t>Expected dividend yield</w:t>
            </w:r>
          </w:p>
        </w:tc>
        <w:tc>
          <w:tcPr>
            <w:tcW w:w="620" w:type="dxa"/>
            <w:vAlign w:val="bottom"/>
            <w:shd w:val="clear" w:color="auto" w:fill="CCFFCC"/>
          </w:tcPr>
          <w:p>
            <w:pPr>
              <w:jc w:val="right"/>
              <w:ind w:right="58"/>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0%</w:t>
            </w:r>
          </w:p>
        </w:tc>
        <w:tc>
          <w:tcPr>
            <w:tcW w:w="880" w:type="dxa"/>
            <w:vAlign w:val="bottom"/>
            <w:gridSpan w:val="2"/>
            <w:shd w:val="clear" w:color="auto" w:fill="CCFFCC"/>
          </w:tcPr>
          <w:p>
            <w:pPr>
              <w:jc w:val="right"/>
              <w:ind w:right="111"/>
              <w:spacing w:after="0"/>
              <w:rPr>
                <w:sz w:val="20"/>
                <w:szCs w:val="20"/>
                <w:color w:val="auto"/>
              </w:rPr>
            </w:pPr>
            <w:r>
              <w:rPr>
                <w:rFonts w:ascii="Arial" w:cs="Arial" w:eastAsia="Arial" w:hAnsi="Arial"/>
                <w:sz w:val="17"/>
                <w:szCs w:val="17"/>
                <w:color w:val="auto"/>
              </w:rPr>
              <w:t>0%</w:t>
            </w:r>
          </w:p>
        </w:tc>
      </w:tr>
      <w:tr>
        <w:trPr>
          <w:trHeight w:val="206"/>
        </w:trPr>
        <w:tc>
          <w:tcPr>
            <w:tcW w:w="4180" w:type="dxa"/>
            <w:vAlign w:val="bottom"/>
          </w:tcPr>
          <w:p>
            <w:pPr>
              <w:spacing w:after="0"/>
              <w:rPr>
                <w:sz w:val="20"/>
                <w:szCs w:val="20"/>
                <w:color w:val="auto"/>
              </w:rPr>
            </w:pPr>
            <w:r>
              <w:rPr>
                <w:rFonts w:ascii="Arial" w:cs="Arial" w:eastAsia="Arial" w:hAnsi="Arial"/>
                <w:sz w:val="17"/>
                <w:szCs w:val="17"/>
                <w:color w:val="auto"/>
              </w:rPr>
              <w:t>Expected volatility*</w:t>
            </w:r>
          </w:p>
        </w:tc>
        <w:tc>
          <w:tcPr>
            <w:tcW w:w="620" w:type="dxa"/>
            <w:vAlign w:val="bottom"/>
          </w:tcPr>
          <w:p>
            <w:pPr>
              <w:jc w:val="right"/>
              <w:ind w:right="58"/>
              <w:spacing w:after="0"/>
              <w:rPr>
                <w:sz w:val="20"/>
                <w:szCs w:val="20"/>
                <w:color w:val="auto"/>
              </w:rPr>
            </w:pPr>
            <w:r>
              <w:rPr>
                <w:rFonts w:ascii="Arial" w:cs="Arial" w:eastAsia="Arial" w:hAnsi="Arial"/>
                <w:sz w:val="17"/>
                <w:szCs w:val="17"/>
                <w:color w:val="auto"/>
              </w:rPr>
              <w:t>70%</w:t>
            </w:r>
          </w:p>
        </w:tc>
        <w:tc>
          <w:tcPr>
            <w:tcW w:w="760" w:type="dxa"/>
            <w:vAlign w:val="bottom"/>
            <w:gridSpan w:val="2"/>
          </w:tcPr>
          <w:p>
            <w:pPr>
              <w:jc w:val="right"/>
              <w:ind w:right="51"/>
              <w:spacing w:after="0"/>
              <w:rPr>
                <w:sz w:val="20"/>
                <w:szCs w:val="20"/>
                <w:color w:val="auto"/>
              </w:rPr>
            </w:pPr>
            <w:r>
              <w:rPr>
                <w:rFonts w:ascii="Arial" w:cs="Arial" w:eastAsia="Arial" w:hAnsi="Arial"/>
                <w:sz w:val="17"/>
                <w:szCs w:val="17"/>
                <w:color w:val="auto"/>
              </w:rPr>
              <w:t>64%</w:t>
            </w:r>
          </w:p>
        </w:tc>
        <w:tc>
          <w:tcPr>
            <w:tcW w:w="880" w:type="dxa"/>
            <w:vAlign w:val="bottom"/>
            <w:gridSpan w:val="2"/>
          </w:tcPr>
          <w:p>
            <w:pPr>
              <w:jc w:val="right"/>
              <w:ind w:right="111"/>
              <w:spacing w:after="0"/>
              <w:rPr>
                <w:sz w:val="20"/>
                <w:szCs w:val="20"/>
                <w:color w:val="auto"/>
              </w:rPr>
            </w:pPr>
            <w:r>
              <w:rPr>
                <w:rFonts w:ascii="Arial" w:cs="Arial" w:eastAsia="Arial" w:hAnsi="Arial"/>
                <w:sz w:val="17"/>
                <w:szCs w:val="17"/>
                <w:color w:val="auto"/>
              </w:rPr>
              <w:t>66%</w:t>
            </w:r>
          </w:p>
        </w:tc>
      </w:tr>
      <w:tr>
        <w:trPr>
          <w:trHeight w:val="206"/>
        </w:trPr>
        <w:tc>
          <w:tcPr>
            <w:tcW w:w="4180" w:type="dxa"/>
            <w:vAlign w:val="bottom"/>
            <w:shd w:val="clear" w:color="auto" w:fill="CCFFCC"/>
          </w:tcPr>
          <w:p>
            <w:pPr>
              <w:spacing w:after="0"/>
              <w:rPr>
                <w:sz w:val="20"/>
                <w:szCs w:val="20"/>
                <w:color w:val="auto"/>
              </w:rPr>
            </w:pPr>
            <w:r>
              <w:rPr>
                <w:rFonts w:ascii="Arial" w:cs="Arial" w:eastAsia="Arial" w:hAnsi="Arial"/>
                <w:sz w:val="17"/>
                <w:szCs w:val="17"/>
                <w:color w:val="auto"/>
              </w:rPr>
              <w:t>Risk-free interest rate</w:t>
            </w:r>
          </w:p>
        </w:tc>
        <w:tc>
          <w:tcPr>
            <w:tcW w:w="620" w:type="dxa"/>
            <w:vAlign w:val="bottom"/>
            <w:shd w:val="clear" w:color="auto" w:fill="CCFFCC"/>
          </w:tcPr>
          <w:p>
            <w:pPr>
              <w:jc w:val="right"/>
              <w:ind w:right="58"/>
              <w:spacing w:after="0"/>
              <w:rPr>
                <w:sz w:val="20"/>
                <w:szCs w:val="20"/>
                <w:color w:val="auto"/>
              </w:rPr>
            </w:pPr>
            <w:r>
              <w:rPr>
                <w:rFonts w:ascii="Arial" w:cs="Arial" w:eastAsia="Arial" w:hAnsi="Arial"/>
                <w:sz w:val="17"/>
                <w:szCs w:val="17"/>
                <w:color w:val="auto"/>
              </w:rPr>
              <w:t>5%</w:t>
            </w:r>
          </w:p>
        </w:tc>
        <w:tc>
          <w:tcPr>
            <w:tcW w:w="760" w:type="dxa"/>
            <w:vAlign w:val="bottom"/>
            <w:gridSpan w:val="2"/>
            <w:shd w:val="clear" w:color="auto" w:fill="CCFFCC"/>
          </w:tcPr>
          <w:p>
            <w:pPr>
              <w:jc w:val="right"/>
              <w:ind w:right="51"/>
              <w:spacing w:after="0"/>
              <w:rPr>
                <w:sz w:val="20"/>
                <w:szCs w:val="20"/>
                <w:color w:val="auto"/>
              </w:rPr>
            </w:pPr>
            <w:r>
              <w:rPr>
                <w:rFonts w:ascii="Arial" w:cs="Arial" w:eastAsia="Arial" w:hAnsi="Arial"/>
                <w:sz w:val="17"/>
                <w:szCs w:val="17"/>
                <w:color w:val="auto"/>
              </w:rPr>
              <w:t>5%</w:t>
            </w:r>
          </w:p>
        </w:tc>
        <w:tc>
          <w:tcPr>
            <w:tcW w:w="880" w:type="dxa"/>
            <w:vAlign w:val="bottom"/>
            <w:gridSpan w:val="2"/>
            <w:shd w:val="clear" w:color="auto" w:fill="CCFFCC"/>
          </w:tcPr>
          <w:p>
            <w:pPr>
              <w:jc w:val="right"/>
              <w:ind w:right="111"/>
              <w:spacing w:after="0"/>
              <w:rPr>
                <w:sz w:val="20"/>
                <w:szCs w:val="20"/>
                <w:color w:val="auto"/>
              </w:rPr>
            </w:pPr>
            <w:r>
              <w:rPr>
                <w:rFonts w:ascii="Arial" w:cs="Arial" w:eastAsia="Arial" w:hAnsi="Arial"/>
                <w:sz w:val="17"/>
                <w:szCs w:val="17"/>
                <w:color w:val="auto"/>
              </w:rPr>
              <w:t>4%</w:t>
            </w:r>
          </w:p>
        </w:tc>
      </w:tr>
      <w:tr>
        <w:trPr>
          <w:trHeight w:val="217"/>
        </w:trPr>
        <w:tc>
          <w:tcPr>
            <w:tcW w:w="4180" w:type="dxa"/>
            <w:vAlign w:val="bottom"/>
          </w:tcPr>
          <w:p>
            <w:pPr>
              <w:spacing w:after="0"/>
              <w:rPr>
                <w:sz w:val="20"/>
                <w:szCs w:val="20"/>
                <w:color w:val="auto"/>
              </w:rPr>
            </w:pPr>
            <w:r>
              <w:rPr>
                <w:rFonts w:ascii="Arial" w:cs="Arial" w:eastAsia="Arial" w:hAnsi="Arial"/>
                <w:sz w:val="17"/>
                <w:szCs w:val="17"/>
                <w:color w:val="auto"/>
              </w:rPr>
              <w:t>Expected life of options (in years)</w:t>
            </w:r>
          </w:p>
        </w:tc>
        <w:tc>
          <w:tcPr>
            <w:tcW w:w="620" w:type="dxa"/>
            <w:vAlign w:val="bottom"/>
          </w:tcPr>
          <w:p>
            <w:pPr>
              <w:jc w:val="right"/>
              <w:ind w:right="198"/>
              <w:spacing w:after="0"/>
              <w:rPr>
                <w:sz w:val="20"/>
                <w:szCs w:val="20"/>
                <w:color w:val="auto"/>
              </w:rPr>
            </w:pPr>
            <w:r>
              <w:rPr>
                <w:rFonts w:ascii="Arial" w:cs="Arial" w:eastAsia="Arial" w:hAnsi="Arial"/>
                <w:sz w:val="17"/>
                <w:szCs w:val="17"/>
                <w:color w:val="auto"/>
              </w:rPr>
              <w:t>7</w:t>
            </w:r>
          </w:p>
        </w:tc>
        <w:tc>
          <w:tcPr>
            <w:tcW w:w="760" w:type="dxa"/>
            <w:vAlign w:val="bottom"/>
            <w:gridSpan w:val="2"/>
          </w:tcPr>
          <w:p>
            <w:pPr>
              <w:jc w:val="right"/>
              <w:ind w:right="211"/>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251"/>
              <w:spacing w:after="0"/>
              <w:rPr>
                <w:sz w:val="20"/>
                <w:szCs w:val="20"/>
                <w:color w:val="auto"/>
              </w:rPr>
            </w:pPr>
            <w:r>
              <w:rPr>
                <w:rFonts w:ascii="Arial" w:cs="Arial" w:eastAsia="Arial" w:hAnsi="Arial"/>
                <w:sz w:val="17"/>
                <w:szCs w:val="17"/>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156210</wp:posOffset>
            </wp:positionV>
            <wp:extent cx="588010"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8010" cy="1651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80" w:right="1179" w:hanging="264"/>
        <w:spacing w:after="0" w:line="278" w:lineRule="auto"/>
        <w:tabs>
          <w:tab w:leader="none" w:pos="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Expected volatility has been computed on the basis of specific Company market data, as well as the data of similar companies operating in the same industry.</w:t>
      </w:r>
    </w:p>
    <w:p>
      <w:pPr>
        <w:spacing w:after="0" w:line="61" w:lineRule="exact"/>
        <w:rPr>
          <w:rFonts w:ascii="Arial" w:cs="Arial" w:eastAsia="Arial" w:hAnsi="Arial"/>
          <w:sz w:val="17"/>
          <w:szCs w:val="17"/>
          <w:color w:val="auto"/>
        </w:rPr>
      </w:pPr>
    </w:p>
    <w:p>
      <w:pPr>
        <w:ind w:left="780" w:hanging="250"/>
        <w:spacing w:after="0"/>
        <w:tabs>
          <w:tab w:leader="none" w:pos="7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Stock options to consultants</w:t>
      </w:r>
    </w:p>
    <w:p>
      <w:pPr>
        <w:spacing w:after="0" w:line="113" w:lineRule="exact"/>
        <w:rPr>
          <w:sz w:val="20"/>
          <w:szCs w:val="20"/>
          <w:color w:val="auto"/>
        </w:rPr>
      </w:pPr>
    </w:p>
    <w:p>
      <w:pPr>
        <w:ind w:left="820" w:right="1159"/>
        <w:spacing w:after="0" w:line="265" w:lineRule="auto"/>
        <w:rPr>
          <w:sz w:val="20"/>
          <w:szCs w:val="20"/>
          <w:color w:val="auto"/>
        </w:rPr>
      </w:pPr>
      <w:r>
        <w:rPr>
          <w:rFonts w:ascii="Arial" w:cs="Arial" w:eastAsia="Arial" w:hAnsi="Arial"/>
          <w:sz w:val="17"/>
          <w:szCs w:val="17"/>
          <w:color w:val="auto"/>
        </w:rPr>
        <w:t>From inception through December 31, 2006, the Company issued to consultants options for the purchase of 220,990 Ordinary Shares at an average exercise price of USD 0.01 per share. In 2007, the Company changed the exercise price to NIS 0.039 per share. The options vest over four years</w:t>
      </w:r>
    </w:p>
    <w:p>
      <w:pPr>
        <w:spacing w:after="0" w:line="73" w:lineRule="exact"/>
        <w:rPr>
          <w:sz w:val="20"/>
          <w:szCs w:val="20"/>
          <w:color w:val="auto"/>
        </w:rPr>
      </w:pPr>
    </w:p>
    <w:p>
      <w:pPr>
        <w:ind w:left="820" w:right="1319"/>
        <w:spacing w:after="0" w:line="278" w:lineRule="auto"/>
        <w:rPr>
          <w:sz w:val="20"/>
          <w:szCs w:val="20"/>
          <w:color w:val="auto"/>
        </w:rPr>
      </w:pPr>
      <w:r>
        <w:rPr>
          <w:rFonts w:ascii="Arial" w:cs="Arial" w:eastAsia="Arial" w:hAnsi="Arial"/>
          <w:sz w:val="17"/>
          <w:szCs w:val="17"/>
          <w:color w:val="auto"/>
        </w:rPr>
        <w:t>In 2007, the Group issued options to consultants for the purchase of 144,242 Ordinary Shares at an average exercise price of NIS 0.73 per share. The options vest over four years.</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above options may be exercised for a period of 10 years.</w:t>
      </w:r>
    </w:p>
    <w:p>
      <w:pPr>
        <w:spacing w:after="0" w:line="113" w:lineRule="exact"/>
        <w:rPr>
          <w:sz w:val="20"/>
          <w:szCs w:val="20"/>
          <w:color w:val="auto"/>
        </w:rPr>
      </w:pPr>
    </w:p>
    <w:p>
      <w:pPr>
        <w:ind w:left="820" w:right="1319"/>
        <w:spacing w:after="0" w:line="347" w:lineRule="auto"/>
        <w:rPr>
          <w:sz w:val="20"/>
          <w:szCs w:val="20"/>
          <w:color w:val="auto"/>
        </w:rPr>
      </w:pPr>
      <w:r>
        <w:rPr>
          <w:rFonts w:ascii="Arial" w:cs="Arial" w:eastAsia="Arial" w:hAnsi="Arial"/>
          <w:sz w:val="15"/>
          <w:szCs w:val="15"/>
          <w:color w:val="auto"/>
        </w:rPr>
        <w:t>In 2010, the Group issued options to consultants for the purchase of 300,000 Ordinary Shares at an average exercise price of NIS 4.03 per share. The options vest over four years and may be exercised for a period of 5 years.</w:t>
      </w:r>
    </w:p>
    <w:p>
      <w:pPr>
        <w:spacing w:after="0" w:line="16" w:lineRule="exact"/>
        <w:rPr>
          <w:sz w:val="20"/>
          <w:szCs w:val="20"/>
          <w:color w:val="auto"/>
        </w:rPr>
      </w:pPr>
    </w:p>
    <w:p>
      <w:pPr>
        <w:ind w:left="820" w:right="999"/>
        <w:spacing w:after="0" w:line="259" w:lineRule="auto"/>
        <w:rPr>
          <w:sz w:val="20"/>
          <w:szCs w:val="20"/>
          <w:color w:val="auto"/>
        </w:rPr>
      </w:pPr>
      <w:r>
        <w:rPr>
          <w:rFonts w:ascii="Arial" w:cs="Arial" w:eastAsia="Arial" w:hAnsi="Arial"/>
          <w:sz w:val="17"/>
          <w:szCs w:val="17"/>
          <w:color w:val="auto"/>
        </w:rPr>
        <w:t>The Company’s management estimates the fair value of the options granted to consultants based on the value of services received over the vesting period of the applicable options. The value of such services (primarily in respect of clinical advisory services) is estimated based on the additional cash compensation the Company would need to pay if such options were not granted. The value of services recorded in 2008, 2009 and 2010 amounted to NIS 437,000, NIS 640,000 and NIS 1,054,000, respectively.</w:t>
      </w:r>
    </w:p>
    <w:p>
      <w:pPr>
        <w:spacing w:after="0" w:line="77" w:lineRule="exact"/>
        <w:rPr>
          <w:sz w:val="20"/>
          <w:szCs w:val="20"/>
          <w:color w:val="auto"/>
        </w:rPr>
      </w:pPr>
    </w:p>
    <w:p>
      <w:pPr>
        <w:ind w:left="780" w:right="1379" w:hanging="250"/>
        <w:spacing w:after="0" w:line="278" w:lineRule="auto"/>
        <w:tabs>
          <w:tab w:leader="none" w:pos="7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See Note 16 regarding the option provided to Cypress Bioscience to pay up to half of the first milestone payment in consideration for the issuance of the Company’s Ordinary Shares.</w:t>
      </w:r>
    </w:p>
    <w:p>
      <w:pPr>
        <w:spacing w:after="0" w:line="81" w:lineRule="exact"/>
        <w:rPr>
          <w:sz w:val="20"/>
          <w:szCs w:val="20"/>
          <w:color w:val="auto"/>
        </w:rPr>
      </w:pPr>
    </w:p>
    <w:p>
      <w:pPr>
        <w:jc w:val="right"/>
        <w:ind w:right="7459"/>
        <w:spacing w:after="0"/>
        <w:rPr>
          <w:sz w:val="20"/>
          <w:szCs w:val="20"/>
          <w:color w:val="auto"/>
        </w:rPr>
      </w:pPr>
      <w:r>
        <w:rPr>
          <w:rFonts w:ascii="Arial" w:cs="Arial" w:eastAsia="Arial" w:hAnsi="Arial"/>
          <w:sz w:val="17"/>
          <w:szCs w:val="17"/>
          <w:b w:val="1"/>
          <w:bCs w:val="1"/>
          <w:color w:val="auto"/>
        </w:rPr>
        <w:t>NOTE 10 — TAXES ON INCOME</w:t>
      </w:r>
    </w:p>
    <w:p>
      <w:pPr>
        <w:spacing w:after="0" w:line="113" w:lineRule="exact"/>
        <w:rPr>
          <w:sz w:val="20"/>
          <w:szCs w:val="20"/>
          <w:color w:val="auto"/>
        </w:rPr>
      </w:pPr>
    </w:p>
    <w:p>
      <w:pPr>
        <w:jc w:val="right"/>
        <w:ind w:right="7519"/>
        <w:spacing w:after="0"/>
        <w:rPr>
          <w:sz w:val="20"/>
          <w:szCs w:val="20"/>
          <w:color w:val="auto"/>
        </w:rPr>
      </w:pPr>
      <w:r>
        <w:rPr>
          <w:rFonts w:ascii="Arial" w:cs="Arial" w:eastAsia="Arial" w:hAnsi="Arial"/>
          <w:sz w:val="17"/>
          <w:szCs w:val="17"/>
          <w:b w:val="1"/>
          <w:bCs w:val="1"/>
          <w:color w:val="auto"/>
        </w:rPr>
        <w:t>a.  Corporate taxation in Israel</w:t>
      </w:r>
    </w:p>
    <w:p>
      <w:pPr>
        <w:spacing w:after="0" w:line="119" w:lineRule="exact"/>
        <w:rPr>
          <w:sz w:val="20"/>
          <w:szCs w:val="20"/>
          <w:color w:val="auto"/>
        </w:rPr>
      </w:pPr>
    </w:p>
    <w:p>
      <w:pPr>
        <w:jc w:val="both"/>
        <w:ind w:left="560" w:right="1199"/>
        <w:spacing w:after="0" w:line="265" w:lineRule="auto"/>
        <w:rPr>
          <w:sz w:val="20"/>
          <w:szCs w:val="20"/>
          <w:color w:val="auto"/>
        </w:rPr>
      </w:pPr>
      <w:r>
        <w:rPr>
          <w:rFonts w:ascii="Arial" w:cs="Arial" w:eastAsia="Arial" w:hAnsi="Arial"/>
          <w:sz w:val="17"/>
          <w:szCs w:val="17"/>
          <w:color w:val="auto"/>
        </w:rPr>
        <w:t>Beginning with the 2008 tax year, the results of the Company and its Israeli subsidiaries for tax purposes are measured in nominal terms. Prior to 2008, results for tax purposes had been measured in real terms, taking into account changes in the CPI, pursuant to the Israeli Inflationary Adjustments Law, 1985.</w:t>
      </w:r>
    </w:p>
    <w:p>
      <w:pPr>
        <w:spacing w:after="0" w:line="73" w:lineRule="exact"/>
        <w:rPr>
          <w:sz w:val="20"/>
          <w:szCs w:val="20"/>
          <w:color w:val="auto"/>
        </w:rPr>
      </w:pPr>
    </w:p>
    <w:p>
      <w:pPr>
        <w:ind w:left="560" w:right="1179"/>
        <w:spacing w:after="0" w:line="265" w:lineRule="auto"/>
        <w:rPr>
          <w:sz w:val="20"/>
          <w:szCs w:val="20"/>
          <w:color w:val="auto"/>
        </w:rPr>
      </w:pPr>
      <w:r>
        <w:rPr>
          <w:rFonts w:ascii="Arial" w:cs="Arial" w:eastAsia="Arial" w:hAnsi="Arial"/>
          <w:sz w:val="17"/>
          <w:szCs w:val="17"/>
          <w:color w:val="auto"/>
        </w:rPr>
        <w:t>The Partnership is not subject to tax under Israeli tax law; rather, each of the partners thereof (the Company and the Subsidiary) is liable for the tax applicable to the operations of the Partnership in proportion to their respective share in the Partnership’s results.</w:t>
      </w:r>
    </w:p>
    <w:p>
      <w:pPr>
        <w:spacing w:after="0" w:line="200" w:lineRule="exact"/>
        <w:rPr>
          <w:sz w:val="20"/>
          <w:szCs w:val="20"/>
          <w:color w:val="auto"/>
        </w:rPr>
      </w:pPr>
    </w:p>
    <w:p>
      <w:pPr>
        <w:spacing w:after="0" w:line="31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1040"/>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10 — TAXES ON INCOME – (continued)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b.  Tax rates</w:t>
      </w:r>
    </w:p>
    <w:p>
      <w:pPr>
        <w:spacing w:after="0" w:line="119" w:lineRule="exact"/>
        <w:rPr>
          <w:sz w:val="20"/>
          <w:szCs w:val="20"/>
          <w:color w:val="auto"/>
        </w:rPr>
      </w:pPr>
    </w:p>
    <w:p>
      <w:pPr>
        <w:ind w:left="560" w:right="1100"/>
        <w:spacing w:after="0" w:line="265" w:lineRule="auto"/>
        <w:rPr>
          <w:sz w:val="20"/>
          <w:szCs w:val="20"/>
          <w:color w:val="auto"/>
        </w:rPr>
      </w:pPr>
      <w:r>
        <w:rPr>
          <w:rFonts w:ascii="Arial" w:cs="Arial" w:eastAsia="Arial" w:hAnsi="Arial"/>
          <w:sz w:val="17"/>
          <w:szCs w:val="17"/>
          <w:color w:val="auto"/>
        </w:rPr>
        <w:t>The income of the Company and the Subsidiary is taxed at standard Israeli corporate tax rates. Israeli corporate tax rates for 2008 and thereafter are as follows: 2008 — 27%, 2009 — 26%, 2010 — 25%, 2011 — 24%, 2012 — 23%, 2013 — 22%, 2014 — 21%, 2015 — 20%, 2016 and thereafter — 18%.</w:t>
      </w:r>
    </w:p>
    <w:p>
      <w:pPr>
        <w:spacing w:after="0" w:line="73" w:lineRule="exact"/>
        <w:rPr>
          <w:sz w:val="20"/>
          <w:szCs w:val="20"/>
          <w:color w:val="auto"/>
        </w:rPr>
      </w:pPr>
    </w:p>
    <w:p>
      <w:pPr>
        <w:jc w:val="both"/>
        <w:ind w:left="560" w:right="1180"/>
        <w:spacing w:after="0" w:line="265" w:lineRule="auto"/>
        <w:rPr>
          <w:sz w:val="20"/>
          <w:szCs w:val="20"/>
          <w:color w:val="auto"/>
        </w:rPr>
      </w:pPr>
      <w:r>
        <w:rPr>
          <w:rFonts w:ascii="Arial" w:cs="Arial" w:eastAsia="Arial" w:hAnsi="Arial"/>
          <w:sz w:val="17"/>
          <w:szCs w:val="17"/>
          <w:color w:val="auto"/>
        </w:rPr>
        <w:t>Capital gains (except “real” capital gains on the sale of marketable securities, which are taxed at the standard corporate tax rates) are taxed as follows: capital gains derived after January 1, 2003 are subject to a tax rate of 25%, while capital gains derived until that date are taxed at the standard corporate tax rate.</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Tax loss carryforwards</w:t>
      </w:r>
    </w:p>
    <w:p>
      <w:pPr>
        <w:spacing w:after="0" w:line="119" w:lineRule="exact"/>
        <w:rPr>
          <w:sz w:val="20"/>
          <w:szCs w:val="20"/>
          <w:color w:val="auto"/>
        </w:rPr>
      </w:pPr>
    </w:p>
    <w:p>
      <w:pPr>
        <w:ind w:left="560" w:right="1080"/>
        <w:spacing w:after="0" w:line="265" w:lineRule="auto"/>
        <w:rPr>
          <w:sz w:val="20"/>
          <w:szCs w:val="20"/>
          <w:color w:val="auto"/>
        </w:rPr>
      </w:pPr>
      <w:r>
        <w:rPr>
          <w:rFonts w:ascii="Arial" w:cs="Arial" w:eastAsia="Arial" w:hAnsi="Arial"/>
          <w:sz w:val="17"/>
          <w:szCs w:val="17"/>
          <w:color w:val="auto"/>
        </w:rPr>
        <w:t>As of December 31, 2010, the tax loss carryforwards of the Company were approximately NIS 252,000,000 and the tax loss carryforwards of the Subsidiary were approximately NIS 1,000,000. The tax loss carryforwards of the Company have no expiration date.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not created deferred tax assets in respect of these tax loss carryforwards. See Note 2o.</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d.  Tax assessments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and its subsidiaries have not been assessed for tax purposes since their respective incorporation or formation.</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  Theoretical taxes</w:t>
      </w:r>
    </w:p>
    <w:p>
      <w:pPr>
        <w:spacing w:after="0" w:line="119" w:lineRule="exact"/>
        <w:rPr>
          <w:sz w:val="20"/>
          <w:szCs w:val="20"/>
          <w:color w:val="auto"/>
        </w:rPr>
      </w:pPr>
    </w:p>
    <w:p>
      <w:pPr>
        <w:ind w:left="560" w:right="1400"/>
        <w:spacing w:after="0" w:line="261" w:lineRule="auto"/>
        <w:rPr>
          <w:sz w:val="20"/>
          <w:szCs w:val="20"/>
          <w:color w:val="auto"/>
        </w:rPr>
      </w:pPr>
      <w:r>
        <w:rPr>
          <w:rFonts w:ascii="Arial" w:cs="Arial" w:eastAsia="Arial" w:hAnsi="Arial"/>
          <w:sz w:val="17"/>
          <w:szCs w:val="17"/>
          <w:color w:val="auto"/>
        </w:rPr>
        <w:t>As described in Note 2o, the Company has not recognized any deferred tax assets in the financial statements, since the Company does not expect to generate taxable income in the foreseeable future. The tax on the Group’s profit before tax differs from the theoretical amount that would arise using the weighted average tax rate applicable to profits of the consolidated entities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9663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10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4"/>
              </w:rPr>
              <w:t>Year ended December 31,</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4"/>
                <w:szCs w:val="14"/>
                <w:b w:val="1"/>
                <w:bCs w:val="1"/>
                <w:color w:val="auto"/>
              </w:rPr>
              <w:t>2010</w:t>
            </w:r>
          </w:p>
        </w:tc>
        <w:tc>
          <w:tcPr>
            <w:tcW w:w="2340" w:type="dxa"/>
            <w:vAlign w:val="bottom"/>
          </w:tcPr>
          <w:p>
            <w:pPr>
              <w:spacing w:after="0"/>
              <w:rPr>
                <w:sz w:val="16"/>
                <w:szCs w:val="16"/>
                <w:color w:val="auto"/>
              </w:rPr>
            </w:pPr>
          </w:p>
        </w:tc>
      </w:tr>
      <w:tr>
        <w:trPr>
          <w:trHeight w:val="155"/>
        </w:trPr>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center"/>
              <w:ind w:right="120"/>
              <w:spacing w:after="0" w:line="155" w:lineRule="exact"/>
              <w:rPr>
                <w:sz w:val="20"/>
                <w:szCs w:val="20"/>
                <w:color w:val="auto"/>
              </w:rPr>
            </w:pPr>
            <w:r>
              <w:rPr>
                <w:rFonts w:ascii="Arial" w:cs="Arial" w:eastAsia="Arial" w:hAnsi="Arial"/>
                <w:sz w:val="14"/>
                <w:szCs w:val="14"/>
                <w:color w:val="auto"/>
                <w:w w:val="94"/>
              </w:rPr>
              <w:t>NIS in</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NIS in</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03"/>
              <w:spacing w:after="0" w:line="155" w:lineRule="exact"/>
              <w:rPr>
                <w:sz w:val="20"/>
                <w:szCs w:val="20"/>
                <w:color w:val="auto"/>
              </w:rPr>
            </w:pPr>
            <w:r>
              <w:rPr>
                <w:rFonts w:ascii="Arial" w:cs="Arial" w:eastAsia="Arial" w:hAnsi="Arial"/>
                <w:sz w:val="14"/>
                <w:szCs w:val="14"/>
                <w:color w:val="auto"/>
              </w:rPr>
              <w:t>NIS in</w:t>
            </w:r>
          </w:p>
        </w:tc>
        <w:tc>
          <w:tcPr>
            <w:tcW w:w="234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center"/>
              <w:ind w:right="140"/>
              <w:spacing w:after="0" w:line="160" w:lineRule="exact"/>
              <w:rPr>
                <w:sz w:val="20"/>
                <w:szCs w:val="20"/>
                <w:color w:val="auto"/>
              </w:rPr>
            </w:pPr>
            <w:r>
              <w:rPr>
                <w:rFonts w:ascii="Arial" w:cs="Arial" w:eastAsia="Arial" w:hAnsi="Arial"/>
                <w:sz w:val="14"/>
                <w:szCs w:val="14"/>
                <w:color w:val="auto"/>
                <w:w w:val="83"/>
              </w:rPr>
              <w:t>thousands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w w:val="95"/>
              </w:rPr>
              <w:t>thousands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line="160" w:lineRule="exact"/>
              <w:rPr>
                <w:sz w:val="20"/>
                <w:szCs w:val="20"/>
                <w:color w:val="auto"/>
              </w:rPr>
            </w:pPr>
            <w:r>
              <w:rPr>
                <w:rFonts w:ascii="Arial" w:cs="Arial" w:eastAsia="Arial" w:hAnsi="Arial"/>
                <w:sz w:val="14"/>
                <w:szCs w:val="14"/>
                <w:color w:val="auto"/>
                <w:w w:val="95"/>
              </w:rPr>
              <w:t>thousands</w:t>
            </w:r>
          </w:p>
        </w:tc>
        <w:tc>
          <w:tcPr>
            <w:tcW w:w="2340" w:type="dxa"/>
            <w:vAlign w:val="bottom"/>
          </w:tcPr>
          <w:p>
            <w:pPr>
              <w:spacing w:after="0"/>
              <w:rPr>
                <w:sz w:val="13"/>
                <w:szCs w:val="13"/>
                <w:color w:val="auto"/>
              </w:rPr>
            </w:pPr>
          </w:p>
        </w:tc>
      </w:tr>
      <w:tr>
        <w:trPr>
          <w:trHeight w:val="226"/>
        </w:trPr>
        <w:tc>
          <w:tcPr>
            <w:tcW w:w="29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Income (loss) before taxes</w:t>
            </w:r>
          </w:p>
        </w:tc>
        <w:tc>
          <w:tcPr>
            <w:tcW w:w="5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w:t>
            </w:r>
          </w:p>
        </w:tc>
        <w:tc>
          <w:tcPr>
            <w:tcW w:w="100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(114,849)</w:t>
            </w:r>
          </w:p>
        </w:tc>
        <w:tc>
          <w:tcPr>
            <w:tcW w:w="16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26%</w:t>
            </w:r>
          </w:p>
        </w:tc>
        <w:tc>
          <w:tcPr>
            <w:tcW w:w="96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(61,518)</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25%</w:t>
            </w: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7,440</w:t>
            </w:r>
          </w:p>
        </w:tc>
        <w:tc>
          <w:tcPr>
            <w:tcW w:w="2340" w:type="dxa"/>
            <w:vAlign w:val="bottom"/>
          </w:tcPr>
          <w:p>
            <w:pPr>
              <w:spacing w:after="0"/>
              <w:rPr>
                <w:sz w:val="19"/>
                <w:szCs w:val="19"/>
                <w:color w:val="auto"/>
              </w:rPr>
            </w:pPr>
          </w:p>
        </w:tc>
      </w:tr>
      <w:tr>
        <w:trPr>
          <w:trHeight w:val="20"/>
        </w:trPr>
        <w:tc>
          <w:tcPr>
            <w:tcW w:w="1020" w:type="dxa"/>
            <w:vAlign w:val="bottom"/>
            <w:tcBorders>
              <w:top w:val="single" w:sz="8" w:color="CCFFCC"/>
            </w:tcBorders>
            <w:shd w:val="clear" w:color="auto" w:fill="CCFFCC"/>
          </w:tcPr>
          <w:p>
            <w:pPr>
              <w:spacing w:after="0" w:line="20" w:lineRule="exact"/>
              <w:rPr>
                <w:sz w:val="1"/>
                <w:szCs w:val="1"/>
                <w:color w:val="auto"/>
              </w:rPr>
            </w:pPr>
          </w:p>
        </w:tc>
        <w:tc>
          <w:tcPr>
            <w:tcW w:w="1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7"/>
        </w:trPr>
        <w:tc>
          <w:tcPr>
            <w:tcW w:w="2960" w:type="dxa"/>
            <w:vAlign w:val="bottom"/>
            <w:gridSpan w:val="2"/>
          </w:tcPr>
          <w:p>
            <w:pPr>
              <w:spacing w:after="0"/>
              <w:rPr>
                <w:sz w:val="20"/>
                <w:szCs w:val="20"/>
                <w:color w:val="auto"/>
              </w:rPr>
            </w:pPr>
            <w:r>
              <w:rPr>
                <w:rFonts w:ascii="Arial" w:cs="Arial" w:eastAsia="Arial" w:hAnsi="Arial"/>
                <w:sz w:val="17"/>
                <w:szCs w:val="17"/>
                <w:color w:val="auto"/>
              </w:rPr>
              <w:t>Theoretical tax expense (tax benefit)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(31,009)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(15,995)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1,860</w:t>
            </w:r>
          </w:p>
        </w:tc>
        <w:tc>
          <w:tcPr>
            <w:tcW w:w="2340" w:type="dxa"/>
            <w:vAlign w:val="bottom"/>
          </w:tcPr>
          <w:p>
            <w:pPr>
              <w:spacing w:after="0"/>
              <w:rPr>
                <w:sz w:val="17"/>
                <w:szCs w:val="17"/>
                <w:color w:val="auto"/>
              </w:rPr>
            </w:pPr>
          </w:p>
        </w:tc>
      </w:tr>
      <w:tr>
        <w:trPr>
          <w:trHeight w:val="193"/>
        </w:trPr>
        <w:tc>
          <w:tcPr>
            <w:tcW w:w="296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Disallowed deductions (tax exempt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tcBorders>
              <w:right w:val="single" w:sz="8" w:color="CCFFCC"/>
            </w:tcBorders>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6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20" w:type="dxa"/>
            <w:vAlign w:val="bottom"/>
            <w:tcBorders>
              <w:right w:val="single" w:sz="8" w:color="CCFFCC"/>
            </w:tcBorders>
            <w:shd w:val="clear" w:color="auto" w:fill="CCFFCC"/>
          </w:tcPr>
          <w:p>
            <w:pPr>
              <w:spacing w:after="0"/>
              <w:rPr>
                <w:sz w:val="16"/>
                <w:szCs w:val="16"/>
                <w:color w:val="auto"/>
              </w:rPr>
            </w:pPr>
          </w:p>
        </w:tc>
        <w:tc>
          <w:tcPr>
            <w:tcW w:w="2340" w:type="dxa"/>
            <w:vAlign w:val="bottom"/>
          </w:tcPr>
          <w:p>
            <w:pPr>
              <w:spacing w:after="0"/>
              <w:rPr>
                <w:sz w:val="16"/>
                <w:szCs w:val="16"/>
                <w:color w:val="auto"/>
              </w:rPr>
            </w:pPr>
          </w:p>
        </w:tc>
      </w:tr>
      <w:tr>
        <w:trPr>
          <w:trHeight w:val="218"/>
        </w:trPr>
        <w:tc>
          <w:tcPr>
            <w:tcW w:w="296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income):</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spacing w:after="0"/>
              <w:rPr>
                <w:sz w:val="18"/>
                <w:szCs w:val="18"/>
                <w:color w:val="auto"/>
              </w:rPr>
            </w:pPr>
          </w:p>
        </w:tc>
        <w:tc>
          <w:tcPr>
            <w:tcW w:w="2340" w:type="dxa"/>
            <w:vAlign w:val="bottom"/>
          </w:tcPr>
          <w:p>
            <w:pPr>
              <w:spacing w:after="0"/>
              <w:rPr>
                <w:sz w:val="18"/>
                <w:szCs w:val="18"/>
                <w:color w:val="auto"/>
              </w:rPr>
            </w:pPr>
          </w:p>
        </w:tc>
      </w:tr>
      <w:tr>
        <w:trPr>
          <w:trHeight w:val="193"/>
        </w:trPr>
        <w:tc>
          <w:tcPr>
            <w:tcW w:w="296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Gain on adjusting warrants to fair</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(988)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340" w:type="dxa"/>
            <w:vAlign w:val="bottom"/>
          </w:tcPr>
          <w:p>
            <w:pPr>
              <w:spacing w:after="0"/>
              <w:rPr>
                <w:sz w:val="16"/>
                <w:szCs w:val="16"/>
                <w:color w:val="auto"/>
              </w:rPr>
            </w:pPr>
          </w:p>
        </w:tc>
      </w:tr>
      <w:tr>
        <w:trPr>
          <w:trHeight w:val="217"/>
        </w:trPr>
        <w:tc>
          <w:tcPr>
            <w:tcW w:w="2960" w:type="dxa"/>
            <w:vAlign w:val="bottom"/>
            <w:gridSpan w:val="2"/>
          </w:tcPr>
          <w:p>
            <w:pPr>
              <w:ind w:left="340"/>
              <w:spacing w:after="0"/>
              <w:rPr>
                <w:sz w:val="20"/>
                <w:szCs w:val="20"/>
                <w:color w:val="auto"/>
              </w:rPr>
            </w:pPr>
            <w:r>
              <w:rPr>
                <w:rFonts w:ascii="Arial" w:cs="Arial" w:eastAsia="Arial" w:hAnsi="Arial"/>
                <w:sz w:val="17"/>
                <w:szCs w:val="17"/>
                <w:color w:val="auto"/>
              </w:rPr>
              <w:t>value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7"/>
        </w:trPr>
        <w:tc>
          <w:tcPr>
            <w:tcW w:w="296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Share-based compensation</w:t>
            </w: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2,439</w:t>
            </w:r>
          </w:p>
        </w:tc>
        <w:tc>
          <w:tcPr>
            <w:tcW w:w="160" w:type="dxa"/>
            <w:vAlign w:val="bottom"/>
            <w:tcBorders>
              <w:right w:val="single" w:sz="8" w:color="CCFFCC"/>
            </w:tcBorders>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852</w:t>
            </w:r>
          </w:p>
        </w:tc>
        <w:tc>
          <w:tcPr>
            <w:tcW w:w="1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1,639</w:t>
            </w:r>
          </w:p>
        </w:tc>
        <w:tc>
          <w:tcPr>
            <w:tcW w:w="2340" w:type="dxa"/>
            <w:vAlign w:val="bottom"/>
          </w:tcPr>
          <w:p>
            <w:pPr>
              <w:spacing w:after="0"/>
              <w:rPr>
                <w:sz w:val="17"/>
                <w:szCs w:val="17"/>
                <w:color w:val="auto"/>
              </w:rPr>
            </w:pPr>
          </w:p>
        </w:tc>
      </w:tr>
      <w:tr>
        <w:trPr>
          <w:trHeight w:val="206"/>
        </w:trPr>
        <w:tc>
          <w:tcPr>
            <w:tcW w:w="296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2340" w:type="dxa"/>
            <w:vAlign w:val="bottom"/>
          </w:tcPr>
          <w:p>
            <w:pPr>
              <w:spacing w:after="0"/>
              <w:rPr>
                <w:sz w:val="17"/>
                <w:szCs w:val="17"/>
                <w:color w:val="auto"/>
              </w:rPr>
            </w:pPr>
          </w:p>
        </w:tc>
      </w:tr>
      <w:tr>
        <w:trPr>
          <w:trHeight w:val="193"/>
        </w:trPr>
        <w:tc>
          <w:tcPr>
            <w:tcW w:w="296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Difference between the measurement</w:t>
            </w: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000" w:type="dxa"/>
            <w:vAlign w:val="bottom"/>
            <w:gridSpan w:val="3"/>
            <w:shd w:val="clear" w:color="auto" w:fill="CCFFCC"/>
          </w:tcPr>
          <w:p>
            <w:pPr>
              <w:jc w:val="right"/>
              <w:ind w:right="40"/>
              <w:spacing w:after="0" w:line="194" w:lineRule="exact"/>
              <w:rPr>
                <w:sz w:val="20"/>
                <w:szCs w:val="20"/>
                <w:color w:val="auto"/>
              </w:rPr>
            </w:pPr>
            <w:r>
              <w:rPr>
                <w:rFonts w:ascii="Arial" w:cs="Arial" w:eastAsia="Arial" w:hAnsi="Arial"/>
                <w:sz w:val="17"/>
                <w:szCs w:val="17"/>
                <w:color w:val="auto"/>
              </w:rPr>
              <w:t>(2,491)</w:t>
            </w:r>
          </w:p>
        </w:tc>
        <w:tc>
          <w:tcPr>
            <w:tcW w:w="160" w:type="dxa"/>
            <w:vAlign w:val="bottom"/>
            <w:tcBorders>
              <w:right w:val="single" w:sz="8" w:color="CCFFCC"/>
            </w:tcBorders>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60" w:type="dxa"/>
            <w:vAlign w:val="bottom"/>
            <w:gridSpan w:val="3"/>
            <w:shd w:val="clear" w:color="auto" w:fill="CCFFCC"/>
          </w:tcPr>
          <w:p>
            <w:pPr>
              <w:jc w:val="right"/>
              <w:ind w:right="40"/>
              <w:spacing w:after="0" w:line="194" w:lineRule="exact"/>
              <w:rPr>
                <w:sz w:val="20"/>
                <w:szCs w:val="20"/>
                <w:color w:val="auto"/>
              </w:rPr>
            </w:pPr>
            <w:r>
              <w:rPr>
                <w:rFonts w:ascii="Arial" w:cs="Arial" w:eastAsia="Arial" w:hAnsi="Arial"/>
                <w:sz w:val="17"/>
                <w:szCs w:val="17"/>
                <w:color w:val="auto"/>
              </w:rPr>
              <w:t>(10)</w:t>
            </w:r>
          </w:p>
        </w:tc>
        <w:tc>
          <w:tcPr>
            <w:tcW w:w="14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720" w:type="dxa"/>
            <w:vAlign w:val="bottom"/>
            <w:tcBorders>
              <w:right w:val="single" w:sz="8" w:color="CCFFCC"/>
            </w:tcBorders>
            <w:shd w:val="clear" w:color="auto" w:fill="CCFFCC"/>
          </w:tcPr>
          <w:p>
            <w:pPr>
              <w:jc w:val="right"/>
              <w:spacing w:after="0" w:line="194" w:lineRule="exact"/>
              <w:rPr>
                <w:sz w:val="20"/>
                <w:szCs w:val="20"/>
                <w:color w:val="auto"/>
              </w:rPr>
            </w:pPr>
            <w:r>
              <w:rPr>
                <w:rFonts w:ascii="Arial" w:cs="Arial" w:eastAsia="Arial" w:hAnsi="Arial"/>
                <w:sz w:val="17"/>
                <w:szCs w:val="17"/>
                <w:color w:val="auto"/>
              </w:rPr>
              <w:t>—</w:t>
            </w:r>
          </w:p>
        </w:tc>
        <w:tc>
          <w:tcPr>
            <w:tcW w:w="2340" w:type="dxa"/>
            <w:vAlign w:val="bottom"/>
          </w:tcPr>
          <w:p>
            <w:pPr>
              <w:spacing w:after="0"/>
              <w:rPr>
                <w:sz w:val="16"/>
                <w:szCs w:val="16"/>
                <w:color w:val="auto"/>
              </w:rPr>
            </w:pPr>
          </w:p>
        </w:tc>
      </w:tr>
      <w:tr>
        <w:trPr>
          <w:trHeight w:val="206"/>
        </w:trPr>
        <w:tc>
          <w:tcPr>
            <w:tcW w:w="296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basis of income reported for tax</w:t>
            </w: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20" w:type="dxa"/>
            <w:vAlign w:val="bottom"/>
            <w:tcBorders>
              <w:right w:val="single" w:sz="8" w:color="CCFFCC"/>
            </w:tcBorders>
            <w:shd w:val="clear" w:color="auto" w:fill="CCFFCC"/>
          </w:tcPr>
          <w:p>
            <w:pPr>
              <w:spacing w:after="0"/>
              <w:rPr>
                <w:sz w:val="17"/>
                <w:szCs w:val="17"/>
                <w:color w:val="auto"/>
              </w:rPr>
            </w:pPr>
          </w:p>
        </w:tc>
        <w:tc>
          <w:tcPr>
            <w:tcW w:w="2340" w:type="dxa"/>
            <w:vAlign w:val="bottom"/>
          </w:tcPr>
          <w:p>
            <w:pPr>
              <w:spacing w:after="0"/>
              <w:rPr>
                <w:sz w:val="17"/>
                <w:szCs w:val="17"/>
                <w:color w:val="auto"/>
              </w:rPr>
            </w:pPr>
          </w:p>
        </w:tc>
      </w:tr>
      <w:tr>
        <w:trPr>
          <w:trHeight w:val="206"/>
        </w:trPr>
        <w:tc>
          <w:tcPr>
            <w:tcW w:w="296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w w:val="97"/>
              </w:rPr>
              <w:t>purposes and the measurement basis</w:t>
            </w: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20" w:type="dxa"/>
            <w:vAlign w:val="bottom"/>
            <w:tcBorders>
              <w:right w:val="single" w:sz="8" w:color="CCFFCC"/>
            </w:tcBorders>
            <w:shd w:val="clear" w:color="auto" w:fill="CCFFCC"/>
          </w:tcPr>
          <w:p>
            <w:pPr>
              <w:spacing w:after="0"/>
              <w:rPr>
                <w:sz w:val="17"/>
                <w:szCs w:val="17"/>
                <w:color w:val="auto"/>
              </w:rPr>
            </w:pPr>
          </w:p>
        </w:tc>
        <w:tc>
          <w:tcPr>
            <w:tcW w:w="2340" w:type="dxa"/>
            <w:vAlign w:val="bottom"/>
          </w:tcPr>
          <w:p>
            <w:pPr>
              <w:spacing w:after="0"/>
              <w:rPr>
                <w:sz w:val="17"/>
                <w:szCs w:val="17"/>
                <w:color w:val="auto"/>
              </w:rPr>
            </w:pPr>
          </w:p>
        </w:tc>
      </w:tr>
      <w:tr>
        <w:trPr>
          <w:trHeight w:val="206"/>
        </w:trPr>
        <w:tc>
          <w:tcPr>
            <w:tcW w:w="296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of income for financial reporting</w:t>
            </w: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20" w:type="dxa"/>
            <w:vAlign w:val="bottom"/>
            <w:tcBorders>
              <w:right w:val="single" w:sz="8" w:color="CCFFCC"/>
            </w:tcBorders>
            <w:shd w:val="clear" w:color="auto" w:fill="CCFFCC"/>
          </w:tcPr>
          <w:p>
            <w:pPr>
              <w:spacing w:after="0"/>
              <w:rPr>
                <w:sz w:val="17"/>
                <w:szCs w:val="17"/>
                <w:color w:val="auto"/>
              </w:rPr>
            </w:pPr>
          </w:p>
        </w:tc>
        <w:tc>
          <w:tcPr>
            <w:tcW w:w="2340" w:type="dxa"/>
            <w:vAlign w:val="bottom"/>
          </w:tcPr>
          <w:p>
            <w:pPr>
              <w:spacing w:after="0"/>
              <w:rPr>
                <w:sz w:val="17"/>
                <w:szCs w:val="17"/>
                <w:color w:val="auto"/>
              </w:rPr>
            </w:pPr>
          </w:p>
        </w:tc>
      </w:tr>
      <w:tr>
        <w:trPr>
          <w:trHeight w:val="218"/>
        </w:trPr>
        <w:tc>
          <w:tcPr>
            <w:tcW w:w="296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purposes (see Note 10)</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spacing w:after="0"/>
              <w:rPr>
                <w:sz w:val="18"/>
                <w:szCs w:val="18"/>
                <w:color w:val="auto"/>
              </w:rPr>
            </w:pPr>
          </w:p>
        </w:tc>
        <w:tc>
          <w:tcPr>
            <w:tcW w:w="2340" w:type="dxa"/>
            <w:vAlign w:val="bottom"/>
          </w:tcPr>
          <w:p>
            <w:pPr>
              <w:spacing w:after="0"/>
              <w:rPr>
                <w:sz w:val="18"/>
                <w:szCs w:val="18"/>
                <w:color w:val="auto"/>
              </w:rPr>
            </w:pPr>
          </w:p>
        </w:tc>
      </w:tr>
      <w:tr>
        <w:trPr>
          <w:trHeight w:val="193"/>
        </w:trPr>
        <w:tc>
          <w:tcPr>
            <w:tcW w:w="2960" w:type="dxa"/>
            <w:vAlign w:val="bottom"/>
            <w:gridSpan w:val="2"/>
          </w:tcPr>
          <w:p>
            <w:pPr>
              <w:spacing w:after="0" w:line="194" w:lineRule="exact"/>
              <w:rPr>
                <w:sz w:val="20"/>
                <w:szCs w:val="20"/>
                <w:color w:val="auto"/>
              </w:rPr>
            </w:pPr>
            <w:r>
              <w:rPr>
                <w:rFonts w:ascii="Arial" w:cs="Arial" w:eastAsia="Arial" w:hAnsi="Arial"/>
                <w:sz w:val="17"/>
                <w:szCs w:val="17"/>
                <w:color w:val="auto"/>
                <w:w w:val="98"/>
              </w:rPr>
              <w:t>Realization of tax loss carryforwards for</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(3,652)</w:t>
            </w:r>
          </w:p>
        </w:tc>
        <w:tc>
          <w:tcPr>
            <w:tcW w:w="2340" w:type="dxa"/>
            <w:vAlign w:val="bottom"/>
          </w:tcPr>
          <w:p>
            <w:pPr>
              <w:spacing w:after="0"/>
              <w:rPr>
                <w:sz w:val="16"/>
                <w:szCs w:val="16"/>
                <w:color w:val="auto"/>
              </w:rPr>
            </w:pPr>
          </w:p>
        </w:tc>
      </w:tr>
      <w:tr>
        <w:trPr>
          <w:trHeight w:val="217"/>
        </w:trPr>
        <w:tc>
          <w:tcPr>
            <w:tcW w:w="2960" w:type="dxa"/>
            <w:vAlign w:val="bottom"/>
            <w:gridSpan w:val="2"/>
          </w:tcPr>
          <w:p>
            <w:pPr>
              <w:ind w:left="180"/>
              <w:spacing w:after="0"/>
              <w:rPr>
                <w:sz w:val="20"/>
                <w:szCs w:val="20"/>
                <w:color w:val="auto"/>
              </w:rPr>
            </w:pPr>
            <w:r>
              <w:rPr>
                <w:rFonts w:ascii="Arial" w:cs="Arial" w:eastAsia="Arial" w:hAnsi="Arial"/>
                <w:sz w:val="17"/>
                <w:szCs w:val="17"/>
                <w:color w:val="auto"/>
                <w:w w:val="95"/>
              </w:rPr>
              <w:t>which deferred taxes were not created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746"/>
        </w:trPr>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ind w:left="560"/>
              <w:spacing w:after="0"/>
              <w:rPr>
                <w:sz w:val="20"/>
                <w:szCs w:val="20"/>
                <w:color w:val="auto"/>
              </w:rPr>
            </w:pPr>
            <w:r>
              <w:rPr>
                <w:rFonts w:ascii="Arial" w:cs="Arial" w:eastAsia="Arial" w:hAnsi="Arial"/>
                <w:sz w:val="17"/>
                <w:szCs w:val="17"/>
                <w:color w:val="auto"/>
              </w:rPr>
              <w:t>F-35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-2466340</wp:posOffset>
            </wp:positionV>
            <wp:extent cx="4966335" cy="1631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66335" cy="16319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57785"/>
                    </a:xfrm>
                    <a:prstGeom prst="rect">
                      <a:avLst/>
                    </a:prstGeom>
                    <a:noFill/>
                  </pic:spPr>
                </pic:pic>
              </a:graphicData>
            </a:graphic>
          </wp:anchor>
        </w:drawing>
      </w:r>
    </w:p>
    <w:p>
      <w:pPr>
        <w:sectPr>
          <w:pgSz w:w="11900" w:h="16838" w:orient="portrait"/>
          <w:cols w:equalWidth="0" w:num="1">
            <w:col w:w="10160"/>
          </w:cols>
          <w:pgMar w:left="360" w:top="760" w:right="137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299" w:lineRule="auto"/>
        <w:rPr>
          <w:sz w:val="20"/>
          <w:szCs w:val="20"/>
          <w:color w:val="auto"/>
        </w:rPr>
      </w:pPr>
      <w:r>
        <w:rPr>
          <w:rFonts w:ascii="Arial" w:cs="Arial" w:eastAsia="Arial" w:hAnsi="Arial"/>
          <w:sz w:val="17"/>
          <w:szCs w:val="17"/>
          <w:b w:val="1"/>
          <w:bCs w:val="1"/>
          <w:color w:val="auto"/>
        </w:rPr>
        <w:t>NOTES TO THE FINANCIAL STATEMENTS NOTE 10 — TAXES ON INCOME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49663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0</wp:posOffset>
            </wp:positionV>
            <wp:extent cx="29076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40" w:type="dxa"/>
            <w:vAlign w:val="bottom"/>
          </w:tcPr>
          <w:p>
            <w:pPr>
              <w:spacing w:after="0"/>
              <w:rPr>
                <w:sz w:val="15"/>
                <w:szCs w:val="15"/>
                <w:color w:val="auto"/>
              </w:rPr>
            </w:pPr>
          </w:p>
        </w:tc>
        <w:tc>
          <w:tcPr>
            <w:tcW w:w="1320" w:type="dxa"/>
            <w:vAlign w:val="bottom"/>
            <w:gridSpan w:val="2"/>
          </w:tcPr>
          <w:p>
            <w:pPr>
              <w:jc w:val="right"/>
              <w:ind w:right="40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1480" w:type="dxa"/>
            <w:vAlign w:val="bottom"/>
            <w:gridSpan w:val="3"/>
          </w:tcPr>
          <w:p>
            <w:pPr>
              <w:jc w:val="right"/>
              <w:ind w:right="406"/>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1520" w:type="dxa"/>
            <w:vAlign w:val="bottom"/>
            <w:gridSpan w:val="3"/>
          </w:tcPr>
          <w:p>
            <w:pPr>
              <w:jc w:val="right"/>
              <w:ind w:right="40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r>
      <w:tr>
        <w:trPr>
          <w:trHeight w:val="155"/>
        </w:trPr>
        <w:tc>
          <w:tcPr>
            <w:tcW w:w="32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NIS in</w:t>
            </w: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NIS in</w:t>
            </w: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color w:val="auto"/>
              </w:rPr>
              <w:t>NIS in</w:t>
            </w:r>
          </w:p>
        </w:tc>
      </w:tr>
      <w:tr>
        <w:trPr>
          <w:trHeight w:val="160"/>
        </w:trPr>
        <w:tc>
          <w:tcPr>
            <w:tcW w:w="3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w w:val="86"/>
              </w:rPr>
              <w:t>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jc w:val="right"/>
              <w:ind w:right="40"/>
              <w:spacing w:after="0" w:line="160" w:lineRule="exact"/>
              <w:rPr>
                <w:sz w:val="20"/>
                <w:szCs w:val="20"/>
                <w:color w:val="auto"/>
              </w:rPr>
            </w:pPr>
            <w:r>
              <w:rPr>
                <w:rFonts w:ascii="Arial" w:cs="Arial" w:eastAsia="Arial" w:hAnsi="Arial"/>
                <w:sz w:val="14"/>
                <w:szCs w:val="14"/>
                <w:color w:val="auto"/>
                <w:w w:val="86"/>
              </w:rPr>
              <w:t>thousands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w w:val="95"/>
              </w:rPr>
              <w:t>thousands</w:t>
            </w:r>
          </w:p>
        </w:tc>
      </w:tr>
      <w:tr>
        <w:trPr>
          <w:trHeight w:val="193"/>
        </w:trPr>
        <w:tc>
          <w:tcPr>
            <w:tcW w:w="324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Increase in taxes for tax losses and timing</w:t>
            </w:r>
          </w:p>
        </w:tc>
        <w:tc>
          <w:tcPr>
            <w:tcW w:w="1380" w:type="dxa"/>
            <w:vAlign w:val="bottom"/>
            <w:gridSpan w:val="3"/>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31,997</w:t>
            </w:r>
          </w:p>
        </w:tc>
        <w:tc>
          <w:tcPr>
            <w:tcW w:w="1560" w:type="dxa"/>
            <w:vAlign w:val="bottom"/>
            <w:gridSpan w:val="4"/>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15,102</w:t>
            </w:r>
          </w:p>
        </w:tc>
        <w:tc>
          <w:tcPr>
            <w:tcW w:w="1640" w:type="dxa"/>
            <w:vAlign w:val="bottom"/>
            <w:gridSpan w:val="4"/>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128</w:t>
            </w:r>
          </w:p>
        </w:tc>
      </w:tr>
      <w:tr>
        <w:trPr>
          <w:trHeight w:val="206"/>
        </w:trPr>
        <w:tc>
          <w:tcPr>
            <w:tcW w:w="3240" w:type="dxa"/>
            <w:vAlign w:val="bottom"/>
            <w:shd w:val="clear" w:color="auto" w:fill="CCFFCC"/>
          </w:tcPr>
          <w:p>
            <w:pPr>
              <w:ind w:left="180"/>
              <w:spacing w:after="0"/>
              <w:rPr>
                <w:sz w:val="20"/>
                <w:szCs w:val="20"/>
                <w:color w:val="auto"/>
              </w:rPr>
            </w:pPr>
            <w:r>
              <w:rPr>
                <w:rFonts w:ascii="Arial" w:cs="Arial" w:eastAsia="Arial" w:hAnsi="Arial"/>
                <w:sz w:val="17"/>
                <w:szCs w:val="17"/>
                <w:color w:val="auto"/>
                <w:w w:val="99"/>
              </w:rPr>
              <w:t>differences incurred in the reporting year</w:t>
            </w:r>
          </w:p>
        </w:tc>
        <w:tc>
          <w:tcPr>
            <w:tcW w:w="7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06"/>
        </w:trPr>
        <w:tc>
          <w:tcPr>
            <w:tcW w:w="3240" w:type="dxa"/>
            <w:vAlign w:val="bottom"/>
            <w:shd w:val="clear" w:color="auto" w:fill="CCFFCC"/>
          </w:tcPr>
          <w:p>
            <w:pPr>
              <w:ind w:left="180"/>
              <w:spacing w:after="0"/>
              <w:rPr>
                <w:sz w:val="20"/>
                <w:szCs w:val="20"/>
                <w:color w:val="auto"/>
              </w:rPr>
            </w:pPr>
            <w:r>
              <w:rPr>
                <w:rFonts w:ascii="Arial" w:cs="Arial" w:eastAsia="Arial" w:hAnsi="Arial"/>
                <w:sz w:val="17"/>
                <w:szCs w:val="17"/>
                <w:color w:val="auto"/>
              </w:rPr>
              <w:t>for which deferred taxes were not</w:t>
            </w:r>
          </w:p>
        </w:tc>
        <w:tc>
          <w:tcPr>
            <w:tcW w:w="7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17"/>
        </w:trPr>
        <w:tc>
          <w:tcPr>
            <w:tcW w:w="32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7"/>
                <w:szCs w:val="17"/>
                <w:color w:val="auto"/>
              </w:rPr>
              <w:t>recognized</w:t>
            </w:r>
          </w:p>
        </w:tc>
        <w:tc>
          <w:tcPr>
            <w:tcW w:w="780" w:type="dxa"/>
            <w:vAlign w:val="bottom"/>
            <w:tcBorders>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r>
      <w:tr>
        <w:trPr>
          <w:trHeight w:val="199"/>
        </w:trPr>
        <w:tc>
          <w:tcPr>
            <w:tcW w:w="3240" w:type="dxa"/>
            <w:vAlign w:val="bottom"/>
          </w:tcPr>
          <w:p>
            <w:pPr>
              <w:spacing w:after="0"/>
              <w:rPr>
                <w:sz w:val="20"/>
                <w:szCs w:val="20"/>
                <w:color w:val="auto"/>
              </w:rPr>
            </w:pPr>
            <w:r>
              <w:rPr>
                <w:rFonts w:ascii="Arial" w:cs="Arial" w:eastAsia="Arial" w:hAnsi="Arial"/>
                <w:sz w:val="17"/>
                <w:szCs w:val="17"/>
                <w:color w:val="auto"/>
              </w:rPr>
              <w:t>Taxes on income for the reported year</w:t>
            </w:r>
          </w:p>
        </w:tc>
        <w:tc>
          <w:tcPr>
            <w:tcW w:w="7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496633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66335" cy="171450"/>
                    </a:xfrm>
                    <a:prstGeom prst="rect">
                      <a:avLst/>
                    </a:prstGeom>
                    <a:noFill/>
                  </pic:spPr>
                </pic:pic>
              </a:graphicData>
            </a:graphic>
          </wp:anchor>
        </w:drawing>
      </w:r>
    </w:p>
    <w:p>
      <w:pPr>
        <w:spacing w:after="0" w:line="64"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7"/>
          <w:szCs w:val="17"/>
          <w:b w:val="1"/>
          <w:bCs w:val="1"/>
          <w:color w:val="auto"/>
        </w:rPr>
        <w:t>f.</w:t>
      </w:r>
      <w:r>
        <w:rPr>
          <w:sz w:val="20"/>
          <w:szCs w:val="20"/>
          <w:color w:val="auto"/>
        </w:rPr>
        <w:tab/>
      </w:r>
      <w:r>
        <w:rPr>
          <w:rFonts w:ascii="Arial" w:cs="Arial" w:eastAsia="Arial" w:hAnsi="Arial"/>
          <w:sz w:val="15"/>
          <w:szCs w:val="15"/>
          <w:b w:val="1"/>
          <w:bCs w:val="1"/>
          <w:color w:val="auto"/>
        </w:rPr>
        <w:t>Deductible temporary differences</w:t>
      </w:r>
    </w:p>
    <w:p>
      <w:pPr>
        <w:spacing w:after="0" w:line="119" w:lineRule="exact"/>
        <w:rPr>
          <w:sz w:val="20"/>
          <w:szCs w:val="20"/>
          <w:color w:val="auto"/>
        </w:rPr>
      </w:pPr>
    </w:p>
    <w:p>
      <w:pPr>
        <w:ind w:left="560" w:right="1199"/>
        <w:spacing w:after="0" w:line="261" w:lineRule="auto"/>
        <w:rPr>
          <w:sz w:val="20"/>
          <w:szCs w:val="20"/>
          <w:color w:val="auto"/>
        </w:rPr>
      </w:pPr>
      <w:r>
        <w:rPr>
          <w:rFonts w:ascii="Arial" w:cs="Arial" w:eastAsia="Arial" w:hAnsi="Arial"/>
          <w:sz w:val="17"/>
          <w:szCs w:val="17"/>
          <w:color w:val="auto"/>
        </w:rPr>
        <w:t>The amount of cumulative deductible temporary differences, other than unused tax loss carryforwards (as mentioned in c. above), for which deferred tax assets have not been recognized in the statement of financial position as of December 31, 2009 and 2010, were NIS 12,958,000 and NIS 13,086,000, respectively. These temporary differences have no expiration dates.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g.  Value-added tax (VAT)</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jointly registered for VAT purposes together with certain of its subsidiaries.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11 — EARNINGS (LOSS) PER SHARE</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contains the data used in the computation of the 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0919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5"/>
          </w:tcPr>
          <w:p>
            <w:pPr>
              <w:jc w:val="center"/>
              <w:ind w:right="140"/>
              <w:spacing w:after="0"/>
              <w:rPr>
                <w:sz w:val="20"/>
                <w:szCs w:val="20"/>
                <w:color w:val="auto"/>
              </w:rPr>
            </w:pPr>
            <w:r>
              <w:rPr>
                <w:rFonts w:ascii="Arial" w:cs="Arial" w:eastAsia="Arial" w:hAnsi="Arial"/>
                <w:sz w:val="14"/>
                <w:szCs w:val="14"/>
                <w:color w:val="auto"/>
                <w:w w:val="88"/>
              </w:rPr>
              <w:t>NIS in thousands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3560" w:type="dxa"/>
            <w:vAlign w:val="bottom"/>
            <w:gridSpan w:val="3"/>
            <w:shd w:val="clear" w:color="auto" w:fill="CCFFCC"/>
          </w:tcPr>
          <w:p>
            <w:pPr>
              <w:spacing w:after="0"/>
              <w:rPr>
                <w:sz w:val="20"/>
                <w:szCs w:val="20"/>
                <w:color w:val="auto"/>
              </w:rPr>
            </w:pPr>
            <w:r>
              <w:rPr>
                <w:rFonts w:ascii="Arial" w:cs="Arial" w:eastAsia="Arial" w:hAnsi="Arial"/>
                <w:sz w:val="17"/>
                <w:szCs w:val="17"/>
                <w:color w:val="auto"/>
                <w:w w:val="96"/>
              </w:rPr>
              <w:t>Income (loss) as reported in financial statements</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(114,849)</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(61,518)</w:t>
            </w:r>
          </w:p>
        </w:tc>
        <w:tc>
          <w:tcPr>
            <w:tcW w:w="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7,440</w:t>
            </w:r>
          </w:p>
        </w:tc>
      </w:tr>
      <w:tr>
        <w:trPr>
          <w:trHeight w:val="206"/>
        </w:trPr>
        <w:tc>
          <w:tcPr>
            <w:tcW w:w="3560" w:type="dxa"/>
            <w:vAlign w:val="bottom"/>
            <w:gridSpan w:val="3"/>
          </w:tcPr>
          <w:p>
            <w:pPr>
              <w:spacing w:after="0"/>
              <w:rPr>
                <w:sz w:val="20"/>
                <w:szCs w:val="20"/>
                <w:color w:val="auto"/>
              </w:rPr>
            </w:pPr>
            <w:r>
              <w:rPr>
                <w:rFonts w:ascii="Arial" w:cs="Arial" w:eastAsia="Arial" w:hAnsi="Arial"/>
                <w:sz w:val="17"/>
                <w:szCs w:val="17"/>
                <w:color w:val="auto"/>
              </w:rPr>
              <w:t>Income (loss) attributed to ordinary shares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(114,849)</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(61,518)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7,440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3560" w:type="dxa"/>
            <w:vAlign w:val="bottom"/>
            <w:gridSpan w:val="3"/>
            <w:shd w:val="clear" w:color="auto" w:fill="CCFFCC"/>
          </w:tcPr>
          <w:p>
            <w:pPr>
              <w:spacing w:after="0" w:line="185" w:lineRule="exact"/>
              <w:rPr>
                <w:sz w:val="20"/>
                <w:szCs w:val="20"/>
                <w:color w:val="auto"/>
              </w:rPr>
            </w:pPr>
            <w:r>
              <w:rPr>
                <w:rFonts w:ascii="Arial" w:cs="Arial" w:eastAsia="Arial" w:hAnsi="Arial"/>
                <w:sz w:val="17"/>
                <w:szCs w:val="17"/>
                <w:color w:val="auto"/>
              </w:rPr>
              <w:t>Number of shares used in basic calculation (in</w:t>
            </w:r>
          </w:p>
        </w:tc>
        <w:tc>
          <w:tcPr>
            <w:tcW w:w="820" w:type="dxa"/>
            <w:vAlign w:val="bottom"/>
            <w:gridSpan w:val="2"/>
            <w:shd w:val="clear" w:color="auto" w:fill="CCFFCC"/>
          </w:tcPr>
          <w:p>
            <w:pPr>
              <w:jc w:val="right"/>
              <w:ind w:right="31"/>
              <w:spacing w:after="0" w:line="185" w:lineRule="exact"/>
              <w:rPr>
                <w:sz w:val="20"/>
                <w:szCs w:val="20"/>
                <w:color w:val="auto"/>
              </w:rPr>
            </w:pPr>
            <w:r>
              <w:rPr>
                <w:rFonts w:ascii="Arial" w:cs="Arial" w:eastAsia="Arial" w:hAnsi="Arial"/>
                <w:sz w:val="17"/>
                <w:szCs w:val="17"/>
                <w:color w:val="auto"/>
              </w:rPr>
              <w:t>78,131</w:t>
            </w:r>
          </w:p>
        </w:tc>
        <w:tc>
          <w:tcPr>
            <w:tcW w:w="980" w:type="dxa"/>
            <w:vAlign w:val="bottom"/>
            <w:gridSpan w:val="3"/>
            <w:shd w:val="clear" w:color="auto" w:fill="CCFFCC"/>
          </w:tcPr>
          <w:p>
            <w:pPr>
              <w:jc w:val="right"/>
              <w:ind w:right="120"/>
              <w:spacing w:after="0" w:line="185" w:lineRule="exact"/>
              <w:rPr>
                <w:sz w:val="20"/>
                <w:szCs w:val="20"/>
                <w:color w:val="auto"/>
              </w:rPr>
            </w:pPr>
            <w:r>
              <w:rPr>
                <w:rFonts w:ascii="Arial" w:cs="Arial" w:eastAsia="Arial" w:hAnsi="Arial"/>
                <w:sz w:val="17"/>
                <w:szCs w:val="17"/>
                <w:color w:val="auto"/>
              </w:rPr>
              <w:t>96,693</w:t>
            </w:r>
          </w:p>
        </w:tc>
        <w:tc>
          <w:tcPr>
            <w:tcW w:w="16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60"/>
              <w:spacing w:after="0" w:line="185" w:lineRule="exact"/>
              <w:rPr>
                <w:sz w:val="20"/>
                <w:szCs w:val="20"/>
                <w:color w:val="auto"/>
              </w:rPr>
            </w:pPr>
            <w:r>
              <w:rPr>
                <w:rFonts w:ascii="Arial" w:cs="Arial" w:eastAsia="Arial" w:hAnsi="Arial"/>
                <w:sz w:val="17"/>
                <w:szCs w:val="17"/>
                <w:color w:val="auto"/>
                <w:w w:val="94"/>
              </w:rPr>
              <w:t>123,512</w:t>
            </w:r>
          </w:p>
        </w:tc>
      </w:tr>
      <w:tr>
        <w:trPr>
          <w:trHeight w:val="257"/>
        </w:trPr>
        <w:tc>
          <w:tcPr>
            <w:tcW w:w="20" w:type="dxa"/>
            <w:vAlign w:val="bottom"/>
            <w:tcBorders>
              <w:bottom w:val="single" w:sz="8" w:color="CCFFCC"/>
            </w:tcBorders>
            <w:shd w:val="clear" w:color="auto" w:fill="CCFFCC"/>
          </w:tcPr>
          <w:p>
            <w:pPr>
              <w:spacing w:after="0"/>
              <w:rPr>
                <w:sz w:val="22"/>
                <w:szCs w:val="22"/>
                <w:color w:val="auto"/>
              </w:rPr>
            </w:pPr>
          </w:p>
        </w:tc>
        <w:tc>
          <w:tcPr>
            <w:tcW w:w="354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thousands)</w:t>
            </w:r>
          </w:p>
        </w:tc>
        <w:tc>
          <w:tcPr>
            <w:tcW w:w="700" w:type="dxa"/>
            <w:vAlign w:val="bottom"/>
            <w:tcBorders>
              <w:bottom w:val="single" w:sz="8" w:color="auto"/>
              <w:right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right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right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r>
      <w:tr>
        <w:trPr>
          <w:trHeight w:val="186"/>
        </w:trPr>
        <w:tc>
          <w:tcPr>
            <w:tcW w:w="3560" w:type="dxa"/>
            <w:vAlign w:val="bottom"/>
            <w:gridSpan w:val="3"/>
          </w:tcPr>
          <w:p>
            <w:pPr>
              <w:spacing w:after="0" w:line="185" w:lineRule="exact"/>
              <w:rPr>
                <w:sz w:val="20"/>
                <w:szCs w:val="20"/>
                <w:color w:val="auto"/>
              </w:rPr>
            </w:pPr>
            <w:r>
              <w:rPr>
                <w:rFonts w:ascii="Arial" w:cs="Arial" w:eastAsia="Arial" w:hAnsi="Arial"/>
                <w:sz w:val="17"/>
                <w:szCs w:val="17"/>
                <w:color w:val="auto"/>
                <w:w w:val="99"/>
              </w:rPr>
              <w:t>Adjustment for incremental dilutive shares from</w:t>
            </w:r>
          </w:p>
        </w:tc>
        <w:tc>
          <w:tcPr>
            <w:tcW w:w="820" w:type="dxa"/>
            <w:vAlign w:val="bottom"/>
            <w:gridSpan w:val="2"/>
          </w:tcPr>
          <w:p>
            <w:pPr>
              <w:jc w:val="right"/>
              <w:ind w:right="31"/>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240" w:type="dxa"/>
            <w:vAlign w:val="bottom"/>
            <w:gridSpan w:val="4"/>
          </w:tcPr>
          <w:p>
            <w:pPr>
              <w:jc w:val="right"/>
              <w:ind w:right="540"/>
              <w:spacing w:after="0" w:line="185"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line="185" w:lineRule="exact"/>
              <w:rPr>
                <w:sz w:val="20"/>
                <w:szCs w:val="20"/>
                <w:color w:val="auto"/>
              </w:rPr>
            </w:pPr>
            <w:r>
              <w:rPr>
                <w:rFonts w:ascii="Arial" w:cs="Arial" w:eastAsia="Arial" w:hAnsi="Arial"/>
                <w:sz w:val="17"/>
                <w:szCs w:val="17"/>
                <w:color w:val="auto"/>
              </w:rPr>
              <w:t>1,035</w:t>
            </w:r>
          </w:p>
        </w:tc>
      </w:tr>
      <w:tr>
        <w:trPr>
          <w:trHeight w:val="217"/>
        </w:trPr>
        <w:tc>
          <w:tcPr>
            <w:tcW w:w="20" w:type="dxa"/>
            <w:vAlign w:val="bottom"/>
          </w:tcPr>
          <w:p>
            <w:pPr>
              <w:spacing w:after="0"/>
              <w:rPr>
                <w:sz w:val="18"/>
                <w:szCs w:val="18"/>
                <w:color w:val="auto"/>
              </w:rPr>
            </w:pPr>
          </w:p>
        </w:tc>
        <w:tc>
          <w:tcPr>
            <w:tcW w:w="3540" w:type="dxa"/>
            <w:vAlign w:val="bottom"/>
            <w:gridSpan w:val="2"/>
          </w:tcPr>
          <w:p>
            <w:pPr>
              <w:ind w:left="160"/>
              <w:spacing w:after="0"/>
              <w:rPr>
                <w:sz w:val="20"/>
                <w:szCs w:val="20"/>
                <w:color w:val="auto"/>
              </w:rPr>
            </w:pPr>
            <w:r>
              <w:rPr>
                <w:rFonts w:ascii="Arial" w:cs="Arial" w:eastAsia="Arial" w:hAnsi="Arial"/>
                <w:sz w:val="17"/>
                <w:szCs w:val="17"/>
                <w:color w:val="auto"/>
                <w:w w:val="94"/>
              </w:rPr>
              <w:t>the theoretical exercise of options and warrants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560" w:type="dxa"/>
            <w:vAlign w:val="bottom"/>
            <w:gridSpan w:val="3"/>
            <w:shd w:val="clear" w:color="auto" w:fill="CCFFCC"/>
          </w:tcPr>
          <w:p>
            <w:pPr>
              <w:spacing w:after="0" w:line="194" w:lineRule="exact"/>
              <w:rPr>
                <w:sz w:val="20"/>
                <w:szCs w:val="20"/>
                <w:color w:val="auto"/>
              </w:rPr>
            </w:pPr>
            <w:r>
              <w:rPr>
                <w:rFonts w:ascii="Arial" w:cs="Arial" w:eastAsia="Arial" w:hAnsi="Arial"/>
                <w:sz w:val="17"/>
                <w:szCs w:val="17"/>
                <w:color w:val="auto"/>
                <w:w w:val="98"/>
              </w:rPr>
              <w:t>Number of shares used in diluted calculation (in</w:t>
            </w:r>
          </w:p>
        </w:tc>
        <w:tc>
          <w:tcPr>
            <w:tcW w:w="820" w:type="dxa"/>
            <w:vAlign w:val="bottom"/>
            <w:gridSpan w:val="2"/>
            <w:shd w:val="clear" w:color="auto" w:fill="CCFFCC"/>
          </w:tcPr>
          <w:p>
            <w:pPr>
              <w:jc w:val="right"/>
              <w:ind w:right="31"/>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1240" w:type="dxa"/>
            <w:vAlign w:val="bottom"/>
            <w:gridSpan w:val="4"/>
            <w:shd w:val="clear" w:color="auto" w:fill="CCFFCC"/>
          </w:tcPr>
          <w:p>
            <w:pPr>
              <w:jc w:val="right"/>
              <w:ind w:right="540"/>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w w:val="94"/>
              </w:rPr>
              <w:t>124,547</w:t>
            </w:r>
          </w:p>
        </w:tc>
      </w:tr>
      <w:tr>
        <w:trPr>
          <w:trHeight w:val="257"/>
        </w:trPr>
        <w:tc>
          <w:tcPr>
            <w:tcW w:w="20" w:type="dxa"/>
            <w:vAlign w:val="bottom"/>
            <w:tcBorders>
              <w:bottom w:val="single" w:sz="8" w:color="CCFFCC"/>
            </w:tcBorders>
            <w:shd w:val="clear" w:color="auto" w:fill="CCFFCC"/>
          </w:tcPr>
          <w:p>
            <w:pPr>
              <w:spacing w:after="0"/>
              <w:rPr>
                <w:sz w:val="22"/>
                <w:szCs w:val="22"/>
                <w:color w:val="auto"/>
              </w:rPr>
            </w:pPr>
          </w:p>
        </w:tc>
        <w:tc>
          <w:tcPr>
            <w:tcW w:w="354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thousands)</w:t>
            </w:r>
          </w:p>
        </w:tc>
        <w:tc>
          <w:tcPr>
            <w:tcW w:w="700" w:type="dxa"/>
            <w:vAlign w:val="bottom"/>
            <w:tcBorders>
              <w:bottom w:val="single" w:sz="8" w:color="auto"/>
              <w:right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0" w:type="dxa"/>
            <w:vAlign w:val="bottom"/>
            <w:tcBorders>
              <w:bottom w:val="single" w:sz="8" w:color="auto"/>
              <w:right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right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4"/>
              </w:rPr>
              <w:t>NIS</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219"/>
        </w:trPr>
        <w:tc>
          <w:tcPr>
            <w:tcW w:w="35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Basic earnings (loss) per ordinary share*</w:t>
            </w:r>
          </w:p>
        </w:tc>
        <w:tc>
          <w:tcPr>
            <w:tcW w:w="820" w:type="dxa"/>
            <w:vAlign w:val="bottom"/>
            <w:gridSpan w:val="2"/>
            <w:shd w:val="clear" w:color="auto" w:fill="CCFFCC"/>
          </w:tcPr>
          <w:p>
            <w:pPr>
              <w:jc w:val="right"/>
              <w:ind w:right="31"/>
              <w:spacing w:after="0"/>
              <w:rPr>
                <w:sz w:val="20"/>
                <w:szCs w:val="20"/>
                <w:color w:val="auto"/>
              </w:rPr>
            </w:pPr>
            <w:r>
              <w:rPr>
                <w:rFonts w:ascii="Arial" w:cs="Arial" w:eastAsia="Arial" w:hAnsi="Arial"/>
                <w:sz w:val="17"/>
                <w:szCs w:val="17"/>
                <w:color w:val="auto"/>
              </w:rPr>
              <w:t>(1.44)</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(0.63)</w:t>
            </w:r>
          </w:p>
        </w:tc>
        <w:tc>
          <w:tcPr>
            <w:tcW w:w="1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0.06</w:t>
            </w:r>
          </w:p>
        </w:tc>
        <w:tc>
          <w:tcPr>
            <w:tcW w:w="80" w:type="dxa"/>
            <w:vAlign w:val="bottom"/>
            <w:shd w:val="clear" w:color="auto" w:fill="CCFFCC"/>
          </w:tcPr>
          <w:p>
            <w:pPr>
              <w:spacing w:after="0"/>
              <w:rPr>
                <w:sz w:val="19"/>
                <w:szCs w:val="19"/>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97"/>
        </w:trPr>
        <w:tc>
          <w:tcPr>
            <w:tcW w:w="3560" w:type="dxa"/>
            <w:vAlign w:val="bottom"/>
            <w:gridSpan w:val="3"/>
          </w:tcPr>
          <w:p>
            <w:pPr>
              <w:spacing w:after="0"/>
              <w:rPr>
                <w:sz w:val="20"/>
                <w:szCs w:val="20"/>
                <w:color w:val="auto"/>
              </w:rPr>
            </w:pPr>
            <w:r>
              <w:rPr>
                <w:rFonts w:ascii="Arial" w:cs="Arial" w:eastAsia="Arial" w:hAnsi="Arial"/>
                <w:sz w:val="17"/>
                <w:szCs w:val="17"/>
                <w:color w:val="auto"/>
              </w:rPr>
              <w:t>Diluted earnings (loss) per ordinary share*</w:t>
            </w:r>
          </w:p>
        </w:tc>
        <w:tc>
          <w:tcPr>
            <w:tcW w:w="82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40" w:type="dxa"/>
            <w:vAlign w:val="bottom"/>
            <w:gridSpan w:val="4"/>
          </w:tcPr>
          <w:p>
            <w:pPr>
              <w:jc w:val="right"/>
              <w:ind w:right="58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0.06</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-1216660</wp:posOffset>
            </wp:positionV>
            <wp:extent cx="4091940" cy="2940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091940" cy="2940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-661035</wp:posOffset>
            </wp:positionV>
            <wp:extent cx="4091940" cy="323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-367030</wp:posOffset>
            </wp:positionV>
            <wp:extent cx="4091940" cy="1962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091940" cy="1962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-701675</wp:posOffset>
            </wp:positionV>
            <wp:extent cx="40919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25" w:lineRule="exact"/>
        <w:rPr>
          <w:sz w:val="20"/>
          <w:szCs w:val="20"/>
          <w:color w:val="auto"/>
        </w:rPr>
      </w:pPr>
    </w:p>
    <w:p>
      <w:pPr>
        <w:ind w:left="280" w:right="1219" w:hanging="264"/>
        <w:spacing w:after="0" w:line="265" w:lineRule="auto"/>
        <w:tabs>
          <w:tab w:leader="none" w:pos="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loss per share and the number of shares for the years 2008 and 2009 have been retroactively adjusted in order to give retroactive effect to the benefit embedded in the rights offering, as detailed in Note 9c(2). The embedded benefit, which is the equivalent of a stock dividend, in such rights offering was 25%.</w:t>
      </w:r>
    </w:p>
    <w:p>
      <w:pPr>
        <w:spacing w:after="0" w:line="73" w:lineRule="exact"/>
        <w:rPr>
          <w:sz w:val="20"/>
          <w:szCs w:val="20"/>
          <w:color w:val="auto"/>
        </w:rPr>
      </w:pPr>
    </w:p>
    <w:p>
      <w:pPr>
        <w:ind w:left="560" w:right="1199"/>
        <w:spacing w:after="0" w:line="278" w:lineRule="auto"/>
        <w:rPr>
          <w:sz w:val="20"/>
          <w:szCs w:val="20"/>
          <w:color w:val="auto"/>
        </w:rPr>
      </w:pPr>
      <w:r>
        <w:rPr>
          <w:rFonts w:ascii="Arial" w:cs="Arial" w:eastAsia="Arial" w:hAnsi="Arial"/>
          <w:sz w:val="17"/>
          <w:szCs w:val="17"/>
          <w:color w:val="auto"/>
        </w:rPr>
        <w:t>Diluted loss per share data is not presented for 2008 and 2009, due to the antidilutive effect of the inclusion of potentially dilutive shares.</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280" w:right="4979" w:hanging="218"/>
        <w:spacing w:after="0" w:line="382" w:lineRule="auto"/>
        <w:rPr>
          <w:sz w:val="20"/>
          <w:szCs w:val="20"/>
          <w:color w:val="auto"/>
        </w:rPr>
      </w:pPr>
      <w:r>
        <w:rPr>
          <w:rFonts w:ascii="Arial" w:cs="Arial" w:eastAsia="Arial" w:hAnsi="Arial"/>
          <w:sz w:val="17"/>
          <w:szCs w:val="17"/>
          <w:b w:val="1"/>
          <w:bCs w:val="1"/>
          <w:color w:val="auto"/>
        </w:rPr>
        <w:t>NOTE 12 — COMMITMENTS AND CONTINGENT LIABILITIES a. Commitments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  Agreement with the State of Israel for the operation of a biotechnology incubator (the “Incubator”)</w:t>
      </w:r>
    </w:p>
    <w:p>
      <w:pPr>
        <w:spacing w:after="0" w:line="113" w:lineRule="exact"/>
        <w:rPr>
          <w:sz w:val="20"/>
          <w:szCs w:val="20"/>
          <w:color w:val="auto"/>
        </w:rPr>
      </w:pPr>
    </w:p>
    <w:p>
      <w:pPr>
        <w:ind w:left="820" w:right="1179"/>
        <w:spacing w:after="0" w:line="265" w:lineRule="auto"/>
        <w:rPr>
          <w:sz w:val="20"/>
          <w:szCs w:val="20"/>
          <w:color w:val="auto"/>
        </w:rPr>
      </w:pPr>
      <w:r>
        <w:rPr>
          <w:rFonts w:ascii="Arial" w:cs="Arial" w:eastAsia="Arial" w:hAnsi="Arial"/>
          <w:sz w:val="17"/>
          <w:szCs w:val="17"/>
          <w:color w:val="auto"/>
        </w:rPr>
        <w:t>As part of the Incubator Agreement between the Partnership and the State of Israel, represented by the OCS (see principal provisions below), the State of Israel has agreed to grant loans to the Partnership to partially finance projects approved by the OCS.</w:t>
      </w:r>
    </w:p>
    <w:p>
      <w:pPr>
        <w:spacing w:after="0" w:line="73" w:lineRule="exact"/>
        <w:rPr>
          <w:sz w:val="20"/>
          <w:szCs w:val="20"/>
          <w:color w:val="auto"/>
        </w:rPr>
      </w:pPr>
    </w:p>
    <w:p>
      <w:pPr>
        <w:ind w:left="820" w:right="1519"/>
        <w:spacing w:after="0" w:line="261" w:lineRule="auto"/>
        <w:rPr>
          <w:sz w:val="20"/>
          <w:szCs w:val="20"/>
          <w:color w:val="auto"/>
        </w:rPr>
      </w:pPr>
      <w:r>
        <w:rPr>
          <w:rFonts w:ascii="Arial" w:cs="Arial" w:eastAsia="Arial" w:hAnsi="Arial"/>
          <w:sz w:val="17"/>
          <w:szCs w:val="17"/>
          <w:color w:val="auto"/>
        </w:rPr>
        <w:t>The loans bear interest in accordance with the Interest and Linkage Law, 1961 (as of December 31, 2009 and 2010 — 1.70% and 1.40%, respectively), and are repayable at the discretion of the Partnership (but subject to the conditions described below concerning the sale of project assets or the realization of income from the project), as follows:</w:t>
      </w:r>
    </w:p>
    <w:p>
      <w:pPr>
        <w:spacing w:after="0" w:line="76" w:lineRule="exact"/>
        <w:rPr>
          <w:sz w:val="20"/>
          <w:szCs w:val="20"/>
          <w:color w:val="auto"/>
        </w:rPr>
      </w:pPr>
    </w:p>
    <w:p>
      <w:pPr>
        <w:ind w:left="1360" w:hanging="315"/>
        <w:spacing w:after="0"/>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the three years of a project’s incubator stage, the loan is repayable, plus accrued interest.</w:t>
      </w:r>
    </w:p>
    <w:p>
      <w:pPr>
        <w:spacing w:after="0" w:line="113" w:lineRule="exact"/>
        <w:rPr>
          <w:rFonts w:ascii="Arial" w:cs="Arial" w:eastAsia="Arial" w:hAnsi="Arial"/>
          <w:sz w:val="17"/>
          <w:szCs w:val="17"/>
          <w:color w:val="auto"/>
        </w:rPr>
      </w:pPr>
    </w:p>
    <w:p>
      <w:pPr>
        <w:ind w:left="1360" w:right="1099" w:hanging="315"/>
        <w:spacing w:after="0" w:line="278"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the subsequent two years, the loan is repayable under the same terms, provided that the Incubator undertakes to maintain the advancement of the project at a rate similar to that of the preceding years.</w:t>
      </w:r>
    </w:p>
    <w:p>
      <w:pPr>
        <w:spacing w:after="0" w:line="61" w:lineRule="exact"/>
        <w:rPr>
          <w:rFonts w:ascii="Arial" w:cs="Arial" w:eastAsia="Arial" w:hAnsi="Arial"/>
          <w:sz w:val="17"/>
          <w:szCs w:val="17"/>
          <w:color w:val="auto"/>
        </w:rPr>
      </w:pPr>
    </w:p>
    <w:p>
      <w:pPr>
        <w:ind w:left="1360" w:right="1039" w:hanging="315"/>
        <w:spacing w:after="0" w:line="311" w:lineRule="auto"/>
        <w:tabs>
          <w:tab w:leader="none" w:pos="13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three following years, the loan is repayable with the addition of a double interest charge, provided that the Incubator undertakes to continue advancing the project at a rate similar to that of the preceding years.</w:t>
      </w:r>
    </w:p>
    <w:p>
      <w:pPr>
        <w:spacing w:after="0" w:line="38" w:lineRule="exact"/>
        <w:rPr>
          <w:sz w:val="20"/>
          <w:szCs w:val="20"/>
          <w:color w:val="auto"/>
        </w:rPr>
      </w:pPr>
    </w:p>
    <w:p>
      <w:pPr>
        <w:ind w:left="820" w:right="1119"/>
        <w:spacing w:after="0" w:line="275" w:lineRule="auto"/>
        <w:rPr>
          <w:sz w:val="20"/>
          <w:szCs w:val="20"/>
          <w:color w:val="auto"/>
        </w:rPr>
      </w:pPr>
      <w:r>
        <w:rPr>
          <w:rFonts w:ascii="Arial" w:cs="Arial" w:eastAsia="Arial" w:hAnsi="Arial"/>
          <w:sz w:val="16"/>
          <w:szCs w:val="16"/>
          <w:color w:val="auto"/>
        </w:rPr>
        <w:t>If the Incubator sells assets or generates income from a project (including any intellectual property related thereto), at least 25% of the income from such sale must be used to repay the project loan, up to the original amount of the loan with the addition of interest as described herein. The Partnership is required to repay the loan in full upon the sale of a project’s intellectual property or the grant of an exclusive license to use the project’s intellectual property. The total payments to the State of Israel from such income will not exceed the original amount of the applicable loan with the addition of interest and linkage to the CPI. In certain circumstances, if the intellectual property or manufacturing rights are transferred outside of Israel, the repayment amounts may be greater.</w:t>
      </w:r>
    </w:p>
    <w:p>
      <w:pPr>
        <w:spacing w:after="0" w:line="68" w:lineRule="exact"/>
        <w:rPr>
          <w:sz w:val="20"/>
          <w:szCs w:val="20"/>
          <w:color w:val="auto"/>
        </w:rPr>
      </w:pPr>
    </w:p>
    <w:p>
      <w:pPr>
        <w:ind w:left="820" w:right="1019"/>
        <w:spacing w:after="0" w:line="259" w:lineRule="auto"/>
        <w:rPr>
          <w:sz w:val="20"/>
          <w:szCs w:val="20"/>
          <w:color w:val="auto"/>
        </w:rPr>
      </w:pPr>
      <w:r>
        <w:rPr>
          <w:rFonts w:ascii="Arial" w:cs="Arial" w:eastAsia="Arial" w:hAnsi="Arial"/>
          <w:sz w:val="17"/>
          <w:szCs w:val="17"/>
          <w:color w:val="auto"/>
        </w:rPr>
        <w:t>Pursuant to the Incubator Agreement, the Incubator has undertaken to register a first-ranking pledge in favor of the OCS to cover the loans made to the Incubator. In accordance with the agreement, each pledge is specific to a loan for a specific project and includes a restriction on the transfer of, and/or licensing rights in, technologies that originate from the project, and on any equipment purchased for the use of the project. The Group has signed and submitted the pledge registration documents to the OCS.</w:t>
      </w:r>
    </w:p>
    <w:p>
      <w:pPr>
        <w:spacing w:after="0" w:line="77" w:lineRule="exact"/>
        <w:rPr>
          <w:sz w:val="20"/>
          <w:szCs w:val="20"/>
          <w:color w:val="auto"/>
        </w:rPr>
      </w:pPr>
    </w:p>
    <w:p>
      <w:pPr>
        <w:jc w:val="both"/>
        <w:ind w:left="820" w:right="1159"/>
        <w:spacing w:after="0" w:line="265" w:lineRule="auto"/>
        <w:rPr>
          <w:sz w:val="20"/>
          <w:szCs w:val="20"/>
          <w:color w:val="auto"/>
        </w:rPr>
      </w:pPr>
      <w:r>
        <w:rPr>
          <w:rFonts w:ascii="Arial" w:cs="Arial" w:eastAsia="Arial" w:hAnsi="Arial"/>
          <w:sz w:val="17"/>
          <w:szCs w:val="17"/>
          <w:color w:val="auto"/>
        </w:rPr>
        <w:t>The proceeds from the sale or use of a project-related intellectual property serve as the exclusive source for repayment of OCS loans financing such projects, and the sole collateral for the repayment of project loans are pledges on project-related intellectual property and assets purchased with loan proceeds.</w:t>
      </w:r>
    </w:p>
    <w:p>
      <w:pPr>
        <w:spacing w:after="0" w:line="73" w:lineRule="exact"/>
        <w:rPr>
          <w:sz w:val="20"/>
          <w:szCs w:val="20"/>
          <w:color w:val="auto"/>
        </w:rPr>
      </w:pPr>
    </w:p>
    <w:p>
      <w:pPr>
        <w:ind w:left="820" w:right="999"/>
        <w:spacing w:after="0" w:line="282" w:lineRule="auto"/>
        <w:rPr>
          <w:sz w:val="20"/>
          <w:szCs w:val="20"/>
          <w:color w:val="auto"/>
        </w:rPr>
      </w:pPr>
      <w:r>
        <w:rPr>
          <w:rFonts w:ascii="Arial" w:cs="Arial" w:eastAsia="Arial" w:hAnsi="Arial"/>
          <w:sz w:val="16"/>
          <w:szCs w:val="16"/>
          <w:color w:val="auto"/>
        </w:rPr>
        <w:t>In 2008, 2009 and 2010, the Group received NIS 9,240,000, NIS 6,338,000, and NIS 1,916,000, respectively, from the OCS, of which NIS 6,902,000, NIS 3,491,000, and NIS 842,000, respectively, were related to discontinued projects. The Company has agreed with the OCS on a procedure for the discontinuation of projects by the Incubator and the action that should be taken to forgive or repay loans received in respect of such discontinued projects.</w:t>
      </w:r>
    </w:p>
    <w:p>
      <w:pPr>
        <w:spacing w:after="0" w:line="61" w:lineRule="exact"/>
        <w:rPr>
          <w:sz w:val="20"/>
          <w:szCs w:val="20"/>
          <w:color w:val="auto"/>
        </w:rPr>
      </w:pPr>
    </w:p>
    <w:p>
      <w:pPr>
        <w:ind w:left="820" w:right="1419"/>
        <w:spacing w:after="0" w:line="278" w:lineRule="auto"/>
        <w:rPr>
          <w:sz w:val="20"/>
          <w:szCs w:val="20"/>
          <w:color w:val="auto"/>
        </w:rPr>
      </w:pPr>
      <w:r>
        <w:rPr>
          <w:rFonts w:ascii="Arial" w:cs="Arial" w:eastAsia="Arial" w:hAnsi="Arial"/>
          <w:sz w:val="17"/>
          <w:szCs w:val="17"/>
          <w:color w:val="auto"/>
        </w:rPr>
        <w:t>The biotechnological incubators program is an initiative of the OCS that is designed to strengthen and promote the Israeli biotechnology industry, as well as biotechnology projects.</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12 — COMMITMENTS AND CONTINGENT LIABILITIES – (continued)</w:t>
      </w:r>
    </w:p>
    <w:p>
      <w:pPr>
        <w:spacing w:after="0" w:line="1" w:lineRule="exact"/>
        <w:rPr>
          <w:sz w:val="20"/>
          <w:szCs w:val="20"/>
          <w:color w:val="auto"/>
        </w:rPr>
      </w:pPr>
    </w:p>
    <w:p>
      <w:pPr>
        <w:ind w:left="820" w:right="1119"/>
        <w:spacing w:after="0" w:line="257" w:lineRule="auto"/>
        <w:rPr>
          <w:sz w:val="20"/>
          <w:szCs w:val="20"/>
          <w:color w:val="auto"/>
        </w:rPr>
      </w:pPr>
      <w:r>
        <w:rPr>
          <w:rFonts w:ascii="Arial" w:cs="Arial" w:eastAsia="Arial" w:hAnsi="Arial"/>
          <w:sz w:val="17"/>
          <w:szCs w:val="17"/>
          <w:color w:val="auto"/>
        </w:rPr>
        <w:t>This program was launched in late 2001, following publication of Directive No. 8.4 of the Director-General of Israel’s Ministry of Industry, Trade and Labor (“Directive 8.4”). This directive implements the recommendations of the “Monitor” report, which reviewed ways to promote the Israeli biotechnology industry and recommended the establishment of for-profit incubators to support commercially viable projects by providing physical, organizational, professional, marketing and business infrastructure to promote research and development by early-stage biotechnology enterprises.</w:t>
      </w:r>
    </w:p>
    <w:p>
      <w:pPr>
        <w:spacing w:after="0" w:line="82" w:lineRule="exact"/>
        <w:rPr>
          <w:sz w:val="20"/>
          <w:szCs w:val="20"/>
          <w:color w:val="auto"/>
        </w:rPr>
      </w:pPr>
    </w:p>
    <w:p>
      <w:pPr>
        <w:ind w:left="820" w:right="1099"/>
        <w:spacing w:after="0" w:line="259" w:lineRule="auto"/>
        <w:rPr>
          <w:sz w:val="20"/>
          <w:szCs w:val="20"/>
          <w:color w:val="auto"/>
        </w:rPr>
      </w:pPr>
      <w:r>
        <w:rPr>
          <w:rFonts w:ascii="Arial" w:cs="Arial" w:eastAsia="Arial" w:hAnsi="Arial"/>
          <w:sz w:val="17"/>
          <w:szCs w:val="17"/>
          <w:color w:val="auto"/>
        </w:rPr>
        <w:t>Directive 8.4 was amended in May 2004, to prescribe two tracks for operating biotech incubators (see (e) below). Immediately after the amendment of Directive 8.4, the OCS issued a call for proposals to establish and operate incubators. The Company, whose proposal was accepted by the OCS, entered into an agreement with the OCS, through the Partnership, for the operation of a designated biotechnology incubator. The principal provisions of the Incubator Agreement are as follows:</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 Period of the agreement</w:t>
      </w:r>
    </w:p>
    <w:p>
      <w:pPr>
        <w:spacing w:after="0" w:line="113" w:lineRule="exact"/>
        <w:rPr>
          <w:sz w:val="20"/>
          <w:szCs w:val="20"/>
          <w:color w:val="auto"/>
        </w:rPr>
      </w:pPr>
    </w:p>
    <w:p>
      <w:pPr>
        <w:ind w:left="1080" w:right="1099"/>
        <w:spacing w:after="0" w:line="306" w:lineRule="auto"/>
        <w:rPr>
          <w:sz w:val="20"/>
          <w:szCs w:val="20"/>
          <w:color w:val="auto"/>
        </w:rPr>
      </w:pPr>
      <w:r>
        <w:rPr>
          <w:rFonts w:ascii="Arial" w:cs="Arial" w:eastAsia="Arial" w:hAnsi="Arial"/>
          <w:sz w:val="15"/>
          <w:szCs w:val="15"/>
          <w:color w:val="auto"/>
        </w:rPr>
        <w:t>The Incubator Agreement originally had a six-year period expiring on December 31, 2010. However, in accordance with an approval certificate that was received from the OCS, the Incubator Agreement was extended for two additional years, through 2012, and it was also agreed that the Group would be permitted to file a request for an additional one-year extension (through December 2013) prior to expiration of the first extension.</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(b) Scope of Incubator operations</w:t>
      </w:r>
    </w:p>
    <w:p>
      <w:pPr>
        <w:spacing w:after="0" w:line="113" w:lineRule="exact"/>
        <w:rPr>
          <w:sz w:val="20"/>
          <w:szCs w:val="20"/>
          <w:color w:val="auto"/>
        </w:rPr>
      </w:pPr>
    </w:p>
    <w:p>
      <w:pPr>
        <w:jc w:val="both"/>
        <w:ind w:left="1080" w:right="1179"/>
        <w:spacing w:after="0" w:line="317" w:lineRule="auto"/>
        <w:rPr>
          <w:sz w:val="20"/>
          <w:szCs w:val="20"/>
          <w:color w:val="auto"/>
        </w:rPr>
      </w:pPr>
      <w:r>
        <w:rPr>
          <w:rFonts w:ascii="Arial" w:cs="Arial" w:eastAsia="Arial" w:hAnsi="Arial"/>
          <w:sz w:val="15"/>
          <w:szCs w:val="15"/>
          <w:color w:val="auto"/>
        </w:rPr>
        <w:t>The Incubator is designed for the simultaneous operation of at least eight OCS-approved projects. The Group may operate additional projects within the Incubator’s facilities that are not funded by the State or under the incubator program, provided that the operation of such additional projects does not interfere with OCS-approved projects.</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 Summary of the Group’s obligations</w:t>
      </w:r>
    </w:p>
    <w:p>
      <w:pPr>
        <w:spacing w:after="0" w:line="113" w:lineRule="exact"/>
        <w:rPr>
          <w:sz w:val="20"/>
          <w:szCs w:val="20"/>
          <w:color w:val="auto"/>
        </w:rPr>
      </w:pPr>
    </w:p>
    <w:p>
      <w:pPr>
        <w:ind w:left="1080" w:right="1139"/>
        <w:spacing w:after="0" w:line="272" w:lineRule="auto"/>
        <w:rPr>
          <w:sz w:val="20"/>
          <w:szCs w:val="20"/>
          <w:color w:val="auto"/>
        </w:rPr>
      </w:pPr>
      <w:r>
        <w:rPr>
          <w:rFonts w:ascii="Arial" w:cs="Arial" w:eastAsia="Arial" w:hAnsi="Arial"/>
          <w:sz w:val="16"/>
          <w:szCs w:val="16"/>
          <w:color w:val="auto"/>
        </w:rPr>
        <w:t>Within the framework of the Incubator Agreement, the Group has agreed to operate a biotechnology-designated incubator, to identify projects suitable for OCS approval, to make adequate premises and physical infrastructure available for at least eight projects and to provide administrative, organizational, professional and business support to the projects in order to facilitate research and development of commercially viable biotechnology projects. Among other things, some minimum requirements have been set for Incubator staff in terms of skills and employment levels. In addition, the Group has agreed to maintain a central laboratory for the use of all projects, equip the laboratory in accordance with the specifications provided in Directive 8.4 and in the Group’s incubator proposal, and operate the Incubator using capable personnel. The Group is also required to make consulting and auditing services (accounting, legal, patent consulting, quality assurance, information science services, regulatory consulting and clinical trials) available to the projects at an acceptable scope and quality, from service providers approved by the OCS. The Group has undertaken to invest at least NIS 2,700,000 per year in the operation of the Incubator.</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 Summary of OCS obligations</w:t>
      </w:r>
    </w:p>
    <w:p>
      <w:pPr>
        <w:spacing w:after="0" w:line="113" w:lineRule="exact"/>
        <w:rPr>
          <w:sz w:val="20"/>
          <w:szCs w:val="20"/>
          <w:color w:val="auto"/>
        </w:rPr>
      </w:pPr>
    </w:p>
    <w:p>
      <w:pPr>
        <w:ind w:left="1080" w:right="1079"/>
        <w:spacing w:after="0" w:line="317" w:lineRule="auto"/>
        <w:rPr>
          <w:sz w:val="20"/>
          <w:szCs w:val="20"/>
          <w:color w:val="auto"/>
        </w:rPr>
      </w:pPr>
      <w:r>
        <w:rPr>
          <w:rFonts w:ascii="Arial" w:cs="Arial" w:eastAsia="Arial" w:hAnsi="Arial"/>
          <w:sz w:val="15"/>
          <w:szCs w:val="15"/>
          <w:color w:val="auto"/>
        </w:rPr>
        <w:t>The OCS has undertaken to finance 50% of the cost of the equipment required for setting up the central laboratory and to make available State loans to each of the projects approved by the OCS at the rates of 85%, 80% and 75% of the project’s approved budget in its first three years of operation, respectively, which are to be repaid to the State as</w:t>
      </w:r>
    </w:p>
    <w:p>
      <w:pPr>
        <w:spacing w:after="0" w:line="200" w:lineRule="exact"/>
        <w:rPr>
          <w:sz w:val="20"/>
          <w:szCs w:val="20"/>
          <w:color w:val="auto"/>
        </w:rPr>
      </w:pPr>
    </w:p>
    <w:p>
      <w:pPr>
        <w:spacing w:after="0" w:line="27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12 — COMMITMENTS AND CONTINGENT LIABILITIES – (continued)</w:t>
      </w:r>
    </w:p>
    <w:p>
      <w:pPr>
        <w:spacing w:after="0" w:line="1" w:lineRule="exact"/>
        <w:rPr>
          <w:sz w:val="20"/>
          <w:szCs w:val="20"/>
          <w:color w:val="auto"/>
        </w:rPr>
      </w:pPr>
    </w:p>
    <w:p>
      <w:pPr>
        <w:ind w:left="1080" w:right="1239"/>
        <w:spacing w:after="0" w:line="265" w:lineRule="auto"/>
        <w:rPr>
          <w:sz w:val="20"/>
          <w:szCs w:val="20"/>
          <w:color w:val="auto"/>
        </w:rPr>
      </w:pPr>
      <w:r>
        <w:rPr>
          <w:rFonts w:ascii="Arial" w:cs="Arial" w:eastAsia="Arial" w:hAnsi="Arial"/>
          <w:sz w:val="17"/>
          <w:szCs w:val="17"/>
          <w:color w:val="auto"/>
        </w:rPr>
        <w:t>described above. Each Incubator project is limited to a period of three years and a maximum budget of NIS 8,100,000, in respect of which the Group is responsible for obtaining the complementary financing (15% to 25%) for all three years, as described above.</w:t>
      </w:r>
    </w:p>
    <w:p>
      <w:pPr>
        <w:spacing w:after="0" w:line="73" w:lineRule="exact"/>
        <w:rPr>
          <w:sz w:val="20"/>
          <w:szCs w:val="20"/>
          <w:color w:val="auto"/>
        </w:rPr>
      </w:pPr>
    </w:p>
    <w:p>
      <w:pPr>
        <w:ind w:left="1080" w:right="1039"/>
        <w:spacing w:after="0" w:line="306" w:lineRule="auto"/>
        <w:rPr>
          <w:sz w:val="20"/>
          <w:szCs w:val="20"/>
          <w:color w:val="auto"/>
        </w:rPr>
      </w:pPr>
      <w:r>
        <w:rPr>
          <w:rFonts w:ascii="Arial" w:cs="Arial" w:eastAsia="Arial" w:hAnsi="Arial"/>
          <w:sz w:val="15"/>
          <w:szCs w:val="15"/>
          <w:color w:val="auto"/>
        </w:rPr>
        <w:t>In exchange for the services from the Incubator, the Group is entitled to receive participation by the OCS in operating expenses of up to 20% of the personnel costs associated with each project’s approved budget, and may not collect additional payments in respect of the basket of services required by the OCS. The participation limit also applies to the operating expenses of the central laboratory, but does not apply to the costs of consumable materials.</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(e) The different tracks</w:t>
      </w:r>
    </w:p>
    <w:p>
      <w:pPr>
        <w:spacing w:after="0" w:line="113" w:lineRule="exact"/>
        <w:rPr>
          <w:sz w:val="20"/>
          <w:szCs w:val="20"/>
          <w:color w:val="auto"/>
        </w:rPr>
      </w:pPr>
    </w:p>
    <w:p>
      <w:pPr>
        <w:ind w:left="1080" w:right="1039"/>
        <w:spacing w:after="0" w:line="279" w:lineRule="auto"/>
        <w:rPr>
          <w:sz w:val="20"/>
          <w:szCs w:val="20"/>
          <w:color w:val="auto"/>
        </w:rPr>
      </w:pPr>
      <w:r>
        <w:rPr>
          <w:rFonts w:ascii="Arial" w:cs="Arial" w:eastAsia="Arial" w:hAnsi="Arial"/>
          <w:sz w:val="16"/>
          <w:szCs w:val="16"/>
          <w:color w:val="auto"/>
        </w:rPr>
        <w:t>Directive 8.4 offers two tracks for the operation of an incubator. Under the first track, each project is incorporated as a separate and independent company in which the incubator receives shares (the separate companies will allocate at least 30% of their share capital to the holder of the license/knowhow, up to 5% of the share capital for incubator services, and the remaining shares will be allotted to the incubator and other investors in proportion to their investments in the independent company, including the incubator’s investments derived from State loans).</w:t>
      </w:r>
    </w:p>
    <w:p>
      <w:pPr>
        <w:spacing w:after="0" w:line="63" w:lineRule="exact"/>
        <w:rPr>
          <w:sz w:val="20"/>
          <w:szCs w:val="20"/>
          <w:color w:val="auto"/>
        </w:rPr>
      </w:pPr>
    </w:p>
    <w:p>
      <w:pPr>
        <w:ind w:left="1080" w:right="1079"/>
        <w:spacing w:after="0" w:line="257" w:lineRule="auto"/>
        <w:rPr>
          <w:sz w:val="20"/>
          <w:szCs w:val="20"/>
          <w:color w:val="auto"/>
        </w:rPr>
      </w:pPr>
      <w:r>
        <w:rPr>
          <w:rFonts w:ascii="Arial" w:cs="Arial" w:eastAsia="Arial" w:hAnsi="Arial"/>
          <w:sz w:val="17"/>
          <w:szCs w:val="17"/>
          <w:color w:val="auto"/>
        </w:rPr>
        <w:t>Under the second track, the projects are directly run within the incubator by the concessioner, with the holder of the license/know-how being entitled to a fixed amount for the use of his know-how as well as to royalties upon the sale of the knowhow and in respect of the sales of a final product developed under the project. An incubator operating under the second track is allowed to operate additional specific projects under the guidelines of the first track, subject to fulfillment of the provisions in the guidelines. The Group has elected to operate the Incubator under the second track.</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(f) Primary restrictions imposed on the Group and the Incubator</w:t>
      </w:r>
    </w:p>
    <w:p>
      <w:pPr>
        <w:spacing w:after="0" w:line="113" w:lineRule="exact"/>
        <w:rPr>
          <w:sz w:val="20"/>
          <w:szCs w:val="20"/>
          <w:color w:val="auto"/>
        </w:rPr>
      </w:pPr>
    </w:p>
    <w:p>
      <w:pPr>
        <w:ind w:left="1080" w:right="1019"/>
        <w:spacing w:after="0" w:line="255" w:lineRule="auto"/>
        <w:rPr>
          <w:sz w:val="20"/>
          <w:szCs w:val="20"/>
          <w:color w:val="auto"/>
        </w:rPr>
      </w:pPr>
      <w:r>
        <w:rPr>
          <w:rFonts w:ascii="Arial" w:cs="Arial" w:eastAsia="Arial" w:hAnsi="Arial"/>
          <w:sz w:val="17"/>
          <w:szCs w:val="17"/>
          <w:color w:val="auto"/>
        </w:rPr>
        <w:t>The agreement stipulates certain restrictions regarding operation of the Incubator and the projects, including, among others: maximum ownership of 15% in the Incubator by university research institutions; a limitation of subcontracting to no more than 40% of the approved budget; ownership by the Group (or the project company under the first track) of the intellectual property created in the project (it should be noted that an exception to this rule was carved out in a recent amendment to the R&amp;D law from January 2011 regarding academic institutions); a prohibition on duplicate grants and participation or duplicity of projects; compliance with guidelines on investment of funds; restrictions on the terms of the licensing agreements with the holders of the know-how, which mainly involves securing the rights of the OCS; compliance with the Israel R&amp;D Law (the Encouragement of Research and Development in Industry Law) in terms of keeping in Israel the intellectual property and manufacturing rights relating to OCS-funded projects.</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(g) Repayment of loans</w:t>
      </w:r>
    </w:p>
    <w:p>
      <w:pPr>
        <w:spacing w:after="0" w:line="113" w:lineRule="exact"/>
        <w:rPr>
          <w:sz w:val="20"/>
          <w:szCs w:val="20"/>
          <w:color w:val="auto"/>
        </w:rPr>
      </w:pPr>
    </w:p>
    <w:p>
      <w:pPr>
        <w:ind w:left="1080" w:right="1059"/>
        <w:spacing w:after="0" w:line="289" w:lineRule="auto"/>
        <w:rPr>
          <w:sz w:val="20"/>
          <w:szCs w:val="20"/>
          <w:color w:val="auto"/>
        </w:rPr>
      </w:pPr>
      <w:r>
        <w:rPr>
          <w:rFonts w:ascii="Arial" w:cs="Arial" w:eastAsia="Arial" w:hAnsi="Arial"/>
          <w:sz w:val="16"/>
          <w:szCs w:val="16"/>
          <w:color w:val="auto"/>
        </w:rPr>
        <w:t>Repayment of State loans is restricted to a project’s own resources out of the proceeds received from the sale or licensing of a project (at least 25% of the proceeds). The sale or licensing of the technology is subject to payment of the aforementioned royalties, up to the amount of the loans received from the State for such project.</w:t>
      </w:r>
    </w:p>
    <w:p>
      <w:pPr>
        <w:spacing w:after="0" w:line="56" w:lineRule="exact"/>
        <w:rPr>
          <w:sz w:val="20"/>
          <w:szCs w:val="20"/>
          <w:color w:val="auto"/>
        </w:rPr>
      </w:pPr>
    </w:p>
    <w:p>
      <w:pPr>
        <w:ind w:left="1080" w:right="1039"/>
        <w:spacing w:after="0" w:line="278" w:lineRule="auto"/>
        <w:rPr>
          <w:sz w:val="20"/>
          <w:szCs w:val="20"/>
          <w:color w:val="auto"/>
        </w:rPr>
      </w:pPr>
      <w:r>
        <w:rPr>
          <w:rFonts w:ascii="Arial" w:cs="Arial" w:eastAsia="Arial" w:hAnsi="Arial"/>
          <w:sz w:val="17"/>
          <w:szCs w:val="17"/>
          <w:color w:val="auto"/>
        </w:rPr>
        <w:t>The State is entitled to foreclose on the collateral related to a given project to secure repayment of the related loan at the end of eight years from the date of project approval,</w:t>
      </w: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12 — COMMITMENTS AND CONTINGENT LIABILITIES – (continued)</w:t>
      </w:r>
    </w:p>
    <w:p>
      <w:pPr>
        <w:spacing w:after="0" w:line="1" w:lineRule="exact"/>
        <w:rPr>
          <w:sz w:val="20"/>
          <w:szCs w:val="20"/>
          <w:color w:val="auto"/>
        </w:rPr>
      </w:pPr>
    </w:p>
    <w:p>
      <w:pPr>
        <w:ind w:left="1080" w:right="999"/>
        <w:spacing w:after="0" w:line="278" w:lineRule="auto"/>
        <w:rPr>
          <w:sz w:val="20"/>
          <w:szCs w:val="20"/>
          <w:color w:val="auto"/>
        </w:rPr>
      </w:pPr>
      <w:r>
        <w:rPr>
          <w:rFonts w:ascii="Arial" w:cs="Arial" w:eastAsia="Arial" w:hAnsi="Arial"/>
          <w:sz w:val="17"/>
          <w:szCs w:val="17"/>
          <w:color w:val="auto"/>
        </w:rPr>
        <w:t>or even earlier, in the event of a breach of the Incubator Agreement by the Group, liquidation, and other events as set forth in the agreement.</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(h) Security</w:t>
      </w:r>
    </w:p>
    <w:p>
      <w:pPr>
        <w:spacing w:after="0" w:line="113" w:lineRule="exact"/>
        <w:rPr>
          <w:sz w:val="20"/>
          <w:szCs w:val="20"/>
          <w:color w:val="auto"/>
        </w:rPr>
      </w:pPr>
    </w:p>
    <w:p>
      <w:pPr>
        <w:ind w:left="1080" w:right="1079"/>
        <w:spacing w:after="0" w:line="255" w:lineRule="auto"/>
        <w:rPr>
          <w:sz w:val="20"/>
          <w:szCs w:val="20"/>
          <w:color w:val="auto"/>
        </w:rPr>
      </w:pPr>
      <w:r>
        <w:rPr>
          <w:rFonts w:ascii="Arial" w:cs="Arial" w:eastAsia="Arial" w:hAnsi="Arial"/>
          <w:sz w:val="17"/>
          <w:szCs w:val="17"/>
          <w:color w:val="auto"/>
        </w:rPr>
        <w:t>The Group has provided a bank guarantee to the OCS in the amount of NIS 8,100,000 to secure its liabilities under the Incubator Agreement. After two years from the initial date of the Incubator Agreement, the amount of the guarantee is reduced every year by half the amount of the Incubator’s reported approved expenses, subject to a minimum guarantee of NIS 1,500,000 (see Note 12b). Additionally, the rights in the various projects are pledged to the State to secure repayment of the loan out of project proceeds. With respect to incubators operating under the second track, a floating charge is placed on all intellectual property and all equipment purchased in connection with a project, including a restriction on the transfer or licensing of the technology created in the project. The collateral discussed in this paragraph may be forfeited even after the repayment period or upon breach of the Incubator Agreement.</w:t>
      </w:r>
    </w:p>
    <w:p>
      <w:pPr>
        <w:spacing w:after="0" w:line="86" w:lineRule="exact"/>
        <w:rPr>
          <w:sz w:val="20"/>
          <w:szCs w:val="20"/>
          <w:color w:val="auto"/>
        </w:rPr>
      </w:pPr>
    </w:p>
    <w:p>
      <w:pPr>
        <w:ind w:left="1040" w:right="1219" w:hanging="252"/>
        <w:spacing w:after="0" w:line="347" w:lineRule="auto"/>
        <w:tabs>
          <w:tab w:leader="none" w:pos="10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the best knowledge of the Company’s management, as of the date of approval of these financial statements, the Group is in compliance with its material obligations to the OCS under the Incubator Agreement.</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With respect to the accounting treatment of State loans, see Note 2r.</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2)  Obligation to pay royalties to the Government of Israel</w:t>
      </w:r>
    </w:p>
    <w:p>
      <w:pPr>
        <w:spacing w:after="0" w:line="113" w:lineRule="exact"/>
        <w:rPr>
          <w:sz w:val="20"/>
          <w:szCs w:val="20"/>
          <w:color w:val="auto"/>
        </w:rPr>
      </w:pPr>
    </w:p>
    <w:p>
      <w:pPr>
        <w:ind w:left="1080" w:right="1159"/>
        <w:spacing w:after="0" w:line="311" w:lineRule="auto"/>
        <w:rPr>
          <w:sz w:val="20"/>
          <w:szCs w:val="20"/>
          <w:color w:val="auto"/>
        </w:rPr>
      </w:pPr>
      <w:r>
        <w:rPr>
          <w:rFonts w:ascii="Arial" w:cs="Arial" w:eastAsia="Arial" w:hAnsi="Arial"/>
          <w:sz w:val="16"/>
          <w:szCs w:val="16"/>
          <w:color w:val="auto"/>
        </w:rPr>
        <w:t>The Company is required to pay royalties to the Government of Israel, computed on the basis of proceeds from the sale or license of products whose development was supported by Government grants.</w:t>
      </w:r>
    </w:p>
    <w:p>
      <w:pPr>
        <w:spacing w:after="0" w:line="38" w:lineRule="exact"/>
        <w:rPr>
          <w:sz w:val="20"/>
          <w:szCs w:val="20"/>
          <w:color w:val="auto"/>
        </w:rPr>
      </w:pPr>
    </w:p>
    <w:p>
      <w:pPr>
        <w:ind w:left="1080" w:right="1399"/>
        <w:spacing w:after="0" w:line="278" w:lineRule="auto"/>
        <w:rPr>
          <w:sz w:val="20"/>
          <w:szCs w:val="20"/>
          <w:color w:val="auto"/>
        </w:rPr>
      </w:pPr>
      <w:r>
        <w:rPr>
          <w:rFonts w:ascii="Arial" w:cs="Arial" w:eastAsia="Arial" w:hAnsi="Arial"/>
          <w:sz w:val="17"/>
          <w:szCs w:val="17"/>
          <w:color w:val="auto"/>
        </w:rPr>
        <w:t>This obligation relates solely to the Government’s financial participation in the development of products by the Company outside the framework of the Incubator operated by the Partnership.</w:t>
      </w:r>
    </w:p>
    <w:p>
      <w:pPr>
        <w:spacing w:after="0" w:line="62" w:lineRule="exact"/>
        <w:rPr>
          <w:sz w:val="20"/>
          <w:szCs w:val="20"/>
          <w:color w:val="auto"/>
        </w:rPr>
      </w:pPr>
    </w:p>
    <w:p>
      <w:pPr>
        <w:ind w:left="1080" w:right="1079"/>
        <w:spacing w:after="0" w:line="257" w:lineRule="auto"/>
        <w:rPr>
          <w:sz w:val="20"/>
          <w:szCs w:val="20"/>
          <w:color w:val="auto"/>
        </w:rPr>
      </w:pPr>
      <w:r>
        <w:rPr>
          <w:rFonts w:ascii="Arial" w:cs="Arial" w:eastAsia="Arial" w:hAnsi="Arial"/>
          <w:sz w:val="17"/>
          <w:szCs w:val="17"/>
          <w:color w:val="auto"/>
        </w:rPr>
        <w:t>In accordance with the terms of the financial participation, the Government is entitled to royalties on the sale or license of any product whose development was supported with Government participation. These royalties are 3% in the first three years from initial repayment, 4% of sales in the three subsequent years and 5% of sales in the seventh year until repayment of 100% of the grants (linked to the USD) received by the Company plus annual interest at the LIBOR rate. As of December 31, 2010, the maximum amount of royalties payable by the Company to the Government of Israel is NIS 3,000,000.</w:t>
      </w:r>
    </w:p>
    <w:p>
      <w:pPr>
        <w:spacing w:after="0" w:line="82" w:lineRule="exact"/>
        <w:rPr>
          <w:sz w:val="20"/>
          <w:szCs w:val="20"/>
          <w:color w:val="auto"/>
        </w:rPr>
      </w:pPr>
    </w:p>
    <w:p>
      <w:pPr>
        <w:ind w:left="1080" w:right="1319"/>
        <w:spacing w:after="0" w:line="265" w:lineRule="auto"/>
        <w:rPr>
          <w:sz w:val="20"/>
          <w:szCs w:val="20"/>
          <w:color w:val="auto"/>
        </w:rPr>
      </w:pPr>
      <w:r>
        <w:rPr>
          <w:rFonts w:ascii="Arial" w:cs="Arial" w:eastAsia="Arial" w:hAnsi="Arial"/>
          <w:sz w:val="17"/>
          <w:szCs w:val="17"/>
          <w:color w:val="auto"/>
        </w:rPr>
        <w:t>The Group’s aggregate contingent liability to the OCS, both in respect of loans received in the framework of the biotechnology incubator (see paragraph (1) above), as well as the grants described herein, amounted to NIS 13,400,000 as of December 31, 2010.</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3)  Licensing agreements</w:t>
      </w:r>
    </w:p>
    <w:p>
      <w:pPr>
        <w:spacing w:after="0" w:line="113" w:lineRule="exact"/>
        <w:rPr>
          <w:sz w:val="20"/>
          <w:szCs w:val="20"/>
          <w:color w:val="auto"/>
        </w:rPr>
      </w:pPr>
    </w:p>
    <w:p>
      <w:pPr>
        <w:ind w:left="1080" w:right="1259"/>
        <w:spacing w:after="0" w:line="278" w:lineRule="auto"/>
        <w:rPr>
          <w:sz w:val="20"/>
          <w:szCs w:val="20"/>
          <w:color w:val="auto"/>
        </w:rPr>
      </w:pPr>
      <w:r>
        <w:rPr>
          <w:rFonts w:ascii="Arial" w:cs="Arial" w:eastAsia="Arial" w:hAnsi="Arial"/>
          <w:sz w:val="17"/>
          <w:szCs w:val="17"/>
          <w:color w:val="auto"/>
        </w:rPr>
        <w:t>From time to time, the Group enters into in-licensing agreements with academic institutions, research institutions and companies in connection with development of certain technologies (the “licensors”).</w:t>
      </w:r>
    </w:p>
    <w:p>
      <w:pPr>
        <w:spacing w:after="0" w:line="62" w:lineRule="exact"/>
        <w:rPr>
          <w:sz w:val="20"/>
          <w:szCs w:val="20"/>
          <w:color w:val="auto"/>
        </w:rPr>
      </w:pPr>
    </w:p>
    <w:p>
      <w:pPr>
        <w:ind w:left="1080" w:right="1019"/>
        <w:spacing w:after="0" w:line="261" w:lineRule="auto"/>
        <w:rPr>
          <w:sz w:val="20"/>
          <w:szCs w:val="20"/>
          <w:color w:val="auto"/>
        </w:rPr>
      </w:pPr>
      <w:r>
        <w:rPr>
          <w:rFonts w:ascii="Arial" w:cs="Arial" w:eastAsia="Arial" w:hAnsi="Arial"/>
          <w:sz w:val="17"/>
          <w:szCs w:val="17"/>
          <w:color w:val="auto"/>
        </w:rPr>
        <w:t>The objective of each engagement with a licensor is to obtain rights for one or more drugs in the preliminary stages of development by the licensors, to continue joint development of the drugs by the Group and the licensors until advanced stages of development and, consequently, to manufacture, distribute and market the drugs or to out-license the</w:t>
      </w:r>
    </w:p>
    <w:p>
      <w:pPr>
        <w:spacing w:after="0" w:line="200" w:lineRule="exact"/>
        <w:rPr>
          <w:sz w:val="20"/>
          <w:szCs w:val="20"/>
          <w:color w:val="auto"/>
        </w:rPr>
      </w:pPr>
    </w:p>
    <w:p>
      <w:pPr>
        <w:spacing w:after="0" w:line="31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12 — COMMITMENTS AND CONTINGENT LIABILITIES – (continued)</w:t>
      </w:r>
    </w:p>
    <w:p>
      <w:pPr>
        <w:spacing w:after="0" w:line="1" w:lineRule="exact"/>
        <w:rPr>
          <w:sz w:val="20"/>
          <w:szCs w:val="20"/>
          <w:color w:val="auto"/>
        </w:rPr>
      </w:pPr>
    </w:p>
    <w:p>
      <w:pPr>
        <w:jc w:val="both"/>
        <w:ind w:left="1080" w:right="1419"/>
        <w:spacing w:after="0" w:line="289" w:lineRule="auto"/>
        <w:rPr>
          <w:sz w:val="20"/>
          <w:szCs w:val="20"/>
          <w:color w:val="auto"/>
        </w:rPr>
      </w:pPr>
      <w:r>
        <w:rPr>
          <w:rFonts w:ascii="Arial" w:cs="Arial" w:eastAsia="Arial" w:hAnsi="Arial"/>
          <w:sz w:val="16"/>
          <w:szCs w:val="16"/>
          <w:color w:val="auto"/>
        </w:rPr>
        <w:t>development, manufacture and commercialization rights to third parties. Such post-development activities are carried out by either the Group and/or by companies or institutions to which the Group has entered into an out-license agreement, subject to certain restrictions stipulated in the various agreements.</w:t>
      </w:r>
    </w:p>
    <w:p>
      <w:pPr>
        <w:spacing w:after="0" w:line="56" w:lineRule="exact"/>
        <w:rPr>
          <w:sz w:val="20"/>
          <w:szCs w:val="20"/>
          <w:color w:val="auto"/>
        </w:rPr>
      </w:pPr>
    </w:p>
    <w:p>
      <w:pPr>
        <w:ind w:left="1080" w:right="1019"/>
        <w:spacing w:after="0" w:line="257" w:lineRule="auto"/>
        <w:rPr>
          <w:sz w:val="20"/>
          <w:szCs w:val="20"/>
          <w:color w:val="auto"/>
        </w:rPr>
      </w:pPr>
      <w:r>
        <w:rPr>
          <w:rFonts w:ascii="Arial" w:cs="Arial" w:eastAsia="Arial" w:hAnsi="Arial"/>
          <w:sz w:val="17"/>
          <w:szCs w:val="17"/>
          <w:color w:val="auto"/>
        </w:rPr>
        <w:t>The licenses that have been granted to the Group are broad and comprehensive, and generally include various provisions and usage rights, as follows: (i) territorial scope of the license (global); (ii) term of the license (unrestricted but not shorter than the life of the patent); and (iii) development of the therapeutic compound (allowing the Group to perform all development activities on its own, or by outsourcing under Group supervision, as well as out-licensing development under the license to other companies, subject to the provisions of the licensing agreements).</w:t>
      </w:r>
    </w:p>
    <w:p>
      <w:pPr>
        <w:spacing w:after="0" w:line="82" w:lineRule="exact"/>
        <w:rPr>
          <w:sz w:val="20"/>
          <w:szCs w:val="20"/>
          <w:color w:val="auto"/>
        </w:rPr>
      </w:pPr>
    </w:p>
    <w:p>
      <w:pPr>
        <w:ind w:left="1080" w:right="1079"/>
        <w:spacing w:after="0" w:line="301" w:lineRule="auto"/>
        <w:rPr>
          <w:sz w:val="20"/>
          <w:szCs w:val="20"/>
          <w:color w:val="auto"/>
        </w:rPr>
      </w:pPr>
      <w:r>
        <w:rPr>
          <w:rFonts w:ascii="Arial" w:cs="Arial" w:eastAsia="Arial" w:hAnsi="Arial"/>
          <w:sz w:val="15"/>
          <w:szCs w:val="15"/>
          <w:color w:val="auto"/>
        </w:rPr>
        <w:t>According to the provisions of the licensing agreements, the intellectual property rights in the development of any licensed technology remain with the licensor until the date the applicable license agreement is effective, while the rights in products and/or other deliverables developed by the Group after the license is granted belong to the Group. In cases where the licensor has a claim to an invention that was jointly developed with the Group, the licensor also co-owns the related intellectual property. In any event, the scope of the license also covers these rights.</w:t>
      </w:r>
    </w:p>
    <w:p>
      <w:pPr>
        <w:spacing w:after="0" w:line="50" w:lineRule="exact"/>
        <w:rPr>
          <w:sz w:val="20"/>
          <w:szCs w:val="20"/>
          <w:color w:val="auto"/>
        </w:rPr>
      </w:pPr>
    </w:p>
    <w:p>
      <w:pPr>
        <w:ind w:left="1080" w:right="1159"/>
        <w:spacing w:after="0" w:line="277" w:lineRule="auto"/>
        <w:rPr>
          <w:sz w:val="20"/>
          <w:szCs w:val="20"/>
          <w:color w:val="auto"/>
        </w:rPr>
      </w:pPr>
      <w:r>
        <w:rPr>
          <w:rFonts w:ascii="Arial" w:cs="Arial" w:eastAsia="Arial" w:hAnsi="Arial"/>
          <w:sz w:val="16"/>
          <w:szCs w:val="16"/>
          <w:color w:val="auto"/>
        </w:rPr>
        <w:t>In addition, the Group generally undertakes in the licensing agreements to protect registered patents resulting from developments under the various licenses, to promote the registration of developments in cooperation with the licensor, and to bear responsibility for all related costs. Pursuant to the various agreements, the Group will work to register the various patents worldwide, and if the Group decides not to initiate or continue a patent registration proceeding in a given country, the Group is required to notify the applicable licensor to this effect and the licensor will be entitled to take action for registration of the patent in such country.</w:t>
      </w:r>
    </w:p>
    <w:p>
      <w:pPr>
        <w:spacing w:after="0" w:line="64" w:lineRule="exact"/>
        <w:rPr>
          <w:sz w:val="20"/>
          <w:szCs w:val="20"/>
          <w:color w:val="auto"/>
        </w:rPr>
      </w:pPr>
    </w:p>
    <w:p>
      <w:pPr>
        <w:ind w:left="1080" w:right="1039"/>
        <w:spacing w:after="0" w:line="273" w:lineRule="auto"/>
        <w:rPr>
          <w:sz w:val="20"/>
          <w:szCs w:val="20"/>
          <w:color w:val="auto"/>
        </w:rPr>
      </w:pPr>
      <w:r>
        <w:rPr>
          <w:rFonts w:ascii="Arial" w:cs="Arial" w:eastAsia="Arial" w:hAnsi="Arial"/>
          <w:sz w:val="16"/>
          <w:szCs w:val="16"/>
          <w:color w:val="auto"/>
        </w:rPr>
        <w:t>The consideration paid pursuant to the licensing agreements includes several components that are payable over the license period and that relate, inter alia, to the progress made in research and development activities, as well as commercial success, as follows: (a) one-time payment of up to USD 200,000 and/or periodic payments of up to USD 30,000 per year; (b) royalties on amounts the Group receives from an out-licensing transaction that range from 20% to 29.5% of net consideration; (c) payments through the early stages of development (i.e. through the end of phase 2) of up to USD 150,000; (d) payments of up to USD 2,000,000 upon the achievement of milestones necessary for advancing to phase 3; (e) payments of up to USD 5,000,000 from the end of a successful phase 3 trial through approval of the therapeutic compound; and (f) royalties on sales of the final product resulting from development under the license or including any component thereof, ranging between 3%-5% of the Group’s net sales of the product.</w:t>
      </w:r>
    </w:p>
    <w:p>
      <w:pPr>
        <w:spacing w:after="0" w:line="68" w:lineRule="exact"/>
        <w:rPr>
          <w:sz w:val="20"/>
          <w:szCs w:val="20"/>
          <w:color w:val="auto"/>
        </w:rPr>
      </w:pPr>
    </w:p>
    <w:p>
      <w:pPr>
        <w:ind w:left="1080" w:right="999"/>
        <w:spacing w:after="0" w:line="277" w:lineRule="auto"/>
        <w:rPr>
          <w:sz w:val="20"/>
          <w:szCs w:val="20"/>
          <w:color w:val="auto"/>
        </w:rPr>
      </w:pPr>
      <w:r>
        <w:rPr>
          <w:rFonts w:ascii="Arial" w:cs="Arial" w:eastAsia="Arial" w:hAnsi="Arial"/>
          <w:sz w:val="16"/>
          <w:szCs w:val="16"/>
          <w:color w:val="auto"/>
        </w:rPr>
        <w:t>A license agreement may be cancelled, generally upon the occurrence of one of the following events: (a) the Group’s failure to meet certain milestones stipulated in the applicable license agreement and appended timetables; (b) default, insolvency, receivership, liquidation, etc., of the Group that is not imposed and/or lifted within the timeframe stipulated in the license agreement; and (c) fundamental breach of the license agreement that is not corrected within the stipulated timeframe. In addition, some of the agreements may be cancelled with prior notice of 30 to 90 days, due to unsuccessful development or any other cause.</w:t>
      </w: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12 — COMMITMENTS AND CONTINGENT LIABILITIES – (continued)</w:t>
      </w:r>
    </w:p>
    <w:p>
      <w:pPr>
        <w:spacing w:after="0" w:line="1" w:lineRule="exact"/>
        <w:rPr>
          <w:sz w:val="20"/>
          <w:szCs w:val="20"/>
          <w:color w:val="auto"/>
        </w:rPr>
      </w:pPr>
    </w:p>
    <w:p>
      <w:pPr>
        <w:jc w:val="both"/>
        <w:ind w:left="1080" w:right="1199"/>
        <w:spacing w:after="0" w:line="317" w:lineRule="auto"/>
        <w:rPr>
          <w:sz w:val="20"/>
          <w:szCs w:val="20"/>
          <w:color w:val="auto"/>
        </w:rPr>
      </w:pPr>
      <w:r>
        <w:rPr>
          <w:rFonts w:ascii="Arial" w:cs="Arial" w:eastAsia="Arial" w:hAnsi="Arial"/>
          <w:sz w:val="15"/>
          <w:szCs w:val="15"/>
          <w:color w:val="auto"/>
        </w:rPr>
        <w:t>The Group has undertaken to indemnify the various licensors, their employees, officers, representatives or anyone acting on their behalf for any damage and/or expense that they may incur in connection with the Group’s use of a license granted to it, all in accordance with the terms stipulated in the applicable license agreements.</w:t>
      </w:r>
    </w:p>
    <w:p>
      <w:pPr>
        <w:spacing w:after="0" w:line="37" w:lineRule="exact"/>
        <w:rPr>
          <w:sz w:val="20"/>
          <w:szCs w:val="20"/>
          <w:color w:val="auto"/>
        </w:rPr>
      </w:pPr>
    </w:p>
    <w:p>
      <w:pPr>
        <w:ind w:left="1080" w:right="1079"/>
        <w:spacing w:after="0" w:line="289" w:lineRule="auto"/>
        <w:rPr>
          <w:sz w:val="20"/>
          <w:szCs w:val="20"/>
          <w:color w:val="auto"/>
        </w:rPr>
      </w:pPr>
      <w:r>
        <w:rPr>
          <w:rFonts w:ascii="Arial" w:cs="Arial" w:eastAsia="Arial" w:hAnsi="Arial"/>
          <w:sz w:val="16"/>
          <w:szCs w:val="16"/>
          <w:color w:val="auto"/>
        </w:rPr>
        <w:t>Some of the license agreements are accompanied by consulting, support and cooperation agreements, pursuant to which the Group is committed to pay the various licensers a fixed monthly amount, over the period stipulated in the agreement, for their assistance in the continued research and development under the license.</w:t>
      </w:r>
    </w:p>
    <w:p>
      <w:pPr>
        <w:spacing w:after="0" w:line="56" w:lineRule="exact"/>
        <w:rPr>
          <w:sz w:val="20"/>
          <w:szCs w:val="20"/>
          <w:color w:val="auto"/>
        </w:rPr>
      </w:pPr>
    </w:p>
    <w:p>
      <w:pPr>
        <w:ind w:left="1040" w:hanging="252"/>
        <w:spacing w:after="0"/>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Lease agreements</w:t>
      </w:r>
    </w:p>
    <w:p>
      <w:pPr>
        <w:spacing w:after="0" w:line="113" w:lineRule="exact"/>
        <w:rPr>
          <w:rFonts w:ascii="Arial" w:cs="Arial" w:eastAsia="Arial" w:hAnsi="Arial"/>
          <w:sz w:val="17"/>
          <w:szCs w:val="17"/>
          <w:color w:val="auto"/>
        </w:rPr>
      </w:pPr>
    </w:p>
    <w:p>
      <w:pPr>
        <w:ind w:left="1300" w:right="1059" w:hanging="255"/>
        <w:spacing w:after="0" w:line="259" w:lineRule="auto"/>
        <w:tabs>
          <w:tab w:leader="none" w:pos="13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Company has entered into an operating lease agreement in connection with the lease of its premises. The agreement expires on December 15, 2012. The Group has an option to extend the lease agreement for two additional periods of 24 months each. The annual lease fees are linked to the dollar and amount to approximately NIS 921,000. As to bank deposits pledged to secure the Company’s liability under the lease agreement, see Note 12b(2).</w:t>
      </w:r>
    </w:p>
    <w:p>
      <w:pPr>
        <w:spacing w:after="0" w:line="77" w:lineRule="exact"/>
        <w:rPr>
          <w:rFonts w:ascii="Arial" w:cs="Arial" w:eastAsia="Arial" w:hAnsi="Arial"/>
          <w:sz w:val="17"/>
          <w:szCs w:val="17"/>
          <w:color w:val="auto"/>
        </w:rPr>
      </w:pPr>
    </w:p>
    <w:p>
      <w:pPr>
        <w:ind w:left="1300" w:right="1099" w:hanging="255"/>
        <w:spacing w:after="0" w:line="259" w:lineRule="auto"/>
        <w:tabs>
          <w:tab w:leader="none" w:pos="13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Company has entered into operating lease agreements in connection with a number of vehicles. The lease periods are generally for three years. The annual lease fees, linked to the dollar, are approximately NIS 1,816,000. To secure the terms of the lease agreements, the Group has made certain prepayments to the leasing companies, representing approximately two months of lease payments. These amounts were recorded as prepaid expenses. See also Note 14b.</w:t>
      </w:r>
    </w:p>
    <w:p>
      <w:pPr>
        <w:spacing w:after="0" w:line="77" w:lineRule="exact"/>
        <w:rPr>
          <w:rFonts w:ascii="Arial" w:cs="Arial" w:eastAsia="Arial" w:hAnsi="Arial"/>
          <w:sz w:val="17"/>
          <w:szCs w:val="17"/>
          <w:color w:val="auto"/>
        </w:rPr>
      </w:pPr>
    </w:p>
    <w:p>
      <w:pPr>
        <w:ind w:left="1040" w:hanging="252"/>
        <w:spacing w:after="0"/>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Early Development Program (“EDP”) agreement</w:t>
      </w:r>
    </w:p>
    <w:p>
      <w:pPr>
        <w:spacing w:after="0" w:line="113" w:lineRule="exact"/>
        <w:rPr>
          <w:sz w:val="20"/>
          <w:szCs w:val="20"/>
          <w:color w:val="auto"/>
        </w:rPr>
      </w:pPr>
    </w:p>
    <w:p>
      <w:pPr>
        <w:ind w:left="1080" w:right="1079"/>
        <w:spacing w:after="0" w:line="257" w:lineRule="auto"/>
        <w:rPr>
          <w:sz w:val="20"/>
          <w:szCs w:val="20"/>
          <w:color w:val="auto"/>
        </w:rPr>
      </w:pPr>
      <w:r>
        <w:rPr>
          <w:rFonts w:ascii="Arial" w:cs="Arial" w:eastAsia="Arial" w:hAnsi="Arial"/>
          <w:sz w:val="17"/>
          <w:szCs w:val="17"/>
          <w:color w:val="auto"/>
        </w:rPr>
        <w:t>In January 2007, the Company entered into an agreement with Pan Atlantic for the funding of an early development program (the “EDP Agreement”). According to the EDP Agreement, Pan Atlantic undertook to provide grants for the promotion of drug-development projects in the preliminary stages of research in an aggregate amount of up to USD 5,000,000, in semi-annual “calls” of up to USD 625,000 each, through April 2011. In parallel, for every dollar of EDP project funding provided by Pan Atlantic, the Company committed to provide twenty cents of funding (i.e., a funding ratio of 5:1). Pan Atlantic undertakings under the EDP agreement are not subject to Pan Atlantic being a lender to, or a shareholder of, the Company.</w:t>
      </w:r>
    </w:p>
    <w:p>
      <w:pPr>
        <w:spacing w:after="0" w:line="78" w:lineRule="exact"/>
        <w:rPr>
          <w:sz w:val="20"/>
          <w:szCs w:val="20"/>
          <w:color w:val="auto"/>
        </w:rPr>
      </w:pPr>
    </w:p>
    <w:p>
      <w:pPr>
        <w:ind w:left="1080" w:right="1079"/>
        <w:spacing w:after="0" w:line="265" w:lineRule="auto"/>
        <w:rPr>
          <w:sz w:val="20"/>
          <w:szCs w:val="20"/>
          <w:color w:val="auto"/>
        </w:rPr>
      </w:pPr>
      <w:r>
        <w:rPr>
          <w:rFonts w:ascii="Arial" w:cs="Arial" w:eastAsia="Arial" w:hAnsi="Arial"/>
          <w:sz w:val="17"/>
          <w:szCs w:val="17"/>
          <w:color w:val="auto"/>
        </w:rPr>
        <w:t>In consideration for the EDP funding commitment, the Company granted to Pan Atlantic the right to participate in a future initial public offering of the Company outside of Israel, at the public offering price, in an amount of up to USD 5,000,000.</w:t>
      </w:r>
    </w:p>
    <w:p>
      <w:pPr>
        <w:spacing w:after="0" w:line="73" w:lineRule="exact"/>
        <w:rPr>
          <w:sz w:val="20"/>
          <w:szCs w:val="20"/>
          <w:color w:val="auto"/>
        </w:rPr>
      </w:pPr>
    </w:p>
    <w:p>
      <w:pPr>
        <w:ind w:left="1080" w:right="999"/>
        <w:spacing w:after="0" w:line="317" w:lineRule="auto"/>
        <w:rPr>
          <w:sz w:val="20"/>
          <w:szCs w:val="20"/>
          <w:color w:val="auto"/>
        </w:rPr>
      </w:pPr>
      <w:r>
        <w:rPr>
          <w:rFonts w:ascii="Arial" w:cs="Arial" w:eastAsia="Arial" w:hAnsi="Arial"/>
          <w:sz w:val="15"/>
          <w:szCs w:val="15"/>
          <w:color w:val="auto"/>
        </w:rPr>
        <w:t>During 2008, 2009 and 2010, Pan Atlantic provided funding to the Group of NIS 2,876,000, NIS 4,881,000 and NIS 3,877,000, respectively, under the EDP Agreement. The amounts recognized as a reduction of research and development expenses in 2008, 2009 and 2010 were NIS 2,525,000, NIS 3,297,000 and NIS 2,997,000, respectively.</w:t>
      </w:r>
    </w:p>
    <w:p>
      <w:pPr>
        <w:spacing w:after="0" w:line="31" w:lineRule="exact"/>
        <w:rPr>
          <w:sz w:val="20"/>
          <w:szCs w:val="20"/>
          <w:color w:val="auto"/>
        </w:rPr>
      </w:pPr>
    </w:p>
    <w:p>
      <w:pPr>
        <w:jc w:val="both"/>
        <w:ind w:left="560" w:right="8039" w:hanging="287"/>
        <w:spacing w:after="0" w:line="433" w:lineRule="auto"/>
        <w:tabs>
          <w:tab w:leader="none" w:pos="521"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Contingent liabilities </w:t>
      </w:r>
      <w:r>
        <w:rPr>
          <w:rFonts w:ascii="Arial" w:cs="Arial" w:eastAsia="Arial" w:hAnsi="Arial"/>
          <w:sz w:val="15"/>
          <w:szCs w:val="15"/>
          <w:color w:val="auto"/>
        </w:rPr>
        <w:t>Guarantees and liens:</w:t>
      </w:r>
    </w:p>
    <w:p>
      <w:pPr>
        <w:spacing w:after="0" w:line="1" w:lineRule="exact"/>
        <w:rPr>
          <w:rFonts w:ascii="Arial" w:cs="Arial" w:eastAsia="Arial" w:hAnsi="Arial"/>
          <w:sz w:val="15"/>
          <w:szCs w:val="15"/>
          <w:b w:val="1"/>
          <w:bCs w:val="1"/>
          <w:color w:val="auto"/>
        </w:rPr>
      </w:pPr>
    </w:p>
    <w:p>
      <w:pPr>
        <w:ind w:left="780" w:right="1199" w:hanging="250"/>
        <w:spacing w:after="0" w:line="347" w:lineRule="auto"/>
        <w:tabs>
          <w:tab w:leader="none" w:pos="78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As part of the Group’s obligations under the Incubator Agreement and to secure the Group’s liabilities to the OCS, the Company has provided a NIS 8,100,000 bank guarantee (linked to the CPI) in favor of Israel’s Ministry of Finance.</w:t>
      </w:r>
    </w:p>
    <w:p>
      <w:pPr>
        <w:spacing w:after="0" w:line="200" w:lineRule="exact"/>
        <w:rPr>
          <w:sz w:val="20"/>
          <w:szCs w:val="20"/>
          <w:color w:val="auto"/>
        </w:rPr>
      </w:pP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12 — COMMITMENTS AND CONTINGENT LIABILITIES – (continued)</w:t>
      </w:r>
    </w:p>
    <w:p>
      <w:pPr>
        <w:spacing w:after="0" w:line="1" w:lineRule="exact"/>
        <w:rPr>
          <w:sz w:val="20"/>
          <w:szCs w:val="20"/>
          <w:color w:val="auto"/>
        </w:rPr>
      </w:pPr>
    </w:p>
    <w:p>
      <w:pPr>
        <w:ind w:left="820" w:right="999"/>
        <w:spacing w:after="0" w:line="261" w:lineRule="auto"/>
        <w:rPr>
          <w:sz w:val="20"/>
          <w:szCs w:val="20"/>
          <w:color w:val="auto"/>
        </w:rPr>
      </w:pPr>
      <w:r>
        <w:rPr>
          <w:rFonts w:ascii="Arial" w:cs="Arial" w:eastAsia="Arial" w:hAnsi="Arial"/>
          <w:sz w:val="17"/>
          <w:szCs w:val="17"/>
          <w:color w:val="auto"/>
        </w:rPr>
        <w:t>The guarantee is valid through March 2011. According to the Incubator Agreement, after the two year anniversary of the initial date of the Incubator Agreement, the amount of the guarantee will be reduced every year by half of the amount of the Incubator’s reported approved expenses. As of December 31, 2010, the balance of the guarantee amounted to approximately NIS 1,500,000.</w:t>
      </w:r>
    </w:p>
    <w:p>
      <w:pPr>
        <w:spacing w:after="0" w:line="76" w:lineRule="exact"/>
        <w:rPr>
          <w:sz w:val="20"/>
          <w:szCs w:val="20"/>
          <w:color w:val="auto"/>
        </w:rPr>
      </w:pPr>
    </w:p>
    <w:p>
      <w:pPr>
        <w:ind w:left="820" w:right="1219"/>
        <w:spacing w:after="0" w:line="278" w:lineRule="auto"/>
        <w:rPr>
          <w:sz w:val="20"/>
          <w:szCs w:val="20"/>
          <w:color w:val="auto"/>
        </w:rPr>
      </w:pPr>
      <w:r>
        <w:rPr>
          <w:rFonts w:ascii="Arial" w:cs="Arial" w:eastAsia="Arial" w:hAnsi="Arial"/>
          <w:sz w:val="17"/>
          <w:szCs w:val="17"/>
          <w:color w:val="auto"/>
        </w:rPr>
        <w:t>To secure the above guarantee, the Group has pledged to a bank a short-term deposit in the amount of NIS 1,800,000, which is presented under non-current assets.</w:t>
      </w:r>
    </w:p>
    <w:p>
      <w:pPr>
        <w:spacing w:after="0" w:line="62" w:lineRule="exact"/>
        <w:rPr>
          <w:sz w:val="20"/>
          <w:szCs w:val="20"/>
          <w:color w:val="auto"/>
        </w:rPr>
      </w:pPr>
    </w:p>
    <w:p>
      <w:pPr>
        <w:ind w:left="780" w:right="1159" w:hanging="250"/>
        <w:spacing w:after="0" w:line="311" w:lineRule="auto"/>
        <w:tabs>
          <w:tab w:leader="none" w:pos="7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secure the Company’s liability to the lessor of its premises, the Group has pledged several dollar-denominated bank deposits in the amount of USD 160,000 (NIS 569,000), which are presented under non-current assets.</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13 — TRANSACTIONS AND BALANCES WITH RELATED PARTIES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Transactions with related parties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40919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23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186"/>
        </w:trPr>
        <w:tc>
          <w:tcPr>
            <w:tcW w:w="412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5"/>
          </w:tcPr>
          <w:p>
            <w:pPr>
              <w:jc w:val="center"/>
              <w:ind w:right="20"/>
              <w:spacing w:after="0"/>
              <w:rPr>
                <w:sz w:val="20"/>
                <w:szCs w:val="20"/>
                <w:color w:val="auto"/>
              </w:rPr>
            </w:pPr>
            <w:r>
              <w:rPr>
                <w:rFonts w:ascii="Arial" w:cs="Arial" w:eastAsia="Arial" w:hAnsi="Arial"/>
                <w:sz w:val="14"/>
                <w:szCs w:val="14"/>
                <w:color w:val="auto"/>
                <w:w w:val="88"/>
              </w:rPr>
              <w:t>NIS in thousands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2"/>
        </w:trPr>
        <w:tc>
          <w:tcPr>
            <w:tcW w:w="4120" w:type="dxa"/>
            <w:vAlign w:val="bottom"/>
            <w:shd w:val="clear" w:color="auto" w:fill="CCFFCC"/>
          </w:tcPr>
          <w:p>
            <w:pPr>
              <w:spacing w:after="0"/>
              <w:rPr>
                <w:sz w:val="20"/>
                <w:szCs w:val="20"/>
                <w:color w:val="auto"/>
              </w:rPr>
            </w:pPr>
            <w:r>
              <w:rPr>
                <w:rFonts w:ascii="Arial" w:cs="Arial" w:eastAsia="Arial" w:hAnsi="Arial"/>
                <w:sz w:val="17"/>
                <w:szCs w:val="17"/>
                <w:color w:val="auto"/>
              </w:rPr>
              <w:t>Participation in EDP project funding (see below)</w:t>
            </w: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(2,525)</w:t>
            </w:r>
          </w:p>
        </w:tc>
        <w:tc>
          <w:tcPr>
            <w:tcW w:w="780" w:type="dxa"/>
            <w:vAlign w:val="bottom"/>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(3,297)</w:t>
            </w:r>
          </w:p>
        </w:tc>
        <w:tc>
          <w:tcPr>
            <w:tcW w:w="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(2,997)</w:t>
            </w:r>
          </w:p>
        </w:tc>
      </w:tr>
      <w:tr>
        <w:trPr>
          <w:trHeight w:val="197"/>
        </w:trPr>
        <w:tc>
          <w:tcPr>
            <w:tcW w:w="4120" w:type="dxa"/>
            <w:vAlign w:val="bottom"/>
            <w:tcBorders>
              <w:top w:val="single" w:sz="8" w:color="CCFFCC"/>
            </w:tcBorders>
          </w:tcPr>
          <w:p>
            <w:pPr>
              <w:spacing w:after="0"/>
              <w:rPr>
                <w:sz w:val="20"/>
                <w:szCs w:val="20"/>
                <w:color w:val="auto"/>
              </w:rPr>
            </w:pPr>
            <w:r>
              <w:rPr>
                <w:rFonts w:ascii="Arial" w:cs="Arial" w:eastAsia="Arial" w:hAnsi="Arial"/>
                <w:sz w:val="17"/>
                <w:szCs w:val="17"/>
                <w:color w:val="auto"/>
              </w:rPr>
              <w:t>Benefits to related parties:</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r>
      <w:tr>
        <w:trPr>
          <w:trHeight w:val="193"/>
        </w:trPr>
        <w:tc>
          <w:tcPr>
            <w:tcW w:w="412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rPr>
              <w:t>Compensation and benefits to senior management,</w:t>
            </w:r>
          </w:p>
        </w:tc>
        <w:tc>
          <w:tcPr>
            <w:tcW w:w="66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color w:val="auto"/>
              </w:rPr>
              <w:t>10,561</w:t>
            </w:r>
          </w:p>
        </w:tc>
        <w:tc>
          <w:tcPr>
            <w:tcW w:w="780" w:type="dxa"/>
            <w:vAlign w:val="bottom"/>
            <w:gridSpan w:val="3"/>
            <w:shd w:val="clear" w:color="auto" w:fill="CCFFCC"/>
          </w:tcPr>
          <w:p>
            <w:pPr>
              <w:jc w:val="right"/>
              <w:ind w:right="100"/>
              <w:spacing w:after="0" w:line="194" w:lineRule="exact"/>
              <w:rPr>
                <w:sz w:val="20"/>
                <w:szCs w:val="20"/>
                <w:color w:val="auto"/>
              </w:rPr>
            </w:pPr>
            <w:r>
              <w:rPr>
                <w:rFonts w:ascii="Arial" w:cs="Arial" w:eastAsia="Arial" w:hAnsi="Arial"/>
                <w:sz w:val="17"/>
                <w:szCs w:val="17"/>
                <w:color w:val="auto"/>
              </w:rPr>
              <w:t>7,039</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8,208</w:t>
            </w:r>
          </w:p>
        </w:tc>
      </w:tr>
      <w:tr>
        <w:trPr>
          <w:trHeight w:val="257"/>
        </w:trPr>
        <w:tc>
          <w:tcPr>
            <w:tcW w:w="412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7"/>
                <w:szCs w:val="17"/>
                <w:color w:val="auto"/>
              </w:rPr>
              <w:t>including benefit component of option grants</w:t>
            </w:r>
          </w:p>
        </w:tc>
        <w:tc>
          <w:tcPr>
            <w:tcW w:w="5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52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5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r>
      <w:tr>
        <w:trPr>
          <w:trHeight w:val="198"/>
        </w:trPr>
        <w:tc>
          <w:tcPr>
            <w:tcW w:w="4120" w:type="dxa"/>
            <w:vAlign w:val="bottom"/>
          </w:tcPr>
          <w:p>
            <w:pPr>
              <w:ind w:left="180"/>
              <w:spacing w:after="0"/>
              <w:rPr>
                <w:sz w:val="20"/>
                <w:szCs w:val="20"/>
                <w:color w:val="auto"/>
              </w:rPr>
            </w:pPr>
            <w:r>
              <w:rPr>
                <w:rFonts w:ascii="Arial" w:cs="Arial" w:eastAsia="Arial" w:hAnsi="Arial"/>
                <w:sz w:val="17"/>
                <w:szCs w:val="17"/>
                <w:color w:val="auto"/>
              </w:rPr>
              <w:t>Number of individuals to which this benefit related</w:t>
            </w:r>
          </w:p>
        </w:tc>
        <w:tc>
          <w:tcPr>
            <w:tcW w:w="5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r>
      <w:tr>
        <w:trPr>
          <w:trHeight w:val="20"/>
        </w:trPr>
        <w:tc>
          <w:tcPr>
            <w:tcW w:w="4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5"/>
        </w:trPr>
        <w:tc>
          <w:tcPr>
            <w:tcW w:w="4120" w:type="dxa"/>
            <w:vAlign w:val="bottom"/>
            <w:shd w:val="clear" w:color="auto" w:fill="CCFFCC"/>
          </w:tcPr>
          <w:p>
            <w:pPr>
              <w:ind w:left="180"/>
              <w:spacing w:after="0" w:line="185" w:lineRule="exact"/>
              <w:rPr>
                <w:sz w:val="20"/>
                <w:szCs w:val="20"/>
                <w:color w:val="auto"/>
              </w:rPr>
            </w:pPr>
            <w:r>
              <w:rPr>
                <w:rFonts w:ascii="Arial" w:cs="Arial" w:eastAsia="Arial" w:hAnsi="Arial"/>
                <w:sz w:val="17"/>
                <w:szCs w:val="17"/>
                <w:color w:val="auto"/>
              </w:rPr>
              <w:t>Compensation and benefits to directors, including</w:t>
            </w:r>
          </w:p>
        </w:tc>
        <w:tc>
          <w:tcPr>
            <w:tcW w:w="560" w:type="dxa"/>
            <w:vAlign w:val="bottom"/>
            <w:shd w:val="clear" w:color="auto" w:fill="CCFFCC"/>
          </w:tcPr>
          <w:p>
            <w:pPr>
              <w:jc w:val="right"/>
              <w:spacing w:after="0" w:line="185" w:lineRule="exact"/>
              <w:rPr>
                <w:sz w:val="20"/>
                <w:szCs w:val="20"/>
                <w:color w:val="auto"/>
              </w:rPr>
            </w:pPr>
            <w:r>
              <w:rPr>
                <w:rFonts w:ascii="Arial" w:cs="Arial" w:eastAsia="Arial" w:hAnsi="Arial"/>
                <w:sz w:val="17"/>
                <w:szCs w:val="17"/>
                <w:color w:val="auto"/>
              </w:rPr>
              <w:t>1,074</w:t>
            </w:r>
          </w:p>
        </w:tc>
        <w:tc>
          <w:tcPr>
            <w:tcW w:w="100" w:type="dxa"/>
            <w:vAlign w:val="bottom"/>
            <w:shd w:val="clear" w:color="auto" w:fill="CCFFCC"/>
          </w:tcPr>
          <w:p>
            <w:pPr>
              <w:spacing w:after="0"/>
              <w:rPr>
                <w:sz w:val="16"/>
                <w:szCs w:val="16"/>
                <w:color w:val="auto"/>
              </w:rPr>
            </w:pPr>
          </w:p>
        </w:tc>
        <w:tc>
          <w:tcPr>
            <w:tcW w:w="780" w:type="dxa"/>
            <w:vAlign w:val="bottom"/>
            <w:gridSpan w:val="3"/>
            <w:shd w:val="clear" w:color="auto" w:fill="CCFFCC"/>
          </w:tcPr>
          <w:p>
            <w:pPr>
              <w:jc w:val="right"/>
              <w:ind w:right="100"/>
              <w:spacing w:after="0" w:line="185" w:lineRule="exact"/>
              <w:rPr>
                <w:sz w:val="20"/>
                <w:szCs w:val="20"/>
                <w:color w:val="auto"/>
              </w:rPr>
            </w:pPr>
            <w:r>
              <w:rPr>
                <w:rFonts w:ascii="Arial" w:cs="Arial" w:eastAsia="Arial" w:hAnsi="Arial"/>
                <w:sz w:val="17"/>
                <w:szCs w:val="17"/>
                <w:color w:val="auto"/>
              </w:rPr>
              <w:t>584</w:t>
            </w: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20"/>
              <w:spacing w:after="0" w:line="185" w:lineRule="exact"/>
              <w:rPr>
                <w:sz w:val="20"/>
                <w:szCs w:val="20"/>
                <w:color w:val="auto"/>
              </w:rPr>
            </w:pPr>
            <w:r>
              <w:rPr>
                <w:rFonts w:ascii="Arial" w:cs="Arial" w:eastAsia="Arial" w:hAnsi="Arial"/>
                <w:sz w:val="17"/>
                <w:szCs w:val="17"/>
                <w:color w:val="auto"/>
              </w:rPr>
              <w:t>858</w:t>
            </w:r>
          </w:p>
        </w:tc>
      </w:tr>
      <w:tr>
        <w:trPr>
          <w:trHeight w:val="257"/>
        </w:trPr>
        <w:tc>
          <w:tcPr>
            <w:tcW w:w="412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7"/>
                <w:szCs w:val="17"/>
                <w:color w:val="auto"/>
              </w:rPr>
              <w:t>benefit component of option grants</w:t>
            </w:r>
          </w:p>
        </w:tc>
        <w:tc>
          <w:tcPr>
            <w:tcW w:w="5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52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50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r>
      <w:tr>
        <w:trPr>
          <w:trHeight w:val="198"/>
        </w:trPr>
        <w:tc>
          <w:tcPr>
            <w:tcW w:w="4120" w:type="dxa"/>
            <w:vAlign w:val="bottom"/>
          </w:tcPr>
          <w:p>
            <w:pPr>
              <w:spacing w:after="0"/>
              <w:rPr>
                <w:sz w:val="20"/>
                <w:szCs w:val="20"/>
                <w:color w:val="auto"/>
              </w:rPr>
            </w:pPr>
            <w:r>
              <w:rPr>
                <w:rFonts w:ascii="Arial" w:cs="Arial" w:eastAsia="Arial" w:hAnsi="Arial"/>
                <w:sz w:val="17"/>
                <w:szCs w:val="17"/>
                <w:color w:val="auto"/>
              </w:rPr>
              <w:t>Number of individuals to which this benefit related</w:t>
            </w:r>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r>
      <w:tr>
        <w:trPr>
          <w:trHeight w:val="20"/>
        </w:trPr>
        <w:tc>
          <w:tcPr>
            <w:tcW w:w="4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-1077595</wp:posOffset>
            </wp:positionV>
            <wp:extent cx="4091940" cy="1631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9194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-652780</wp:posOffset>
            </wp:positionV>
            <wp:extent cx="4091940" cy="1962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91940" cy="1962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4091940" cy="1962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91940" cy="196215"/>
                    </a:xfrm>
                    <a:prstGeom prst="rect">
                      <a:avLst/>
                    </a:prstGeom>
                    <a:noFill/>
                  </pic:spPr>
                </pic:pic>
              </a:graphicData>
            </a:graphic>
          </wp:anchor>
        </w:drawing>
      </w:r>
    </w:p>
    <w:p>
      <w:pPr>
        <w:spacing w:after="0" w:line="70" w:lineRule="exact"/>
        <w:rPr>
          <w:sz w:val="20"/>
          <w:szCs w:val="20"/>
          <w:color w:val="auto"/>
        </w:rPr>
      </w:pPr>
    </w:p>
    <w:p>
      <w:pPr>
        <w:ind w:left="560" w:right="1339"/>
        <w:spacing w:after="0" w:line="278" w:lineRule="auto"/>
        <w:rPr>
          <w:sz w:val="20"/>
          <w:szCs w:val="20"/>
          <w:color w:val="auto"/>
        </w:rPr>
      </w:pPr>
      <w:r>
        <w:rPr>
          <w:rFonts w:ascii="Arial" w:cs="Arial" w:eastAsia="Arial" w:hAnsi="Arial"/>
          <w:sz w:val="17"/>
          <w:szCs w:val="17"/>
          <w:color w:val="auto"/>
        </w:rPr>
        <w:t>This amount relates to a grant received from a related party of the Company, in accordance with the EDP Agreement as detailed in Note 12a(5).</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Key management compensation</w:t>
      </w:r>
    </w:p>
    <w:p>
      <w:pPr>
        <w:spacing w:after="0" w:line="119" w:lineRule="exact"/>
        <w:rPr>
          <w:sz w:val="20"/>
          <w:szCs w:val="20"/>
          <w:color w:val="auto"/>
        </w:rPr>
      </w:pPr>
    </w:p>
    <w:p>
      <w:pPr>
        <w:ind w:left="560" w:right="1539"/>
        <w:spacing w:after="0" w:line="306" w:lineRule="auto"/>
        <w:rPr>
          <w:sz w:val="20"/>
          <w:szCs w:val="20"/>
          <w:color w:val="auto"/>
        </w:rPr>
      </w:pPr>
      <w:r>
        <w:rPr>
          <w:rFonts w:ascii="Arial" w:cs="Arial" w:eastAsia="Arial" w:hAnsi="Arial"/>
          <w:sz w:val="15"/>
          <w:szCs w:val="15"/>
          <w:color w:val="auto"/>
        </w:rPr>
        <w:t>Key management includes directors (executive and non-executive), executive officers and the internal auditor. The compensation paid or payable to key management for services during each of the years indicated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0836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4160" w:type="dxa"/>
            <w:vAlign w:val="bottom"/>
          </w:tcPr>
          <w:p>
            <w:pPr>
              <w:spacing w:after="0"/>
              <w:rPr>
                <w:sz w:val="15"/>
                <w:szCs w:val="15"/>
                <w:color w:val="auto"/>
              </w:rPr>
            </w:pPr>
          </w:p>
        </w:tc>
        <w:tc>
          <w:tcPr>
            <w:tcW w:w="2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r>
      <w:tr>
        <w:trPr>
          <w:trHeight w:val="186"/>
        </w:trPr>
        <w:tc>
          <w:tcPr>
            <w:tcW w:w="4160" w:type="dxa"/>
            <w:vAlign w:val="bottom"/>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4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4160" w:type="dxa"/>
            <w:vAlign w:val="bottom"/>
            <w:shd w:val="clear" w:color="auto" w:fill="CCFFCC"/>
          </w:tcPr>
          <w:p>
            <w:pPr>
              <w:spacing w:after="0"/>
              <w:rPr>
                <w:sz w:val="20"/>
                <w:szCs w:val="20"/>
                <w:color w:val="auto"/>
              </w:rPr>
            </w:pPr>
            <w:r>
              <w:rPr>
                <w:rFonts w:ascii="Arial" w:cs="Arial" w:eastAsia="Arial" w:hAnsi="Arial"/>
                <w:sz w:val="17"/>
                <w:szCs w:val="17"/>
                <w:color w:val="auto"/>
              </w:rPr>
              <w:t>Salaries and other short-term employee benefits</w:t>
            </w:r>
          </w:p>
        </w:tc>
        <w:tc>
          <w:tcPr>
            <w:tcW w:w="5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4,084</w:t>
            </w:r>
          </w:p>
        </w:tc>
        <w:tc>
          <w:tcPr>
            <w:tcW w:w="7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5,115</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5,609</w:t>
            </w:r>
          </w:p>
        </w:tc>
      </w:tr>
      <w:tr>
        <w:trPr>
          <w:trHeight w:val="206"/>
        </w:trPr>
        <w:tc>
          <w:tcPr>
            <w:tcW w:w="4160" w:type="dxa"/>
            <w:vAlign w:val="bottom"/>
          </w:tcPr>
          <w:p>
            <w:pPr>
              <w:spacing w:after="0"/>
              <w:rPr>
                <w:sz w:val="20"/>
                <w:szCs w:val="20"/>
                <w:color w:val="auto"/>
              </w:rPr>
            </w:pPr>
            <w:r>
              <w:rPr>
                <w:rFonts w:ascii="Arial" w:cs="Arial" w:eastAsia="Arial" w:hAnsi="Arial"/>
                <w:sz w:val="17"/>
                <w:szCs w:val="17"/>
                <w:color w:val="auto"/>
              </w:rPr>
              <w:t>Post-employment benefits</w:t>
            </w:r>
          </w:p>
        </w:tc>
        <w:tc>
          <w:tcPr>
            <w:tcW w:w="560" w:type="dxa"/>
            <w:vAlign w:val="bottom"/>
          </w:tcPr>
          <w:p>
            <w:pPr>
              <w:jc w:val="right"/>
              <w:spacing w:after="0"/>
              <w:rPr>
                <w:sz w:val="20"/>
                <w:szCs w:val="20"/>
                <w:color w:val="auto"/>
              </w:rPr>
            </w:pPr>
            <w:r>
              <w:rPr>
                <w:rFonts w:ascii="Arial" w:cs="Arial" w:eastAsia="Arial" w:hAnsi="Arial"/>
                <w:sz w:val="17"/>
                <w:szCs w:val="17"/>
                <w:color w:val="auto"/>
              </w:rPr>
              <w:t>365</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343</w:t>
            </w:r>
          </w:p>
        </w:tc>
      </w:tr>
      <w:tr>
        <w:trPr>
          <w:trHeight w:val="206"/>
        </w:trPr>
        <w:tc>
          <w:tcPr>
            <w:tcW w:w="4160" w:type="dxa"/>
            <w:vAlign w:val="bottom"/>
            <w:shd w:val="clear" w:color="auto" w:fill="CCFFCC"/>
          </w:tcPr>
          <w:p>
            <w:pPr>
              <w:spacing w:after="0"/>
              <w:rPr>
                <w:sz w:val="20"/>
                <w:szCs w:val="20"/>
                <w:color w:val="auto"/>
              </w:rPr>
            </w:pPr>
            <w:r>
              <w:rPr>
                <w:rFonts w:ascii="Arial" w:cs="Arial" w:eastAsia="Arial" w:hAnsi="Arial"/>
                <w:sz w:val="17"/>
                <w:szCs w:val="17"/>
                <w:color w:val="auto"/>
              </w:rPr>
              <w:t>Other long-term benefits</w:t>
            </w:r>
          </w:p>
        </w:tc>
        <w:tc>
          <w:tcPr>
            <w:tcW w:w="5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42</w:t>
            </w:r>
          </w:p>
        </w:tc>
        <w:tc>
          <w:tcPr>
            <w:tcW w:w="7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36</w:t>
            </w:r>
          </w:p>
        </w:tc>
        <w:tc>
          <w:tcPr>
            <w:tcW w:w="200" w:type="dxa"/>
            <w:vAlign w:val="bottom"/>
            <w:tcBorders>
              <w:lef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42</w:t>
            </w:r>
          </w:p>
        </w:tc>
      </w:tr>
      <w:tr>
        <w:trPr>
          <w:trHeight w:val="206"/>
        </w:trPr>
        <w:tc>
          <w:tcPr>
            <w:tcW w:w="416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7"/>
                <w:szCs w:val="17"/>
                <w:color w:val="auto"/>
              </w:rPr>
              <w:t>7,144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2,152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3,072</w:t>
            </w:r>
          </w:p>
        </w:tc>
      </w:tr>
      <w:tr>
        <w:trPr>
          <w:trHeight w:val="20"/>
        </w:trPr>
        <w:tc>
          <w:tcPr>
            <w:tcW w:w="4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4160" w:type="dxa"/>
            <w:vAlign w:val="bottom"/>
            <w:shd w:val="clear" w:color="auto" w:fill="CCFFCC"/>
          </w:tcPr>
          <w:p>
            <w:pPr>
              <w:spacing w:after="0"/>
              <w:rPr>
                <w:sz w:val="19"/>
                <w:szCs w:val="19"/>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11,635</w:t>
            </w:r>
          </w:p>
        </w:tc>
        <w:tc>
          <w:tcPr>
            <w:tcW w:w="7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7,623</w:t>
            </w:r>
          </w:p>
        </w:tc>
        <w:tc>
          <w:tcPr>
            <w:tcW w:w="200" w:type="dxa"/>
            <w:vAlign w:val="bottom"/>
            <w:tcBorders>
              <w:lef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9,066</w:t>
            </w:r>
          </w:p>
        </w:tc>
      </w:tr>
      <w:tr>
        <w:trPr>
          <w:trHeight w:val="20"/>
        </w:trPr>
        <w:tc>
          <w:tcPr>
            <w:tcW w:w="4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91940" cy="3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280" w:right="4139" w:hanging="218"/>
        <w:spacing w:after="0" w:line="337" w:lineRule="auto"/>
        <w:rPr>
          <w:sz w:val="20"/>
          <w:szCs w:val="20"/>
          <w:color w:val="auto"/>
        </w:rPr>
      </w:pPr>
      <w:r>
        <w:rPr>
          <w:rFonts w:ascii="Arial" w:cs="Arial" w:eastAsia="Arial" w:hAnsi="Arial"/>
          <w:sz w:val="17"/>
          <w:szCs w:val="17"/>
          <w:b w:val="1"/>
          <w:bCs w:val="1"/>
          <w:color w:val="auto"/>
        </w:rPr>
        <w:t>NOTE 14 — SUPPLEMENTARY FINANCIAL STATEMENT INFORMATION a.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40919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color w:val="auto"/>
              </w:rPr>
              <w:t>NIS in thousands</w:t>
            </w:r>
          </w:p>
        </w:tc>
      </w:tr>
      <w:tr>
        <w:trPr>
          <w:trHeight w:val="212"/>
        </w:trPr>
        <w:tc>
          <w:tcPr>
            <w:tcW w:w="49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Withholding tax*</w:t>
            </w:r>
          </w:p>
        </w:tc>
        <w:tc>
          <w:tcPr>
            <w:tcW w:w="6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5,294</w:t>
            </w:r>
          </w:p>
        </w:tc>
      </w:tr>
      <w:tr>
        <w:trPr>
          <w:trHeight w:val="206"/>
        </w:trPr>
        <w:tc>
          <w:tcPr>
            <w:tcW w:w="4960" w:type="dxa"/>
            <w:vAlign w:val="bottom"/>
            <w:gridSpan w:val="3"/>
          </w:tcPr>
          <w:p>
            <w:pPr>
              <w:spacing w:after="0"/>
              <w:rPr>
                <w:sz w:val="20"/>
                <w:szCs w:val="20"/>
                <w:color w:val="auto"/>
              </w:rPr>
            </w:pPr>
            <w:r>
              <w:rPr>
                <w:rFonts w:ascii="Arial" w:cs="Arial" w:eastAsia="Arial" w:hAnsi="Arial"/>
                <w:sz w:val="17"/>
                <w:szCs w:val="17"/>
                <w:color w:val="auto"/>
              </w:rPr>
              <w:t>Institutions</w:t>
            </w:r>
          </w:p>
        </w:tc>
        <w:tc>
          <w:tcPr>
            <w:tcW w:w="600" w:type="dxa"/>
            <w:vAlign w:val="bottom"/>
          </w:tcPr>
          <w:p>
            <w:pPr>
              <w:jc w:val="right"/>
              <w:spacing w:after="0"/>
              <w:rPr>
                <w:sz w:val="20"/>
                <w:szCs w:val="20"/>
                <w:color w:val="auto"/>
              </w:rPr>
            </w:pPr>
            <w:r>
              <w:rPr>
                <w:rFonts w:ascii="Arial" w:cs="Arial" w:eastAsia="Arial" w:hAnsi="Arial"/>
                <w:sz w:val="17"/>
                <w:szCs w:val="17"/>
                <w:color w:val="auto"/>
              </w:rPr>
              <w:t>1,991</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649</w:t>
            </w:r>
          </w:p>
        </w:tc>
      </w:tr>
      <w:tr>
        <w:trPr>
          <w:trHeight w:val="206"/>
        </w:trPr>
        <w:tc>
          <w:tcPr>
            <w:tcW w:w="49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Grants receivable from the OCS</w:t>
            </w:r>
          </w:p>
        </w:tc>
        <w:tc>
          <w:tcPr>
            <w:tcW w:w="6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322</w:t>
            </w:r>
          </w:p>
        </w:tc>
        <w:tc>
          <w:tcPr>
            <w:tcW w:w="16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370</w:t>
            </w: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4020" w:type="dxa"/>
            <w:vAlign w:val="bottom"/>
            <w:shd w:val="clear" w:color="auto" w:fill="CCFFCC"/>
          </w:tcPr>
          <w:p>
            <w:pPr>
              <w:spacing w:after="0" w:line="20" w:lineRule="exact"/>
              <w:rPr>
                <w:sz w:val="1"/>
                <w:szCs w:val="1"/>
                <w:color w:val="auto"/>
              </w:rPr>
            </w:pPr>
          </w:p>
        </w:tc>
        <w:tc>
          <w:tcPr>
            <w:tcW w:w="6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2,313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6,313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-350520</wp:posOffset>
            </wp:positionV>
            <wp:extent cx="4091940" cy="1714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91940" cy="171450"/>
                    </a:xfrm>
                    <a:prstGeom prst="rect">
                      <a:avLst/>
                    </a:prstGeom>
                    <a:noFill/>
                  </pic:spPr>
                </pic:pic>
              </a:graphicData>
            </a:graphic>
          </wp:anchor>
        </w:drawing>
      </w:r>
    </w:p>
    <w:p>
      <w:pPr>
        <w:spacing w:after="0" w:line="225" w:lineRule="exact"/>
        <w:rPr>
          <w:sz w:val="20"/>
          <w:szCs w:val="20"/>
          <w:color w:val="auto"/>
        </w:rPr>
      </w:pPr>
    </w:p>
    <w:p>
      <w:pPr>
        <w:ind w:left="280" w:hanging="264"/>
        <w:spacing w:after="0"/>
        <w:tabs>
          <w:tab w:leader="none" w:pos="2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See Note 15.</w:t>
      </w:r>
    </w:p>
    <w:p>
      <w:pPr>
        <w:spacing w:after="0" w:line="107"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b w:val="1"/>
          <w:bCs w:val="1"/>
          <w:color w:val="auto"/>
        </w:rPr>
        <w:t>b.  Long-term prepaid expenses</w:t>
      </w:r>
    </w:p>
    <w:p>
      <w:pPr>
        <w:spacing w:after="0" w:line="119" w:lineRule="exact"/>
        <w:rPr>
          <w:sz w:val="20"/>
          <w:szCs w:val="20"/>
          <w:color w:val="auto"/>
        </w:rPr>
      </w:pPr>
    </w:p>
    <w:p>
      <w:pPr>
        <w:ind w:left="560" w:right="1279"/>
        <w:spacing w:after="0" w:line="317" w:lineRule="auto"/>
        <w:rPr>
          <w:sz w:val="20"/>
          <w:szCs w:val="20"/>
          <w:color w:val="auto"/>
        </w:rPr>
      </w:pPr>
      <w:r>
        <w:rPr>
          <w:rFonts w:ascii="Arial" w:cs="Arial" w:eastAsia="Arial" w:hAnsi="Arial"/>
          <w:sz w:val="15"/>
          <w:szCs w:val="15"/>
          <w:color w:val="auto"/>
        </w:rPr>
        <w:t>The prepaid expenses relate to operating lease agreements in respect of the vehicles used by the Group, and, in 2009, materials utilized by the Company to produce the BL-1040 compound amounting to NIS 880,000. During 2010, after an assessment of the Group regarding the realizable value of the materials, they were written off to R&amp;D expenses.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  Accounts payable and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0919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10160</wp:posOffset>
            </wp:positionV>
            <wp:extent cx="9474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5" w:lineRule="exact"/>
        <w:rPr>
          <w:sz w:val="20"/>
          <w:szCs w:val="20"/>
          <w:color w:val="auto"/>
        </w:rPr>
      </w:pPr>
    </w:p>
    <w:p>
      <w:pPr>
        <w:ind w:left="5120"/>
        <w:spacing w:after="0"/>
        <w:tabs>
          <w:tab w:leader="none" w:pos="594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10160</wp:posOffset>
            </wp:positionV>
            <wp:extent cx="9474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9"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NIS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shd w:val="clear" w:color="auto" w:fill="CCFFCC"/>
          </w:tcPr>
          <w:p>
            <w:pPr>
              <w:spacing w:after="0"/>
              <w:rPr>
                <w:sz w:val="20"/>
                <w:szCs w:val="20"/>
                <w:color w:val="auto"/>
              </w:rPr>
            </w:pPr>
            <w:r>
              <w:rPr>
                <w:rFonts w:ascii="Arial" w:cs="Arial" w:eastAsia="Arial" w:hAnsi="Arial"/>
                <w:sz w:val="17"/>
                <w:szCs w:val="17"/>
                <w:color w:val="auto"/>
              </w:rPr>
              <w:t>1) Trade:</w:t>
            </w:r>
          </w:p>
        </w:tc>
        <w:tc>
          <w:tcPr>
            <w:tcW w:w="5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06"/>
        </w:trPr>
        <w:tc>
          <w:tcPr>
            <w:tcW w:w="496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4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In Israel</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1,224</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1,539</w:t>
            </w:r>
          </w:p>
        </w:tc>
      </w:tr>
      <w:tr>
        <w:trPr>
          <w:trHeight w:val="206"/>
        </w:trPr>
        <w:tc>
          <w:tcPr>
            <w:tcW w:w="4960" w:type="dxa"/>
            <w:vAlign w:val="bottom"/>
          </w:tcPr>
          <w:p>
            <w:pPr>
              <w:ind w:left="340"/>
              <w:spacing w:after="0"/>
              <w:rPr>
                <w:sz w:val="20"/>
                <w:szCs w:val="20"/>
                <w:color w:val="auto"/>
              </w:rPr>
            </w:pPr>
            <w:r>
              <w:rPr>
                <w:rFonts w:ascii="Arial" w:cs="Arial" w:eastAsia="Arial" w:hAnsi="Arial"/>
                <w:sz w:val="17"/>
                <w:szCs w:val="17"/>
                <w:color w:val="auto"/>
              </w:rPr>
              <w:t>Overseas</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5,208</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2,307</w:t>
            </w:r>
          </w:p>
        </w:tc>
      </w:tr>
      <w:tr>
        <w:trPr>
          <w:trHeight w:val="206"/>
        </w:trPr>
        <w:tc>
          <w:tcPr>
            <w:tcW w:w="4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Checks payable</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20</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3</w:t>
            </w:r>
          </w:p>
        </w:tc>
      </w:tr>
      <w:tr>
        <w:trPr>
          <w:trHeight w:val="20"/>
        </w:trPr>
        <w:tc>
          <w:tcPr>
            <w:tcW w:w="49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199"/>
        </w:trPr>
        <w:tc>
          <w:tcPr>
            <w:tcW w:w="49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6,452</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3,849</w:t>
            </w:r>
          </w:p>
        </w:tc>
      </w:tr>
      <w:tr>
        <w:trPr>
          <w:trHeight w:val="20"/>
        </w:trPr>
        <w:tc>
          <w:tcPr>
            <w:tcW w:w="4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960" w:type="dxa"/>
            <w:vAlign w:val="bottom"/>
            <w:shd w:val="clear" w:color="auto" w:fill="CCFFCC"/>
          </w:tcPr>
          <w:p>
            <w:pPr>
              <w:spacing w:after="0"/>
              <w:rPr>
                <w:sz w:val="20"/>
                <w:szCs w:val="20"/>
                <w:color w:val="auto"/>
              </w:rPr>
            </w:pPr>
            <w:r>
              <w:rPr>
                <w:rFonts w:ascii="Arial" w:cs="Arial" w:eastAsia="Arial" w:hAnsi="Arial"/>
                <w:sz w:val="17"/>
                <w:szCs w:val="17"/>
                <w:color w:val="auto"/>
              </w:rPr>
              <w:t>2) Other:</w:t>
            </w:r>
          </w:p>
        </w:tc>
        <w:tc>
          <w:tcPr>
            <w:tcW w:w="5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06"/>
        </w:trPr>
        <w:tc>
          <w:tcPr>
            <w:tcW w:w="4960" w:type="dxa"/>
            <w:vAlign w:val="bottom"/>
          </w:tcPr>
          <w:p>
            <w:pPr>
              <w:ind w:left="180"/>
              <w:spacing w:after="0"/>
              <w:rPr>
                <w:sz w:val="20"/>
                <w:szCs w:val="20"/>
                <w:color w:val="auto"/>
              </w:rPr>
            </w:pPr>
            <w:r>
              <w:rPr>
                <w:rFonts w:ascii="Arial" w:cs="Arial" w:eastAsia="Arial" w:hAnsi="Arial"/>
                <w:sz w:val="17"/>
                <w:szCs w:val="17"/>
                <w:color w:val="auto"/>
              </w:rPr>
              <w:t>Payroll and related expenses</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1,318</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1,496</w:t>
            </w:r>
          </w:p>
        </w:tc>
      </w:tr>
      <w:tr>
        <w:trPr>
          <w:trHeight w:val="206"/>
        </w:trPr>
        <w:tc>
          <w:tcPr>
            <w:tcW w:w="4960" w:type="dxa"/>
            <w:vAlign w:val="bottom"/>
            <w:shd w:val="clear" w:color="auto" w:fill="CCFFCC"/>
          </w:tcPr>
          <w:p>
            <w:pPr>
              <w:ind w:left="180"/>
              <w:spacing w:after="0"/>
              <w:rPr>
                <w:sz w:val="20"/>
                <w:szCs w:val="20"/>
                <w:color w:val="auto"/>
              </w:rPr>
            </w:pPr>
            <w:r>
              <w:rPr>
                <w:rFonts w:ascii="Arial" w:cs="Arial" w:eastAsia="Arial" w:hAnsi="Arial"/>
                <w:sz w:val="17"/>
                <w:szCs w:val="17"/>
                <w:color w:val="auto"/>
              </w:rPr>
              <w:t>Accrual for vacation and recreation pay</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881</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1,092</w:t>
            </w:r>
          </w:p>
        </w:tc>
      </w:tr>
      <w:tr>
        <w:trPr>
          <w:trHeight w:val="206"/>
        </w:trPr>
        <w:tc>
          <w:tcPr>
            <w:tcW w:w="496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4,924</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4,176</w:t>
            </w:r>
          </w:p>
        </w:tc>
      </w:tr>
      <w:tr>
        <w:trPr>
          <w:trHeight w:val="193"/>
        </w:trPr>
        <w:tc>
          <w:tcPr>
            <w:tcW w:w="4960" w:type="dxa"/>
            <w:vAlign w:val="bottom"/>
            <w:shd w:val="clear" w:color="auto" w:fill="CCFFCC"/>
          </w:tcPr>
          <w:p>
            <w:pPr>
              <w:ind w:left="180"/>
              <w:spacing w:after="0" w:line="194" w:lineRule="exact"/>
              <w:rPr>
                <w:sz w:val="20"/>
                <w:szCs w:val="20"/>
                <w:color w:val="auto"/>
              </w:rPr>
            </w:pPr>
            <w:r>
              <w:rPr>
                <w:rFonts w:ascii="Arial" w:cs="Arial" w:eastAsia="Arial" w:hAnsi="Arial"/>
                <w:sz w:val="17"/>
                <w:szCs w:val="17"/>
                <w:color w:val="auto"/>
                <w:w w:val="98"/>
              </w:rPr>
              <w:t>Grants on account of EDP project development financing not yet</w:t>
            </w:r>
          </w:p>
        </w:tc>
        <w:tc>
          <w:tcPr>
            <w:tcW w:w="760" w:type="dxa"/>
            <w:vAlign w:val="bottom"/>
            <w:gridSpan w:val="2"/>
            <w:shd w:val="clear" w:color="auto" w:fill="CCFFCC"/>
          </w:tcPr>
          <w:p>
            <w:pPr>
              <w:jc w:val="right"/>
              <w:ind w:right="220"/>
              <w:spacing w:after="0" w:line="194" w:lineRule="exact"/>
              <w:rPr>
                <w:sz w:val="20"/>
                <w:szCs w:val="20"/>
                <w:color w:val="auto"/>
              </w:rPr>
            </w:pPr>
            <w:r>
              <w:rPr>
                <w:rFonts w:ascii="Arial" w:cs="Arial" w:eastAsia="Arial" w:hAnsi="Arial"/>
                <w:sz w:val="17"/>
                <w:szCs w:val="17"/>
                <w:color w:val="auto"/>
              </w:rPr>
              <w:t>2,896</w:t>
            </w:r>
          </w:p>
        </w:tc>
        <w:tc>
          <w:tcPr>
            <w:tcW w:w="720" w:type="dxa"/>
            <w:vAlign w:val="bottom"/>
            <w:gridSpan w:val="2"/>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3,776</w:t>
            </w:r>
          </w:p>
        </w:tc>
      </w:tr>
      <w:tr>
        <w:trPr>
          <w:trHeight w:val="218"/>
        </w:trPr>
        <w:tc>
          <w:tcPr>
            <w:tcW w:w="49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recognized in income</w:t>
            </w:r>
          </w:p>
        </w:tc>
        <w:tc>
          <w:tcPr>
            <w:tcW w:w="5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06"/>
        </w:trPr>
        <w:tc>
          <w:tcPr>
            <w:tcW w:w="4960" w:type="dxa"/>
            <w:vAlign w:val="bottom"/>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184</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0"/>
        </w:trPr>
        <w:tc>
          <w:tcPr>
            <w:tcW w:w="4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496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w w:val="99"/>
              </w:rPr>
              <w:t>10,203</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10,551</w:t>
            </w:r>
          </w:p>
        </w:tc>
      </w:tr>
      <w:tr>
        <w:trPr>
          <w:trHeight w:val="20"/>
        </w:trPr>
        <w:tc>
          <w:tcPr>
            <w:tcW w:w="49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-1257300</wp:posOffset>
            </wp:positionV>
            <wp:extent cx="4091940"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09194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091940" cy="32385"/>
                    </a:xfrm>
                    <a:prstGeom prst="rect">
                      <a:avLst/>
                    </a:prstGeom>
                    <a:noFill/>
                  </pic:spPr>
                </pic:pic>
              </a:graphicData>
            </a:graphic>
          </wp:anchor>
        </w:drawing>
      </w:r>
    </w:p>
    <w:p>
      <w:pPr>
        <w:spacing w:after="0" w:line="70" w:lineRule="exact"/>
        <w:rPr>
          <w:sz w:val="20"/>
          <w:szCs w:val="20"/>
          <w:color w:val="auto"/>
        </w:rPr>
      </w:pPr>
    </w:p>
    <w:p>
      <w:pPr>
        <w:ind w:left="560" w:right="1099"/>
        <w:spacing w:after="0" w:line="278" w:lineRule="auto"/>
        <w:rPr>
          <w:sz w:val="20"/>
          <w:szCs w:val="20"/>
          <w:color w:val="auto"/>
        </w:rPr>
      </w:pPr>
      <w:r>
        <w:rPr>
          <w:rFonts w:ascii="Arial" w:cs="Arial" w:eastAsia="Arial" w:hAnsi="Arial"/>
          <w:sz w:val="17"/>
          <w:szCs w:val="17"/>
          <w:color w:val="auto"/>
        </w:rPr>
        <w:t>The carrying amount of accounts payable and accruals is close or identical to their fair value, as the effect of discounting is not material.</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d.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08368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186"/>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color w:val="auto"/>
                <w:w w:val="88"/>
              </w:rPr>
              <w:t>NIS in thousands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41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Payments to licensors*</w:t>
            </w:r>
          </w:p>
        </w:tc>
        <w:tc>
          <w:tcPr>
            <w:tcW w:w="620" w:type="dxa"/>
            <w:vAlign w:val="bottom"/>
            <w:gridSpan w:val="2"/>
            <w:shd w:val="clear" w:color="auto" w:fill="CCFFCC"/>
          </w:tcPr>
          <w:p>
            <w:pPr>
              <w:ind w:left="36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17,817</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99"/>
              </w:rPr>
              <w:t>25,571</w:t>
            </w:r>
          </w:p>
        </w:tc>
      </w:tr>
      <w:tr>
        <w:trPr>
          <w:trHeight w:val="206"/>
        </w:trPr>
        <w:tc>
          <w:tcPr>
            <w:tcW w:w="4160" w:type="dxa"/>
            <w:vAlign w:val="bottom"/>
            <w:gridSpan w:val="3"/>
          </w:tcPr>
          <w:p>
            <w:pPr>
              <w:spacing w:after="0"/>
              <w:rPr>
                <w:sz w:val="20"/>
                <w:szCs w:val="20"/>
                <w:color w:val="auto"/>
              </w:rPr>
            </w:pPr>
            <w:r>
              <w:rPr>
                <w:rFonts w:ascii="Arial" w:cs="Arial" w:eastAsia="Arial" w:hAnsi="Arial"/>
                <w:sz w:val="17"/>
                <w:szCs w:val="17"/>
                <w:color w:val="auto"/>
              </w:rPr>
              <w:t>Payment to the OCS*</w:t>
            </w:r>
          </w:p>
        </w:tc>
        <w:tc>
          <w:tcPr>
            <w:tcW w:w="6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4,369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6"/>
        </w:trPr>
        <w:tc>
          <w:tcPr>
            <w:tcW w:w="41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Intellectual property dispositions</w:t>
            </w:r>
          </w:p>
        </w:tc>
        <w:tc>
          <w:tcPr>
            <w:tcW w:w="540" w:type="dxa"/>
            <w:vAlign w:val="bottom"/>
            <w:shd w:val="clear" w:color="auto" w:fill="CCFFCC"/>
          </w:tcPr>
          <w:p>
            <w:pPr>
              <w:ind w:left="36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436</w:t>
            </w: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32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22,622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25,571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409194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091940" cy="171450"/>
                    </a:xfrm>
                    <a:prstGeom prst="rect">
                      <a:avLst/>
                    </a:prstGeom>
                    <a:noFill/>
                  </pic:spPr>
                </pic:pic>
              </a:graphicData>
            </a:graphic>
          </wp:anchor>
        </w:drawing>
      </w:r>
    </w:p>
    <w:p>
      <w:pPr>
        <w:spacing w:after="0" w:line="225"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See Notes 15 and 16</w:t>
      </w: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1040"/>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14 — SUPPLEMENTARY FINANCIAL STATEMENT INFORMATION – (continued)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  Research and development expenses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0919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6"/>
                <w:szCs w:val="16"/>
                <w:color w:val="auto"/>
              </w:rPr>
            </w:pPr>
          </w:p>
        </w:tc>
        <w:tc>
          <w:tcPr>
            <w:tcW w:w="140" w:type="dxa"/>
            <w:vAlign w:val="bottom"/>
            <w:gridSpan w:val="2"/>
          </w:tcPr>
          <w:p>
            <w:pPr>
              <w:spacing w:after="0"/>
              <w:rPr>
                <w:sz w:val="16"/>
                <w:szCs w:val="16"/>
                <w:color w:val="auto"/>
              </w:rPr>
            </w:pPr>
          </w:p>
        </w:tc>
        <w:tc>
          <w:tcPr>
            <w:tcW w:w="6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8"/>
          </w:tcPr>
          <w:p>
            <w:pPr>
              <w:jc w:val="center"/>
              <w:ind w:right="100"/>
              <w:spacing w:after="0"/>
              <w:rPr>
                <w:sz w:val="20"/>
                <w:szCs w:val="20"/>
                <w:color w:val="auto"/>
              </w:rPr>
            </w:pPr>
            <w:r>
              <w:rPr>
                <w:rFonts w:ascii="Arial" w:cs="Arial" w:eastAsia="Arial" w:hAnsi="Arial"/>
                <w:sz w:val="14"/>
                <w:szCs w:val="14"/>
                <w:color w:val="auto"/>
                <w:w w:val="88"/>
              </w:rPr>
              <w:t>NIS in thousands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Payroll and related expenses, including vehicles</w:t>
            </w:r>
          </w:p>
        </w:tc>
        <w:tc>
          <w:tcPr>
            <w:tcW w:w="7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21,161</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16,384</w:t>
            </w:r>
          </w:p>
        </w:tc>
        <w:tc>
          <w:tcPr>
            <w:tcW w:w="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w w:val="96"/>
              </w:rPr>
              <w:t>18,566</w:t>
            </w:r>
          </w:p>
        </w:tc>
        <w:tc>
          <w:tcPr>
            <w:tcW w:w="80" w:type="dxa"/>
            <w:vAlign w:val="bottom"/>
            <w:shd w:val="clear" w:color="auto" w:fill="CCFFCC"/>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2,180</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1,633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1,705</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Impairment of intellectual property</w:t>
            </w:r>
          </w:p>
        </w:tc>
        <w:tc>
          <w:tcPr>
            <w:tcW w:w="200" w:type="dxa"/>
            <w:vAlign w:val="bottom"/>
            <w:tcBorders>
              <w:right w:val="single" w:sz="8" w:color="CCFFCC"/>
            </w:tcBorders>
            <w:shd w:val="clear" w:color="auto" w:fill="CCFFCC"/>
          </w:tcPr>
          <w:p>
            <w:pPr>
              <w:spacing w:after="0"/>
              <w:rPr>
                <w:sz w:val="17"/>
                <w:szCs w:val="17"/>
                <w:color w:val="auto"/>
              </w:rPr>
            </w:pP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148</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1,846</w:t>
            </w:r>
          </w:p>
        </w:tc>
        <w:tc>
          <w:tcPr>
            <w:tcW w:w="80" w:type="dxa"/>
            <w:vAlign w:val="bottom"/>
            <w:shd w:val="clear" w:color="auto" w:fill="CCFFCC"/>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Patent related expenses</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3,841</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2,907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1,770</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Research and development services</w:t>
            </w:r>
          </w:p>
        </w:tc>
        <w:tc>
          <w:tcPr>
            <w:tcW w:w="7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95,665</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66,534</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w w:val="96"/>
              </w:rPr>
              <w:t>16,265</w:t>
            </w:r>
          </w:p>
        </w:tc>
        <w:tc>
          <w:tcPr>
            <w:tcW w:w="80" w:type="dxa"/>
            <w:vAlign w:val="bottom"/>
            <w:shd w:val="clear" w:color="auto" w:fill="CCFFCC"/>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Professional fees</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594</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1,113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1,999</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Materials</w:t>
            </w:r>
          </w:p>
        </w:tc>
        <w:tc>
          <w:tcPr>
            <w:tcW w:w="7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1,693</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248</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FFCC"/>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Overseas travel</w:t>
            </w: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2,231</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215</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Office supplies and telephone</w:t>
            </w:r>
          </w:p>
        </w:tc>
        <w:tc>
          <w:tcPr>
            <w:tcW w:w="7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2,699</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2,661</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2,682</w:t>
            </w:r>
          </w:p>
        </w:tc>
        <w:tc>
          <w:tcPr>
            <w:tcW w:w="80" w:type="dxa"/>
            <w:vAlign w:val="bottom"/>
            <w:shd w:val="clear" w:color="auto" w:fill="CCFFCC"/>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Payments to the OCS (see Notes 15, 16)</w:t>
            </w:r>
          </w:p>
        </w:tc>
        <w:tc>
          <w:tcPr>
            <w:tcW w:w="2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8,739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17,438</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Other</w:t>
            </w:r>
          </w:p>
        </w:tc>
        <w:tc>
          <w:tcPr>
            <w:tcW w:w="7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1,691</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187</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360</w:t>
            </w:r>
          </w:p>
        </w:tc>
        <w:tc>
          <w:tcPr>
            <w:tcW w:w="80" w:type="dxa"/>
            <w:vAlign w:val="bottom"/>
            <w:shd w:val="clear" w:color="auto" w:fill="CCFFCC"/>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7"/>
                <w:szCs w:val="17"/>
                <w:color w:val="auto"/>
              </w:rPr>
              <w:t>131,755</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101,025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63,147</w:t>
            </w: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8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w w:val="94"/>
              </w:rPr>
              <w:t>Less – OCS participations in research and development</w:t>
            </w:r>
          </w:p>
        </w:tc>
        <w:tc>
          <w:tcPr>
            <w:tcW w:w="720" w:type="dxa"/>
            <w:vAlign w:val="bottom"/>
            <w:gridSpan w:val="3"/>
            <w:shd w:val="clear" w:color="auto" w:fill="CCFFCC"/>
          </w:tcPr>
          <w:p>
            <w:pPr>
              <w:jc w:val="right"/>
              <w:ind w:right="20"/>
              <w:spacing w:after="0" w:line="194" w:lineRule="exact"/>
              <w:rPr>
                <w:sz w:val="20"/>
                <w:szCs w:val="20"/>
                <w:color w:val="auto"/>
              </w:rPr>
            </w:pPr>
            <w:r>
              <w:rPr>
                <w:rFonts w:ascii="Arial" w:cs="Arial" w:eastAsia="Arial" w:hAnsi="Arial"/>
                <w:sz w:val="17"/>
                <w:szCs w:val="17"/>
                <w:color w:val="auto"/>
              </w:rPr>
              <w:t>(23,074)</w:t>
            </w:r>
          </w:p>
        </w:tc>
        <w:tc>
          <w:tcPr>
            <w:tcW w:w="800" w:type="dxa"/>
            <w:vAlign w:val="bottom"/>
            <w:tcBorders>
              <w:left w:val="single" w:sz="8" w:color="CCFFCC"/>
            </w:tcBorders>
            <w:gridSpan w:val="4"/>
            <w:shd w:val="clear" w:color="auto" w:fill="CCFFCC"/>
          </w:tcPr>
          <w:p>
            <w:pPr>
              <w:jc w:val="right"/>
              <w:spacing w:after="0" w:line="194" w:lineRule="exact"/>
              <w:rPr>
                <w:sz w:val="20"/>
                <w:szCs w:val="20"/>
                <w:color w:val="auto"/>
              </w:rPr>
            </w:pPr>
            <w:r>
              <w:rPr>
                <w:rFonts w:ascii="Arial" w:cs="Arial" w:eastAsia="Arial" w:hAnsi="Arial"/>
                <w:sz w:val="17"/>
                <w:szCs w:val="17"/>
                <w:color w:val="auto"/>
              </w:rPr>
              <w:t>(7,426)</w:t>
            </w:r>
          </w:p>
        </w:tc>
        <w:tc>
          <w:tcPr>
            <w:tcW w:w="80" w:type="dxa"/>
            <w:vAlign w:val="bottom"/>
            <w:tcBorders>
              <w:left w:val="single" w:sz="8" w:color="CCFFCC"/>
            </w:tcBorders>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60"/>
              <w:spacing w:after="0" w:line="194" w:lineRule="exact"/>
              <w:rPr>
                <w:sz w:val="20"/>
                <w:szCs w:val="20"/>
                <w:color w:val="auto"/>
              </w:rPr>
            </w:pPr>
            <w:r>
              <w:rPr>
                <w:rFonts w:ascii="Arial" w:cs="Arial" w:eastAsia="Arial" w:hAnsi="Arial"/>
                <w:sz w:val="17"/>
                <w:szCs w:val="17"/>
                <w:color w:val="auto"/>
              </w:rPr>
              <w:t>(5,184)</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gridSpan w:val="2"/>
            <w:shd w:val="clear" w:color="auto" w:fill="CCFFCC"/>
          </w:tcPr>
          <w:p>
            <w:pPr>
              <w:ind w:left="180"/>
              <w:spacing w:after="0"/>
              <w:rPr>
                <w:sz w:val="20"/>
                <w:szCs w:val="20"/>
                <w:color w:val="auto"/>
              </w:rPr>
            </w:pPr>
            <w:r>
              <w:rPr>
                <w:rFonts w:ascii="Arial" w:cs="Arial" w:eastAsia="Arial" w:hAnsi="Arial"/>
                <w:sz w:val="17"/>
                <w:szCs w:val="17"/>
                <w:color w:val="auto"/>
              </w:rPr>
              <w:t>costs – see also Notes 12a(1) and (2)</w:t>
            </w:r>
          </w:p>
        </w:tc>
        <w:tc>
          <w:tcPr>
            <w:tcW w:w="200" w:type="dxa"/>
            <w:vAlign w:val="bottom"/>
            <w:tcBorders>
              <w:right w:val="single" w:sz="8" w:color="CCFFCC"/>
            </w:tcBorders>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60" w:type="dxa"/>
            <w:vAlign w:val="bottom"/>
            <w:tcBorders>
              <w:right w:val="single" w:sz="8" w:color="CCFFCC"/>
            </w:tcBorders>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80" w:type="dxa"/>
            <w:vAlign w:val="bottom"/>
            <w:gridSpan w:val="2"/>
          </w:tcPr>
          <w:p>
            <w:pPr>
              <w:spacing w:after="0" w:line="194" w:lineRule="exact"/>
              <w:rPr>
                <w:sz w:val="20"/>
                <w:szCs w:val="20"/>
                <w:color w:val="auto"/>
              </w:rPr>
            </w:pPr>
            <w:r>
              <w:rPr>
                <w:rFonts w:ascii="Arial" w:cs="Arial" w:eastAsia="Arial" w:hAnsi="Arial"/>
                <w:sz w:val="17"/>
                <w:szCs w:val="17"/>
                <w:color w:val="auto"/>
                <w:w w:val="93"/>
              </w:rPr>
              <w:t>Less – participations in research and development costs</w:t>
            </w:r>
          </w:p>
        </w:tc>
        <w:tc>
          <w:tcPr>
            <w:tcW w:w="72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(2,525)</w:t>
            </w:r>
          </w:p>
        </w:tc>
        <w:tc>
          <w:tcPr>
            <w:tcW w:w="800" w:type="dxa"/>
            <w:vAlign w:val="bottom"/>
            <w:gridSpan w:val="4"/>
          </w:tcPr>
          <w:p>
            <w:pPr>
              <w:jc w:val="right"/>
              <w:spacing w:after="0" w:line="194" w:lineRule="exact"/>
              <w:rPr>
                <w:sz w:val="20"/>
                <w:szCs w:val="20"/>
                <w:color w:val="auto"/>
              </w:rPr>
            </w:pPr>
            <w:r>
              <w:rPr>
                <w:rFonts w:ascii="Arial" w:cs="Arial" w:eastAsia="Arial" w:hAnsi="Arial"/>
                <w:sz w:val="17"/>
                <w:szCs w:val="17"/>
                <w:color w:val="auto"/>
              </w:rPr>
              <w:t>(3,297)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(2,997)</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7"/>
                <w:szCs w:val="17"/>
                <w:color w:val="auto"/>
              </w:rPr>
              <w:t>by a related party – see Note 13</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20" w:type="dxa"/>
            <w:vAlign w:val="bottom"/>
            <w:shd w:val="clear" w:color="auto" w:fill="CCFFCC"/>
          </w:tcPr>
          <w:p>
            <w:pPr>
              <w:spacing w:after="0"/>
              <w:rPr>
                <w:sz w:val="20"/>
                <w:szCs w:val="20"/>
                <w:color w:val="auto"/>
              </w:rPr>
            </w:pPr>
          </w:p>
        </w:tc>
        <w:tc>
          <w:tcPr>
            <w:tcW w:w="2960" w:type="dxa"/>
            <w:vAlign w:val="bottom"/>
            <w:shd w:val="clear" w:color="auto" w:fill="CCFFCC"/>
          </w:tcPr>
          <w:p>
            <w:pPr>
              <w:spacing w:after="0"/>
              <w:rPr>
                <w:sz w:val="20"/>
                <w:szCs w:val="20"/>
                <w:color w:val="auto"/>
              </w:rPr>
            </w:pPr>
          </w:p>
        </w:tc>
        <w:tc>
          <w:tcPr>
            <w:tcW w:w="72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106,156</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90,302</w:t>
            </w:r>
          </w:p>
        </w:tc>
        <w:tc>
          <w:tcPr>
            <w:tcW w:w="8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w w:val="96"/>
              </w:rPr>
              <w:t>54,966</w:t>
            </w:r>
          </w:p>
        </w:tc>
        <w:tc>
          <w:tcPr>
            <w:tcW w:w="80" w:type="dxa"/>
            <w:vAlign w:val="bottom"/>
            <w:shd w:val="clear" w:color="auto" w:fill="CCFFCC"/>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3980" w:type="dxa"/>
            <w:vAlign w:val="bottom"/>
            <w:tcBorders>
              <w:top w:val="single" w:sz="8" w:color="CCFFCC"/>
            </w:tcBorders>
            <w:gridSpan w:val="2"/>
          </w:tcPr>
          <w:p>
            <w:pPr>
              <w:ind w:left="280"/>
              <w:spacing w:after="0"/>
              <w:rPr>
                <w:sz w:val="20"/>
                <w:szCs w:val="20"/>
                <w:color w:val="auto"/>
              </w:rPr>
            </w:pPr>
            <w:r>
              <w:rPr>
                <w:rFonts w:ascii="Arial" w:cs="Arial" w:eastAsia="Arial" w:hAnsi="Arial"/>
                <w:sz w:val="17"/>
                <w:szCs w:val="17"/>
                <w:b w:val="1"/>
                <w:bCs w:val="1"/>
                <w:color w:val="auto"/>
              </w:rPr>
              <w:t>f.  Sales and marketing expenses</w:t>
            </w: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gridSpan w:val="2"/>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6"/>
          </w:tcPr>
          <w:p>
            <w:pPr>
              <w:jc w:val="center"/>
              <w:ind w:right="40"/>
              <w:spacing w:after="0"/>
              <w:rPr>
                <w:sz w:val="20"/>
                <w:szCs w:val="20"/>
                <w:color w:val="auto"/>
              </w:rPr>
            </w:pPr>
            <w:r>
              <w:rPr>
                <w:rFonts w:ascii="Arial" w:cs="Arial" w:eastAsia="Arial" w:hAnsi="Arial"/>
                <w:sz w:val="14"/>
                <w:szCs w:val="14"/>
                <w:color w:val="auto"/>
                <w:w w:val="88"/>
              </w:rPr>
              <w:t>NIS in thousands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Payroll and related expenses</w:t>
            </w:r>
          </w:p>
        </w:tc>
        <w:tc>
          <w:tcPr>
            <w:tcW w:w="200" w:type="dxa"/>
            <w:vAlign w:val="bottom"/>
            <w:tcBorders>
              <w:right w:val="single" w:sz="8" w:color="CCFFCC"/>
            </w:tcBorders>
            <w:shd w:val="clear" w:color="auto" w:fill="CCFFCC"/>
          </w:tcPr>
          <w:p>
            <w:pPr>
              <w:spacing w:after="0"/>
              <w:rPr>
                <w:sz w:val="18"/>
                <w:szCs w:val="18"/>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1,396</w:t>
            </w:r>
          </w:p>
        </w:tc>
        <w:tc>
          <w:tcPr>
            <w:tcW w:w="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2,090</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2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1,400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2,258</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Overseas travel</w:t>
            </w:r>
          </w:p>
        </w:tc>
        <w:tc>
          <w:tcPr>
            <w:tcW w:w="200" w:type="dxa"/>
            <w:vAlign w:val="bottom"/>
            <w:tcBorders>
              <w:right w:val="single" w:sz="8" w:color="CCFFCC"/>
            </w:tcBorders>
            <w:shd w:val="clear" w:color="auto" w:fill="CCFFCC"/>
          </w:tcPr>
          <w:p>
            <w:pPr>
              <w:spacing w:after="0"/>
              <w:rPr>
                <w:sz w:val="17"/>
                <w:szCs w:val="17"/>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289</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261</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3,085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4,609</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280"/>
              <w:spacing w:after="0"/>
              <w:rPr>
                <w:sz w:val="20"/>
                <w:szCs w:val="20"/>
                <w:color w:val="auto"/>
              </w:rPr>
            </w:pPr>
            <w:r>
              <w:rPr>
                <w:rFonts w:ascii="Arial" w:cs="Arial" w:eastAsia="Arial" w:hAnsi="Arial"/>
                <w:sz w:val="17"/>
                <w:szCs w:val="17"/>
                <w:b w:val="1"/>
                <w:bCs w:val="1"/>
                <w:color w:val="auto"/>
              </w:rPr>
              <w:t>g.  General and administrative expenses</w:t>
            </w: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Borders>
              <w:bottom w:val="single" w:sz="8" w:color="auto"/>
            </w:tcBorders>
            <w:gridSpan w:val="12"/>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6"/>
          </w:tcPr>
          <w:p>
            <w:pPr>
              <w:jc w:val="center"/>
              <w:ind w:right="60"/>
              <w:spacing w:after="0"/>
              <w:rPr>
                <w:sz w:val="20"/>
                <w:szCs w:val="20"/>
                <w:color w:val="auto"/>
              </w:rPr>
            </w:pPr>
            <w:r>
              <w:rPr>
                <w:rFonts w:ascii="Arial" w:cs="Arial" w:eastAsia="Arial" w:hAnsi="Arial"/>
                <w:sz w:val="14"/>
                <w:szCs w:val="14"/>
                <w:color w:val="auto"/>
                <w:w w:val="86"/>
              </w:rPr>
              <w:t>NIS in thousands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Payroll and related expenses, including vehicles</w:t>
            </w: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7"/>
                <w:szCs w:val="17"/>
                <w:color w:val="auto"/>
              </w:rPr>
              <w:t>7,863</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6,792</w:t>
            </w:r>
          </w:p>
        </w:tc>
        <w:tc>
          <w:tcPr>
            <w:tcW w:w="80" w:type="dxa"/>
            <w:vAlign w:val="bottom"/>
            <w:tcBorders>
              <w:left w:val="single" w:sz="8" w:color="CCFFCC"/>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6,205</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Professional fees</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3,707</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2,499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6,540</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Office supplies and telephone</w:t>
            </w: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7"/>
                <w:szCs w:val="17"/>
                <w:color w:val="auto"/>
              </w:rPr>
              <w:t>170</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121</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111</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Office maintenance</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Depreciation</w:t>
            </w: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7"/>
                <w:szCs w:val="17"/>
                <w:color w:val="auto"/>
              </w:rPr>
              <w:t>99</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121</w:t>
            </w:r>
          </w:p>
        </w:tc>
        <w:tc>
          <w:tcPr>
            <w:tcW w:w="80" w:type="dxa"/>
            <w:vAlign w:val="bottom"/>
            <w:tcBorders>
              <w:lef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109</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1,144</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1,532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1,841</w:t>
            </w: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020" w:type="dxa"/>
            <w:vAlign w:val="bottom"/>
            <w:shd w:val="clear" w:color="auto" w:fill="CCFFCC"/>
          </w:tcPr>
          <w:p>
            <w:pPr>
              <w:spacing w:after="0"/>
              <w:rPr>
                <w:sz w:val="20"/>
                <w:szCs w:val="20"/>
                <w:color w:val="auto"/>
              </w:rPr>
            </w:pPr>
          </w:p>
        </w:tc>
        <w:tc>
          <w:tcPr>
            <w:tcW w:w="296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w w:val="99"/>
              </w:rPr>
              <w:t>13,083</w:t>
            </w:r>
          </w:p>
        </w:tc>
        <w:tc>
          <w:tcPr>
            <w:tcW w:w="80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7"/>
                <w:szCs w:val="17"/>
                <w:color w:val="auto"/>
              </w:rPr>
              <w:t>11,182</w:t>
            </w:r>
          </w:p>
        </w:tc>
        <w:tc>
          <w:tcPr>
            <w:tcW w:w="80" w:type="dxa"/>
            <w:vAlign w:val="bottom"/>
            <w:tcBorders>
              <w:left w:val="single" w:sz="8" w:color="CCFFCC"/>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14,875</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6"/>
        </w:trPr>
        <w:tc>
          <w:tcPr>
            <w:tcW w:w="1020" w:type="dxa"/>
            <w:vAlign w:val="bottom"/>
            <w:tcBorders>
              <w:top w:val="single" w:sz="8" w:color="CCFFCC"/>
            </w:tcBorders>
          </w:tcPr>
          <w:p>
            <w:pPr>
              <w:spacing w:after="0"/>
              <w:rPr>
                <w:sz w:val="24"/>
                <w:szCs w:val="24"/>
                <w:color w:val="auto"/>
              </w:rPr>
            </w:pPr>
          </w:p>
        </w:tc>
        <w:tc>
          <w:tcPr>
            <w:tcW w:w="296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F-45</w:t>
            </w:r>
          </w:p>
        </w:tc>
        <w:tc>
          <w:tcPr>
            <w:tcW w:w="8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29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-4132580</wp:posOffset>
            </wp:positionV>
            <wp:extent cx="4091940" cy="1390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91940" cy="139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-3331845</wp:posOffset>
            </wp:positionV>
            <wp:extent cx="4091940" cy="323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-2319020</wp:posOffset>
            </wp:positionV>
            <wp:extent cx="409194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9194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-636270</wp:posOffset>
            </wp:positionV>
            <wp:extent cx="4091940" cy="323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-3176905</wp:posOffset>
            </wp:positionV>
            <wp:extent cx="40919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0919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-2025015</wp:posOffset>
            </wp:positionV>
            <wp:extent cx="40836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ectPr>
          <w:pgSz w:w="11900" w:h="16838" w:orient="portrait"/>
          <w:cols w:equalWidth="0" w:num="1">
            <w:col w:w="10160"/>
          </w:cols>
          <w:pgMar w:left="360" w:top="761" w:right="137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14 — SUPPLEMENTARY FINANCIAL STATEMENT INFORMATION – (continued)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h.  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0919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9194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80" w:type="dxa"/>
            <w:vAlign w:val="bottom"/>
          </w:tcPr>
          <w:p>
            <w:pPr>
              <w:spacing w:after="0"/>
              <w:rPr>
                <w:sz w:val="15"/>
                <w:szCs w:val="15"/>
                <w:color w:val="auto"/>
              </w:rPr>
            </w:pPr>
          </w:p>
        </w:tc>
        <w:tc>
          <w:tcPr>
            <w:tcW w:w="226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186"/>
        </w:trPr>
        <w:tc>
          <w:tcPr>
            <w:tcW w:w="4180" w:type="dxa"/>
            <w:vAlign w:val="bottom"/>
          </w:tcPr>
          <w:p>
            <w:pPr>
              <w:spacing w:after="0"/>
              <w:rPr>
                <w:sz w:val="16"/>
                <w:szCs w:val="16"/>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4"/>
                <w:szCs w:val="14"/>
                <w:color w:val="auto"/>
                <w:w w:val="88"/>
              </w:rPr>
              <w:t>NIS in thousands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41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color w:val="auto"/>
              </w:rPr>
              <w:t>Gain on change in fair value of financial assets at fair</w:t>
            </w:r>
          </w:p>
        </w:tc>
        <w:tc>
          <w:tcPr>
            <w:tcW w:w="5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273</w:t>
            </w:r>
          </w:p>
        </w:tc>
        <w:tc>
          <w:tcPr>
            <w:tcW w:w="80" w:type="dxa"/>
            <w:vAlign w:val="bottom"/>
            <w:tcBorders>
              <w:left w:val="single" w:sz="8" w:color="CCFFCC"/>
            </w:tcBorders>
            <w:shd w:val="clear" w:color="auto" w:fill="CCFFCC"/>
          </w:tcPr>
          <w:p>
            <w:pPr>
              <w:spacing w:after="0"/>
              <w:rPr>
                <w:sz w:val="17"/>
                <w:szCs w:val="17"/>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98</w:t>
            </w:r>
          </w:p>
        </w:tc>
        <w:tc>
          <w:tcPr>
            <w:tcW w:w="80" w:type="dxa"/>
            <w:vAlign w:val="bottom"/>
            <w:tcBorders>
              <w:left w:val="single" w:sz="8" w:color="CCFFCC"/>
            </w:tcBorders>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w:t>
            </w:r>
          </w:p>
        </w:tc>
      </w:tr>
      <w:tr>
        <w:trPr>
          <w:trHeight w:val="218"/>
        </w:trPr>
        <w:tc>
          <w:tcPr>
            <w:tcW w:w="418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7"/>
                <w:szCs w:val="17"/>
                <w:color w:val="auto"/>
              </w:rPr>
              <w:t>value through profit or loss</w:t>
            </w:r>
          </w:p>
        </w:tc>
        <w:tc>
          <w:tcPr>
            <w:tcW w:w="54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color w:val="auto"/>
              </w:rPr>
              <w:t>Income from interest and exchange differences on</w:t>
            </w:r>
          </w:p>
        </w:tc>
        <w:tc>
          <w:tcPr>
            <w:tcW w:w="540" w:type="dxa"/>
            <w:vAlign w:val="bottom"/>
          </w:tcPr>
          <w:p>
            <w:pPr>
              <w:jc w:val="right"/>
              <w:spacing w:after="0" w:line="194" w:lineRule="exact"/>
              <w:rPr>
                <w:sz w:val="20"/>
                <w:szCs w:val="20"/>
                <w:color w:val="auto"/>
              </w:rPr>
            </w:pPr>
            <w:r>
              <w:rPr>
                <w:rFonts w:ascii="Arial" w:cs="Arial" w:eastAsia="Arial" w:hAnsi="Arial"/>
                <w:sz w:val="17"/>
                <w:szCs w:val="17"/>
                <w:color w:val="auto"/>
              </w:rPr>
              <w:t>12,728</w:t>
            </w:r>
          </w:p>
        </w:tc>
        <w:tc>
          <w:tcPr>
            <w:tcW w:w="80" w:type="dxa"/>
            <w:vAlign w:val="bottom"/>
          </w:tcPr>
          <w:p>
            <w:pPr>
              <w:spacing w:after="0"/>
              <w:rPr>
                <w:sz w:val="16"/>
                <w:szCs w:val="16"/>
                <w:color w:val="auto"/>
              </w:rPr>
            </w:pPr>
          </w:p>
        </w:tc>
        <w:tc>
          <w:tcPr>
            <w:tcW w:w="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3,056</w:t>
            </w:r>
          </w:p>
        </w:tc>
      </w:tr>
      <w:tr>
        <w:trPr>
          <w:trHeight w:val="217"/>
        </w:trPr>
        <w:tc>
          <w:tcPr>
            <w:tcW w:w="4180" w:type="dxa"/>
            <w:vAlign w:val="bottom"/>
          </w:tcPr>
          <w:p>
            <w:pPr>
              <w:ind w:left="180"/>
              <w:spacing w:after="0"/>
              <w:rPr>
                <w:sz w:val="20"/>
                <w:szCs w:val="20"/>
                <w:color w:val="auto"/>
              </w:rPr>
            </w:pPr>
            <w:r>
              <w:rPr>
                <w:rFonts w:ascii="Arial" w:cs="Arial" w:eastAsia="Arial" w:hAnsi="Arial"/>
                <w:sz w:val="17"/>
                <w:szCs w:val="17"/>
                <w:color w:val="auto"/>
              </w:rPr>
              <w:t>deposits</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4180" w:type="dxa"/>
            <w:vAlign w:val="bottom"/>
            <w:tcBorders>
              <w:right w:val="single" w:sz="8" w:color="CCFFCC"/>
            </w:tcBorders>
            <w:shd w:val="clear" w:color="auto" w:fill="CCFFCC"/>
          </w:tcPr>
          <w:p>
            <w:pPr>
              <w:spacing w:after="0"/>
              <w:rPr>
                <w:sz w:val="20"/>
                <w:szCs w:val="20"/>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13,001</w:t>
            </w:r>
          </w:p>
        </w:tc>
        <w:tc>
          <w:tcPr>
            <w:tcW w:w="80" w:type="dxa"/>
            <w:vAlign w:val="bottom"/>
            <w:tcBorders>
              <w:left w:val="single" w:sz="8" w:color="CCFFCC"/>
            </w:tcBorders>
            <w:shd w:val="clear" w:color="auto" w:fill="CCFFCC"/>
          </w:tcPr>
          <w:p>
            <w:pPr>
              <w:spacing w:after="0"/>
              <w:rPr>
                <w:sz w:val="20"/>
                <w:szCs w:val="20"/>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3,928</w:t>
            </w:r>
          </w:p>
        </w:tc>
        <w:tc>
          <w:tcPr>
            <w:tcW w:w="80" w:type="dxa"/>
            <w:vAlign w:val="bottom"/>
            <w:tcBorders>
              <w:left w:val="single" w:sz="8" w:color="CCFFCC"/>
            </w:tcBorders>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3,056</w:t>
            </w:r>
          </w:p>
        </w:tc>
      </w:tr>
      <w:tr>
        <w:trPr>
          <w:trHeight w:val="299"/>
        </w:trPr>
        <w:tc>
          <w:tcPr>
            <w:tcW w:w="4180" w:type="dxa"/>
            <w:vAlign w:val="bottom"/>
            <w:tcBorders>
              <w:top w:val="single" w:sz="8" w:color="CCFFCC"/>
            </w:tcBorders>
          </w:tcPr>
          <w:p>
            <w:pPr>
              <w:ind w:left="280"/>
              <w:spacing w:after="0"/>
              <w:rPr>
                <w:sz w:val="20"/>
                <w:szCs w:val="20"/>
                <w:color w:val="auto"/>
              </w:rPr>
            </w:pPr>
            <w:r>
              <w:rPr>
                <w:rFonts w:ascii="Arial" w:cs="Arial" w:eastAsia="Arial" w:hAnsi="Arial"/>
                <w:sz w:val="17"/>
                <w:szCs w:val="17"/>
                <w:b w:val="1"/>
                <w:bCs w:val="1"/>
                <w:color w:val="auto"/>
              </w:rPr>
              <w:t>i.  Finance expenses</w:t>
            </w: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r>
      <w:tr>
        <w:trPr>
          <w:trHeight w:val="194"/>
        </w:trPr>
        <w:tc>
          <w:tcPr>
            <w:tcW w:w="4180" w:type="dxa"/>
            <w:vAlign w:val="bottom"/>
          </w:tcPr>
          <w:p>
            <w:pPr>
              <w:spacing w:after="0"/>
              <w:rPr>
                <w:sz w:val="16"/>
                <w:szCs w:val="16"/>
                <w:color w:val="auto"/>
              </w:rPr>
            </w:pPr>
          </w:p>
        </w:tc>
        <w:tc>
          <w:tcPr>
            <w:tcW w:w="226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r>
      <w:tr>
        <w:trPr>
          <w:trHeight w:val="186"/>
        </w:trPr>
        <w:tc>
          <w:tcPr>
            <w:tcW w:w="4180" w:type="dxa"/>
            <w:vAlign w:val="bottom"/>
          </w:tcPr>
          <w:p>
            <w:pPr>
              <w:spacing w:after="0"/>
              <w:rPr>
                <w:sz w:val="16"/>
                <w:szCs w:val="16"/>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193"/>
        </w:trPr>
        <w:tc>
          <w:tcPr>
            <w:tcW w:w="4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4"/>
                <w:szCs w:val="14"/>
                <w:color w:val="auto"/>
                <w:w w:val="88"/>
              </w:rPr>
              <w:t>NIS in thousands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418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7"/>
                <w:szCs w:val="17"/>
                <w:color w:val="auto"/>
              </w:rPr>
              <w:t>Exchange differences</w:t>
            </w:r>
          </w:p>
        </w:tc>
        <w:tc>
          <w:tcPr>
            <w:tcW w:w="54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9"/>
              </w:rPr>
              <w:t>12,172</w:t>
            </w:r>
          </w:p>
        </w:tc>
        <w:tc>
          <w:tcPr>
            <w:tcW w:w="80" w:type="dxa"/>
            <w:vAlign w:val="bottom"/>
            <w:tcBorders>
              <w:left w:val="single" w:sz="8" w:color="CCFFCC"/>
            </w:tcBorders>
            <w:shd w:val="clear" w:color="auto" w:fill="CCFFCC"/>
          </w:tcPr>
          <w:p>
            <w:pPr>
              <w:spacing w:after="0"/>
              <w:rPr>
                <w:sz w:val="18"/>
                <w:szCs w:val="18"/>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2,064</w:t>
            </w:r>
          </w:p>
        </w:tc>
        <w:tc>
          <w:tcPr>
            <w:tcW w:w="80" w:type="dxa"/>
            <w:vAlign w:val="bottom"/>
            <w:tcBorders>
              <w:left w:val="single" w:sz="8" w:color="CCFFCC"/>
            </w:tcBorders>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8,696</w:t>
            </w:r>
          </w:p>
        </w:tc>
        <w:tc>
          <w:tcPr>
            <w:tcW w:w="80" w:type="dxa"/>
            <w:vAlign w:val="bottom"/>
            <w:shd w:val="clear" w:color="auto" w:fill="CCFFCC"/>
          </w:tcPr>
          <w:p>
            <w:pPr>
              <w:spacing w:after="0"/>
              <w:rPr>
                <w:sz w:val="18"/>
                <w:szCs w:val="18"/>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7"/>
                <w:szCs w:val="17"/>
                <w:color w:val="auto"/>
              </w:rPr>
              <w:t>Bank commissions</w:t>
            </w: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7"/>
                <w:szCs w:val="17"/>
                <w:color w:val="auto"/>
              </w:rPr>
            </w:pPr>
          </w:p>
        </w:tc>
      </w:tr>
      <w:tr>
        <w:trPr>
          <w:trHeight w:val="20"/>
        </w:trPr>
        <w:tc>
          <w:tcPr>
            <w:tcW w:w="4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4180" w:type="dxa"/>
            <w:vAlign w:val="bottom"/>
            <w:tcBorders>
              <w:right w:val="single" w:sz="8" w:color="CCFFCC"/>
            </w:tcBorders>
            <w:shd w:val="clear" w:color="auto" w:fill="CCFFCC"/>
          </w:tcPr>
          <w:p>
            <w:pPr>
              <w:spacing w:after="0"/>
              <w:rPr>
                <w:sz w:val="19"/>
                <w:szCs w:val="19"/>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9"/>
              </w:rPr>
              <w:t>12,269</w:t>
            </w:r>
          </w:p>
        </w:tc>
        <w:tc>
          <w:tcPr>
            <w:tcW w:w="80" w:type="dxa"/>
            <w:vAlign w:val="bottom"/>
            <w:tcBorders>
              <w:left w:val="single" w:sz="8" w:color="CCFFCC"/>
            </w:tcBorders>
            <w:shd w:val="clear" w:color="auto" w:fill="CCFFCC"/>
          </w:tcPr>
          <w:p>
            <w:pPr>
              <w:spacing w:after="0"/>
              <w:rPr>
                <w:sz w:val="19"/>
                <w:szCs w:val="19"/>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2,164</w:t>
            </w:r>
          </w:p>
        </w:tc>
        <w:tc>
          <w:tcPr>
            <w:tcW w:w="80" w:type="dxa"/>
            <w:vAlign w:val="bottom"/>
            <w:tcBorders>
              <w:left w:val="single" w:sz="8" w:color="CCFFCC"/>
            </w:tcBorders>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8,755</w:t>
            </w:r>
          </w:p>
        </w:tc>
        <w:tc>
          <w:tcPr>
            <w:tcW w:w="80" w:type="dxa"/>
            <w:vAlign w:val="bottom"/>
            <w:shd w:val="clear" w:color="auto" w:fill="CCFFCC"/>
          </w:tcPr>
          <w:p>
            <w:pPr>
              <w:spacing w:after="0"/>
              <w:rPr>
                <w:sz w:val="19"/>
                <w:szCs w:val="19"/>
                <w:color w:val="auto"/>
              </w:rPr>
            </w:pPr>
          </w:p>
        </w:tc>
      </w:tr>
      <w:tr>
        <w:trPr>
          <w:trHeight w:val="20"/>
        </w:trPr>
        <w:tc>
          <w:tcPr>
            <w:tcW w:w="41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-1052830</wp:posOffset>
            </wp:positionV>
            <wp:extent cx="4091940" cy="32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091940" cy="32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091940" cy="323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-897890</wp:posOffset>
            </wp:positionV>
            <wp:extent cx="40836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15 — IKARIA AGREEMENT</w:t>
      </w:r>
    </w:p>
    <w:p>
      <w:pPr>
        <w:spacing w:after="0" w:line="119" w:lineRule="exact"/>
        <w:rPr>
          <w:sz w:val="20"/>
          <w:szCs w:val="20"/>
          <w:color w:val="auto"/>
        </w:rPr>
      </w:pPr>
    </w:p>
    <w:p>
      <w:pPr>
        <w:ind w:left="320" w:right="1039"/>
        <w:spacing w:after="0" w:line="279" w:lineRule="auto"/>
        <w:rPr>
          <w:sz w:val="20"/>
          <w:szCs w:val="20"/>
          <w:color w:val="auto"/>
        </w:rPr>
      </w:pPr>
      <w:r>
        <w:rPr>
          <w:rFonts w:ascii="Arial" w:cs="Arial" w:eastAsia="Arial" w:hAnsi="Arial"/>
          <w:sz w:val="16"/>
          <w:szCs w:val="16"/>
          <w:color w:val="auto"/>
        </w:rPr>
        <w:t>During the third quarter of 2009, the Group entered into an out-licensing agreement with Ikaria, pursuant to which the Company granted Ikaria an exclusive, worldwide license to develop, manufacture and commercialize BL-1040 — a compound for the treatment of patients that have suffered an acute myocardial infarction (“AMI”). The agreement was signed in July 2009 and the transaction closed in September 2009, following receipt by the Company of OCS approval for the transaction, and transfer by the Company to Ikaria of all deliverables as stipulated under the agreement.</w:t>
      </w:r>
    </w:p>
    <w:p>
      <w:pPr>
        <w:spacing w:after="0" w:line="63" w:lineRule="exact"/>
        <w:rPr>
          <w:sz w:val="20"/>
          <w:szCs w:val="20"/>
          <w:color w:val="auto"/>
        </w:rPr>
      </w:pPr>
    </w:p>
    <w:p>
      <w:pPr>
        <w:jc w:val="both"/>
        <w:ind w:left="320" w:right="1059"/>
        <w:spacing w:after="0" w:line="289" w:lineRule="auto"/>
        <w:rPr>
          <w:sz w:val="20"/>
          <w:szCs w:val="20"/>
          <w:color w:val="auto"/>
        </w:rPr>
      </w:pPr>
      <w:r>
        <w:rPr>
          <w:rFonts w:ascii="Arial" w:cs="Arial" w:eastAsia="Arial" w:hAnsi="Arial"/>
          <w:sz w:val="16"/>
          <w:szCs w:val="16"/>
          <w:color w:val="auto"/>
        </w:rPr>
        <w:t>In accordance with the agreement, Ikaria is obligated to use commercially reasonable efforts to complete clinical development of and to commercialize BL-1040, and will bear all subsequent costs involved in the continued development of the product, the conduct and funding of its commercialization, and the prosecution and maintenance of patents.</w:t>
      </w:r>
    </w:p>
    <w:p>
      <w:pPr>
        <w:spacing w:after="0" w:line="56" w:lineRule="exact"/>
        <w:rPr>
          <w:sz w:val="20"/>
          <w:szCs w:val="20"/>
          <w:color w:val="auto"/>
        </w:rPr>
      </w:pPr>
    </w:p>
    <w:p>
      <w:pPr>
        <w:ind w:left="320" w:right="1219"/>
        <w:spacing w:after="0" w:line="317" w:lineRule="auto"/>
        <w:rPr>
          <w:sz w:val="20"/>
          <w:szCs w:val="20"/>
          <w:color w:val="auto"/>
        </w:rPr>
      </w:pPr>
      <w:r>
        <w:rPr>
          <w:rFonts w:ascii="Arial" w:cs="Arial" w:eastAsia="Arial" w:hAnsi="Arial"/>
          <w:sz w:val="15"/>
          <w:szCs w:val="15"/>
          <w:color w:val="auto"/>
        </w:rPr>
        <w:t>Prior to execution of the agreement, the Company commenced a pilot phase 1/2 study designed to assess the safety and preliminary efficacy of BL-1040. According to the agreement, the Company was required to bear the costs related to completion of the study from that stage. Such costs, related to follow up and documentation of results, were accrued in 2009.</w:t>
      </w:r>
    </w:p>
    <w:p>
      <w:pPr>
        <w:spacing w:after="0" w:line="37" w:lineRule="exact"/>
        <w:rPr>
          <w:sz w:val="20"/>
          <w:szCs w:val="20"/>
          <w:color w:val="auto"/>
        </w:rPr>
      </w:pPr>
    </w:p>
    <w:p>
      <w:pPr>
        <w:ind w:left="320" w:right="1039"/>
        <w:spacing w:after="0" w:line="273" w:lineRule="auto"/>
        <w:rPr>
          <w:sz w:val="20"/>
          <w:szCs w:val="20"/>
          <w:color w:val="auto"/>
        </w:rPr>
      </w:pPr>
      <w:r>
        <w:rPr>
          <w:rFonts w:ascii="Arial" w:cs="Arial" w:eastAsia="Arial" w:hAnsi="Arial"/>
          <w:sz w:val="16"/>
          <w:szCs w:val="16"/>
          <w:color w:val="auto"/>
        </w:rPr>
        <w:t>Total payments to the Company under the agreement (not including royalties) are up to USD 282,500,000, subject to the achievement of certain milestones. Upon the closing of the agreement, the Company became entitled to the first payment in the amount of USD 7,000,000, which was received in October 2009. In connection with this payment, the Company undertook to indemnify Ikaria for any obligations it may have had to withhold taxes on such payment. In April 2010, the first milestone payment of USD 10,000,000 was received, in respect of which withholding tax of 15% was deducted. In March 2011, the Company filed an income tax return to request a refund of the tax withheld. Approximately 50% of the remaining payments are subject to certain development and regulatory milestones and the rest are subject to commercialization milestones. The abovementioned first two payments were recognized as revenues in 2009, and future milestone payments will be recognized as revenues if and when their receipt will become probable and their amount can be reliably measured.</w:t>
      </w:r>
    </w:p>
    <w:p>
      <w:pPr>
        <w:spacing w:after="0" w:line="72" w:lineRule="exact"/>
        <w:rPr>
          <w:sz w:val="20"/>
          <w:szCs w:val="20"/>
          <w:color w:val="auto"/>
        </w:rPr>
      </w:pPr>
    </w:p>
    <w:p>
      <w:pPr>
        <w:ind w:left="320" w:right="1119"/>
        <w:spacing w:after="0" w:line="278" w:lineRule="auto"/>
        <w:rPr>
          <w:sz w:val="20"/>
          <w:szCs w:val="20"/>
          <w:color w:val="auto"/>
        </w:rPr>
      </w:pPr>
      <w:r>
        <w:rPr>
          <w:rFonts w:ascii="Arial" w:cs="Arial" w:eastAsia="Arial" w:hAnsi="Arial"/>
          <w:sz w:val="17"/>
          <w:szCs w:val="17"/>
          <w:color w:val="auto"/>
        </w:rPr>
        <w:t>The Company is also entitled to royalties on the net sales of any product developed under the agreement, ranging from 11% to 15%, depending on annual net sales levels.</w:t>
      </w:r>
    </w:p>
    <w:p>
      <w:pPr>
        <w:spacing w:after="0" w:line="200" w:lineRule="exact"/>
        <w:rPr>
          <w:sz w:val="20"/>
          <w:szCs w:val="20"/>
          <w:color w:val="auto"/>
        </w:rPr>
      </w:pPr>
    </w:p>
    <w:p>
      <w:pPr>
        <w:spacing w:after="0" w:line="28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60" w:right="3799" w:firstLine="2763"/>
        <w:spacing w:after="0" w:line="398" w:lineRule="auto"/>
        <w:rPr>
          <w:sz w:val="20"/>
          <w:szCs w:val="20"/>
          <w:color w:val="auto"/>
        </w:rPr>
      </w:pPr>
      <w:r>
        <w:rPr>
          <w:rFonts w:ascii="Arial" w:cs="Arial" w:eastAsia="Arial" w:hAnsi="Arial"/>
          <w:sz w:val="17"/>
          <w:szCs w:val="17"/>
          <w:b w:val="1"/>
          <w:bCs w:val="1"/>
          <w:color w:val="auto"/>
        </w:rPr>
        <w:t>NOTES TO THE FINANCIAL STATEMENTS NOTE 15 — IKARIA AGREEMENT – (continued)</w:t>
      </w:r>
    </w:p>
    <w:p>
      <w:pPr>
        <w:spacing w:after="0" w:line="1" w:lineRule="exact"/>
        <w:rPr>
          <w:sz w:val="20"/>
          <w:szCs w:val="20"/>
          <w:color w:val="auto"/>
        </w:rPr>
      </w:pPr>
    </w:p>
    <w:p>
      <w:pPr>
        <w:ind w:left="320" w:right="1259"/>
        <w:spacing w:after="0" w:line="278" w:lineRule="auto"/>
        <w:rPr>
          <w:sz w:val="20"/>
          <w:szCs w:val="20"/>
          <w:color w:val="auto"/>
        </w:rPr>
      </w:pPr>
      <w:r>
        <w:rPr>
          <w:rFonts w:ascii="Arial" w:cs="Arial" w:eastAsia="Arial" w:hAnsi="Arial"/>
          <w:sz w:val="17"/>
          <w:szCs w:val="17"/>
          <w:color w:val="auto"/>
        </w:rPr>
        <w:t>The out-licensing agreement with Ikaria terminates on the date that the last patent rights in respect of BL-1040 are still valid (through at least 2024).</w:t>
      </w:r>
    </w:p>
    <w:p>
      <w:pPr>
        <w:spacing w:after="0" w:line="62" w:lineRule="exact"/>
        <w:rPr>
          <w:sz w:val="20"/>
          <w:szCs w:val="20"/>
          <w:color w:val="auto"/>
        </w:rPr>
      </w:pPr>
    </w:p>
    <w:p>
      <w:pPr>
        <w:ind w:left="320" w:right="999"/>
        <w:spacing w:after="0" w:line="257" w:lineRule="auto"/>
        <w:rPr>
          <w:sz w:val="20"/>
          <w:szCs w:val="20"/>
          <w:color w:val="auto"/>
        </w:rPr>
      </w:pPr>
      <w:r>
        <w:rPr>
          <w:rFonts w:ascii="Arial" w:cs="Arial" w:eastAsia="Arial" w:hAnsi="Arial"/>
          <w:sz w:val="17"/>
          <w:szCs w:val="17"/>
          <w:color w:val="auto"/>
        </w:rPr>
        <w:t>The Group is required to pay to the licensors of the BL-1040 compound 28% of all consideration received under the agreement. This expense is recorded in the statement of comprehensive income (loss) as cost of revenues. Additionally, the Group is obligated to repay the grants and loans received from the OCS regarding the BL-1040 project, in accordance with the Israeli R&amp;D Law and as agreed with the OCS. This expense, up to the amount of funding received from the OCS, has been recorded in the statement of comprehensive (income) loss in research and development expenses, with the balance recorded in cost of revenues.</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16 — CYPRESS AGREEMENT</w:t>
      </w:r>
    </w:p>
    <w:p>
      <w:pPr>
        <w:spacing w:after="0" w:line="119" w:lineRule="exact"/>
        <w:rPr>
          <w:sz w:val="20"/>
          <w:szCs w:val="20"/>
          <w:color w:val="auto"/>
        </w:rPr>
      </w:pPr>
    </w:p>
    <w:p>
      <w:pPr>
        <w:ind w:left="320" w:right="1039"/>
        <w:spacing w:after="0" w:line="298" w:lineRule="auto"/>
        <w:rPr>
          <w:sz w:val="20"/>
          <w:szCs w:val="20"/>
          <w:color w:val="auto"/>
        </w:rPr>
      </w:pPr>
      <w:r>
        <w:rPr>
          <w:rFonts w:ascii="Arial" w:cs="Arial" w:eastAsia="Arial" w:hAnsi="Arial"/>
          <w:sz w:val="15"/>
          <w:szCs w:val="15"/>
          <w:color w:val="auto"/>
        </w:rPr>
        <w:t>In June 2010, the Group entered into an exclusive, royalty-bearing out-licensing agreement with Cypress Bioscience for United States, Canada and Mexico (the “territories”), with regard to BL-1020, a therapeutic candidate for the treatment of schizophrenia. Under the agreement, Cypress Bioscience is obligated to use commercially reasonable efforts to develop, obtain regulatory approval for, and to commercialize BL-1020 in the territories, and will bear all subsequent costs involved in the continued development of the product, the conduct and funding of its commercialization, and the prosecution and maintenance of patents in the territories. The agreement became effective in August 2010, upon receipt of the consent of the OCS.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total potential payments from the agreement to the Group, not including royalties, are up to USD 365,000,000, as follows:</w:t>
      </w:r>
    </w:p>
    <w:p>
      <w:pPr>
        <w:spacing w:after="0" w:line="44" w:lineRule="exact"/>
        <w:rPr>
          <w:sz w:val="20"/>
          <w:szCs w:val="20"/>
          <w:color w:val="auto"/>
        </w:rPr>
      </w:pPr>
    </w:p>
    <w:p>
      <w:pPr>
        <w:ind w:left="320" w:right="999" w:hanging="8"/>
        <w:spacing w:after="0" w:line="259" w:lineRule="auto"/>
        <w:tabs>
          <w:tab w:leader="none" w:pos="563" w:val="left"/>
        </w:tabs>
        <w:numPr>
          <w:ilvl w:val="0"/>
          <w:numId w:val="99"/>
        </w:numPr>
        <w:rPr>
          <w:rFonts w:ascii="Arial" w:cs="Arial" w:eastAsia="Arial" w:hAnsi="Arial"/>
          <w:sz w:val="17"/>
          <w:szCs w:val="17"/>
          <w:color w:val="auto"/>
        </w:rPr>
      </w:pPr>
      <w:r>
        <w:rPr>
          <w:rFonts w:ascii="Arial" w:cs="Arial" w:eastAsia="Arial" w:hAnsi="Arial"/>
          <w:sz w:val="17"/>
          <w:szCs w:val="17"/>
          <w:color w:val="auto"/>
        </w:rPr>
        <w:t>USD 30,000,000 which was paid to the Group in August 2010 upon closing of the agreement; (2) up to USD 250,000,000 in connection with the achievement of certain performance-based milestones; and (3) up to USD 85,000,000 upon the achievement of certain sales-based milestones.</w:t>
      </w:r>
    </w:p>
    <w:p>
      <w:pPr>
        <w:spacing w:after="0" w:line="77" w:lineRule="exact"/>
        <w:rPr>
          <w:sz w:val="20"/>
          <w:szCs w:val="20"/>
          <w:color w:val="auto"/>
        </w:rPr>
      </w:pPr>
    </w:p>
    <w:p>
      <w:pPr>
        <w:jc w:val="both"/>
        <w:ind w:left="320" w:right="1099"/>
        <w:spacing w:after="0" w:line="282" w:lineRule="auto"/>
        <w:rPr>
          <w:sz w:val="20"/>
          <w:szCs w:val="20"/>
          <w:color w:val="auto"/>
        </w:rPr>
      </w:pPr>
      <w:r>
        <w:rPr>
          <w:rFonts w:ascii="Arial" w:cs="Arial" w:eastAsia="Arial" w:hAnsi="Arial"/>
          <w:sz w:val="16"/>
          <w:szCs w:val="16"/>
          <w:color w:val="auto"/>
        </w:rPr>
        <w:t>With regard to the first performance-based milestone of USD 10,000,000, Cypress Bioscience is entitled to pay up to one-half of the amount as an investment in the Company’s Ordinary Shares. In management’s estimation, based on a valuation received from an independent economic consulting firm, the fair value of this derivative instrument is not material and, therefore, it has not been deducted from the revenues recognized in respect of the upfront payment.</w:t>
      </w:r>
    </w:p>
    <w:p>
      <w:pPr>
        <w:spacing w:after="0" w:line="61" w:lineRule="exact"/>
        <w:rPr>
          <w:sz w:val="20"/>
          <w:szCs w:val="20"/>
          <w:color w:val="auto"/>
        </w:rPr>
      </w:pPr>
    </w:p>
    <w:p>
      <w:pPr>
        <w:ind w:left="320" w:right="1119"/>
        <w:spacing w:after="0" w:line="278" w:lineRule="auto"/>
        <w:rPr>
          <w:sz w:val="20"/>
          <w:szCs w:val="20"/>
          <w:color w:val="auto"/>
        </w:rPr>
      </w:pPr>
      <w:r>
        <w:rPr>
          <w:rFonts w:ascii="Arial" w:cs="Arial" w:eastAsia="Arial" w:hAnsi="Arial"/>
          <w:sz w:val="17"/>
          <w:szCs w:val="17"/>
          <w:color w:val="auto"/>
        </w:rPr>
        <w:t>In addition to the above payments, the Group is also entitled under the agreement to royalties ranging from 12% to 18% of net sales of BL-1020 in the territories.</w:t>
      </w:r>
    </w:p>
    <w:p>
      <w:pPr>
        <w:spacing w:after="0" w:line="62" w:lineRule="exact"/>
        <w:rPr>
          <w:sz w:val="20"/>
          <w:szCs w:val="20"/>
          <w:color w:val="auto"/>
        </w:rPr>
      </w:pPr>
    </w:p>
    <w:p>
      <w:pPr>
        <w:ind w:left="320" w:right="1279"/>
        <w:spacing w:after="0" w:line="261" w:lineRule="auto"/>
        <w:rPr>
          <w:sz w:val="20"/>
          <w:szCs w:val="20"/>
          <w:color w:val="auto"/>
        </w:rPr>
      </w:pPr>
      <w:r>
        <w:rPr>
          <w:rFonts w:ascii="Arial" w:cs="Arial" w:eastAsia="Arial" w:hAnsi="Arial"/>
          <w:sz w:val="17"/>
          <w:szCs w:val="17"/>
          <w:color w:val="auto"/>
        </w:rPr>
        <w:t>The Group retained the rights to BL-1020 for the rest of the world outside of the territories. In addition, pursuant to the agreement, the Group has the right to use all preclinical, clinical and other similar data generated by or on behalf of Cypress Bioscience, including its regulatory filings, subject to future reimbursement of 50% of expenses (as defined) incurred by Cypress Bioscience in generating such data and other information.</w:t>
      </w:r>
    </w:p>
    <w:p>
      <w:pPr>
        <w:spacing w:after="0" w:line="76" w:lineRule="exact"/>
        <w:rPr>
          <w:sz w:val="20"/>
          <w:szCs w:val="20"/>
          <w:color w:val="auto"/>
        </w:rPr>
      </w:pPr>
    </w:p>
    <w:p>
      <w:pPr>
        <w:ind w:left="320" w:right="1099"/>
        <w:spacing w:after="0" w:line="347" w:lineRule="auto"/>
        <w:rPr>
          <w:sz w:val="20"/>
          <w:szCs w:val="20"/>
          <w:color w:val="auto"/>
        </w:rPr>
      </w:pPr>
      <w:r>
        <w:rPr>
          <w:rFonts w:ascii="Arial" w:cs="Arial" w:eastAsia="Arial" w:hAnsi="Arial"/>
          <w:sz w:val="15"/>
          <w:szCs w:val="15"/>
          <w:color w:val="auto"/>
        </w:rPr>
        <w:t>The Group is required to pay 22.5% of all consideration received under the agreement to the licensors of BL-1020. As a result, USD 6,750,000 was charged to cost of revenues during the period in respect of the USD 30,000,000 upfront payment.</w:t>
      </w:r>
    </w:p>
    <w:p>
      <w:pPr>
        <w:spacing w:after="0" w:line="16" w:lineRule="exact"/>
        <w:rPr>
          <w:sz w:val="20"/>
          <w:szCs w:val="20"/>
          <w:color w:val="auto"/>
        </w:rPr>
      </w:pPr>
    </w:p>
    <w:p>
      <w:pPr>
        <w:ind w:left="320" w:right="1019"/>
        <w:spacing w:after="0" w:line="257" w:lineRule="auto"/>
        <w:rPr>
          <w:sz w:val="20"/>
          <w:szCs w:val="20"/>
          <w:color w:val="auto"/>
        </w:rPr>
      </w:pPr>
      <w:r>
        <w:rPr>
          <w:rFonts w:ascii="Arial" w:cs="Arial" w:eastAsia="Arial" w:hAnsi="Arial"/>
          <w:sz w:val="17"/>
          <w:szCs w:val="17"/>
          <w:color w:val="auto"/>
        </w:rPr>
        <w:t>In addition, the Group is obligated to repay grants received from the OCS regarding the BL-1020 project, in accordance with the Israeli R&amp;D Law and as agreed with the OCS. In this regard, during the year, the Group recorded a liability to the OCS for the full amount of the grants received in respect of the project, in the total amount of NIS 17,438,000. This amount has been reflected in research and development expenses in these financial statements. The Group paid NIS 11,445,000 of this liability to the OCS in August 2010, leaving a remaining balance of NIS 5,993,000, reflected in current liabilities as of December 31, 2010.</w:t>
      </w:r>
    </w:p>
    <w:p>
      <w:pPr>
        <w:spacing w:after="0" w:line="200" w:lineRule="exact"/>
        <w:rPr>
          <w:sz w:val="20"/>
          <w:szCs w:val="20"/>
          <w:color w:val="auto"/>
        </w:rPr>
      </w:pPr>
    </w:p>
    <w:p>
      <w:pPr>
        <w:spacing w:after="0" w:line="30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BioLineRx Ltd.</w:t>
      </w:r>
    </w:p>
    <w:p>
      <w:pPr>
        <w:spacing w:after="0" w:line="216"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THE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16 — CYPRESS AGREEMENT – (continued)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January 2011, Cypress Bioscience was acquired by the Royalty Pharma Group.</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NOTE 17 — EVENTS SUBSEQUENT TO THE BALANCE SHEET DATE</w:t>
      </w:r>
    </w:p>
    <w:p>
      <w:pPr>
        <w:spacing w:after="0" w:line="119" w:lineRule="exact"/>
        <w:rPr>
          <w:sz w:val="20"/>
          <w:szCs w:val="20"/>
          <w:color w:val="auto"/>
        </w:rPr>
      </w:pPr>
    </w:p>
    <w:p>
      <w:pPr>
        <w:ind w:left="540" w:hanging="267"/>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January 2011, the Group announced its intention to transfer its business development activities to Israel from the US.</w:t>
      </w:r>
    </w:p>
    <w:p>
      <w:pPr>
        <w:spacing w:after="0" w:line="124" w:lineRule="exact"/>
        <w:rPr>
          <w:rFonts w:ascii="Arial" w:cs="Arial" w:eastAsia="Arial" w:hAnsi="Arial"/>
          <w:sz w:val="16"/>
          <w:szCs w:val="16"/>
          <w:color w:val="auto"/>
        </w:rPr>
      </w:pPr>
    </w:p>
    <w:p>
      <w:pPr>
        <w:ind w:left="540" w:right="1359" w:hanging="267"/>
        <w:spacing w:after="0" w:line="27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February 2011, the Company granted 15,000 options to an employee, exercisable into Ordinary Shares at an exercise price of NIS 2.873 per share. The options vest over a four-year period.</w:t>
      </w:r>
    </w:p>
    <w:p>
      <w:pPr>
        <w:spacing w:after="0" w:line="61" w:lineRule="exact"/>
        <w:rPr>
          <w:rFonts w:ascii="Arial" w:cs="Arial" w:eastAsia="Arial" w:hAnsi="Arial"/>
          <w:sz w:val="17"/>
          <w:szCs w:val="17"/>
          <w:color w:val="auto"/>
        </w:rPr>
      </w:pPr>
    </w:p>
    <w:p>
      <w:pPr>
        <w:ind w:left="540" w:right="1079" w:hanging="267"/>
        <w:spacing w:after="0" w:line="273"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(Unaudited) In May 2011, the Company signed an agreement, effective June 1, 2011, to reacquire all development and commercialization rights to BL-1020 granted to Cypress Bioscience pursuant to the license agreement signed in June 2010 (see Note 16), as well as terminate the license agreement. In consideration for the reacquisition of such rights, including substantially all materials required for timely commencement of the BL-1020 clinical trial expected to commence in June 2011, the Company is obligated to pay Cypress Bioscience a 1% royalty on worldwide net sales of BL-1020 up to an aggregate cumulative amount of USD 80,000,000. In addition, the Company is obligated to pay Cypress Bioscience 10% of all future one-time payments received in respect of BL-1020, not to exceed an aggregate cumulative amount of USD 10,000,000, as reimbursement for costs that Cypress Bioscience incurred in developing the intellectual property portfolio, designing the clinical trial and conducting substantially all preparations to launch the trial.</w:t>
      </w:r>
    </w:p>
    <w:p>
      <w:pPr>
        <w:spacing w:after="0" w:line="200" w:lineRule="exact"/>
        <w:rPr>
          <w:sz w:val="20"/>
          <w:szCs w:val="20"/>
          <w:color w:val="auto"/>
        </w:rPr>
      </w:pPr>
    </w:p>
    <w:p>
      <w:pPr>
        <w:spacing w:after="0" w:line="29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1" w:right="1440"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19.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49333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33315"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40" w:type="dxa"/>
            <w:vAlign w:val="bottom"/>
            <w:gridSpan w:val="2"/>
          </w:tcPr>
          <w:p>
            <w:pPr>
              <w:ind w:left="2760"/>
              <w:spacing w:after="0"/>
              <w:rPr>
                <w:sz w:val="20"/>
                <w:szCs w:val="20"/>
                <w:color w:val="auto"/>
              </w:rPr>
            </w:pPr>
            <w:r>
              <w:rPr>
                <w:rFonts w:ascii="Arial" w:cs="Arial" w:eastAsia="Arial" w:hAnsi="Arial"/>
                <w:sz w:val="14"/>
                <w:szCs w:val="14"/>
                <w:b w:val="1"/>
                <w:bCs w:val="1"/>
                <w:color w:val="auto"/>
              </w:rPr>
              <w:t>Exhibit Description</w:t>
            </w:r>
          </w:p>
        </w:tc>
      </w:tr>
      <w:tr>
        <w:trPr>
          <w:trHeight w:val="164"/>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r>
      <w:tr>
        <w:trPr>
          <w:trHeight w:val="186"/>
        </w:trPr>
        <w:tc>
          <w:tcPr>
            <w:tcW w:w="720" w:type="dxa"/>
            <w:vAlign w:val="bottom"/>
          </w:tcPr>
          <w:p>
            <w:pPr>
              <w:jc w:val="center"/>
              <w:spacing w:after="0" w:line="186" w:lineRule="exact"/>
              <w:rPr>
                <w:sz w:val="20"/>
                <w:szCs w:val="20"/>
                <w:color w:val="auto"/>
              </w:rPr>
            </w:pPr>
            <w:r>
              <w:rPr>
                <w:rFonts w:ascii="Arial" w:cs="Arial" w:eastAsia="Arial" w:hAnsi="Arial"/>
                <w:sz w:val="17"/>
                <w:szCs w:val="17"/>
                <w:color w:val="auto"/>
                <w:w w:val="84"/>
              </w:rPr>
              <w:t>2.1</w:t>
            </w:r>
          </w:p>
        </w:tc>
        <w:tc>
          <w:tcPr>
            <w:tcW w:w="160" w:type="dxa"/>
            <w:vAlign w:val="bottom"/>
          </w:tcPr>
          <w:p>
            <w:pPr>
              <w:spacing w:after="0"/>
              <w:rPr>
                <w:sz w:val="16"/>
                <w:szCs w:val="16"/>
                <w:color w:val="auto"/>
              </w:rPr>
            </w:pPr>
          </w:p>
        </w:tc>
        <w:tc>
          <w:tcPr>
            <w:tcW w:w="6940" w:type="dxa"/>
            <w:vAlign w:val="bottom"/>
            <w:gridSpan w:val="2"/>
          </w:tcPr>
          <w:p>
            <w:pPr>
              <w:spacing w:after="0" w:line="186" w:lineRule="exact"/>
              <w:rPr>
                <w:sz w:val="20"/>
                <w:szCs w:val="20"/>
                <w:color w:val="auto"/>
              </w:rPr>
            </w:pPr>
            <w:r>
              <w:rPr>
                <w:rFonts w:ascii="Arial" w:cs="Arial" w:eastAsia="Arial" w:hAnsi="Arial"/>
                <w:sz w:val="17"/>
                <w:szCs w:val="17"/>
                <w:color w:val="auto"/>
              </w:rPr>
              <w:t>Articles of Association of the Registrant.</w:t>
            </w:r>
          </w:p>
        </w:tc>
        <w:tc>
          <w:tcPr>
            <w:tcW w:w="2340" w:type="dxa"/>
            <w:vAlign w:val="bottom"/>
          </w:tcPr>
          <w:p>
            <w:pPr>
              <w:spacing w:after="0"/>
              <w:rPr>
                <w:sz w:val="16"/>
                <w:szCs w:val="16"/>
                <w:color w:val="auto"/>
              </w:rPr>
            </w:pP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Registration Rights Agreement by and among Star Group, Yehuda Zisapel, Jerusalem Development</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Authority, the Company, Teva Pharmaceutical Industries Ltd., the Pitango Group, the Giza Group,</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and Hadasit Medical Research Services and Development Ltd. dated January 25, 2007.</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Employment Agreement with Morris C. Laster, M.D., dated May 1, 2003.</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Employment Agreement with Moshe Phillip, M.D., dated January 8, 2004.</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Employment Agreement with Kinneret Savitsky, Ph.D., dated October 13, 2004.</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Employment Agreement with Nir Gamliel, dated January 2, 2007.</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Employment Agreement with Philip Serlin, dated May 24, 2009.</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4.6†</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License Agreement entered into as of January 10, 2005, by and between BioLine Innovations</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Jerusalem L.P. and B.G. Negev Technologies and Applications Ltd.</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4.7</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Assignment Agreement dated as of January 1, 2009 entered into by and between BioLine</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Innovations Jerusalem L.P. and BioLineRx Ltd.</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4.8†</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Research and License Agreement entered into as of April 15, 2004 by and among BioLineRx Ltd.,</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Bar Ilan Research and Development Company Ltd., and Ramot and Tel Aviv University.</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4.9</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First Amendment, dated as of June 2004, of Research and License Agreement, dated April 15, 2004,</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by and among the Registrant, Ramot at Tel Aviv University Ltd. and Bar Ilan Research and</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Development Company Ltd.</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4.10</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Amendment Agreement dated as of December 20, 2005 entered into by and between the Registrant,</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Bar Ilan Research and Development Company Ltd. and Ramot at Tel Aviv University Ltd.</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4"/>
              </w:rPr>
              <w:t>4.11</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Amendment Agreement dated as of March 7, 2006, entered into by and between the Registrant, Bar</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Ilan Research and Development Company Ltd. and Ramot at Tel Aviv University Ltd.</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9"/>
              </w:rPr>
              <w:t>4.12†</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Assignment Agreement dated as of July 2, 2006 entered into by and between BioLineRx Ltd., Bar</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Ilan Research and Development Company Ltd., and Ramot and Tel Aviv University.</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4.13</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Incubator agreement with the Office of the Chief Scientist, January 2005.</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4.14</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Bridge Loan Agreement with Pan Atlantic Investments Limited dated January 10, 2007.</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4.15</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Early Development Program Agreement with Pan Atlantic Investments Limited, dated January 10,</w:t>
            </w:r>
          </w:p>
        </w:tc>
      </w:tr>
      <w:tr>
        <w:trPr>
          <w:trHeight w:val="206"/>
        </w:trPr>
        <w:tc>
          <w:tcPr>
            <w:tcW w:w="720" w:type="dxa"/>
            <w:vAlign w:val="bottom"/>
          </w:tcPr>
          <w:p>
            <w:pPr>
              <w:spacing w:after="0"/>
              <w:rPr>
                <w:sz w:val="17"/>
                <w:szCs w:val="17"/>
                <w:color w:val="auto"/>
              </w:rPr>
            </w:pPr>
          </w:p>
        </w:tc>
        <w:tc>
          <w:tcPr>
            <w:tcW w:w="7100" w:type="dxa"/>
            <w:vAlign w:val="bottom"/>
            <w:gridSpan w:val="3"/>
          </w:tcPr>
          <w:p>
            <w:pPr>
              <w:ind w:left="160"/>
              <w:spacing w:after="0"/>
              <w:rPr>
                <w:sz w:val="20"/>
                <w:szCs w:val="20"/>
                <w:color w:val="auto"/>
              </w:rPr>
            </w:pPr>
            <w:r>
              <w:rPr>
                <w:rFonts w:ascii="Arial" w:cs="Arial" w:eastAsia="Arial" w:hAnsi="Arial"/>
                <w:sz w:val="17"/>
                <w:szCs w:val="17"/>
                <w:color w:val="auto"/>
              </w:rPr>
              <w:t>2007.</w:t>
            </w:r>
          </w:p>
        </w:tc>
        <w:tc>
          <w:tcPr>
            <w:tcW w:w="2340" w:type="dxa"/>
            <w:vAlign w:val="bottom"/>
          </w:tcPr>
          <w:p>
            <w:pPr>
              <w:spacing w:after="0"/>
              <w:rPr>
                <w:sz w:val="17"/>
                <w:szCs w:val="17"/>
                <w:color w:val="auto"/>
              </w:rPr>
            </w:pP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9"/>
              </w:rPr>
              <w:t>4.16†</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License Agreement between Innovative Pharmaceutical Concepts, Inc. and BioLineRx Ltd. dated</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November 25, 2007.</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89"/>
              </w:rPr>
              <w:t>4.17†</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Amended and Restated License and Commercialization Agreement by and among Ikaria</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Development Subsidiary One LLC and BioLineRx Ltd. and BioLine Innovations Jerusalem L.P.</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dated August 26, 2009.</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4.18</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BioLineRx Ltd. 2003 Share Option Plan.</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4.19</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Lease Agreement between Kaps-Pharma Ltd. and BioLine Innovations Jerusalem L.P., dated July 10,</w:t>
            </w:r>
          </w:p>
        </w:tc>
      </w:tr>
      <w:tr>
        <w:trPr>
          <w:trHeight w:val="20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2005, and Extension to Lease Agreement, dated December 4, 2008.</w:t>
            </w:r>
          </w:p>
        </w:tc>
      </w:tr>
      <w:tr>
        <w:trPr>
          <w:trHeight w:val="206"/>
        </w:trPr>
        <w:tc>
          <w:tcPr>
            <w:tcW w:w="720" w:type="dxa"/>
            <w:vAlign w:val="bottom"/>
          </w:tcPr>
          <w:p>
            <w:pPr>
              <w:jc w:val="center"/>
              <w:spacing w:after="0"/>
              <w:rPr>
                <w:sz w:val="20"/>
                <w:szCs w:val="20"/>
                <w:color w:val="auto"/>
              </w:rPr>
            </w:pPr>
            <w:r>
              <w:rPr>
                <w:rFonts w:ascii="Arial" w:cs="Arial" w:eastAsia="Arial" w:hAnsi="Arial"/>
                <w:sz w:val="17"/>
                <w:szCs w:val="17"/>
                <w:color w:val="auto"/>
                <w:w w:val="90"/>
              </w:rPr>
              <w:t>4.20</w:t>
            </w:r>
          </w:p>
        </w:tc>
        <w:tc>
          <w:tcPr>
            <w:tcW w:w="160" w:type="dxa"/>
            <w:vAlign w:val="bottom"/>
          </w:tcPr>
          <w:p>
            <w:pPr>
              <w:spacing w:after="0"/>
              <w:rPr>
                <w:sz w:val="17"/>
                <w:szCs w:val="17"/>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Amendment to Employment Agreement with Kinneret Savitsky, Ph.D., dated January 2, 2004.</w:t>
            </w:r>
          </w:p>
        </w:tc>
      </w:tr>
      <w:tr>
        <w:trPr>
          <w:trHeight w:val="217"/>
        </w:trPr>
        <w:tc>
          <w:tcPr>
            <w:tcW w:w="720" w:type="dxa"/>
            <w:vAlign w:val="bottom"/>
          </w:tcPr>
          <w:p>
            <w:pPr>
              <w:jc w:val="center"/>
              <w:spacing w:after="0"/>
              <w:rPr>
                <w:sz w:val="20"/>
                <w:szCs w:val="20"/>
                <w:color w:val="auto"/>
              </w:rPr>
            </w:pPr>
            <w:r>
              <w:rPr>
                <w:rFonts w:ascii="Arial" w:cs="Arial" w:eastAsia="Arial" w:hAnsi="Arial"/>
                <w:sz w:val="17"/>
                <w:szCs w:val="17"/>
                <w:color w:val="auto"/>
                <w:w w:val="90"/>
              </w:rPr>
              <w:t>4.21</w:t>
            </w:r>
          </w:p>
        </w:tc>
        <w:tc>
          <w:tcPr>
            <w:tcW w:w="1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7"/>
                <w:szCs w:val="17"/>
                <w:color w:val="auto"/>
              </w:rPr>
              <w:t>Employment Agreement with Leah Klapper, Ph.D., dated January 27, 2005.</w:t>
            </w:r>
          </w:p>
        </w:tc>
      </w:tr>
      <w:tr>
        <w:trPr>
          <w:trHeight w:val="746"/>
        </w:trPr>
        <w:tc>
          <w:tcPr>
            <w:tcW w:w="720" w:type="dxa"/>
            <w:vAlign w:val="bottom"/>
          </w:tcPr>
          <w:p>
            <w:pPr>
              <w:spacing w:after="0"/>
              <w:rPr>
                <w:sz w:val="24"/>
                <w:szCs w:val="24"/>
                <w:color w:val="auto"/>
              </w:rPr>
            </w:pPr>
          </w:p>
        </w:tc>
        <w:tc>
          <w:tcPr>
            <w:tcW w:w="7100" w:type="dxa"/>
            <w:vAlign w:val="bottom"/>
            <w:gridSpan w:val="3"/>
          </w:tcPr>
          <w:p>
            <w:pPr>
              <w:jc w:val="right"/>
              <w:ind w:right="3191"/>
              <w:spacing w:after="0"/>
              <w:rPr>
                <w:sz w:val="20"/>
                <w:szCs w:val="20"/>
                <w:color w:val="auto"/>
              </w:rPr>
            </w:pPr>
            <w:r>
              <w:rPr>
                <w:rFonts w:ascii="Arial" w:cs="Arial" w:eastAsia="Arial" w:hAnsi="Arial"/>
                <w:sz w:val="17"/>
                <w:szCs w:val="17"/>
                <w:color w:val="auto"/>
              </w:rPr>
              <w:t>132</w:t>
            </w:r>
          </w:p>
        </w:tc>
        <w:tc>
          <w:tcPr>
            <w:tcW w:w="234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6430645</wp:posOffset>
            </wp:positionH>
            <wp:positionV relativeFrom="paragraph">
              <wp:posOffset>-44450</wp:posOffset>
            </wp:positionV>
            <wp:extent cx="33655" cy="577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577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-44450</wp:posOffset>
            </wp:positionV>
            <wp:extent cx="33655" cy="577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57785"/>
                    </a:xfrm>
                    <a:prstGeom prst="rect">
                      <a:avLst/>
                    </a:prstGeom>
                    <a:noFill/>
                  </pic:spPr>
                </pic:pic>
              </a:graphicData>
            </a:graphic>
          </wp:anchor>
        </w:drawing>
      </w:r>
    </w:p>
    <w:p>
      <w:pPr>
        <w:sectPr>
          <w:pgSz w:w="11900" w:h="16838" w:orient="portrait"/>
          <w:cols w:equalWidth="0" w:num="1">
            <w:col w:w="10160"/>
          </w:cols>
          <w:pgMar w:left="360" w:top="760" w:right="137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49333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933315" cy="8255"/>
                    </a:xfrm>
                    <a:prstGeom prst="rect">
                      <a:avLst/>
                    </a:prstGeom>
                    <a:noFill/>
                  </pic:spPr>
                </pic:pic>
              </a:graphicData>
            </a:graphic>
          </wp:anchor>
        </w:drawing>
      </w:r>
    </w:p>
    <w:p>
      <w:pPr>
        <w:ind w:left="140"/>
        <w:spacing w:after="0"/>
        <w:tabs>
          <w:tab w:leader="none" w:pos="37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Exhibit Description</w:t>
      </w: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9663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66335" cy="8255"/>
                    </a:xfrm>
                    <a:prstGeom prst="rect">
                      <a:avLst/>
                    </a:prstGeom>
                    <a:noFill/>
                  </pic:spPr>
                </pic:pic>
              </a:graphicData>
            </a:graphic>
          </wp:anchor>
        </w:drawing>
      </w:r>
    </w:p>
    <w:p>
      <w:pPr>
        <w:ind w:left="880" w:right="2279" w:hanging="663"/>
        <w:spacing w:after="0" w:line="250" w:lineRule="auto"/>
        <w:tabs>
          <w:tab w:leader="none" w:pos="8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Rights Reacquisition Agreement entered into on May 10, 2011 between Cypress Bioscience, Inc. and BioLineRx Ltd.</w:t>
      </w:r>
    </w:p>
    <w:p>
      <w:pPr>
        <w:spacing w:after="0" w:line="2" w:lineRule="exact"/>
        <w:rPr>
          <w:sz w:val="20"/>
          <w:szCs w:val="20"/>
          <w:color w:val="auto"/>
        </w:rPr>
      </w:pPr>
    </w:p>
    <w:p>
      <w:pPr>
        <w:ind w:left="200"/>
        <w:spacing w:after="0"/>
        <w:tabs>
          <w:tab w:leader="none" w:pos="860" w:val="left"/>
        </w:tabs>
        <w:rPr>
          <w:sz w:val="20"/>
          <w:szCs w:val="20"/>
          <w:color w:val="auto"/>
        </w:rPr>
      </w:pPr>
      <w:r>
        <w:rPr>
          <w:rFonts w:ascii="Arial" w:cs="Arial" w:eastAsia="Arial" w:hAnsi="Arial"/>
          <w:sz w:val="17"/>
          <w:szCs w:val="17"/>
          <w:color w:val="auto"/>
        </w:rPr>
        <w:t>4.23†</w:t>
      </w:r>
      <w:r>
        <w:rPr>
          <w:sz w:val="20"/>
          <w:szCs w:val="20"/>
          <w:color w:val="auto"/>
        </w:rPr>
        <w:tab/>
      </w:r>
      <w:r>
        <w:rPr>
          <w:rFonts w:ascii="Arial" w:cs="Arial" w:eastAsia="Arial" w:hAnsi="Arial"/>
          <w:sz w:val="15"/>
          <w:szCs w:val="15"/>
          <w:color w:val="auto"/>
        </w:rPr>
        <w:t>Letter Agreement with Nir Gamliel dated March 30, 2011.</w:t>
      </w:r>
    </w:p>
    <w:p>
      <w:pPr>
        <w:spacing w:after="0" w:line="10" w:lineRule="exact"/>
        <w:rPr>
          <w:sz w:val="20"/>
          <w:szCs w:val="20"/>
          <w:color w:val="auto"/>
        </w:rPr>
      </w:pPr>
    </w:p>
    <w:p>
      <w:pPr>
        <w:ind w:left="880" w:right="2979" w:hanging="685"/>
        <w:spacing w:after="0" w:line="252" w:lineRule="auto"/>
        <w:tabs>
          <w:tab w:leader="none" w:pos="860" w:val="left"/>
        </w:tabs>
        <w:rPr>
          <w:sz w:val="20"/>
          <w:szCs w:val="20"/>
          <w:color w:val="auto"/>
        </w:rPr>
      </w:pPr>
      <w:r>
        <w:rPr>
          <w:rFonts w:ascii="Arial" w:cs="Arial" w:eastAsia="Arial" w:hAnsi="Arial"/>
          <w:sz w:val="17"/>
          <w:szCs w:val="17"/>
          <w:color w:val="auto"/>
        </w:rPr>
        <w:t>4.24†</w:t>
      </w:r>
      <w:r>
        <w:rPr>
          <w:sz w:val="20"/>
          <w:szCs w:val="20"/>
          <w:color w:val="auto"/>
        </w:rPr>
        <w:tab/>
      </w:r>
      <w:r>
        <w:rPr>
          <w:rFonts w:ascii="Arial" w:cs="Arial" w:eastAsia="Arial" w:hAnsi="Arial"/>
          <w:sz w:val="17"/>
          <w:szCs w:val="17"/>
          <w:color w:val="auto"/>
        </w:rPr>
        <w:t>Amended and Restated License Agreement entered into on June 20, 2010 between Cypress Bioscience, Inc. and BioLineRx Ltd.</w:t>
      </w:r>
    </w:p>
    <w:p>
      <w:pPr>
        <w:spacing w:after="0" w:line="1" w:lineRule="exact"/>
        <w:rPr>
          <w:sz w:val="20"/>
          <w:szCs w:val="20"/>
          <w:color w:val="auto"/>
        </w:rPr>
      </w:pPr>
    </w:p>
    <w:p>
      <w:pPr>
        <w:ind w:left="880" w:right="2459" w:hanging="685"/>
        <w:spacing w:after="0" w:line="252" w:lineRule="auto"/>
        <w:tabs>
          <w:tab w:leader="none" w:pos="860" w:val="left"/>
        </w:tabs>
        <w:rPr>
          <w:sz w:val="20"/>
          <w:szCs w:val="20"/>
          <w:color w:val="auto"/>
        </w:rPr>
      </w:pPr>
      <w:r>
        <w:rPr>
          <w:rFonts w:ascii="Arial" w:cs="Arial" w:eastAsia="Arial" w:hAnsi="Arial"/>
          <w:sz w:val="17"/>
          <w:szCs w:val="17"/>
          <w:color w:val="auto"/>
        </w:rPr>
        <w:t>4.25†</w:t>
      </w:r>
      <w:r>
        <w:rPr>
          <w:sz w:val="20"/>
          <w:szCs w:val="20"/>
          <w:color w:val="auto"/>
        </w:rPr>
        <w:tab/>
      </w:r>
      <w:r>
        <w:rPr>
          <w:rFonts w:ascii="Arial" w:cs="Arial" w:eastAsia="Arial" w:hAnsi="Arial"/>
          <w:sz w:val="17"/>
          <w:szCs w:val="17"/>
          <w:color w:val="auto"/>
        </w:rPr>
        <w:t>Payment Date Extension Amendment by and among Ikaria Development Subsidiary One LLC and BioLineRx Ltd. and BioLine Innovations Jerusalem L.P., dated April 21, 2010.</w:t>
      </w:r>
    </w:p>
    <w:p>
      <w:pPr>
        <w:spacing w:after="0" w:line="1" w:lineRule="exact"/>
        <w:rPr>
          <w:sz w:val="20"/>
          <w:szCs w:val="20"/>
          <w:color w:val="auto"/>
        </w:rPr>
      </w:pPr>
    </w:p>
    <w:p>
      <w:pPr>
        <w:ind w:left="880" w:right="2319" w:hanging="663"/>
        <w:spacing w:after="0" w:line="252" w:lineRule="auto"/>
        <w:tabs>
          <w:tab w:leader="none" w:pos="860" w:val="left"/>
        </w:tabs>
        <w:rPr>
          <w:sz w:val="20"/>
          <w:szCs w:val="20"/>
          <w:color w:val="auto"/>
        </w:rPr>
      </w:pPr>
      <w:r>
        <w:rPr>
          <w:rFonts w:ascii="Arial" w:cs="Arial" w:eastAsia="Arial" w:hAnsi="Arial"/>
          <w:sz w:val="17"/>
          <w:szCs w:val="17"/>
          <w:color w:val="auto"/>
        </w:rPr>
        <w:t>4.26</w:t>
      </w:r>
      <w:r>
        <w:rPr>
          <w:sz w:val="20"/>
          <w:szCs w:val="20"/>
          <w:color w:val="auto"/>
        </w:rPr>
        <w:tab/>
      </w:r>
      <w:r>
        <w:rPr>
          <w:rFonts w:ascii="Arial" w:cs="Arial" w:eastAsia="Arial" w:hAnsi="Arial"/>
          <w:sz w:val="17"/>
          <w:szCs w:val="17"/>
          <w:color w:val="auto"/>
        </w:rPr>
        <w:t>Amendment to the Amended and Restated license and Commercialization Agreement by and among Ikaria Development Subsidiary One LLC and BioLineRx Ltd. and BioLine Innovations Jerusalem L.P., dated April 21, 2010.</w:t>
      </w:r>
    </w:p>
    <w:p>
      <w:pPr>
        <w:spacing w:after="0" w:line="2" w:lineRule="exact"/>
        <w:rPr>
          <w:sz w:val="20"/>
          <w:szCs w:val="20"/>
          <w:color w:val="auto"/>
        </w:rPr>
      </w:pPr>
    </w:p>
    <w:p>
      <w:pPr>
        <w:ind w:left="880" w:right="2359" w:hanging="663"/>
        <w:spacing w:after="0" w:line="252" w:lineRule="auto"/>
        <w:tabs>
          <w:tab w:leader="none" w:pos="860" w:val="left"/>
        </w:tabs>
        <w:rPr>
          <w:sz w:val="20"/>
          <w:szCs w:val="20"/>
          <w:color w:val="auto"/>
        </w:rPr>
      </w:pPr>
      <w:r>
        <w:rPr>
          <w:rFonts w:ascii="Arial" w:cs="Arial" w:eastAsia="Arial" w:hAnsi="Arial"/>
          <w:sz w:val="17"/>
          <w:szCs w:val="17"/>
          <w:color w:val="auto"/>
        </w:rPr>
        <w:t>4.27</w:t>
      </w:r>
      <w:r>
        <w:rPr>
          <w:sz w:val="20"/>
          <w:szCs w:val="20"/>
          <w:color w:val="auto"/>
        </w:rPr>
        <w:tab/>
      </w:r>
      <w:r>
        <w:rPr>
          <w:rFonts w:ascii="Arial" w:cs="Arial" w:eastAsia="Arial" w:hAnsi="Arial"/>
          <w:sz w:val="17"/>
          <w:szCs w:val="17"/>
          <w:color w:val="auto"/>
        </w:rPr>
        <w:t>Extension agreement dated January 2, 2011 to the Incubator Agreement with the Office of the Chief Scientist.</w:t>
      </w:r>
    </w:p>
    <w:p>
      <w:pPr>
        <w:spacing w:after="0" w:line="1"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17"/>
          <w:szCs w:val="17"/>
          <w:color w:val="auto"/>
        </w:rPr>
        <w:t>4.28</w:t>
      </w:r>
      <w:r>
        <w:rPr>
          <w:sz w:val="20"/>
          <w:szCs w:val="20"/>
          <w:color w:val="auto"/>
        </w:rPr>
        <w:tab/>
      </w:r>
      <w:r>
        <w:rPr>
          <w:rFonts w:ascii="Arial" w:cs="Arial" w:eastAsia="Arial" w:hAnsi="Arial"/>
          <w:sz w:val="15"/>
          <w:szCs w:val="15"/>
          <w:color w:val="auto"/>
        </w:rPr>
        <w:t>Sponsored Research Agreement entered into as of June 23, 2011 by and between Yissum Research</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Development Company of the Hebrew University of Jerusalem Ltd. and BioLineRx Ltd.</w:t>
      </w:r>
    </w:p>
    <w:p>
      <w:pPr>
        <w:spacing w:after="0" w:line="10" w:lineRule="exact"/>
        <w:rPr>
          <w:sz w:val="20"/>
          <w:szCs w:val="20"/>
          <w:color w:val="auto"/>
        </w:rPr>
      </w:pPr>
    </w:p>
    <w:p>
      <w:pPr>
        <w:ind w:left="880" w:right="2339" w:hanging="663"/>
        <w:spacing w:after="0" w:line="252" w:lineRule="auto"/>
        <w:tabs>
          <w:tab w:leader="none" w:pos="860" w:val="left"/>
        </w:tabs>
        <w:rPr>
          <w:sz w:val="20"/>
          <w:szCs w:val="20"/>
          <w:color w:val="auto"/>
        </w:rPr>
      </w:pPr>
      <w:r>
        <w:rPr>
          <w:rFonts w:ascii="Arial" w:cs="Arial" w:eastAsia="Arial" w:hAnsi="Arial"/>
          <w:sz w:val="17"/>
          <w:szCs w:val="17"/>
          <w:color w:val="auto"/>
        </w:rPr>
        <w:t>4.29</w:t>
      </w:r>
      <w:r>
        <w:rPr>
          <w:sz w:val="20"/>
          <w:szCs w:val="20"/>
          <w:color w:val="auto"/>
        </w:rPr>
        <w:tab/>
      </w:r>
      <w:r>
        <w:rPr>
          <w:rFonts w:ascii="Arial" w:cs="Arial" w:eastAsia="Arial" w:hAnsi="Arial"/>
          <w:sz w:val="17"/>
          <w:szCs w:val="17"/>
          <w:color w:val="auto"/>
        </w:rPr>
        <w:t>License Agreement entered into as of June 23, 2011 by and between Yissum Research Development Company of the Hebrew University of Jerusalem Ltd. and BioLineRx Ltd.</w:t>
      </w:r>
    </w:p>
    <w:p>
      <w:pPr>
        <w:spacing w:after="0" w:line="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List of subsidiaries of the Registrant.</w:t>
      </w:r>
    </w:p>
    <w:p>
      <w:pPr>
        <w:spacing w:after="0" w:line="10" w:lineRule="exact"/>
        <w:rPr>
          <w:sz w:val="20"/>
          <w:szCs w:val="20"/>
          <w:color w:val="auto"/>
        </w:rPr>
      </w:pPr>
    </w:p>
    <w:p>
      <w:pPr>
        <w:ind w:left="880" w:right="2519" w:hanging="663"/>
        <w:spacing w:after="0" w:line="259" w:lineRule="auto"/>
        <w:tabs>
          <w:tab w:leader="none" w:pos="86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Consent of Kesselman &amp; Kesselman, Certified Public Accountant (Isr.), a member of PricewaterhouseCoopers International Limited, independent registered public accounting firm for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5880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right="1399" w:hanging="264"/>
        <w:spacing w:after="0" w:line="278" w:lineRule="auto"/>
        <w:tabs>
          <w:tab w:leader="none" w:pos="2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Portions of this exhibit have been omitted and filed separately with the Securities and Exchange Commission pursuant to a confidential treatment request.</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80" w:lineRule="exact"/>
        <w:rPr>
          <w:sz w:val="20"/>
          <w:szCs w:val="20"/>
          <w:color w:val="auto"/>
        </w:rPr>
      </w:pPr>
    </w:p>
    <w:p>
      <w:pPr>
        <w:jc w:val="center"/>
        <w:ind w:right="979"/>
        <w:spacing w:after="0"/>
        <w:rPr>
          <w:sz w:val="20"/>
          <w:szCs w:val="20"/>
          <w:color w:val="auto"/>
        </w:rPr>
      </w:pPr>
      <w:r>
        <w:rPr>
          <w:rFonts w:ascii="Arial" w:cs="Arial" w:eastAsia="Arial" w:hAnsi="Arial"/>
          <w:sz w:val="17"/>
          <w:szCs w:val="17"/>
          <w:b w:val="1"/>
          <w:bCs w:val="1"/>
          <w:color w:val="auto"/>
        </w:rPr>
        <w:t>SIGNATURES</w:t>
      </w:r>
    </w:p>
    <w:p>
      <w:pPr>
        <w:spacing w:after="0" w:line="119" w:lineRule="exact"/>
        <w:rPr>
          <w:sz w:val="20"/>
          <w:szCs w:val="20"/>
          <w:color w:val="auto"/>
        </w:rPr>
      </w:pPr>
    </w:p>
    <w:p>
      <w:pPr>
        <w:ind w:left="60" w:right="1399" w:firstLine="257"/>
        <w:spacing w:after="0" w:line="259"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registration statement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49987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98720" cy="825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7"/>
          <w:szCs w:val="17"/>
          <w:color w:val="auto"/>
        </w:rPr>
        <w:t>BIOLINERX, LTD.</w:t>
      </w:r>
    </w:p>
    <w:p>
      <w:pPr>
        <w:spacing w:after="0" w:line="10"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 /s/ Kinneret Savitsky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7620</wp:posOffset>
            </wp:positionV>
            <wp:extent cx="23933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9331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7"/>
          <w:szCs w:val="17"/>
          <w:color w:val="auto"/>
        </w:rPr>
        <w:t>Kinneret Savitsky, Ph.D.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Chief Executive Officer</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Date: July 1, 2011</w:t>
      </w:r>
    </w:p>
    <w:p>
      <w:pPr>
        <w:spacing w:after="0" w:line="200" w:lineRule="exact"/>
        <w:rPr>
          <w:sz w:val="20"/>
          <w:szCs w:val="20"/>
          <w:color w:val="auto"/>
        </w:rPr>
      </w:pPr>
    </w:p>
    <w:p>
      <w:pPr>
        <w:spacing w:after="0" w:line="338"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824855" cy="577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24855" cy="57785"/>
                    </a:xfrm>
                    <a:prstGeom prst="rect">
                      <a:avLst/>
                    </a:prstGeom>
                    <a:noFill/>
                  </pic:spPr>
                </pic:pic>
              </a:graphicData>
            </a:graphic>
          </wp:anchor>
        </w:drawing>
      </w:r>
    </w:p>
    <w:p>
      <w:pPr>
        <w:sectPr>
          <w:pgSz w:w="11900" w:h="16838" w:orient="portrait"/>
          <w:cols w:equalWidth="0" w:num="1">
            <w:col w:w="10099"/>
          </w:cols>
          <w:pgMar w:left="360" w:top="760"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160020</wp:posOffset>
            </wp:positionH>
            <wp:positionV relativeFrom="page">
              <wp:posOffset>241935</wp:posOffset>
            </wp:positionV>
            <wp:extent cx="7241540" cy="20631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1540" cy="2063115"/>
                    </a:xfrm>
                    <a:prstGeom prst="rect">
                      <a:avLst/>
                    </a:prstGeom>
                    <a:noFill/>
                  </pic:spPr>
                </pic:pic>
              </a:graphicData>
            </a:graphic>
          </wp:anchor>
        </w:drawing>
        <w:t>EXHIBIT 2.1</w:t>
      </w: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TRANSLATION FROM HEBREW</w:t>
      </w: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color w:val="auto"/>
        </w:rPr>
        <w:t>BioLineRX Ltd.</w:t>
      </w: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Articles of Association of a Public Company</w:t>
      </w: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color w:val="auto"/>
        </w:rPr>
        <w:t>In accordance with</w:t>
      </w: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color w:val="auto"/>
        </w:rPr>
        <w:t>The Companies Law, 5759-1999</w:t>
      </w:r>
    </w:p>
    <w:p>
      <w:pPr>
        <w:spacing w:after="0" w:line="222"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BioLineRX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572135</wp:posOffset>
            </wp:positionV>
            <wp:extent cx="725741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460"/>
          </w:cols>
          <w:pgMar w:left="1440" w:top="397" w:right="999" w:bottom="1440" w:gutter="0" w:footer="0" w:header="0"/>
        </w:sectPr>
      </w:pPr>
    </w:p>
    <w:bookmarkStart w:id="188" w:name="page189"/>
    <w:bookmarkEnd w:id="188"/>
    <w:p>
      <w:pPr>
        <w:ind w:left="457" w:hanging="457"/>
        <w:spacing w:after="0"/>
        <w:tabs>
          <w:tab w:leader="none" w:pos="457"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Name of Company</w:t>
      </w:r>
    </w:p>
    <w:p>
      <w:pPr>
        <w:spacing w:after="0" w:line="27" w:lineRule="exact"/>
        <w:rPr>
          <w:rFonts w:ascii="Arial" w:cs="Arial" w:eastAsia="Arial" w:hAnsi="Arial"/>
          <w:sz w:val="17"/>
          <w:szCs w:val="17"/>
          <w:color w:val="auto"/>
        </w:rPr>
      </w:pPr>
    </w:p>
    <w:p>
      <w:pPr>
        <w:ind w:left="477"/>
        <w:spacing w:after="0"/>
        <w:rPr>
          <w:rFonts w:ascii="Arial" w:cs="Arial" w:eastAsia="Arial" w:hAnsi="Arial"/>
          <w:sz w:val="17"/>
          <w:szCs w:val="17"/>
          <w:color w:val="auto"/>
        </w:rPr>
      </w:pPr>
      <w:r>
        <w:rPr>
          <w:rFonts w:ascii="Arial" w:cs="Arial" w:eastAsia="Arial" w:hAnsi="Arial"/>
          <w:sz w:val="17"/>
          <w:szCs w:val="17"/>
          <w:color w:val="auto"/>
        </w:rPr>
        <w:t>The name of the Company is BioLineRX Ltd.</w:t>
      </w:r>
    </w:p>
    <w:p>
      <w:pPr>
        <w:spacing w:after="0" w:line="224" w:lineRule="exact"/>
        <w:rPr>
          <w:rFonts w:ascii="Arial" w:cs="Arial" w:eastAsia="Arial" w:hAnsi="Arial"/>
          <w:sz w:val="17"/>
          <w:szCs w:val="17"/>
          <w:color w:val="auto"/>
        </w:rPr>
      </w:pPr>
    </w:p>
    <w:p>
      <w:pPr>
        <w:ind w:left="457" w:hanging="457"/>
        <w:spacing w:after="0"/>
        <w:tabs>
          <w:tab w:leader="none" w:pos="457"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Goals of the Company</w:t>
      </w:r>
    </w:p>
    <w:p>
      <w:pPr>
        <w:spacing w:after="0" w:line="27" w:lineRule="exact"/>
        <w:rPr>
          <w:rFonts w:ascii="Arial" w:cs="Arial" w:eastAsia="Arial" w:hAnsi="Arial"/>
          <w:sz w:val="17"/>
          <w:szCs w:val="17"/>
          <w:color w:val="auto"/>
        </w:rPr>
      </w:pPr>
    </w:p>
    <w:p>
      <w:pPr>
        <w:ind w:left="477"/>
        <w:spacing w:after="0"/>
        <w:rPr>
          <w:rFonts w:ascii="Arial" w:cs="Arial" w:eastAsia="Arial" w:hAnsi="Arial"/>
          <w:sz w:val="17"/>
          <w:szCs w:val="17"/>
          <w:color w:val="auto"/>
        </w:rPr>
      </w:pPr>
      <w:r>
        <w:rPr>
          <w:rFonts w:ascii="Arial" w:cs="Arial" w:eastAsia="Arial" w:hAnsi="Arial"/>
          <w:sz w:val="17"/>
          <w:szCs w:val="17"/>
          <w:color w:val="auto"/>
        </w:rPr>
        <w:t>The goal of the Company is to engage in any lawful business.</w:t>
      </w:r>
    </w:p>
    <w:p>
      <w:pPr>
        <w:spacing w:after="0" w:line="224" w:lineRule="exact"/>
        <w:rPr>
          <w:rFonts w:ascii="Arial" w:cs="Arial" w:eastAsia="Arial" w:hAnsi="Arial"/>
          <w:sz w:val="17"/>
          <w:szCs w:val="17"/>
          <w:color w:val="auto"/>
        </w:rPr>
      </w:pPr>
    </w:p>
    <w:p>
      <w:pPr>
        <w:ind w:left="457" w:hanging="457"/>
        <w:spacing w:after="0"/>
        <w:tabs>
          <w:tab w:leader="none" w:pos="457"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Interpretation</w:t>
      </w:r>
    </w:p>
    <w:p>
      <w:pPr>
        <w:spacing w:after="0" w:line="27" w:lineRule="exact"/>
        <w:rPr>
          <w:rFonts w:ascii="Arial" w:cs="Arial" w:eastAsia="Arial" w:hAnsi="Arial"/>
          <w:sz w:val="17"/>
          <w:szCs w:val="17"/>
          <w:color w:val="auto"/>
        </w:rPr>
      </w:pPr>
    </w:p>
    <w:p>
      <w:pPr>
        <w:ind w:left="477"/>
        <w:spacing w:after="0"/>
        <w:rPr>
          <w:rFonts w:ascii="Arial" w:cs="Arial" w:eastAsia="Arial" w:hAnsi="Arial"/>
          <w:sz w:val="17"/>
          <w:szCs w:val="17"/>
          <w:color w:val="auto"/>
        </w:rPr>
      </w:pPr>
      <w:r>
        <w:rPr>
          <w:rFonts w:ascii="Arial" w:cs="Arial" w:eastAsia="Arial" w:hAnsi="Arial"/>
          <w:sz w:val="15"/>
          <w:szCs w:val="15"/>
          <w:color w:val="auto"/>
        </w:rPr>
        <w:t>3.1   Any statement in the singular shall also include the plural and vice versa; any statement in the masculine shall also include the feminine and vice versa.</w:t>
      </w:r>
    </w:p>
    <w:p>
      <w:pPr>
        <w:spacing w:after="0" w:line="253" w:lineRule="exact"/>
        <w:rPr>
          <w:rFonts w:ascii="Arial" w:cs="Arial" w:eastAsia="Arial" w:hAnsi="Arial"/>
          <w:sz w:val="17"/>
          <w:szCs w:val="17"/>
          <w:color w:val="auto"/>
        </w:rPr>
      </w:pPr>
    </w:p>
    <w:p>
      <w:pPr>
        <w:ind w:left="937" w:hanging="463"/>
        <w:spacing w:after="0" w:line="347" w:lineRule="auto"/>
        <w:rPr>
          <w:rFonts w:ascii="Arial" w:cs="Arial" w:eastAsia="Arial" w:hAnsi="Arial"/>
          <w:sz w:val="17"/>
          <w:szCs w:val="17"/>
          <w:color w:val="auto"/>
        </w:rPr>
      </w:pPr>
      <w:r>
        <w:rPr>
          <w:rFonts w:ascii="Arial" w:cs="Arial" w:eastAsia="Arial" w:hAnsi="Arial"/>
          <w:sz w:val="15"/>
          <w:szCs w:val="15"/>
          <w:color w:val="auto"/>
        </w:rPr>
        <w:t>3.2 Except insofar as these Articles include special definitions of certain terms, any word and expression in these Articles shall have the meaning attributed thereto in the Companies Law, 5759-1999 (in these Articles – “</w:t>
      </w:r>
      <w:r>
        <w:rPr>
          <w:rFonts w:ascii="Arial" w:cs="Arial" w:eastAsia="Arial" w:hAnsi="Arial"/>
          <w:sz w:val="15"/>
          <w:szCs w:val="15"/>
          <w:b w:val="1"/>
          <w:bCs w:val="1"/>
          <w:color w:val="auto"/>
        </w:rPr>
        <w:t>the Companies Law</w:t>
      </w:r>
      <w:r>
        <w:rPr>
          <w:rFonts w:ascii="Arial" w:cs="Arial" w:eastAsia="Arial" w:hAnsi="Arial"/>
          <w:sz w:val="15"/>
          <w:szCs w:val="15"/>
          <w:color w:val="auto"/>
        </w:rPr>
        <w:t>,”) unless this contradicts the written matter or the content thereof.</w:t>
      </w:r>
    </w:p>
    <w:p>
      <w:pPr>
        <w:spacing w:after="0" w:line="144" w:lineRule="exact"/>
        <w:rPr>
          <w:rFonts w:ascii="Arial" w:cs="Arial" w:eastAsia="Arial" w:hAnsi="Arial"/>
          <w:sz w:val="17"/>
          <w:szCs w:val="17"/>
          <w:color w:val="auto"/>
        </w:rPr>
      </w:pPr>
    </w:p>
    <w:p>
      <w:pPr>
        <w:ind w:left="937" w:hanging="463"/>
        <w:spacing w:after="0" w:line="265" w:lineRule="auto"/>
        <w:rPr>
          <w:rFonts w:ascii="Arial" w:cs="Arial" w:eastAsia="Arial" w:hAnsi="Arial"/>
          <w:sz w:val="17"/>
          <w:szCs w:val="17"/>
          <w:color w:val="auto"/>
        </w:rPr>
      </w:pPr>
      <w:r>
        <w:rPr>
          <w:rFonts w:ascii="Arial" w:cs="Arial" w:eastAsia="Arial" w:hAnsi="Arial"/>
          <w:sz w:val="17"/>
          <w:szCs w:val="17"/>
          <w:color w:val="auto"/>
        </w:rPr>
        <w:t>3.3 To prevent doubt it is clarified that regarding matters regulated in the Companies Law in such manner that the arrangements in these matters may be conditioned in the Articles, and in cases in which these Articles do not include different provisions from those in the Companies Law, the provisions of the Companies Law shall apply.</w:t>
      </w:r>
    </w:p>
    <w:p>
      <w:pPr>
        <w:spacing w:after="0" w:line="201" w:lineRule="exact"/>
        <w:rPr>
          <w:rFonts w:ascii="Arial" w:cs="Arial" w:eastAsia="Arial" w:hAnsi="Arial"/>
          <w:sz w:val="17"/>
          <w:szCs w:val="17"/>
          <w:color w:val="auto"/>
        </w:rPr>
      </w:pPr>
    </w:p>
    <w:p>
      <w:pPr>
        <w:ind w:left="937" w:hanging="463"/>
        <w:spacing w:after="0" w:line="278" w:lineRule="auto"/>
        <w:rPr>
          <w:rFonts w:ascii="Arial" w:cs="Arial" w:eastAsia="Arial" w:hAnsi="Arial"/>
          <w:sz w:val="17"/>
          <w:szCs w:val="17"/>
          <w:color w:val="auto"/>
        </w:rPr>
      </w:pPr>
      <w:r>
        <w:rPr>
          <w:rFonts w:ascii="Arial" w:cs="Arial" w:eastAsia="Arial" w:hAnsi="Arial"/>
          <w:sz w:val="17"/>
          <w:szCs w:val="17"/>
          <w:color w:val="auto"/>
        </w:rPr>
        <w:t>3.4 It is hereby clarified that the provisions of the Articles of Association of the Company as detailed below are subject to the provisions of the Companies Law, the Securities Law, and any law.</w:t>
      </w:r>
    </w:p>
    <w:p>
      <w:pPr>
        <w:spacing w:after="0" w:line="184" w:lineRule="exact"/>
        <w:rPr>
          <w:rFonts w:ascii="Arial" w:cs="Arial" w:eastAsia="Arial" w:hAnsi="Arial"/>
          <w:sz w:val="17"/>
          <w:szCs w:val="17"/>
          <w:color w:val="auto"/>
        </w:rPr>
      </w:pPr>
    </w:p>
    <w:p>
      <w:pPr>
        <w:ind w:left="457" w:hanging="457"/>
        <w:spacing w:after="0"/>
        <w:tabs>
          <w:tab w:leader="none" w:pos="457"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The Share Capital of the Company and the Rights Attached to Shares</w:t>
      </w:r>
    </w:p>
    <w:p>
      <w:pPr>
        <w:spacing w:after="0" w:line="27" w:lineRule="exact"/>
        <w:rPr>
          <w:rFonts w:ascii="Arial" w:cs="Arial" w:eastAsia="Arial" w:hAnsi="Arial"/>
          <w:sz w:val="17"/>
          <w:szCs w:val="17"/>
          <w:color w:val="auto"/>
        </w:rPr>
      </w:pPr>
    </w:p>
    <w:p>
      <w:pPr>
        <w:ind w:left="477"/>
        <w:spacing w:after="0"/>
        <w:rPr>
          <w:rFonts w:ascii="Arial" w:cs="Arial" w:eastAsia="Arial" w:hAnsi="Arial"/>
          <w:sz w:val="17"/>
          <w:szCs w:val="17"/>
          <w:color w:val="auto"/>
        </w:rPr>
      </w:pPr>
      <w:r>
        <w:rPr>
          <w:rFonts w:ascii="Arial" w:cs="Arial" w:eastAsia="Arial" w:hAnsi="Arial"/>
          <w:sz w:val="17"/>
          <w:szCs w:val="17"/>
          <w:color w:val="auto"/>
        </w:rPr>
        <w:t>4.1   The registered capital of the Company is NIS 2,500,000, divided into 250,000,000 ordinary shares with a nominal value of NIS 0.01 each.</w:t>
      </w:r>
    </w:p>
    <w:p>
      <w:pPr>
        <w:spacing w:after="0" w:line="230" w:lineRule="exact"/>
        <w:rPr>
          <w:rFonts w:ascii="Arial" w:cs="Arial" w:eastAsia="Arial" w:hAnsi="Arial"/>
          <w:sz w:val="17"/>
          <w:szCs w:val="17"/>
          <w:color w:val="auto"/>
        </w:rPr>
      </w:pPr>
    </w:p>
    <w:p>
      <w:pPr>
        <w:ind w:left="477"/>
        <w:spacing w:after="0"/>
        <w:rPr>
          <w:rFonts w:ascii="Arial" w:cs="Arial" w:eastAsia="Arial" w:hAnsi="Arial"/>
          <w:sz w:val="17"/>
          <w:szCs w:val="17"/>
          <w:color w:val="auto"/>
        </w:rPr>
      </w:pPr>
      <w:r>
        <w:rPr>
          <w:rFonts w:ascii="Arial" w:cs="Arial" w:eastAsia="Arial" w:hAnsi="Arial"/>
          <w:sz w:val="17"/>
          <w:szCs w:val="17"/>
          <w:color w:val="auto"/>
        </w:rPr>
        <w:t>4.2   The ordinary shares shall entitle their owners to –</w:t>
      </w:r>
    </w:p>
    <w:p>
      <w:pPr>
        <w:spacing w:after="0" w:line="21" w:lineRule="exact"/>
        <w:rPr>
          <w:rFonts w:ascii="Arial" w:cs="Arial" w:eastAsia="Arial" w:hAnsi="Arial"/>
          <w:sz w:val="17"/>
          <w:szCs w:val="17"/>
          <w:color w:val="auto"/>
        </w:rPr>
      </w:pPr>
    </w:p>
    <w:p>
      <w:pPr>
        <w:ind w:left="1457" w:hanging="532"/>
        <w:spacing w:after="0" w:line="259" w:lineRule="auto"/>
        <w:rPr>
          <w:rFonts w:ascii="Arial" w:cs="Arial" w:eastAsia="Arial" w:hAnsi="Arial"/>
          <w:sz w:val="17"/>
          <w:szCs w:val="17"/>
          <w:color w:val="auto"/>
        </w:rPr>
      </w:pPr>
      <w:r>
        <w:rPr>
          <w:rFonts w:ascii="Arial" w:cs="Arial" w:eastAsia="Arial" w:hAnsi="Arial"/>
          <w:sz w:val="17"/>
          <w:szCs w:val="17"/>
          <w:color w:val="auto"/>
        </w:rPr>
        <w:t>4.2.1 An equal right to participate in and vote at the general meetings of the Company, whether ordinary meetings or extraordinary meetings. Each of the shares in the Company shall entitle its owner present at the meeting and participating in the vote in person, by proxy, or by means of a letter of voting,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381000</wp:posOffset>
            </wp:positionV>
            <wp:extent cx="7257415"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189" w:name="page190"/>
    <w:bookmarkEnd w:id="189"/>
    <w:p>
      <w:pPr>
        <w:ind w:left="1457" w:hanging="531"/>
        <w:spacing w:after="0" w:line="259" w:lineRule="auto"/>
        <w:tabs>
          <w:tab w:leader="none" w:pos="1437" w:val="left"/>
        </w:tabs>
        <w:rPr>
          <w:sz w:val="20"/>
          <w:szCs w:val="20"/>
          <w:color w:val="auto"/>
        </w:rPr>
      </w:pPr>
      <w:r>
        <w:rPr>
          <w:rFonts w:ascii="Arial" w:cs="Arial" w:eastAsia="Arial" w:hAnsi="Arial"/>
          <w:sz w:val="17"/>
          <w:szCs w:val="17"/>
          <w:color w:val="auto"/>
        </w:rPr>
        <w:t>4.2.2</w:t>
        <w:tab/>
        <w:t>An equal right to participate in the distribution of dividends, whether in cash or in benefit shares, in the distribution of assets, or in any other distribution, according to the proportionate nominal value of the shares held thereby;</w:t>
      </w:r>
    </w:p>
    <w:p>
      <w:pPr>
        <w:spacing w:after="0" w:line="1" w:lineRule="exact"/>
        <w:rPr>
          <w:sz w:val="20"/>
          <w:szCs w:val="20"/>
          <w:color w:val="auto"/>
        </w:rPr>
      </w:pPr>
    </w:p>
    <w:p>
      <w:pPr>
        <w:ind w:left="1457" w:hanging="531"/>
        <w:spacing w:after="0" w:line="265" w:lineRule="auto"/>
        <w:tabs>
          <w:tab w:leader="none" w:pos="1437" w:val="left"/>
        </w:tabs>
        <w:rPr>
          <w:sz w:val="20"/>
          <w:szCs w:val="20"/>
          <w:color w:val="auto"/>
        </w:rPr>
      </w:pPr>
      <w:r>
        <w:rPr>
          <w:rFonts w:ascii="Arial" w:cs="Arial" w:eastAsia="Arial" w:hAnsi="Arial"/>
          <w:sz w:val="17"/>
          <w:szCs w:val="17"/>
          <w:color w:val="auto"/>
        </w:rPr>
        <w:t>4.2.3</w:t>
        <w:tab/>
        <w:t>An equal right to participate in the distribution of the surplus assets of the Company in the event of its liquidation in accordance with the proportionate nominal value of the shares held thereby.</w:t>
      </w:r>
    </w:p>
    <w:p>
      <w:pPr>
        <w:spacing w:after="0" w:line="201" w:lineRule="exact"/>
        <w:rPr>
          <w:sz w:val="20"/>
          <w:szCs w:val="20"/>
          <w:color w:val="auto"/>
        </w:rPr>
      </w:pPr>
    </w:p>
    <w:p>
      <w:pPr>
        <w:jc w:val="both"/>
        <w:ind w:left="937" w:hanging="462"/>
        <w:spacing w:after="0" w:line="265" w:lineRule="auto"/>
        <w:tabs>
          <w:tab w:leader="none" w:pos="917" w:val="left"/>
        </w:tabs>
        <w:rPr>
          <w:sz w:val="20"/>
          <w:szCs w:val="20"/>
          <w:color w:val="auto"/>
        </w:rPr>
      </w:pPr>
      <w:r>
        <w:rPr>
          <w:rFonts w:ascii="Arial" w:cs="Arial" w:eastAsia="Arial" w:hAnsi="Arial"/>
          <w:sz w:val="17"/>
          <w:szCs w:val="17"/>
          <w:color w:val="auto"/>
        </w:rPr>
        <w:t>4.3</w:t>
        <w:tab/>
        <w:t>The Board of Directors is entitled to issue shares and other convertible securities or securities that may be realized as shares up to the limit of the Company’s registered capital. For the purpose of calculating the limit of the registered capital, convertible securities or securities that may be realized as shares shall be considered to have been converted or realized as of their date of issue.</w:t>
      </w:r>
    </w:p>
    <w:p>
      <w:pPr>
        <w:spacing w:after="0" w:line="195" w:lineRule="exact"/>
        <w:rPr>
          <w:sz w:val="20"/>
          <w:szCs w:val="20"/>
          <w:color w:val="auto"/>
        </w:rPr>
      </w:pPr>
    </w:p>
    <w:p>
      <w:pPr>
        <w:ind w:left="497" w:hanging="497"/>
        <w:spacing w:after="0"/>
        <w:tabs>
          <w:tab w:leader="none" w:pos="497" w:val="left"/>
        </w:tabs>
        <w:numPr>
          <w:ilvl w:val="0"/>
          <w:numId w:val="103"/>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Liability</w:t>
      </w:r>
    </w:p>
    <w:p>
      <w:pPr>
        <w:spacing w:after="0" w:line="27" w:lineRule="exact"/>
        <w:rPr>
          <w:sz w:val="20"/>
          <w:szCs w:val="20"/>
          <w:color w:val="auto"/>
        </w:rPr>
      </w:pPr>
    </w:p>
    <w:p>
      <w:pPr>
        <w:ind w:left="477"/>
        <w:spacing w:after="0" w:line="265" w:lineRule="auto"/>
        <w:rPr>
          <w:sz w:val="20"/>
          <w:szCs w:val="20"/>
          <w:color w:val="auto"/>
        </w:rPr>
      </w:pPr>
      <w:r>
        <w:rPr>
          <w:rFonts w:ascii="Arial" w:cs="Arial" w:eastAsia="Arial" w:hAnsi="Arial"/>
          <w:sz w:val="17"/>
          <w:szCs w:val="17"/>
          <w:color w:val="auto"/>
        </w:rPr>
        <w:t>The liability of the shareholders for the Company’s debts shall be limited to the full amount (nominal value with the addition of premium) they shall be required to pay the Company for the shares and which they have not yet paid.</w:t>
      </w:r>
    </w:p>
    <w:p>
      <w:pPr>
        <w:spacing w:after="0" w:line="195" w:lineRule="exact"/>
        <w:rPr>
          <w:sz w:val="20"/>
          <w:szCs w:val="20"/>
          <w:color w:val="auto"/>
        </w:rPr>
      </w:pPr>
    </w:p>
    <w:p>
      <w:pPr>
        <w:ind w:left="497" w:hanging="497"/>
        <w:spacing w:after="0"/>
        <w:tabs>
          <w:tab w:leader="none" w:pos="497" w:val="left"/>
        </w:tabs>
        <w:numPr>
          <w:ilvl w:val="0"/>
          <w:numId w:val="104"/>
        </w:numPr>
        <w:rPr>
          <w:rFonts w:ascii="Arial" w:cs="Arial" w:eastAsia="Arial" w:hAnsi="Arial"/>
          <w:sz w:val="17"/>
          <w:szCs w:val="17"/>
          <w:color w:val="auto"/>
        </w:rPr>
      </w:pPr>
      <w:r>
        <w:rPr>
          <w:rFonts w:ascii="Arial" w:cs="Arial" w:eastAsia="Arial" w:hAnsi="Arial"/>
          <w:sz w:val="17"/>
          <w:szCs w:val="17"/>
          <w:b w:val="1"/>
          <w:bCs w:val="1"/>
          <w:u w:val="single" w:color="auto"/>
          <w:color w:val="auto"/>
        </w:rPr>
        <w:t>Joint Shares and Share Certificates</w:t>
      </w:r>
    </w:p>
    <w:p>
      <w:pPr>
        <w:spacing w:after="0" w:line="27" w:lineRule="exact"/>
        <w:rPr>
          <w:sz w:val="20"/>
          <w:szCs w:val="20"/>
          <w:color w:val="auto"/>
        </w:rPr>
      </w:pPr>
    </w:p>
    <w:p>
      <w:pPr>
        <w:jc w:val="both"/>
        <w:ind w:left="937" w:hanging="462"/>
        <w:spacing w:after="0" w:line="277" w:lineRule="auto"/>
        <w:tabs>
          <w:tab w:leader="none" w:pos="917"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color w:val="auto"/>
        </w:rPr>
        <w:t>The owner of a share registered in the registry of shareholders is entitled to receive from the Company, without payment and within a period of three months following the allocation or the registration of transfer, one share certificate stamped with the Company’s stamp regarding all the shares registered in his name, which certificate shall detail the number of shares. In the event of a jointly owned share, the Company shall issue one share certificate for all the joint owners of the share, and the delivery of such a certificate to one of the partners shall be considered delivery to them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57415"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0" w:name="page191"/>
    <w:bookmarkEnd w:id="190"/>
    <w:p>
      <w:pPr>
        <w:ind w:left="957"/>
        <w:spacing w:after="0"/>
        <w:rPr>
          <w:sz w:val="20"/>
          <w:szCs w:val="20"/>
          <w:color w:val="auto"/>
        </w:rPr>
      </w:pPr>
      <w:r>
        <w:rPr>
          <w:rFonts w:ascii="Arial" w:cs="Arial" w:eastAsia="Arial" w:hAnsi="Arial"/>
          <w:sz w:val="17"/>
          <w:szCs w:val="17"/>
          <w:color w:val="auto"/>
        </w:rPr>
        <w:t>Each share certificate shall bear the signature of at least one director, together with the Company stamp or its printed name.</w:t>
      </w:r>
    </w:p>
    <w:p>
      <w:pPr>
        <w:spacing w:after="0" w:line="242" w:lineRule="exact"/>
        <w:rPr>
          <w:sz w:val="20"/>
          <w:szCs w:val="20"/>
          <w:color w:val="auto"/>
        </w:rPr>
      </w:pPr>
    </w:p>
    <w:p>
      <w:pPr>
        <w:ind w:left="937" w:hanging="462"/>
        <w:spacing w:after="0" w:line="278" w:lineRule="auto"/>
        <w:tabs>
          <w:tab w:leader="none" w:pos="917" w:val="left"/>
        </w:tabs>
        <w:rPr>
          <w:sz w:val="20"/>
          <w:szCs w:val="20"/>
          <w:color w:val="auto"/>
        </w:rPr>
      </w:pPr>
      <w:r>
        <w:rPr>
          <w:rFonts w:ascii="Arial" w:cs="Arial" w:eastAsia="Arial" w:hAnsi="Arial"/>
          <w:sz w:val="17"/>
          <w:szCs w:val="17"/>
          <w:color w:val="auto"/>
        </w:rPr>
        <w:t>6.2</w:t>
        <w:tab/>
        <w:t>A share certificate that has been defaced, destroyed, or lost may be renewed on the basis of such proof and guarantees as shall be required by the Company from time to time.</w:t>
      </w:r>
    </w:p>
    <w:p>
      <w:pPr>
        <w:spacing w:after="0" w:line="184" w:lineRule="exact"/>
        <w:rPr>
          <w:sz w:val="20"/>
          <w:szCs w:val="20"/>
          <w:color w:val="auto"/>
        </w:rPr>
      </w:pPr>
    </w:p>
    <w:p>
      <w:pPr>
        <w:ind w:left="497" w:hanging="497"/>
        <w:spacing w:after="0"/>
        <w:tabs>
          <w:tab w:leader="none" w:pos="497"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The Company’s Reliefs relating to Shares that Have Not Been Fully Paid</w:t>
      </w:r>
    </w:p>
    <w:p>
      <w:pPr>
        <w:spacing w:after="0" w:line="27" w:lineRule="exact"/>
        <w:rPr>
          <w:sz w:val="20"/>
          <w:szCs w:val="20"/>
          <w:color w:val="auto"/>
        </w:rPr>
      </w:pPr>
    </w:p>
    <w:p>
      <w:pPr>
        <w:jc w:val="both"/>
        <w:ind w:left="937" w:hanging="462"/>
        <w:spacing w:after="0" w:line="268" w:lineRule="auto"/>
        <w:tabs>
          <w:tab w:leader="none" w:pos="917"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If any or all of the remuneration the shareholder undertook to pay the Company in return for his shares has not been paid by such date and on such conditions as established in the conditions for the allocation of his shares and/or in the payment request as stated in section 7.2 below, the Company is entitled, by way of a decision of the Board of Directors, to forfeit the shares whose remuneration has not been fully paid. The forfeiture of shares shall take place provided that the Company has sent the shareholder written warning of its intention to forfeit the shares after at least 7 days from the date of receipt of the warning, insofar as payment shall not be made during the period determined in the letter of warning.</w:t>
      </w:r>
    </w:p>
    <w:p>
      <w:pPr>
        <w:spacing w:after="0" w:line="2" w:lineRule="exact"/>
        <w:rPr>
          <w:sz w:val="20"/>
          <w:szCs w:val="20"/>
          <w:color w:val="auto"/>
        </w:rPr>
      </w:pPr>
    </w:p>
    <w:p>
      <w:pPr>
        <w:ind w:left="917"/>
        <w:spacing w:after="0" w:line="252" w:lineRule="auto"/>
        <w:rPr>
          <w:sz w:val="20"/>
          <w:szCs w:val="20"/>
          <w:color w:val="auto"/>
        </w:rPr>
      </w:pPr>
      <w:r>
        <w:rPr>
          <w:rFonts w:ascii="Arial" w:cs="Arial" w:eastAsia="Arial" w:hAnsi="Arial"/>
          <w:sz w:val="17"/>
          <w:szCs w:val="17"/>
          <w:color w:val="auto"/>
        </w:rPr>
        <w:t>The Board of Directors is entitled, at any time prior to the date on which the forfeited share is sold, reallocated, or otherwise transferred, to nullify the forfeiture on such conditions as it shall see fit.</w:t>
      </w:r>
    </w:p>
    <w:p>
      <w:pPr>
        <w:spacing w:after="0" w:line="1" w:lineRule="exact"/>
        <w:rPr>
          <w:sz w:val="20"/>
          <w:szCs w:val="20"/>
          <w:color w:val="auto"/>
        </w:rPr>
      </w:pPr>
    </w:p>
    <w:p>
      <w:pPr>
        <w:ind w:left="917"/>
        <w:spacing w:after="0"/>
        <w:rPr>
          <w:sz w:val="20"/>
          <w:szCs w:val="20"/>
          <w:color w:val="auto"/>
        </w:rPr>
      </w:pPr>
      <w:r>
        <w:rPr>
          <w:rFonts w:ascii="Arial" w:cs="Arial" w:eastAsia="Arial" w:hAnsi="Arial"/>
          <w:sz w:val="17"/>
          <w:szCs w:val="17"/>
          <w:color w:val="auto"/>
        </w:rPr>
        <w:t>The forfeited shares shall be held by the Company as retired shares or shall be sold to another.</w:t>
      </w:r>
    </w:p>
    <w:p>
      <w:pPr>
        <w:spacing w:after="0" w:line="231" w:lineRule="exact"/>
        <w:rPr>
          <w:sz w:val="20"/>
          <w:szCs w:val="20"/>
          <w:color w:val="auto"/>
        </w:rPr>
      </w:pPr>
    </w:p>
    <w:p>
      <w:pPr>
        <w:jc w:val="both"/>
        <w:ind w:left="937" w:hanging="462"/>
        <w:spacing w:after="0" w:line="277" w:lineRule="auto"/>
        <w:tabs>
          <w:tab w:leader="none" w:pos="917"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color w:val="auto"/>
        </w:rPr>
        <w:t>If, in accordance with the conditions of allocation of the shares, there is no fixed date for the payment of any part of the price to be paid on account thereof, the Board of Directors is entitled, from time to time, to present payment requests to the shareholders on account of monies not yet removed for the shares they hold, and each shareholder shall be obliged to pay the Company the amount requested on the date determined as stated, provided that he shall receive prior notice of 14 days of the date and place of payment (hereinafter – “</w:t>
      </w:r>
      <w:r>
        <w:rPr>
          <w:rFonts w:ascii="Arial" w:cs="Arial" w:eastAsia="Arial" w:hAnsi="Arial"/>
          <w:sz w:val="16"/>
          <w:szCs w:val="16"/>
          <w:b w:val="1"/>
          <w:bCs w:val="1"/>
          <w:color w:val="auto"/>
        </w:rPr>
        <w:t>the Payment Request</w:t>
      </w:r>
      <w:r>
        <w:rPr>
          <w:rFonts w:ascii="Arial" w:cs="Arial" w:eastAsia="Arial" w:hAnsi="Arial"/>
          <w:sz w:val="16"/>
          <w:szCs w:val="16"/>
          <w:color w:val="auto"/>
        </w:rPr>
        <w:t>.”) The notification shall specify that non-payment by or before the determined date and in the specified place may lead to the forfeiture of the shares regarding which payment is requested. A Payment Request may be nullified or postponed to another date, all as shall be decided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725741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1" w:name="page192"/>
    <w:bookmarkEnd w:id="191"/>
    <w:p>
      <w:pPr>
        <w:ind w:left="937" w:hanging="462"/>
        <w:spacing w:after="0" w:line="278" w:lineRule="auto"/>
        <w:tabs>
          <w:tab w:leader="none" w:pos="917" w:val="left"/>
        </w:tabs>
        <w:rPr>
          <w:sz w:val="20"/>
          <w:szCs w:val="20"/>
          <w:color w:val="auto"/>
        </w:rPr>
      </w:pPr>
      <w:r>
        <w:rPr>
          <w:rFonts w:ascii="Arial" w:cs="Arial" w:eastAsia="Arial" w:hAnsi="Arial"/>
          <w:sz w:val="17"/>
          <w:szCs w:val="17"/>
          <w:color w:val="auto"/>
        </w:rPr>
        <w:t>7.3</w:t>
        <w:tab/>
        <w:t>Unless otherwise determined in the conditions of allocations of the shares, a shareholder shall not be entitled to receive a dividend or to exercise any right as a shareholder on account of shares that have not yet been fully paid.</w:t>
      </w:r>
    </w:p>
    <w:p>
      <w:pPr>
        <w:spacing w:after="0" w:line="190" w:lineRule="exact"/>
        <w:rPr>
          <w:sz w:val="20"/>
          <w:szCs w:val="20"/>
          <w:color w:val="auto"/>
        </w:rPr>
      </w:pPr>
    </w:p>
    <w:p>
      <w:pPr>
        <w:ind w:left="477"/>
        <w:spacing w:after="0"/>
        <w:tabs>
          <w:tab w:leader="none" w:pos="917"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color w:val="auto"/>
        </w:rPr>
        <w:t>Persons who are the joint owners of a share shall be liable jointly and severally for payment of the amounts due to the Company on account of the share.</w:t>
      </w:r>
    </w:p>
    <w:p>
      <w:pPr>
        <w:spacing w:after="0" w:line="242" w:lineRule="exact"/>
        <w:rPr>
          <w:sz w:val="20"/>
          <w:szCs w:val="20"/>
          <w:color w:val="auto"/>
        </w:rPr>
      </w:pPr>
    </w:p>
    <w:p>
      <w:pPr>
        <w:ind w:left="937" w:hanging="462"/>
        <w:spacing w:after="0" w:line="278" w:lineRule="auto"/>
        <w:tabs>
          <w:tab w:leader="none" w:pos="917" w:val="left"/>
        </w:tabs>
        <w:rPr>
          <w:sz w:val="20"/>
          <w:szCs w:val="20"/>
          <w:color w:val="auto"/>
        </w:rPr>
      </w:pPr>
      <w:r>
        <w:rPr>
          <w:rFonts w:ascii="Arial" w:cs="Arial" w:eastAsia="Arial" w:hAnsi="Arial"/>
          <w:sz w:val="17"/>
          <w:szCs w:val="17"/>
          <w:color w:val="auto"/>
        </w:rPr>
        <w:t>7.5</w:t>
        <w:tab/>
        <w:t>The content of this section shall not derogate from any other relief of the Company vis-à-vis a shareholder who fails to pay his debt to the Company on account of his shares.</w:t>
      </w:r>
    </w:p>
    <w:p>
      <w:pPr>
        <w:spacing w:after="0" w:line="184" w:lineRule="exact"/>
        <w:rPr>
          <w:sz w:val="20"/>
          <w:szCs w:val="20"/>
          <w:color w:val="auto"/>
        </w:rPr>
      </w:pPr>
    </w:p>
    <w:p>
      <w:pPr>
        <w:ind w:left="497" w:hanging="497"/>
        <w:spacing w:after="0"/>
        <w:tabs>
          <w:tab w:leader="none" w:pos="497" w:val="left"/>
        </w:tabs>
        <w:numPr>
          <w:ilvl w:val="0"/>
          <w:numId w:val="106"/>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Shares</w:t>
      </w:r>
    </w:p>
    <w:p>
      <w:pPr>
        <w:spacing w:after="0" w:line="27" w:lineRule="exact"/>
        <w:rPr>
          <w:sz w:val="20"/>
          <w:szCs w:val="20"/>
          <w:color w:val="auto"/>
        </w:rPr>
      </w:pPr>
    </w:p>
    <w:p>
      <w:pPr>
        <w:ind w:left="477"/>
        <w:spacing w:after="0"/>
        <w:tabs>
          <w:tab w:leader="none" w:pos="917"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The Company’s shares are transferable.</w:t>
      </w:r>
    </w:p>
    <w:p>
      <w:pPr>
        <w:spacing w:after="0" w:line="231" w:lineRule="exact"/>
        <w:rPr>
          <w:sz w:val="20"/>
          <w:szCs w:val="20"/>
          <w:color w:val="auto"/>
        </w:rPr>
      </w:pPr>
    </w:p>
    <w:p>
      <w:pPr>
        <w:ind w:left="477"/>
        <w:spacing w:after="0"/>
        <w:tabs>
          <w:tab w:leader="none" w:pos="917"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color w:val="auto"/>
        </w:rPr>
        <w:t>The transfer of shares must be made in writing, and it shall be recorded only if –</w:t>
      </w:r>
    </w:p>
    <w:p>
      <w:pPr>
        <w:spacing w:after="0" w:line="21" w:lineRule="exact"/>
        <w:rPr>
          <w:sz w:val="20"/>
          <w:szCs w:val="20"/>
          <w:color w:val="auto"/>
        </w:rPr>
      </w:pPr>
    </w:p>
    <w:p>
      <w:pPr>
        <w:jc w:val="both"/>
        <w:ind w:left="1457" w:hanging="531"/>
        <w:spacing w:after="0" w:line="252" w:lineRule="auto"/>
        <w:tabs>
          <w:tab w:leader="none" w:pos="1437" w:val="left"/>
        </w:tabs>
        <w:rPr>
          <w:sz w:val="20"/>
          <w:szCs w:val="20"/>
          <w:color w:val="auto"/>
        </w:rPr>
      </w:pPr>
      <w:r>
        <w:rPr>
          <w:rFonts w:ascii="Arial" w:cs="Arial" w:eastAsia="Arial" w:hAnsi="Arial"/>
          <w:sz w:val="17"/>
          <w:szCs w:val="17"/>
          <w:color w:val="auto"/>
        </w:rPr>
        <w:t>8.2.1</w:t>
        <w:tab/>
        <w:t>A proper certificate for the transfer of shares, together with the certificates of the share intended for transfer, if such were issued, is delivered to the Company at its registered office. The certificate of transfer shall be signed by the transferor and by a witness confirming the signature of the transferor. In the event of the transfer of shares that are not fully paid as of the date of transfer, the certificate of transfer shall also be signed by the recipient of the share and by a witness testifying to the signature of the recipient; or</w:t>
      </w:r>
    </w:p>
    <w:p>
      <w:pPr>
        <w:spacing w:after="0" w:line="2" w:lineRule="exact"/>
        <w:rPr>
          <w:sz w:val="20"/>
          <w:szCs w:val="20"/>
          <w:color w:val="auto"/>
        </w:rPr>
      </w:pPr>
    </w:p>
    <w:p>
      <w:pPr>
        <w:ind w:left="937"/>
        <w:spacing w:after="0"/>
        <w:tabs>
          <w:tab w:leader="none" w:pos="1437"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5"/>
          <w:szCs w:val="15"/>
          <w:color w:val="auto"/>
        </w:rPr>
        <w:t>A court order for the amendment of the registration shall be delivered to the Company; or</w:t>
      </w:r>
    </w:p>
    <w:p>
      <w:pPr>
        <w:spacing w:after="0" w:line="10" w:lineRule="exact"/>
        <w:rPr>
          <w:sz w:val="20"/>
          <w:szCs w:val="20"/>
          <w:color w:val="auto"/>
        </w:rPr>
      </w:pPr>
    </w:p>
    <w:p>
      <w:pPr>
        <w:ind w:left="937"/>
        <w:spacing w:after="0"/>
        <w:tabs>
          <w:tab w:leader="none" w:pos="1437" w:val="left"/>
        </w:tabs>
        <w:rPr>
          <w:sz w:val="20"/>
          <w:szCs w:val="20"/>
          <w:color w:val="auto"/>
        </w:rPr>
      </w:pPr>
      <w:r>
        <w:rPr>
          <w:rFonts w:ascii="Arial" w:cs="Arial" w:eastAsia="Arial" w:hAnsi="Arial"/>
          <w:sz w:val="17"/>
          <w:szCs w:val="17"/>
          <w:color w:val="auto"/>
        </w:rPr>
        <w:t>8.2.3</w:t>
      </w:r>
      <w:r>
        <w:rPr>
          <w:sz w:val="20"/>
          <w:szCs w:val="20"/>
          <w:color w:val="auto"/>
        </w:rPr>
        <w:tab/>
      </w:r>
      <w:r>
        <w:rPr>
          <w:rFonts w:ascii="Arial" w:cs="Arial" w:eastAsia="Arial" w:hAnsi="Arial"/>
          <w:sz w:val="15"/>
          <w:szCs w:val="15"/>
          <w:color w:val="auto"/>
        </w:rPr>
        <w:t>It shall be proved to the Company that lawful conditions pertain for the transfer of the right to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741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2" w:name="page193"/>
    <w:bookmarkEnd w:id="192"/>
    <w:p>
      <w:pPr>
        <w:ind w:left="937" w:hanging="462"/>
        <w:spacing w:after="0" w:line="278" w:lineRule="auto"/>
        <w:tabs>
          <w:tab w:leader="none" w:pos="917" w:val="left"/>
        </w:tabs>
        <w:rPr>
          <w:sz w:val="20"/>
          <w:szCs w:val="20"/>
          <w:color w:val="auto"/>
        </w:rPr>
      </w:pPr>
      <w:r>
        <w:rPr>
          <w:rFonts w:ascii="Arial" w:cs="Arial" w:eastAsia="Arial" w:hAnsi="Arial"/>
          <w:sz w:val="17"/>
          <w:szCs w:val="17"/>
          <w:color w:val="auto"/>
        </w:rPr>
        <w:t>8.3</w:t>
        <w:tab/>
        <w:t>The transfer of shares that have not been fully paid requires the authorization of the Board of Directors, which is entitled to refuse to grant its authorization at its absolute discretion and without stating grounds therefore.</w:t>
      </w:r>
    </w:p>
    <w:p>
      <w:pPr>
        <w:spacing w:after="0" w:line="190" w:lineRule="exact"/>
        <w:rPr>
          <w:sz w:val="20"/>
          <w:szCs w:val="20"/>
          <w:color w:val="auto"/>
        </w:rPr>
      </w:pPr>
    </w:p>
    <w:p>
      <w:pPr>
        <w:ind w:left="937" w:hanging="462"/>
        <w:spacing w:after="0" w:line="278" w:lineRule="auto"/>
        <w:tabs>
          <w:tab w:leader="none" w:pos="917" w:val="left"/>
        </w:tabs>
        <w:rPr>
          <w:sz w:val="20"/>
          <w:szCs w:val="20"/>
          <w:color w:val="auto"/>
        </w:rPr>
      </w:pPr>
      <w:r>
        <w:rPr>
          <w:rFonts w:ascii="Arial" w:cs="Arial" w:eastAsia="Arial" w:hAnsi="Arial"/>
          <w:sz w:val="17"/>
          <w:szCs w:val="17"/>
          <w:color w:val="auto"/>
        </w:rPr>
        <w:t>8.4</w:t>
        <w:tab/>
        <w:t>The recipient of the transfer shall be considered the shareholder regarding the transferred shares from the moment of the registration of his name in the registry of shareholders.</w:t>
      </w:r>
    </w:p>
    <w:p>
      <w:pPr>
        <w:spacing w:after="0" w:line="184" w:lineRule="exact"/>
        <w:rPr>
          <w:sz w:val="20"/>
          <w:szCs w:val="20"/>
          <w:color w:val="auto"/>
        </w:rPr>
      </w:pPr>
    </w:p>
    <w:p>
      <w:pPr>
        <w:ind w:left="497" w:hanging="497"/>
        <w:spacing w:after="0"/>
        <w:tabs>
          <w:tab w:leader="none" w:pos="497" w:val="left"/>
        </w:tabs>
        <w:numPr>
          <w:ilvl w:val="0"/>
          <w:numId w:val="107"/>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Changes in Capital</w:t>
      </w:r>
    </w:p>
    <w:p>
      <w:pPr>
        <w:spacing w:after="0" w:line="27" w:lineRule="exact"/>
        <w:rPr>
          <w:sz w:val="20"/>
          <w:szCs w:val="20"/>
          <w:color w:val="auto"/>
        </w:rPr>
      </w:pPr>
    </w:p>
    <w:p>
      <w:pPr>
        <w:ind w:left="937" w:hanging="462"/>
        <w:spacing w:after="0" w:line="265" w:lineRule="auto"/>
        <w:tabs>
          <w:tab w:leader="none" w:pos="917" w:val="left"/>
        </w:tabs>
        <w:rPr>
          <w:sz w:val="20"/>
          <w:szCs w:val="20"/>
          <w:color w:val="auto"/>
        </w:rPr>
      </w:pPr>
      <w:r>
        <w:rPr>
          <w:rFonts w:ascii="Arial" w:cs="Arial" w:eastAsia="Arial" w:hAnsi="Arial"/>
          <w:sz w:val="17"/>
          <w:szCs w:val="17"/>
          <w:color w:val="auto"/>
        </w:rPr>
        <w:t>9.1</w:t>
        <w:tab/>
        <w:t>The general meeting is entitled to increase the Company’s registered share capital by creating new shares of an existing type or a new type, all as shall be determined in the decision of the general meeting.</w:t>
      </w:r>
    </w:p>
    <w:p>
      <w:pPr>
        <w:spacing w:after="0" w:line="201" w:lineRule="exact"/>
        <w:rPr>
          <w:sz w:val="20"/>
          <w:szCs w:val="20"/>
          <w:color w:val="auto"/>
        </w:rPr>
      </w:pPr>
    </w:p>
    <w:p>
      <w:pPr>
        <w:ind w:left="937" w:hanging="462"/>
        <w:spacing w:after="0" w:line="278" w:lineRule="auto"/>
        <w:tabs>
          <w:tab w:leader="none" w:pos="917" w:val="left"/>
        </w:tabs>
        <w:rPr>
          <w:sz w:val="20"/>
          <w:szCs w:val="20"/>
          <w:color w:val="auto"/>
        </w:rPr>
      </w:pPr>
      <w:r>
        <w:rPr>
          <w:rFonts w:ascii="Arial" w:cs="Arial" w:eastAsia="Arial" w:hAnsi="Arial"/>
          <w:sz w:val="17"/>
          <w:szCs w:val="17"/>
          <w:color w:val="auto"/>
        </w:rPr>
        <w:t>9.2</w:t>
        <w:tab/>
        <w:t>The general meeting is entitled to nullify registered share capital that has not yet been allocated, provided that there is no commitment, including a conditioned commitment, by the Company to allocate the shares.</w:t>
      </w:r>
    </w:p>
    <w:p>
      <w:pPr>
        <w:spacing w:after="0" w:line="190" w:lineRule="exact"/>
        <w:rPr>
          <w:sz w:val="20"/>
          <w:szCs w:val="20"/>
          <w:color w:val="auto"/>
        </w:rPr>
      </w:pPr>
    </w:p>
    <w:p>
      <w:pPr>
        <w:ind w:left="477"/>
        <w:spacing w:after="0"/>
        <w:tabs>
          <w:tab w:leader="none" w:pos="917"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5"/>
          <w:szCs w:val="15"/>
          <w:color w:val="auto"/>
        </w:rPr>
        <w:t>The general meeting shall be entitled, subject to the provisions of any law:</w:t>
      </w:r>
    </w:p>
    <w:p>
      <w:pPr>
        <w:spacing w:after="0" w:line="21" w:lineRule="exact"/>
        <w:rPr>
          <w:sz w:val="20"/>
          <w:szCs w:val="20"/>
          <w:color w:val="auto"/>
        </w:rPr>
      </w:pPr>
    </w:p>
    <w:p>
      <w:pPr>
        <w:ind w:left="937"/>
        <w:spacing w:after="0"/>
        <w:tabs>
          <w:tab w:leader="none" w:pos="1437" w:val="left"/>
        </w:tabs>
        <w:rPr>
          <w:sz w:val="20"/>
          <w:szCs w:val="20"/>
          <w:color w:val="auto"/>
        </w:rPr>
      </w:pPr>
      <w:r>
        <w:rPr>
          <w:rFonts w:ascii="Arial" w:cs="Arial" w:eastAsia="Arial" w:hAnsi="Arial"/>
          <w:sz w:val="17"/>
          <w:szCs w:val="17"/>
          <w:color w:val="auto"/>
        </w:rPr>
        <w:t>9.3.1</w:t>
      </w:r>
      <w:r>
        <w:rPr>
          <w:sz w:val="20"/>
          <w:szCs w:val="20"/>
          <w:color w:val="auto"/>
        </w:rPr>
        <w:tab/>
      </w:r>
      <w:r>
        <w:rPr>
          <w:rFonts w:ascii="Arial" w:cs="Arial" w:eastAsia="Arial" w:hAnsi="Arial"/>
          <w:sz w:val="15"/>
          <w:szCs w:val="15"/>
          <w:color w:val="auto"/>
        </w:rPr>
        <w:t>To unify and redivide its share capital, or any part thereof, into shares of a nominal value greater than the nominal value of the existing shares.</w:t>
      </w:r>
    </w:p>
    <w:p>
      <w:pPr>
        <w:spacing w:after="0" w:line="10" w:lineRule="exact"/>
        <w:rPr>
          <w:sz w:val="20"/>
          <w:szCs w:val="20"/>
          <w:color w:val="auto"/>
        </w:rPr>
      </w:pPr>
    </w:p>
    <w:p>
      <w:pPr>
        <w:ind w:left="1457" w:hanging="531"/>
        <w:spacing w:after="0" w:line="252" w:lineRule="auto"/>
        <w:tabs>
          <w:tab w:leader="none" w:pos="1437" w:val="left"/>
        </w:tabs>
        <w:rPr>
          <w:sz w:val="20"/>
          <w:szCs w:val="20"/>
          <w:color w:val="auto"/>
        </w:rPr>
      </w:pPr>
      <w:r>
        <w:rPr>
          <w:rFonts w:ascii="Arial" w:cs="Arial" w:eastAsia="Arial" w:hAnsi="Arial"/>
          <w:sz w:val="17"/>
          <w:szCs w:val="17"/>
          <w:color w:val="auto"/>
        </w:rPr>
        <w:t>9.3.2</w:t>
        <w:tab/>
        <w:t>To divide, by way of the redivision of any or all of the existing shares, its share capital into shares of a nominal value smaller than the nominal value of the existing shares.</w:t>
      </w:r>
    </w:p>
    <w:p>
      <w:pPr>
        <w:spacing w:after="0" w:line="1" w:lineRule="exact"/>
        <w:rPr>
          <w:sz w:val="20"/>
          <w:szCs w:val="20"/>
          <w:color w:val="auto"/>
        </w:rPr>
      </w:pPr>
    </w:p>
    <w:p>
      <w:pPr>
        <w:ind w:left="1457" w:hanging="531"/>
        <w:spacing w:after="0" w:line="265" w:lineRule="auto"/>
        <w:tabs>
          <w:tab w:leader="none" w:pos="1437" w:val="left"/>
        </w:tabs>
        <w:rPr>
          <w:sz w:val="20"/>
          <w:szCs w:val="20"/>
          <w:color w:val="auto"/>
        </w:rPr>
      </w:pPr>
      <w:r>
        <w:rPr>
          <w:rFonts w:ascii="Arial" w:cs="Arial" w:eastAsia="Arial" w:hAnsi="Arial"/>
          <w:sz w:val="17"/>
          <w:szCs w:val="17"/>
          <w:color w:val="auto"/>
        </w:rPr>
        <w:t>9.3.3</w:t>
        <w:tab/>
        <w:t>To reduce its share capital and any reserved fund for the repayment of capital in such manner and on such conditions and with the receipt of such authorization as shall be required by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25741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3" w:name="page194"/>
    <w:bookmarkEnd w:id="193"/>
    <w:p>
      <w:pPr>
        <w:ind w:left="497" w:hanging="497"/>
        <w:spacing w:after="0"/>
        <w:tabs>
          <w:tab w:leader="none" w:pos="497" w:val="left"/>
        </w:tabs>
        <w:numPr>
          <w:ilvl w:val="0"/>
          <w:numId w:val="108"/>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Changes in the Rights of Share Types</w:t>
      </w:r>
    </w:p>
    <w:p>
      <w:pPr>
        <w:spacing w:after="0" w:line="27" w:lineRule="exact"/>
        <w:rPr>
          <w:sz w:val="20"/>
          <w:szCs w:val="20"/>
          <w:color w:val="auto"/>
        </w:rPr>
      </w:pPr>
    </w:p>
    <w:p>
      <w:pPr>
        <w:jc w:val="both"/>
        <w:ind w:left="997" w:hanging="462"/>
        <w:spacing w:after="0" w:line="256" w:lineRule="auto"/>
        <w:tabs>
          <w:tab w:leader="none" w:pos="977" w:val="left"/>
        </w:tabs>
        <w:rPr>
          <w:sz w:val="20"/>
          <w:szCs w:val="20"/>
          <w:color w:val="auto"/>
        </w:rPr>
      </w:pPr>
      <w:r>
        <w:rPr>
          <w:rFonts w:ascii="Arial" w:cs="Arial" w:eastAsia="Arial" w:hAnsi="Arial"/>
          <w:sz w:val="17"/>
          <w:szCs w:val="17"/>
          <w:color w:val="auto"/>
        </w:rPr>
        <w:t>10.1</w:t>
        <w:tab/>
        <w:t xml:space="preserve">Unless otherwise stated in the conditions of issue of the shares, and subject to the provisions of any law, the rights of any share type may be changed following a decision of the Company’s Board of Directors, and with the authorization of the general meeting of shareholders of that type, or with the written consent of all the shareholders of that type. The provisions of the Company’s Articles of Association regarding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 general meeting of type shareholders.</w:t>
      </w:r>
    </w:p>
    <w:p>
      <w:pPr>
        <w:spacing w:after="0" w:line="210" w:lineRule="exact"/>
        <w:rPr>
          <w:sz w:val="20"/>
          <w:szCs w:val="20"/>
          <w:color w:val="auto"/>
        </w:rPr>
      </w:pPr>
    </w:p>
    <w:p>
      <w:pPr>
        <w:jc w:val="both"/>
        <w:ind w:left="997" w:hanging="462"/>
        <w:spacing w:after="0" w:line="311" w:lineRule="auto"/>
        <w:tabs>
          <w:tab w:leader="none" w:pos="977"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6"/>
          <w:szCs w:val="16"/>
          <w:color w:val="auto"/>
        </w:rPr>
        <w:t>The rights granted to the holders of shares of a specific type issued with special rights shall not be considered to have been changed by virtue of the creation or issue of additional shares of equal grade, unless otherwise conditioned in the conditions of issue of the said shares.</w:t>
      </w:r>
    </w:p>
    <w:p>
      <w:pPr>
        <w:spacing w:after="0" w:line="160" w:lineRule="exact"/>
        <w:rPr>
          <w:sz w:val="20"/>
          <w:szCs w:val="20"/>
          <w:color w:val="auto"/>
        </w:rPr>
      </w:pPr>
    </w:p>
    <w:p>
      <w:pPr>
        <w:ind w:left="497" w:hanging="497"/>
        <w:spacing w:after="0"/>
        <w:tabs>
          <w:tab w:leader="none" w:pos="497" w:val="left"/>
        </w:tabs>
        <w:numPr>
          <w:ilvl w:val="0"/>
          <w:numId w:val="10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Meetings</w:t>
      </w:r>
    </w:p>
    <w:p>
      <w:pPr>
        <w:spacing w:after="0" w:line="27"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Company decisions on the following matters shall be taken at the general meeting –</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11.1.1  Changes to the Articles;</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11.1.2  Exercising the authorities of the Board of Directors in the event that the Board of Directors is unable to perform its function;</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11.1.3  Appointment of the auditing accountant of the Company and the cessation of employment thereof;</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11.1.4  Appointment of directors, including external directors;</w:t>
      </w:r>
    </w:p>
    <w:p>
      <w:pPr>
        <w:spacing w:after="0" w:line="10" w:lineRule="exact"/>
        <w:rPr>
          <w:sz w:val="20"/>
          <w:szCs w:val="20"/>
          <w:color w:val="auto"/>
        </w:rPr>
      </w:pPr>
    </w:p>
    <w:p>
      <w:pPr>
        <w:jc w:val="both"/>
        <w:ind w:left="1457" w:hanging="531"/>
        <w:spacing w:after="0" w:line="252" w:lineRule="auto"/>
        <w:rPr>
          <w:sz w:val="20"/>
          <w:szCs w:val="20"/>
          <w:color w:val="auto"/>
        </w:rPr>
      </w:pPr>
      <w:r>
        <w:rPr>
          <w:rFonts w:ascii="Arial" w:cs="Arial" w:eastAsia="Arial" w:hAnsi="Arial"/>
          <w:sz w:val="17"/>
          <w:szCs w:val="17"/>
          <w:color w:val="auto"/>
        </w:rPr>
        <w:t>11.1.5 Authorization of actions and transactions requiring the authorization of the general meeting in accordance with the provisions of the Companies Law and any other law;</w:t>
      </w:r>
    </w:p>
    <w:p>
      <w:pPr>
        <w:spacing w:after="0" w:line="1"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11.1.6  Increasing and decreasing the registered share capital;</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11.1.7  Merger as defined in the Companies Law.</w:t>
      </w:r>
    </w:p>
    <w:p>
      <w:pPr>
        <w:spacing w:after="0" w:line="231" w:lineRule="exact"/>
        <w:rPr>
          <w:sz w:val="20"/>
          <w:szCs w:val="20"/>
          <w:color w:val="auto"/>
        </w:rPr>
      </w:pPr>
    </w:p>
    <w:p>
      <w:pPr>
        <w:ind w:left="997" w:hanging="462"/>
        <w:spacing w:after="0" w:line="259" w:lineRule="auto"/>
        <w:tabs>
          <w:tab w:leader="none" w:pos="977" w:val="left"/>
        </w:tabs>
        <w:rPr>
          <w:sz w:val="20"/>
          <w:szCs w:val="20"/>
          <w:color w:val="auto"/>
        </w:rPr>
      </w:pPr>
      <w:r>
        <w:rPr>
          <w:rFonts w:ascii="Arial" w:cs="Arial" w:eastAsia="Arial" w:hAnsi="Arial"/>
          <w:sz w:val="17"/>
          <w:szCs w:val="17"/>
          <w:color w:val="auto"/>
        </w:rPr>
        <w:t>11.2</w:t>
        <w:tab/>
        <w:t>Subject to the provisions of the law, the general meeting is entitled to assume authorities granted to another organ in the Company, including the Board of Directors, for a particular matter or for a given period of time.</w:t>
      </w:r>
    </w:p>
    <w:p>
      <w:pPr>
        <w:spacing w:after="0" w:line="1" w:lineRule="exact"/>
        <w:rPr>
          <w:sz w:val="20"/>
          <w:szCs w:val="20"/>
          <w:color w:val="auto"/>
        </w:rPr>
      </w:pPr>
    </w:p>
    <w:p>
      <w:pPr>
        <w:jc w:val="both"/>
        <w:ind w:left="917"/>
        <w:spacing w:after="0" w:line="259" w:lineRule="auto"/>
        <w:rPr>
          <w:sz w:val="20"/>
          <w:szCs w:val="20"/>
          <w:color w:val="auto"/>
        </w:rPr>
      </w:pPr>
      <w:r>
        <w:rPr>
          <w:rFonts w:ascii="Arial" w:cs="Arial" w:eastAsia="Arial" w:hAnsi="Arial"/>
          <w:sz w:val="17"/>
          <w:szCs w:val="17"/>
          <w:color w:val="auto"/>
        </w:rPr>
        <w:t>If the general meeting has assumed authorities granted to the Board of Directors in accordance with the Companies Law, the shareholders shall bear the same rights, obligations, and liability as apply to the Board of Directors regarding the exercising of those same authorities, as detailed in Article 50 of the Companies Law, as this shall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381000</wp:posOffset>
            </wp:positionV>
            <wp:extent cx="725741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194" w:name="page195"/>
    <w:bookmarkEnd w:id="194"/>
    <w:p>
      <w:pPr>
        <w:ind w:left="497" w:hanging="497"/>
        <w:spacing w:after="0"/>
        <w:tabs>
          <w:tab w:leader="none" w:pos="497" w:val="left"/>
        </w:tabs>
        <w:numPr>
          <w:ilvl w:val="0"/>
          <w:numId w:val="110"/>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Convening of General Meetings</w:t>
      </w:r>
    </w:p>
    <w:p>
      <w:pPr>
        <w:spacing w:after="0" w:line="27"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12.1</w:t>
        <w:tab/>
        <w:t>General meetings shall be convened at least once a year at such a venue and on such a date as shall be determined by the Board of Directors, and subject to the provisions of the law, but not later than 15 months after the previous general meeting. These general meetings shall be called “annual meetings.” The remaining meetings of the Company shall be called “extraordinary meetings.”</w:t>
      </w:r>
    </w:p>
    <w:p>
      <w:pPr>
        <w:spacing w:after="0" w:line="205" w:lineRule="exact"/>
        <w:rPr>
          <w:sz w:val="20"/>
          <w:szCs w:val="20"/>
          <w:color w:val="auto"/>
        </w:rPr>
      </w:pPr>
    </w:p>
    <w:p>
      <w:pPr>
        <w:jc w:val="both"/>
        <w:ind w:left="997" w:hanging="462"/>
        <w:spacing w:after="0" w:line="261" w:lineRule="auto"/>
        <w:tabs>
          <w:tab w:leader="none" w:pos="977" w:val="left"/>
        </w:tabs>
        <w:rPr>
          <w:sz w:val="20"/>
          <w:szCs w:val="20"/>
          <w:color w:val="auto"/>
        </w:rPr>
      </w:pPr>
      <w:r>
        <w:rPr>
          <w:rFonts w:ascii="Arial" w:cs="Arial" w:eastAsia="Arial" w:hAnsi="Arial"/>
          <w:sz w:val="17"/>
          <w:szCs w:val="17"/>
          <w:color w:val="auto"/>
        </w:rPr>
        <w:t>12.2</w:t>
        <w:tab/>
        <w:t>The agenda at the annual meeting shall include discussion of the report of the Board of Directors and financial statements as required by law. The annual meeting shall appoint an auditing accountant; shall appoint the directors in accordance with these Articles; and shall discuss all other matters to be discussed at the annual meeting of the Company in accordance with these Articles or in accordance with the Companies Law, as well as any other matter as shall be determined by the Board of Directors.</w:t>
      </w:r>
    </w:p>
    <w:p>
      <w:pPr>
        <w:spacing w:after="0" w:line="204" w:lineRule="exact"/>
        <w:rPr>
          <w:sz w:val="20"/>
          <w:szCs w:val="20"/>
          <w:color w:val="auto"/>
        </w:rPr>
      </w:pPr>
    </w:p>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12.3</w:t>
        <w:tab/>
        <w:t>The Board of Directors is entitled to convene an extraordinary meeting in accordance with its decision, and must convene a general meeting if a written request is received from any of the following (hereinafter – “</w:t>
      </w:r>
      <w:r>
        <w:rPr>
          <w:rFonts w:ascii="Arial" w:cs="Arial" w:eastAsia="Arial" w:hAnsi="Arial"/>
          <w:sz w:val="17"/>
          <w:szCs w:val="17"/>
          <w:b w:val="1"/>
          <w:bCs w:val="1"/>
          <w:color w:val="auto"/>
        </w:rPr>
        <w:t>Request to Convene</w:t>
      </w:r>
      <w:r>
        <w:rPr>
          <w:rFonts w:ascii="Arial" w:cs="Arial" w:eastAsia="Arial" w:hAnsi="Arial"/>
          <w:sz w:val="17"/>
          <w:szCs w:val="17"/>
          <w:color w:val="auto"/>
        </w:rPr>
        <w:t>:”)</w:t>
      </w:r>
    </w:p>
    <w:p>
      <w:pPr>
        <w:spacing w:after="0" w:line="19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12.3.1 Two directors or one-fourth of the incumbent directors; and/or</w:t>
      </w:r>
    </w:p>
    <w:p>
      <w:pPr>
        <w:spacing w:after="0" w:line="21" w:lineRule="exact"/>
        <w:rPr>
          <w:sz w:val="20"/>
          <w:szCs w:val="20"/>
          <w:color w:val="auto"/>
        </w:rPr>
      </w:pPr>
    </w:p>
    <w:p>
      <w:pPr>
        <w:ind w:left="937"/>
        <w:spacing w:after="0"/>
        <w:rPr>
          <w:sz w:val="20"/>
          <w:szCs w:val="20"/>
          <w:color w:val="auto"/>
        </w:rPr>
      </w:pPr>
      <w:r>
        <w:rPr>
          <w:rFonts w:ascii="Arial" w:cs="Arial" w:eastAsia="Arial" w:hAnsi="Arial"/>
          <w:sz w:val="15"/>
          <w:szCs w:val="15"/>
          <w:color w:val="auto"/>
        </w:rPr>
        <w:t>12.3.2 One or more shareholders holding at least five percent of the issued capital and at least one percent of the voting rights in the Company; and/or</w:t>
      </w:r>
    </w:p>
    <w:p>
      <w:pPr>
        <w:spacing w:after="0" w:line="33"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12.3.3 One or more shareholders holding at least five percent of the voting rights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741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195" w:name="page196"/>
    <w:bookmarkEnd w:id="195"/>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12.4</w:t>
        <w:tab/>
        <w:t>Any Request to Convene must specify the goals for whose purpose the meeting is to be convened, and shall be signed by those requesting the convening and delivered at the Company’s registered office. The request may consist of a number of documents of identical format, each signed by one or more individuals making the request.</w:t>
      </w:r>
    </w:p>
    <w:p>
      <w:pPr>
        <w:spacing w:after="0" w:line="201" w:lineRule="exact"/>
        <w:rPr>
          <w:sz w:val="20"/>
          <w:szCs w:val="20"/>
          <w:color w:val="auto"/>
        </w:rPr>
      </w:pPr>
    </w:p>
    <w:p>
      <w:pPr>
        <w:jc w:val="both"/>
        <w:ind w:left="997" w:hanging="462"/>
        <w:spacing w:after="0" w:line="311" w:lineRule="auto"/>
        <w:tabs>
          <w:tab w:leader="none" w:pos="977"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6"/>
          <w:szCs w:val="16"/>
          <w:color w:val="auto"/>
        </w:rPr>
        <w:t>A Board of Directors required to convene an extraordinary meeting shall convene such meeting within twenty-one days from the date on which the Request to Convene was submitted thereto, for a date determined in an invitation in accordance with section 12.6 below and subject to any law.</w:t>
      </w:r>
    </w:p>
    <w:p>
      <w:pPr>
        <w:spacing w:after="0" w:line="166" w:lineRule="exact"/>
        <w:rPr>
          <w:sz w:val="20"/>
          <w:szCs w:val="20"/>
          <w:color w:val="auto"/>
        </w:rPr>
      </w:pPr>
    </w:p>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12.6</w:t>
        <w:tab/>
        <w:t>Notification of the members of the Company regarding the convening of a general meeting shall be published or delivered to all the shareholders registered in the registry of shareholders in the Company in accordance with the requirements of the law. The notification shall include the agenda, the proposed decisions, and arrangements regarding voting in writing.</w:t>
      </w:r>
    </w:p>
    <w:p>
      <w:pPr>
        <w:spacing w:after="0" w:line="195" w:lineRule="exact"/>
        <w:rPr>
          <w:sz w:val="20"/>
          <w:szCs w:val="20"/>
          <w:color w:val="auto"/>
        </w:rPr>
      </w:pPr>
    </w:p>
    <w:p>
      <w:pPr>
        <w:ind w:left="497" w:hanging="497"/>
        <w:spacing w:after="0"/>
        <w:tabs>
          <w:tab w:leader="none" w:pos="497" w:val="left"/>
        </w:tabs>
        <w:numPr>
          <w:ilvl w:val="0"/>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Discussion at General Meetings</w:t>
      </w:r>
    </w:p>
    <w:p>
      <w:pPr>
        <w:spacing w:after="0" w:line="27"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13.1</w:t>
        <w:tab/>
        <w:t>The discussion at the general meeting shall be opened only if a legal quorum is present at the time the discussion begins. A legal quorum is the presence of at least two shareholders holding at least 25 percent of the voting rights (including presence by means of proxy or through a letter of voting) within one half-hour from the time specified for the opening of the meeting.</w:t>
      </w:r>
    </w:p>
    <w:p>
      <w:pPr>
        <w:spacing w:after="0" w:line="205"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13.2</w:t>
        <w:tab/>
        <w:t>If, at the end of one half-hour from the time specified for the opening of the meeting, no legal quorum is present, the meeting shall be postponed by one week, to the same day, the same hour, and the same venue, or to a later date, if specified on the invitation to the meeting or in the notification of the meeting (hereinafter – “</w:t>
      </w:r>
      <w:r>
        <w:rPr>
          <w:rFonts w:ascii="Arial" w:cs="Arial" w:eastAsia="Arial" w:hAnsi="Arial"/>
          <w:sz w:val="17"/>
          <w:szCs w:val="17"/>
          <w:b w:val="1"/>
          <w:bCs w:val="1"/>
          <w:color w:val="auto"/>
        </w:rPr>
        <w:t>the Postponed Meeting</w:t>
      </w:r>
      <w:r>
        <w:rPr>
          <w:rFonts w:ascii="Arial" w:cs="Arial" w:eastAsia="Arial" w:hAnsi="Arial"/>
          <w:sz w:val="17"/>
          <w:szCs w:val="17"/>
          <w:color w:val="auto"/>
        </w:rPr>
        <w:t xml:space="preserve">.”) Notification and invitation regarding a Postponed Meeting postponed for a period of not more than 21 days shall be made not later than seventy-two hours prior to the Postponed Meeting. Notification of a Postponed Meeting shall be made as stated in section 12.6,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25741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6" w:name="page197"/>
    <w:bookmarkEnd w:id="196"/>
    <w:p>
      <w:pPr>
        <w:ind w:left="537"/>
        <w:spacing w:after="0"/>
        <w:tabs>
          <w:tab w:leader="none" w:pos="977"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5"/>
          <w:szCs w:val="15"/>
          <w:color w:val="auto"/>
        </w:rPr>
        <w:t>The legal quorum for commencing a Postponed Meeting shall be any number of participants.</w:t>
      </w:r>
    </w:p>
    <w:p>
      <w:pPr>
        <w:spacing w:after="0" w:line="242" w:lineRule="exact"/>
        <w:rPr>
          <w:sz w:val="20"/>
          <w:szCs w:val="20"/>
          <w:color w:val="auto"/>
        </w:rPr>
      </w:pPr>
    </w:p>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13.4</w:t>
        <w:tab/>
        <w:t>The chairperson of the Board of Directors shall serve as the chairperson of the general meeting. If the chairperson of the Board of Directors is absent from the meeting after 15 minutes from the time specified for the meeting, or if he refuses to serve as the chairperson of the meeting, the chairperson shall be elected by the general meeting.</w:t>
      </w:r>
    </w:p>
    <w:p>
      <w:pPr>
        <w:spacing w:after="0" w:line="201" w:lineRule="exact"/>
        <w:rPr>
          <w:sz w:val="20"/>
          <w:szCs w:val="20"/>
          <w:color w:val="auto"/>
        </w:rPr>
      </w:pPr>
    </w:p>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13.5</w:t>
        <w:tab/>
        <w:t>A general meeting with a legal quorum is entitled to decide on the postponement of the meeting to another date and to such venue as shall be determined and, in this case, notifications and invitations to the Postponed Meeting shall be made as stated in section 13.2 above.</w:t>
      </w:r>
    </w:p>
    <w:p>
      <w:pPr>
        <w:spacing w:after="0" w:line="184" w:lineRule="exact"/>
        <w:rPr>
          <w:sz w:val="20"/>
          <w:szCs w:val="20"/>
          <w:color w:val="auto"/>
        </w:rPr>
      </w:pPr>
    </w:p>
    <w:p>
      <w:pPr>
        <w:ind w:left="497" w:hanging="497"/>
        <w:spacing w:after="0"/>
        <w:tabs>
          <w:tab w:leader="none" w:pos="497" w:val="left"/>
        </w:tabs>
        <w:numPr>
          <w:ilvl w:val="0"/>
          <w:numId w:val="112"/>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at a General Meeting</w:t>
      </w:r>
    </w:p>
    <w:p>
      <w:pPr>
        <w:spacing w:after="0" w:line="27"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5"/>
          <w:szCs w:val="15"/>
          <w:color w:val="auto"/>
        </w:rPr>
        <w:t>A shareholder in the Company shall be entitled to vote at general meetings in person or by means of a proxy or a letter of voting.</w:t>
      </w:r>
    </w:p>
    <w:p>
      <w:pPr>
        <w:spacing w:after="0" w:line="10" w:lineRule="exact"/>
        <w:rPr>
          <w:sz w:val="20"/>
          <w:szCs w:val="20"/>
          <w:color w:val="auto"/>
        </w:rPr>
      </w:pPr>
    </w:p>
    <w:p>
      <w:pPr>
        <w:ind w:left="957"/>
        <w:spacing w:after="0" w:line="265" w:lineRule="auto"/>
        <w:rPr>
          <w:sz w:val="20"/>
          <w:szCs w:val="20"/>
          <w:color w:val="auto"/>
        </w:rPr>
      </w:pPr>
      <w:r>
        <w:rPr>
          <w:rFonts w:ascii="Arial" w:cs="Arial" w:eastAsia="Arial" w:hAnsi="Arial"/>
          <w:sz w:val="17"/>
          <w:szCs w:val="17"/>
          <w:color w:val="auto"/>
        </w:rPr>
        <w:t>Shareholders entitled to participate in and vote at the general meeting are the shareholders as of such date as shall be determined by the Board of Directors in the decision to convene the general meeting, and subject to any law.</w:t>
      </w:r>
    </w:p>
    <w:p>
      <w:pPr>
        <w:spacing w:after="0" w:line="201"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In any vote, each shareholder shall have a number of votes equivalent to the number of shares in their possession entitling the holder to a vote.</w:t>
      </w:r>
    </w:p>
    <w:p>
      <w:pPr>
        <w:spacing w:after="0" w:line="242" w:lineRule="exact"/>
        <w:rPr>
          <w:sz w:val="20"/>
          <w:szCs w:val="20"/>
          <w:color w:val="auto"/>
        </w:rPr>
      </w:pPr>
    </w:p>
    <w:p>
      <w:pPr>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14.3</w:t>
        <w:tab/>
        <w:t>A decision at the general meeting shall be taken by an ordinary majority unless another majority is determined in the Companies Law or in these Articles.</w:t>
      </w:r>
    </w:p>
    <w:p>
      <w:pPr>
        <w:spacing w:after="0" w:line="190" w:lineRule="exact"/>
        <w:rPr>
          <w:sz w:val="20"/>
          <w:szCs w:val="20"/>
          <w:color w:val="auto"/>
        </w:rPr>
      </w:pPr>
    </w:p>
    <w:p>
      <w:pPr>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14.4</w:t>
        <w:tab/>
        <w:t>The declaration by the chairperson of the meeting that a decision has been adopted unanimously or by a given majority, or rejected or not adopted by a given majority, shall constitute prima facie evidence of the content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7" w:name="page198"/>
    <w:bookmarkEnd w:id="197"/>
    <w:p>
      <w:pPr>
        <w:jc w:val="both"/>
        <w:ind w:left="80" w:hanging="462"/>
        <w:spacing w:after="0" w:line="278" w:lineRule="auto"/>
        <w:tabs>
          <w:tab w:leader="none" w:pos="60" w:val="left"/>
        </w:tabs>
        <w:rPr>
          <w:sz w:val="20"/>
          <w:szCs w:val="20"/>
          <w:color w:val="auto"/>
        </w:rPr>
      </w:pPr>
      <w:r>
        <w:rPr>
          <w:rFonts w:ascii="Arial" w:cs="Arial" w:eastAsia="Arial" w:hAnsi="Arial"/>
          <w:sz w:val="17"/>
          <w:szCs w:val="17"/>
          <w:color w:val="auto"/>
        </w:rPr>
        <w:t>14.5</w:t>
        <w:tab/>
        <w:t>If the votes at the meeting are equally divided, the chairperson of the meeting shall not have an additional or casting opinion and the decision presented for voting shall be rejected.</w:t>
      </w:r>
    </w:p>
    <w:p>
      <w:pPr>
        <w:spacing w:after="0" w:line="190" w:lineRule="exact"/>
        <w:rPr>
          <w:sz w:val="20"/>
          <w:szCs w:val="20"/>
          <w:color w:val="auto"/>
        </w:rPr>
      </w:pPr>
    </w:p>
    <w:p>
      <w:pPr>
        <w:jc w:val="both"/>
        <w:ind w:left="80" w:hanging="462"/>
        <w:spacing w:after="0" w:line="257" w:lineRule="auto"/>
        <w:tabs>
          <w:tab w:leader="none" w:pos="60" w:val="left"/>
        </w:tabs>
        <w:rPr>
          <w:sz w:val="20"/>
          <w:szCs w:val="20"/>
          <w:color w:val="auto"/>
        </w:rPr>
      </w:pPr>
      <w:r>
        <w:rPr>
          <w:rFonts w:ascii="Arial" w:cs="Arial" w:eastAsia="Arial" w:hAnsi="Arial"/>
          <w:sz w:val="17"/>
          <w:szCs w:val="17"/>
          <w:color w:val="auto"/>
        </w:rPr>
        <w:t>14.6</w:t>
        <w:tab/>
        <w:t>Subject to any law, the shareholders in the Company are entitled to vote in any matter on the agenda of a general meeting (including type meetings) by means of a letter of voting, provided that the Board of Directors, subject to any law, has not negated in its decision to convene the general meeting the possibility of voting by means of a letter of voting on that matter.</w:t>
      </w:r>
    </w:p>
    <w:p>
      <w:pPr>
        <w:ind w:right="120"/>
        <w:spacing w:after="0" w:line="265" w:lineRule="auto"/>
        <w:rPr>
          <w:sz w:val="20"/>
          <w:szCs w:val="20"/>
          <w:color w:val="auto"/>
        </w:rPr>
      </w:pPr>
      <w:r>
        <w:rPr>
          <w:rFonts w:ascii="Arial" w:cs="Arial" w:eastAsia="Arial" w:hAnsi="Arial"/>
          <w:sz w:val="17"/>
          <w:szCs w:val="17"/>
          <w:color w:val="auto"/>
        </w:rPr>
        <w:t>If the Board of Directors has prohibited voting by means of a letter of voting, the fact of the negation of the possibility of voting by means of a letter of voting shall be stated in the notification of the convening of the meeting in accordance with section 12.6 above.</w:t>
      </w:r>
    </w:p>
    <w:p>
      <w:pPr>
        <w:spacing w:after="0" w:line="201" w:lineRule="exact"/>
        <w:rPr>
          <w:sz w:val="20"/>
          <w:szCs w:val="20"/>
          <w:color w:val="auto"/>
        </w:rPr>
      </w:pPr>
    </w:p>
    <w:p>
      <w:pPr>
        <w:jc w:val="both"/>
        <w:ind w:left="80" w:hanging="462"/>
        <w:spacing w:after="0" w:line="261" w:lineRule="auto"/>
        <w:tabs>
          <w:tab w:leader="none" w:pos="60" w:val="left"/>
        </w:tabs>
        <w:rPr>
          <w:sz w:val="20"/>
          <w:szCs w:val="20"/>
          <w:color w:val="auto"/>
        </w:rPr>
      </w:pPr>
      <w:r>
        <w:rPr>
          <w:rFonts w:ascii="Arial" w:cs="Arial" w:eastAsia="Arial" w:hAnsi="Arial"/>
          <w:sz w:val="17"/>
          <w:szCs w:val="17"/>
          <w:color w:val="auto"/>
        </w:rPr>
        <w:t>14.7</w:t>
        <w:tab/>
        <w:t>A shareholder is entitled to state the manner of his vote in the letter of voting and to deliver this to the Company up to 48 hours prior to the time of commencement of the meeting. A letter of voting stating the manner of voting of the shareholder reaching the Company at least 48 hours prior to the time of commencement of the meeting shall be considered tantamount to presence at the meeting, including for the matter of the presence of the legal quorum as stated in section 13.1 above.</w:t>
      </w:r>
    </w:p>
    <w:p>
      <w:pPr>
        <w:spacing w:after="0" w:line="198" w:lineRule="exact"/>
        <w:rPr>
          <w:sz w:val="20"/>
          <w:szCs w:val="20"/>
          <w:color w:val="auto"/>
        </w:rPr>
      </w:pPr>
    </w:p>
    <w:p>
      <w:pPr>
        <w:jc w:val="both"/>
        <w:ind w:left="80" w:hanging="462"/>
        <w:spacing w:after="0" w:line="286" w:lineRule="auto"/>
        <w:tabs>
          <w:tab w:leader="none" w:pos="60" w:val="left"/>
        </w:tabs>
        <w:rPr>
          <w:sz w:val="20"/>
          <w:szCs w:val="20"/>
          <w:color w:val="auto"/>
        </w:rPr>
      </w:pPr>
      <w:r>
        <w:rPr>
          <w:rFonts w:ascii="Arial" w:cs="Arial" w:eastAsia="Arial" w:hAnsi="Arial"/>
          <w:sz w:val="17"/>
          <w:szCs w:val="17"/>
          <w:color w:val="auto"/>
        </w:rPr>
        <w:t>14.8</w:t>
        <w:tab/>
        <w:t>Appointment of a proxy shall be in writing, signed by the appointer (hereinafter – “</w:t>
      </w:r>
      <w:r>
        <w:rPr>
          <w:rFonts w:ascii="Arial" w:cs="Arial" w:eastAsia="Arial" w:hAnsi="Arial"/>
          <w:sz w:val="17"/>
          <w:szCs w:val="17"/>
          <w:b w:val="1"/>
          <w:bCs w:val="1"/>
          <w:color w:val="auto"/>
        </w:rPr>
        <w:t>Power of Attorney</w:t>
      </w:r>
      <w:r>
        <w:rPr>
          <w:rFonts w:ascii="Arial" w:cs="Arial" w:eastAsia="Arial" w:hAnsi="Arial"/>
          <w:sz w:val="17"/>
          <w:szCs w:val="17"/>
          <w:color w:val="auto"/>
        </w:rPr>
        <w:t>.”) A corporation shall vote by means of its representatives, who shall be appointed in a document signed properly by the corporation (hereinafter – “</w:t>
      </w:r>
      <w:r>
        <w:rPr>
          <w:rFonts w:ascii="Arial" w:cs="Arial" w:eastAsia="Arial" w:hAnsi="Arial"/>
          <w:sz w:val="17"/>
          <w:szCs w:val="17"/>
          <w:b w:val="1"/>
          <w:bCs w:val="1"/>
          <w:color w:val="auto"/>
        </w:rPr>
        <w:t>Letter of Appointment</w:t>
      </w:r>
      <w:r>
        <w:rPr>
          <w:rFonts w:ascii="Arial" w:cs="Arial" w:eastAsia="Arial" w:hAnsi="Arial"/>
          <w:sz w:val="17"/>
          <w:szCs w:val="17"/>
          <w:color w:val="auto"/>
        </w:rPr>
        <w:t>.”)</w:t>
      </w:r>
    </w:p>
    <w:p>
      <w:pPr>
        <w:spacing w:after="0" w:line="183" w:lineRule="exact"/>
        <w:rPr>
          <w:sz w:val="20"/>
          <w:szCs w:val="20"/>
          <w:color w:val="auto"/>
        </w:rPr>
      </w:pPr>
    </w:p>
    <w:p>
      <w:pPr>
        <w:jc w:val="both"/>
        <w:ind w:left="80" w:hanging="462"/>
        <w:spacing w:after="0" w:line="261" w:lineRule="auto"/>
        <w:tabs>
          <w:tab w:leader="none" w:pos="60" w:val="left"/>
        </w:tabs>
        <w:rPr>
          <w:sz w:val="20"/>
          <w:szCs w:val="20"/>
          <w:color w:val="auto"/>
        </w:rPr>
      </w:pPr>
      <w:r>
        <w:rPr>
          <w:rFonts w:ascii="Arial" w:cs="Arial" w:eastAsia="Arial" w:hAnsi="Arial"/>
          <w:sz w:val="17"/>
          <w:szCs w:val="17"/>
          <w:color w:val="auto"/>
        </w:rPr>
        <w:t>14.9</w:t>
        <w:tab/>
        <w:t>A vote in accordance with the conditions of a Power of Attorney shall be lawful even if the appointer dies before the voting, or becomes legally incompetent, is liquidated, becomes bankrupt, nullifies the Letter of Appointment, or transfers the share regarding which it was given, unless written notification is received at the Company’s office prior to the meeting that the shareholder has died, become legally incompetent, been liquidated, become bankrupt, or has nullified the Letter of Appointment or transferred the shares as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380365</wp:posOffset>
            </wp:positionV>
            <wp:extent cx="725741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500"/>
          </w:cols>
          <w:pgMar w:left="1160" w:top="500" w:right="239" w:bottom="1440" w:gutter="0" w:footer="0" w:header="0"/>
        </w:sectPr>
      </w:pPr>
    </w:p>
    <w:bookmarkStart w:id="198" w:name="page199"/>
    <w:bookmarkEnd w:id="198"/>
    <w:p>
      <w:pPr>
        <w:jc w:val="both"/>
        <w:ind w:left="997" w:hanging="462"/>
        <w:spacing w:after="0" w:line="265" w:lineRule="auto"/>
        <w:rPr>
          <w:sz w:val="20"/>
          <w:szCs w:val="20"/>
          <w:color w:val="auto"/>
        </w:rPr>
      </w:pPr>
      <w:r>
        <w:rPr>
          <w:rFonts w:ascii="Arial" w:cs="Arial" w:eastAsia="Arial" w:hAnsi="Arial"/>
          <w:sz w:val="17"/>
          <w:szCs w:val="17"/>
          <w:color w:val="auto"/>
        </w:rPr>
        <w:t>14.10 The Letter of Appointment and the Power of Attorney, or a copy authorized by an attorney, shall be deposited at the Company’s registered offices at least forty eight (48) hours prior to the time determined for the meeting or for the Postponed Meeting at which the person mentioned in the document intends to vote in accordance therewith.</w:t>
      </w:r>
    </w:p>
    <w:p>
      <w:pPr>
        <w:spacing w:after="0" w:line="201" w:lineRule="exact"/>
        <w:rPr>
          <w:sz w:val="20"/>
          <w:szCs w:val="20"/>
          <w:color w:val="auto"/>
        </w:rPr>
      </w:pPr>
    </w:p>
    <w:p>
      <w:pPr>
        <w:jc w:val="both"/>
        <w:ind w:left="997" w:hanging="462"/>
        <w:spacing w:after="0" w:line="265" w:lineRule="auto"/>
        <w:rPr>
          <w:sz w:val="20"/>
          <w:szCs w:val="20"/>
          <w:color w:val="auto"/>
        </w:rPr>
      </w:pPr>
      <w:r>
        <w:rPr>
          <w:rFonts w:ascii="Arial" w:cs="Arial" w:eastAsia="Arial" w:hAnsi="Arial"/>
          <w:sz w:val="17"/>
          <w:szCs w:val="17"/>
          <w:color w:val="auto"/>
        </w:rPr>
        <w:t>14.11 A shareholder in the Company shall be entitled to vote at the Company’s meetings by means of several proxies appointed thereby, provided that each proxy shall be appointed on account of different sections of the shares held by the said shareholder. There shall be no impediment to each proxy as stated voting in a different manner in the Company’s meetings.</w:t>
      </w:r>
    </w:p>
    <w:p>
      <w:pPr>
        <w:spacing w:after="0" w:line="201" w:lineRule="exact"/>
        <w:rPr>
          <w:sz w:val="20"/>
          <w:szCs w:val="20"/>
          <w:color w:val="auto"/>
        </w:rPr>
      </w:pPr>
    </w:p>
    <w:p>
      <w:pPr>
        <w:jc w:val="both"/>
        <w:ind w:left="997" w:hanging="462"/>
        <w:spacing w:after="0" w:line="278" w:lineRule="auto"/>
        <w:rPr>
          <w:sz w:val="20"/>
          <w:szCs w:val="20"/>
          <w:color w:val="auto"/>
        </w:rPr>
      </w:pPr>
      <w:r>
        <w:rPr>
          <w:rFonts w:ascii="Arial" w:cs="Arial" w:eastAsia="Arial" w:hAnsi="Arial"/>
          <w:sz w:val="17"/>
          <w:szCs w:val="17"/>
          <w:color w:val="auto"/>
        </w:rPr>
        <w:t>14.12 If a shareholder is legally incompetent, he is entitled to vote by means of his trustees, the recipient of his assets, his natural guardian or other legal guardian, and these are entitled to vote in person or by proxy or a Letter of Voting.</w:t>
      </w:r>
    </w:p>
    <w:p>
      <w:pPr>
        <w:spacing w:after="0" w:line="190" w:lineRule="exact"/>
        <w:rPr>
          <w:sz w:val="20"/>
          <w:szCs w:val="20"/>
          <w:color w:val="auto"/>
        </w:rPr>
      </w:pPr>
    </w:p>
    <w:p>
      <w:pPr>
        <w:jc w:val="both"/>
        <w:ind w:left="997" w:hanging="462"/>
        <w:spacing w:after="0" w:line="347" w:lineRule="auto"/>
        <w:rPr>
          <w:sz w:val="20"/>
          <w:szCs w:val="20"/>
          <w:color w:val="auto"/>
        </w:rPr>
      </w:pPr>
      <w:r>
        <w:rPr>
          <w:rFonts w:ascii="Arial" w:cs="Arial" w:eastAsia="Arial" w:hAnsi="Arial"/>
          <w:sz w:val="15"/>
          <w:szCs w:val="15"/>
          <w:color w:val="auto"/>
        </w:rPr>
        <w:t>14.13 When two or more persons are the joint owners of a share, in a vote on any matter the vote of the person whose name is registered first in the registry of shareholders as the owner of that share shall be accepted, whether in person or by proxy, and he is entitled to deliver Letters of Voting to the Company.</w:t>
      </w:r>
    </w:p>
    <w:p>
      <w:pPr>
        <w:spacing w:after="0" w:line="138" w:lineRule="exact"/>
        <w:rPr>
          <w:sz w:val="20"/>
          <w:szCs w:val="20"/>
          <w:color w:val="auto"/>
        </w:rPr>
      </w:pPr>
    </w:p>
    <w:p>
      <w:pPr>
        <w:ind w:left="497" w:hanging="497"/>
        <w:spacing w:after="0"/>
        <w:tabs>
          <w:tab w:leader="none" w:pos="497" w:val="left"/>
        </w:tabs>
        <w:numPr>
          <w:ilvl w:val="0"/>
          <w:numId w:val="113"/>
        </w:numPr>
        <w:rPr>
          <w:rFonts w:ascii="Arial" w:cs="Arial" w:eastAsia="Arial" w:hAnsi="Arial"/>
          <w:sz w:val="17"/>
          <w:szCs w:val="17"/>
          <w:color w:val="auto"/>
        </w:rPr>
      </w:pPr>
      <w:r>
        <w:rPr>
          <w:rFonts w:ascii="Arial" w:cs="Arial" w:eastAsia="Arial" w:hAnsi="Arial"/>
          <w:sz w:val="17"/>
          <w:szCs w:val="17"/>
          <w:b w:val="1"/>
          <w:bCs w:val="1"/>
          <w:u w:val="single" w:color="auto"/>
          <w:color w:val="auto"/>
        </w:rPr>
        <w:t>The Board of Directors</w:t>
      </w:r>
    </w:p>
    <w:p>
      <w:pPr>
        <w:spacing w:after="0" w:line="27" w:lineRule="exact"/>
        <w:rPr>
          <w:sz w:val="20"/>
          <w:szCs w:val="20"/>
          <w:color w:val="auto"/>
        </w:rPr>
      </w:pPr>
    </w:p>
    <w:p>
      <w:pPr>
        <w:jc w:val="both"/>
        <w:ind w:left="477"/>
        <w:spacing w:after="0" w:line="256" w:lineRule="auto"/>
        <w:rPr>
          <w:sz w:val="20"/>
          <w:szCs w:val="20"/>
          <w:color w:val="auto"/>
        </w:rPr>
      </w:pPr>
      <w:r>
        <w:rPr>
          <w:rFonts w:ascii="Arial" w:cs="Arial" w:eastAsia="Arial" w:hAnsi="Arial"/>
          <w:sz w:val="17"/>
          <w:szCs w:val="17"/>
          <w:color w:val="auto"/>
        </w:rPr>
        <w:t>The Board of Directors shall set the Company’s policy, supervise the execution of the functions and actions of the general director, and, within this, shall act and shall enjoy all the authorities detailed in Article 92 of the Companies Law. In addition, any authority not granted in the Companies Law or in these Articles to another organ may be exercised by the Board of Directors, in addition to the authorities and functions of the Board of Directors in accordance with the content of any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25741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199" w:name="page200"/>
    <w:bookmarkEnd w:id="199"/>
    <w:p>
      <w:pPr>
        <w:ind w:left="497" w:hanging="497"/>
        <w:spacing w:after="0"/>
        <w:tabs>
          <w:tab w:leader="none" w:pos="497" w:val="left"/>
        </w:tabs>
        <w:numPr>
          <w:ilvl w:val="0"/>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Appointment of the Board of Directors and Cessation of Office Thereof</w:t>
      </w:r>
    </w:p>
    <w:p>
      <w:pPr>
        <w:spacing w:after="0" w:line="27"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16.1</w:t>
        <w:tab/>
        <w:t>The number of directors in the Company shall be determined from time to time by the annual general meeting, provided that this shall not be fewer than 5 and not more than 10 directors, including external directors. The number of external directors in the Company shall not be less than the number determined in the Companies Law.</w:t>
      </w:r>
    </w:p>
    <w:p>
      <w:pPr>
        <w:spacing w:after="0" w:line="205" w:lineRule="exact"/>
        <w:rPr>
          <w:sz w:val="20"/>
          <w:szCs w:val="20"/>
          <w:color w:val="auto"/>
        </w:rPr>
      </w:pPr>
    </w:p>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16.2</w:t>
        <w:tab/>
        <w:t>The directors in the Company shall be elected at an annual meeting and/or an extraordinary meeting, and shall serve in their office for so long as they have not been replaced by the shareholders of the Company at an annual meeting and/or at an extraordinary meeting, or until they cease to serve in their office in accordance with the provisions of the Articles or any law, whichever is the earlier.</w:t>
      </w:r>
    </w:p>
    <w:p>
      <w:pPr>
        <w:spacing w:after="0" w:line="201" w:lineRule="exact"/>
        <w:rPr>
          <w:sz w:val="20"/>
          <w:szCs w:val="20"/>
          <w:color w:val="auto"/>
        </w:rPr>
      </w:pPr>
    </w:p>
    <w:p>
      <w:pPr>
        <w:jc w:val="both"/>
        <w:ind w:left="997" w:hanging="462"/>
        <w:spacing w:after="0" w:line="282" w:lineRule="auto"/>
        <w:tabs>
          <w:tab w:leader="none" w:pos="977"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color w:val="auto"/>
        </w:rPr>
        <w:t>In addition to the content of section 16.2 above, the Board of Directors is entitled to appoint a director in place of a director whose position has become vacant and/or by way of an addition to the Board of Directors, subject to the maximum number of directors on the Board of Directors as stated in section 16.1 above. The appointment of a director by the Board of Directors shall remain valid through the next annual meeting or until the director shall cease to serve in their office in accordance with the provisions of these Articles or of any law, whichever is the earlier.</w:t>
      </w:r>
    </w:p>
    <w:p>
      <w:pPr>
        <w:spacing w:after="0" w:line="190" w:lineRule="exact"/>
        <w:rPr>
          <w:sz w:val="20"/>
          <w:szCs w:val="20"/>
          <w:color w:val="auto"/>
        </w:rPr>
      </w:pPr>
    </w:p>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16.4</w:t>
        <w:tab/>
        <w:t>A director whose period of office has expired may be reelected, with the exception of an external director, who may be reelected for an additional period of office subject to the provisions of the law.</w:t>
      </w:r>
    </w:p>
    <w:p>
      <w:pPr>
        <w:spacing w:after="0" w:line="190" w:lineRule="exact"/>
        <w:rPr>
          <w:sz w:val="20"/>
          <w:szCs w:val="20"/>
          <w:color w:val="auto"/>
        </w:rPr>
      </w:pPr>
    </w:p>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16.5</w:t>
        <w:tab/>
        <w:t>The office of a director shall commence on the date of their appointment by the annual meeting and/or the extraordinary meeting and/or the Board of Directors, or on a later date if this date is determined in the decision of appointment of the annual meeting and/or the extraordinary meeting and/or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200" w:name="page201"/>
    <w:bookmarkEnd w:id="200"/>
    <w:p>
      <w:pPr>
        <w:jc w:val="both"/>
        <w:ind w:hanging="462"/>
        <w:spacing w:after="0" w:line="256" w:lineRule="auto"/>
        <w:rPr>
          <w:sz w:val="20"/>
          <w:szCs w:val="20"/>
          <w:color w:val="auto"/>
        </w:rPr>
      </w:pPr>
      <w:r>
        <w:rPr>
          <w:rFonts w:ascii="Arial" w:cs="Arial" w:eastAsia="Arial" w:hAnsi="Arial"/>
          <w:sz w:val="17"/>
          <w:szCs w:val="17"/>
          <w:color w:val="auto"/>
        </w:rPr>
        <w:t>16.6</w:t>
      </w:r>
      <w:r>
        <w:rPr>
          <w:sz w:val="20"/>
          <w:szCs w:val="20"/>
          <w:color w:val="auto"/>
        </w:rPr>
        <w:t xml:space="preserve"> </w:t>
      </w:r>
      <w:r>
        <w:rPr>
          <w:rFonts w:ascii="Arial" w:cs="Arial" w:eastAsia="Arial" w:hAnsi="Arial"/>
          <w:sz w:val="17"/>
          <w:szCs w:val="17"/>
          <w:color w:val="auto"/>
        </w:rPr>
        <w:t>The Board of Directors shall elect one of its members as the chairperson of the Board of Directors. The elected chairperson shall run the meetings of the Board of Directors and shall sign the minutes of the discussion. If no chairperson is elected, or if the chairperson of the Board of Directors is not present after 15 minutes from the time set for the meeting, the directors present shall choose one of their number to serve as the chairperson at that meeting, and the chosen member shall run the meeting and sign the minutes of the discussion.</w:t>
      </w:r>
    </w:p>
    <w:p>
      <w:pPr>
        <w:spacing w:after="0" w:line="265" w:lineRule="auto"/>
        <w:rPr>
          <w:sz w:val="20"/>
          <w:szCs w:val="20"/>
          <w:color w:val="auto"/>
        </w:rPr>
      </w:pPr>
      <w:r>
        <w:rPr>
          <w:rFonts w:ascii="Arial" w:cs="Arial" w:eastAsia="Arial" w:hAnsi="Arial"/>
          <w:sz w:val="17"/>
          <w:szCs w:val="17"/>
          <w:color w:val="auto"/>
        </w:rPr>
        <w:t>The chairperson of the Board of Directors shall not be the general director of the Company unless the conditions stipulated in Article 121(C) of the Companies Law apply.</w:t>
      </w:r>
    </w:p>
    <w:p>
      <w:pPr>
        <w:spacing w:after="0" w:line="201" w:lineRule="exact"/>
        <w:rPr>
          <w:sz w:val="20"/>
          <w:szCs w:val="20"/>
          <w:color w:val="auto"/>
        </w:rPr>
      </w:pPr>
    </w:p>
    <w:p>
      <w:pPr>
        <w:jc w:val="both"/>
        <w:ind w:hanging="462"/>
        <w:spacing w:after="0" w:line="265" w:lineRule="auto"/>
        <w:rPr>
          <w:sz w:val="20"/>
          <w:szCs w:val="20"/>
          <w:color w:val="auto"/>
        </w:rPr>
      </w:pPr>
      <w:r>
        <w:rPr>
          <w:rFonts w:ascii="Arial" w:cs="Arial" w:eastAsia="Arial" w:hAnsi="Arial"/>
          <w:sz w:val="17"/>
          <w:szCs w:val="17"/>
          <w:color w:val="auto"/>
        </w:rPr>
        <w:t>16.7</w:t>
      </w:r>
      <w:r>
        <w:rPr>
          <w:sz w:val="20"/>
          <w:szCs w:val="20"/>
          <w:color w:val="auto"/>
        </w:rPr>
        <w:t xml:space="preserve"> </w:t>
      </w:r>
      <w:r>
        <w:rPr>
          <w:rFonts w:ascii="Arial" w:cs="Arial" w:eastAsia="Arial" w:hAnsi="Arial"/>
          <w:sz w:val="17"/>
          <w:szCs w:val="17"/>
          <w:color w:val="auto"/>
        </w:rPr>
        <w:t>The general meeting is entitled to transfer any director from their office prior to the end of the period of their office, inter alia whether the director was appointed thereby in accordance with section 16.2 above or was appointed by the Board of Directors in accordance with section 16.3 above, provided that the director shall be given a reasonable opportunity to state their case before the general meeting.</w:t>
      </w:r>
    </w:p>
    <w:p>
      <w:pPr>
        <w:spacing w:after="0" w:line="195" w:lineRule="exact"/>
        <w:rPr>
          <w:sz w:val="20"/>
          <w:szCs w:val="20"/>
          <w:color w:val="auto"/>
        </w:rPr>
      </w:pPr>
    </w:p>
    <w:p>
      <w:pPr>
        <w:jc w:val="both"/>
        <w:ind w:hanging="462"/>
        <w:spacing w:after="0" w:line="259" w:lineRule="auto"/>
        <w:rPr>
          <w:sz w:val="20"/>
          <w:szCs w:val="20"/>
          <w:color w:val="auto"/>
        </w:rPr>
      </w:pPr>
      <w:r>
        <w:rPr>
          <w:rFonts w:ascii="Arial" w:cs="Arial" w:eastAsia="Arial" w:hAnsi="Arial"/>
          <w:sz w:val="17"/>
          <w:szCs w:val="17"/>
          <w:color w:val="auto"/>
        </w:rPr>
        <w:t>16.8</w:t>
      </w:r>
      <w:r>
        <w:rPr>
          <w:sz w:val="20"/>
          <w:szCs w:val="20"/>
          <w:color w:val="auto"/>
        </w:rPr>
        <w:t xml:space="preserve"> </w:t>
      </w:r>
      <w:r>
        <w:rPr>
          <w:rFonts w:ascii="Arial" w:cs="Arial" w:eastAsia="Arial" w:hAnsi="Arial"/>
          <w:sz w:val="17"/>
          <w:szCs w:val="17"/>
          <w:color w:val="auto"/>
        </w:rPr>
        <w:t>Any director is entitled, with the agreement of the Board of Directors, to appoint a substitute for themselves (hereinafter – “</w:t>
      </w:r>
      <w:r>
        <w:rPr>
          <w:rFonts w:ascii="Arial" w:cs="Arial" w:eastAsia="Arial" w:hAnsi="Arial"/>
          <w:sz w:val="17"/>
          <w:szCs w:val="17"/>
          <w:b w:val="1"/>
          <w:bCs w:val="1"/>
          <w:color w:val="auto"/>
        </w:rPr>
        <w:t>a Substitute Director</w:t>
      </w:r>
      <w:r>
        <w:rPr>
          <w:rFonts w:ascii="Arial" w:cs="Arial" w:eastAsia="Arial" w:hAnsi="Arial"/>
          <w:sz w:val="17"/>
          <w:szCs w:val="17"/>
          <w:color w:val="auto"/>
        </w:rPr>
        <w:t>,”) provided that a person who is not competent shall not be appointed to serve as a Substitute Director, nor a person who has been appointed as a Substitute Director for another director and/or a person who is already serving as a director in the Company.</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appointment or cessation of office of a Substitute Director shall be made in a written document signed by the director who appointed him; in any case, however, the office of a Substitute Director shall be terminated if one of the cases stipulated in the paragraphs in section 16.9 below shall apply, or if the office of the member of the Board of Directors for whom he serves as a substitute shall become vacant for any reason.</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Substitute Director is considered tantamount to a director and all the legal provisions and the provisions of these Articles shall apply, with the exception of the provisions regarding the appointment and/or dismissal of a director as established in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377825</wp:posOffset>
            </wp:positionV>
            <wp:extent cx="7257415"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20"/>
          </w:cols>
          <w:pgMar w:left="1240" w:top="500" w:right="239" w:bottom="1440" w:gutter="0" w:footer="0" w:header="0"/>
        </w:sectPr>
      </w:pPr>
    </w:p>
    <w:bookmarkStart w:id="201" w:name="page202"/>
    <w:bookmarkEnd w:id="201"/>
    <w:p>
      <w:pPr>
        <w:ind w:left="537"/>
        <w:spacing w:after="0"/>
        <w:tabs>
          <w:tab w:leader="none" w:pos="977"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5"/>
          <w:szCs w:val="15"/>
          <w:color w:val="auto"/>
        </w:rPr>
        <w:t>The office of a director shall become vacant in any of the following cases:</w:t>
      </w:r>
    </w:p>
    <w:p>
      <w:pPr>
        <w:spacing w:after="0" w:line="21" w:lineRule="exact"/>
        <w:rPr>
          <w:sz w:val="20"/>
          <w:szCs w:val="20"/>
          <w:color w:val="auto"/>
        </w:rPr>
      </w:pPr>
    </w:p>
    <w:p>
      <w:pPr>
        <w:ind w:left="937"/>
        <w:spacing w:after="0"/>
        <w:rPr>
          <w:sz w:val="20"/>
          <w:szCs w:val="20"/>
          <w:color w:val="auto"/>
        </w:rPr>
      </w:pPr>
      <w:r>
        <w:rPr>
          <w:rFonts w:ascii="Arial" w:cs="Arial" w:eastAsia="Arial" w:hAnsi="Arial"/>
          <w:sz w:val="16"/>
          <w:szCs w:val="16"/>
          <w:color w:val="auto"/>
        </w:rPr>
        <w:t>16.9.1 He resigns from his office by means of a letter signed in his hand, submitted to the Company and detailing the reasons for his resignation;</w:t>
      </w:r>
    </w:p>
    <w:p>
      <w:pPr>
        <w:spacing w:after="0" w:line="22"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16.9.2 He is removed from his office by the general meeting;</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16.9.3 He is convicted of an offense as stated in Article 232 of the Companies Law;</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16.9.4 In accordance with a court decision as stated in Article 233 of the Companies Law;</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7"/>
          <w:szCs w:val="17"/>
          <w:color w:val="auto"/>
        </w:rPr>
        <w:t>16.9.5 He is declared legally incompetent;</w:t>
      </w:r>
    </w:p>
    <w:p>
      <w:pPr>
        <w:spacing w:after="0" w:line="10" w:lineRule="exact"/>
        <w:rPr>
          <w:sz w:val="20"/>
          <w:szCs w:val="20"/>
          <w:color w:val="auto"/>
        </w:rPr>
      </w:pPr>
    </w:p>
    <w:p>
      <w:pPr>
        <w:ind w:left="937"/>
        <w:spacing w:after="0"/>
        <w:rPr>
          <w:sz w:val="20"/>
          <w:szCs w:val="20"/>
          <w:color w:val="auto"/>
        </w:rPr>
      </w:pPr>
      <w:r>
        <w:rPr>
          <w:rFonts w:ascii="Arial" w:cs="Arial" w:eastAsia="Arial" w:hAnsi="Arial"/>
          <w:sz w:val="16"/>
          <w:szCs w:val="16"/>
          <w:color w:val="auto"/>
        </w:rPr>
        <w:t>16.9.6 He is declared bankrupt and, if the director is a corporation – it opted for voluntary liquidation or a liquidation order was issued against it.</w:t>
      </w:r>
    </w:p>
    <w:p>
      <w:pPr>
        <w:spacing w:after="0" w:line="242" w:lineRule="exact"/>
        <w:rPr>
          <w:sz w:val="20"/>
          <w:szCs w:val="20"/>
          <w:color w:val="auto"/>
        </w:rPr>
      </w:pPr>
    </w:p>
    <w:p>
      <w:pPr>
        <w:jc w:val="both"/>
        <w:ind w:left="997" w:hanging="462"/>
        <w:spacing w:after="0" w:line="279" w:lineRule="auto"/>
        <w:rPr>
          <w:sz w:val="20"/>
          <w:szCs w:val="20"/>
          <w:color w:val="auto"/>
        </w:rPr>
      </w:pPr>
      <w:r>
        <w:rPr>
          <w:rFonts w:ascii="Arial" w:cs="Arial" w:eastAsia="Arial" w:hAnsi="Arial"/>
          <w:sz w:val="16"/>
          <w:szCs w:val="16"/>
          <w:color w:val="auto"/>
        </w:rPr>
        <w:t>16.10 In the event that the position of a director becomes vacant, the remaining directors shall be entitled to continue to act, provided the number of directors remaining shall not be less than the minimum number of directors as stated above in section 16.1 above. If the number of directors falls below the above-mentioned minimum number, the remaining directors shall be entitled to act solely in order to fill the place of the director that has become vacant as stated in section 16.3 above, or in order to convene a general meeting of the Company, and pending the convening of the general meeting of the Company as stated they may act to manage the Company’s affairs solely in matters that cannot be delayed.</w:t>
      </w:r>
    </w:p>
    <w:p>
      <w:pPr>
        <w:spacing w:after="0" w:line="191" w:lineRule="exact"/>
        <w:rPr>
          <w:sz w:val="20"/>
          <w:szCs w:val="20"/>
          <w:color w:val="auto"/>
        </w:rPr>
      </w:pPr>
    </w:p>
    <w:p>
      <w:pPr>
        <w:ind w:left="537"/>
        <w:spacing w:after="0"/>
        <w:rPr>
          <w:sz w:val="20"/>
          <w:szCs w:val="20"/>
          <w:color w:val="auto"/>
        </w:rPr>
      </w:pPr>
      <w:r>
        <w:rPr>
          <w:rFonts w:ascii="Arial" w:cs="Arial" w:eastAsia="Arial" w:hAnsi="Arial"/>
          <w:sz w:val="16"/>
          <w:szCs w:val="16"/>
          <w:color w:val="auto"/>
        </w:rPr>
        <w:t>16.11 The conditions of office of the members of the Board of Directors shall be authorized in accordance with the provisions of the Companies Law.</w:t>
      </w:r>
    </w:p>
    <w:p>
      <w:pPr>
        <w:spacing w:after="0" w:line="247" w:lineRule="exact"/>
        <w:rPr>
          <w:sz w:val="20"/>
          <w:szCs w:val="20"/>
          <w:color w:val="auto"/>
        </w:rPr>
      </w:pPr>
    </w:p>
    <w:p>
      <w:pPr>
        <w:ind w:left="477" w:hanging="477"/>
        <w:spacing w:after="0"/>
        <w:tabs>
          <w:tab w:leader="none" w:pos="477" w:val="left"/>
        </w:tabs>
        <w:numPr>
          <w:ilvl w:val="0"/>
          <w:numId w:val="115"/>
        </w:numPr>
        <w:rPr>
          <w:rFonts w:ascii="Arial" w:cs="Arial" w:eastAsia="Arial" w:hAnsi="Arial"/>
          <w:sz w:val="17"/>
          <w:szCs w:val="17"/>
          <w:color w:val="auto"/>
        </w:rPr>
      </w:pPr>
      <w:r>
        <w:rPr>
          <w:rFonts w:ascii="Arial" w:cs="Arial" w:eastAsia="Arial" w:hAnsi="Arial"/>
          <w:sz w:val="17"/>
          <w:szCs w:val="17"/>
          <w:b w:val="1"/>
          <w:bCs w:val="1"/>
          <w:u w:val="single" w:color="auto"/>
          <w:color w:val="auto"/>
        </w:rPr>
        <w:t>Meetings of the Board of Directors</w:t>
      </w:r>
    </w:p>
    <w:p>
      <w:pPr>
        <w:spacing w:after="0" w:line="27"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5"/>
          <w:szCs w:val="15"/>
          <w:color w:val="auto"/>
        </w:rPr>
        <w:t>The Board of Directors shall convene for a meeting in accordance with the needs of the Company, and at least once every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7415"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202" w:name="page203"/>
    <w:bookmarkEnd w:id="202"/>
    <w:p>
      <w:pPr>
        <w:jc w:val="both"/>
        <w:ind w:hanging="462"/>
        <w:spacing w:after="0" w:line="259" w:lineRule="auto"/>
        <w:rPr>
          <w:sz w:val="20"/>
          <w:szCs w:val="20"/>
          <w:color w:val="auto"/>
        </w:rPr>
      </w:pPr>
      <w:r>
        <w:rPr>
          <w:rFonts w:ascii="Arial" w:cs="Arial" w:eastAsia="Arial" w:hAnsi="Arial"/>
          <w:sz w:val="17"/>
          <w:szCs w:val="17"/>
          <w:color w:val="auto"/>
        </w:rPr>
        <w:t>17.2</w:t>
      </w:r>
      <w:r>
        <w:rPr>
          <w:sz w:val="20"/>
          <w:szCs w:val="20"/>
          <w:color w:val="auto"/>
        </w:rPr>
        <w:t xml:space="preserve"> </w:t>
      </w:r>
      <w:r>
        <w:rPr>
          <w:rFonts w:ascii="Arial" w:cs="Arial" w:eastAsia="Arial" w:hAnsi="Arial"/>
          <w:sz w:val="17"/>
          <w:szCs w:val="17"/>
          <w:color w:val="auto"/>
        </w:rPr>
        <w:t>The chairperson of the Board of Directors is entitled to convene the Board at any time. In addition, the Board of Directors shall hold a meeting on such subject as shall be specified in the following cases:</w:t>
      </w:r>
    </w:p>
    <w:p>
      <w:pPr>
        <w:spacing w:after="0" w:line="1" w:lineRule="exact"/>
        <w:rPr>
          <w:sz w:val="20"/>
          <w:szCs w:val="20"/>
          <w:color w:val="auto"/>
        </w:rPr>
      </w:pPr>
    </w:p>
    <w:p>
      <w:pPr>
        <w:ind w:left="460" w:hanging="531"/>
        <w:spacing w:after="0" w:line="252" w:lineRule="auto"/>
        <w:rPr>
          <w:sz w:val="20"/>
          <w:szCs w:val="20"/>
          <w:color w:val="auto"/>
        </w:rPr>
      </w:pPr>
      <w:r>
        <w:rPr>
          <w:rFonts w:ascii="Arial" w:cs="Arial" w:eastAsia="Arial" w:hAnsi="Arial"/>
          <w:sz w:val="17"/>
          <w:szCs w:val="17"/>
          <w:color w:val="auto"/>
        </w:rPr>
        <w:t>17.2.1 In accordance with the request of two directors; however, if at the time the Board of Directors comprises five directors or less – in accordance with the request of one director;</w:t>
      </w:r>
    </w:p>
    <w:p>
      <w:pPr>
        <w:spacing w:after="0" w:line="1" w:lineRule="exact"/>
        <w:rPr>
          <w:sz w:val="20"/>
          <w:szCs w:val="20"/>
          <w:color w:val="auto"/>
        </w:rPr>
      </w:pPr>
    </w:p>
    <w:p>
      <w:pPr>
        <w:ind w:left="460" w:hanging="531"/>
        <w:spacing w:after="0" w:line="252" w:lineRule="auto"/>
        <w:rPr>
          <w:sz w:val="20"/>
          <w:szCs w:val="20"/>
          <w:color w:val="auto"/>
        </w:rPr>
      </w:pPr>
      <w:r>
        <w:rPr>
          <w:rFonts w:ascii="Arial" w:cs="Arial" w:eastAsia="Arial" w:hAnsi="Arial"/>
          <w:sz w:val="17"/>
          <w:szCs w:val="17"/>
          <w:color w:val="auto"/>
        </w:rPr>
        <w:t>17.2.2 In accordance with the request of one director if, in his request to convene the Board, he states that he has learned of a matter in the Company ostensibly entailing a violation of the law or infringement of proper business practice;</w:t>
      </w:r>
    </w:p>
    <w:p>
      <w:pPr>
        <w:spacing w:after="0" w:line="1" w:lineRule="exact"/>
        <w:rPr>
          <w:sz w:val="20"/>
          <w:szCs w:val="20"/>
          <w:color w:val="auto"/>
        </w:rPr>
      </w:pPr>
    </w:p>
    <w:p>
      <w:pPr>
        <w:ind w:left="460" w:hanging="531"/>
        <w:spacing w:after="0" w:line="252" w:lineRule="auto"/>
        <w:rPr>
          <w:sz w:val="20"/>
          <w:szCs w:val="20"/>
          <w:color w:val="auto"/>
        </w:rPr>
      </w:pPr>
      <w:r>
        <w:rPr>
          <w:rFonts w:ascii="Arial" w:cs="Arial" w:eastAsia="Arial" w:hAnsi="Arial"/>
          <w:sz w:val="17"/>
          <w:szCs w:val="17"/>
          <w:color w:val="auto"/>
        </w:rPr>
        <w:t>17.2.3 If a general director has been appointed in the Company or if a notification or report by the general director require an action on the part of the Board of Directors;</w:t>
      </w:r>
    </w:p>
    <w:p>
      <w:pPr>
        <w:spacing w:after="0" w:line="1" w:lineRule="exact"/>
        <w:rPr>
          <w:sz w:val="20"/>
          <w:szCs w:val="20"/>
          <w:color w:val="auto"/>
        </w:rPr>
      </w:pPr>
    </w:p>
    <w:p>
      <w:pPr>
        <w:ind w:left="460" w:hanging="531"/>
        <w:spacing w:after="0" w:line="296" w:lineRule="auto"/>
        <w:rPr>
          <w:sz w:val="20"/>
          <w:szCs w:val="20"/>
          <w:color w:val="auto"/>
        </w:rPr>
      </w:pPr>
      <w:r>
        <w:rPr>
          <w:rFonts w:ascii="Arial" w:cs="Arial" w:eastAsia="Arial" w:hAnsi="Arial"/>
          <w:sz w:val="16"/>
          <w:szCs w:val="16"/>
          <w:color w:val="auto"/>
        </w:rPr>
        <w:t>17.2.4 If the auditing accountant has informed the chairperson of the Board of Directors – or, in the event that no chairperson was appointed for the Board of Directors, has informed the Board of Directors – of substantial defects in the accounting control of the Company.</w:t>
      </w:r>
    </w:p>
    <w:p>
      <w:pPr>
        <w:spacing w:after="0" w:line="178" w:lineRule="exact"/>
        <w:rPr>
          <w:sz w:val="20"/>
          <w:szCs w:val="20"/>
          <w:color w:val="auto"/>
        </w:rPr>
      </w:pPr>
    </w:p>
    <w:p>
      <w:pPr>
        <w:jc w:val="both"/>
        <w:ind w:hanging="462"/>
        <w:spacing w:after="0" w:line="255" w:lineRule="auto"/>
        <w:rPr>
          <w:sz w:val="20"/>
          <w:szCs w:val="20"/>
          <w:color w:val="auto"/>
        </w:rPr>
      </w:pPr>
      <w:r>
        <w:rPr>
          <w:rFonts w:ascii="Arial" w:cs="Arial" w:eastAsia="Arial" w:hAnsi="Arial"/>
          <w:sz w:val="17"/>
          <w:szCs w:val="17"/>
          <w:color w:val="auto"/>
        </w:rPr>
        <w:t>17.3</w:t>
      </w:r>
      <w:r>
        <w:rPr>
          <w:sz w:val="20"/>
          <w:szCs w:val="20"/>
          <w:color w:val="auto"/>
        </w:rPr>
        <w:t xml:space="preserve"> </w:t>
      </w:r>
      <w:r>
        <w:rPr>
          <w:rFonts w:ascii="Arial" w:cs="Arial" w:eastAsia="Arial" w:hAnsi="Arial"/>
          <w:sz w:val="17"/>
          <w:szCs w:val="17"/>
          <w:color w:val="auto"/>
        </w:rPr>
        <w:t>Notification of the meeting of the Board of Directors shall be delivered to all members of the Board at least three days prior to the date of convening of the Board, or with shorter prior notice insofar as the chairperson of the Board decided that, in the circumstances of the matter, it is vital and reasonable to convene the Board of Directors with notice shorter than three days. Notification shall be delivered to the address of the director as forwarded to the Company in advance, and shall stipulate the time of the meeting and the venue at which it shall convene, as well as reasonable detail of all subjects on the agenda.</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above, the Board of Directors is entitled to convene a meeting without notification, with the consent of all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397510</wp:posOffset>
            </wp:positionV>
            <wp:extent cx="725741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20"/>
          </w:cols>
          <w:pgMar w:left="1240" w:top="500" w:right="239" w:bottom="1440" w:gutter="0" w:footer="0" w:header="0"/>
        </w:sectPr>
      </w:pPr>
    </w:p>
    <w:bookmarkStart w:id="203" w:name="page204"/>
    <w:bookmarkEnd w:id="203"/>
    <w:p>
      <w:pPr>
        <w:jc w:val="both"/>
        <w:ind w:hanging="462"/>
        <w:spacing w:after="0" w:line="291" w:lineRule="auto"/>
        <w:rPr>
          <w:sz w:val="20"/>
          <w:szCs w:val="20"/>
          <w:color w:val="auto"/>
        </w:rPr>
      </w:pPr>
      <w:r>
        <w:rPr>
          <w:rFonts w:ascii="Arial" w:cs="Arial" w:eastAsia="Arial" w:hAnsi="Arial"/>
          <w:sz w:val="17"/>
          <w:szCs w:val="17"/>
          <w:color w:val="auto"/>
        </w:rPr>
        <w:t>17.4</w:t>
      </w:r>
      <w:r>
        <w:rPr>
          <w:sz w:val="20"/>
          <w:szCs w:val="20"/>
          <w:color w:val="auto"/>
        </w:rPr>
        <w:t xml:space="preserve"> </w:t>
      </w:r>
      <w:r>
        <w:rPr>
          <w:rFonts w:ascii="Arial" w:cs="Arial" w:eastAsia="Arial" w:hAnsi="Arial"/>
          <w:sz w:val="15"/>
          <w:szCs w:val="15"/>
          <w:color w:val="auto"/>
        </w:rPr>
        <w:t>The agenda of the meetings of the Board of Directors shall be determined by the chairperson of the Board and shall include: Subjects determined by the chairperson of the Board; subjects deriving from the report of the general director and/or the auditing accountant; any subject a director of the general director have requested of the chairperson of the Board to include on the agenda, at least two days prior to the convening of the meeting of the Board.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no chairperson has been appointed for the Board of Directors, the agenda for the meetings of the Board shall be determined by the directors in such manner that each director shall send to the Company, at least two days before the convening of the meeting of the Board, the subjects that, in his opinion, should be included in the meeting of the Board. The agenda for the meetings of the Board shall also include subjects deriving from the report of the general director and/or the auditing accountant.</w:t>
      </w:r>
    </w:p>
    <w:p>
      <w:pPr>
        <w:spacing w:after="0" w:line="210" w:lineRule="exact"/>
        <w:rPr>
          <w:sz w:val="20"/>
          <w:szCs w:val="20"/>
          <w:color w:val="auto"/>
        </w:rPr>
      </w:pPr>
    </w:p>
    <w:p>
      <w:pPr>
        <w:ind w:hanging="462"/>
        <w:spacing w:after="0" w:line="259" w:lineRule="auto"/>
        <w:rPr>
          <w:sz w:val="20"/>
          <w:szCs w:val="20"/>
          <w:color w:val="auto"/>
        </w:rPr>
      </w:pPr>
      <w:r>
        <w:rPr>
          <w:rFonts w:ascii="Arial" w:cs="Arial" w:eastAsia="Arial" w:hAnsi="Arial"/>
          <w:sz w:val="17"/>
          <w:szCs w:val="17"/>
          <w:color w:val="auto"/>
        </w:rPr>
        <w:t>17.5</w:t>
      </w:r>
      <w:r>
        <w:rPr>
          <w:sz w:val="20"/>
          <w:szCs w:val="20"/>
          <w:color w:val="auto"/>
        </w:rPr>
        <w:t xml:space="preserve"> </w:t>
      </w:r>
      <w:r>
        <w:rPr>
          <w:rFonts w:ascii="Arial" w:cs="Arial" w:eastAsia="Arial" w:hAnsi="Arial"/>
          <w:sz w:val="17"/>
          <w:szCs w:val="17"/>
          <w:color w:val="auto"/>
        </w:rPr>
        <w:t>The details of the subjects on the agenda as stated in section 17.4 above do not prevent discussion of a subject or subjects not mentioned in the notification of the meeting of the Board of Directors (hereinafter: “</w:t>
      </w:r>
      <w:r>
        <w:rPr>
          <w:rFonts w:ascii="Arial" w:cs="Arial" w:eastAsia="Arial" w:hAnsi="Arial"/>
          <w:sz w:val="17"/>
          <w:szCs w:val="17"/>
          <w:b w:val="1"/>
          <w:bCs w:val="1"/>
          <w:color w:val="auto"/>
        </w:rPr>
        <w:t>a New Subject</w:t>
      </w:r>
      <w:r>
        <w:rPr>
          <w:rFonts w:ascii="Arial" w:cs="Arial" w:eastAsia="Arial" w:hAnsi="Arial"/>
          <w:sz w:val="17"/>
          <w:szCs w:val="17"/>
          <w:color w:val="auto"/>
        </w:rPr>
        <w: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a New Subject is discussed at the meeting of the Board of Directors, a director not present at the meeting of the Board of Directors at which the New Subject was discussed may express in writing his opposition to the decision and/or request that the subject be discussed again, within three days from the date on which he received a copy of the decision. If a further discussion is requested as stated, this shall be held by the Board of Directors on such date as shall determined by the chairperson of the Board of Directors or, in his absence, by the Board of Directors, and not later than seven days after the receipt of the request. However, the objection of the director to the decision on the New Subject shall not impair the validity of actions regarding third parties undertaken on the basis thereof.</w:t>
      </w:r>
    </w:p>
    <w:p>
      <w:pPr>
        <w:spacing w:after="0" w:line="209" w:lineRule="exact"/>
        <w:rPr>
          <w:sz w:val="20"/>
          <w:szCs w:val="20"/>
          <w:color w:val="auto"/>
        </w:rPr>
      </w:pPr>
    </w:p>
    <w:p>
      <w:pPr>
        <w:jc w:val="both"/>
        <w:ind w:hanging="462"/>
        <w:spacing w:after="0" w:line="259" w:lineRule="auto"/>
        <w:rPr>
          <w:sz w:val="20"/>
          <w:szCs w:val="20"/>
          <w:color w:val="auto"/>
        </w:rPr>
      </w:pPr>
      <w:r>
        <w:rPr>
          <w:rFonts w:ascii="Arial" w:cs="Arial" w:eastAsia="Arial" w:hAnsi="Arial"/>
          <w:sz w:val="17"/>
          <w:szCs w:val="17"/>
          <w:color w:val="auto"/>
        </w:rPr>
        <w:t>17.6</w:t>
      </w:r>
      <w:r>
        <w:rPr>
          <w:sz w:val="20"/>
          <w:szCs w:val="20"/>
          <w:color w:val="auto"/>
        </w:rPr>
        <w:t xml:space="preserve"> </w:t>
      </w:r>
      <w:r>
        <w:rPr>
          <w:rFonts w:ascii="Arial" w:cs="Arial" w:eastAsia="Arial" w:hAnsi="Arial"/>
          <w:sz w:val="17"/>
          <w:szCs w:val="17"/>
          <w:color w:val="auto"/>
        </w:rPr>
        <w:t>The legal quorum for the commencement of a meeting of the Board of Directors shall be a majority of the members of the Board of Directors. If, at the end of one half-hour from the time set for the commencement of the meeting, no quorum is present, the meeting shall be postponed to another date as decided by the chairperson of the Board, or, in his absence, by the directors present at the convened meeting, provided that prior notification of three days shall be given to all directors regarding the date of the Postponed Meeting. The legal quorum for the opening of a Postponed Meeting shall be any number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381635</wp:posOffset>
            </wp:positionV>
            <wp:extent cx="7257415"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20"/>
          </w:cols>
          <w:pgMar w:left="1240" w:top="500" w:right="239" w:bottom="1440" w:gutter="0" w:footer="0" w:header="0"/>
        </w:sectPr>
      </w:pPr>
    </w:p>
    <w:bookmarkStart w:id="204" w:name="page205"/>
    <w:bookmarkEnd w:id="204"/>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17.7</w:t>
        <w:tab/>
        <w:t>The Board of Directors is entitled to hold meetings by use of any means of communication, providing that all the participating directors can hear each other simultaneously.</w:t>
      </w:r>
    </w:p>
    <w:p>
      <w:pPr>
        <w:spacing w:after="0" w:line="190" w:lineRule="exact"/>
        <w:rPr>
          <w:sz w:val="20"/>
          <w:szCs w:val="20"/>
          <w:color w:val="auto"/>
        </w:rPr>
      </w:pPr>
    </w:p>
    <w:p>
      <w:pPr>
        <w:jc w:val="both"/>
        <w:ind w:left="997" w:hanging="462"/>
        <w:spacing w:after="0" w:line="261" w:lineRule="auto"/>
        <w:tabs>
          <w:tab w:leader="none" w:pos="977" w:val="left"/>
        </w:tabs>
        <w:rPr>
          <w:sz w:val="20"/>
          <w:szCs w:val="20"/>
          <w:color w:val="auto"/>
        </w:rPr>
      </w:pPr>
      <w:r>
        <w:rPr>
          <w:rFonts w:ascii="Arial" w:cs="Arial" w:eastAsia="Arial" w:hAnsi="Arial"/>
          <w:sz w:val="17"/>
          <w:szCs w:val="17"/>
          <w:color w:val="auto"/>
        </w:rPr>
        <w:t>17.8</w:t>
        <w:tab/>
        <w:t>The Board of Directors is entitled to take decisions without actually convening, provided that all the directors entitled to participate in the discussion and to vote on the subject brought for decision agree thereto. If decisions are made as stated in this section, the chairperson of the Board of Directors shall record minutes of the decisions stating the manner of voting of each director on the subjects brought for decision, as well as the fact that all the directors agreed to take the decision without convening.</w:t>
      </w:r>
    </w:p>
    <w:p>
      <w:pPr>
        <w:spacing w:after="0" w:line="198" w:lineRule="exact"/>
        <w:rPr>
          <w:sz w:val="20"/>
          <w:szCs w:val="20"/>
          <w:color w:val="auto"/>
        </w:rPr>
      </w:pPr>
    </w:p>
    <w:p>
      <w:pPr>
        <w:ind w:left="477" w:hanging="477"/>
        <w:spacing w:after="0"/>
        <w:tabs>
          <w:tab w:leader="none" w:pos="477" w:val="left"/>
        </w:tabs>
        <w:numPr>
          <w:ilvl w:val="0"/>
          <w:numId w:val="116"/>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on the Board of Directors</w:t>
      </w:r>
    </w:p>
    <w:p>
      <w:pPr>
        <w:spacing w:after="0" w:line="27" w:lineRule="exact"/>
        <w:rPr>
          <w:sz w:val="20"/>
          <w:szCs w:val="20"/>
          <w:color w:val="auto"/>
        </w:rPr>
      </w:pPr>
    </w:p>
    <w:p>
      <w:pPr>
        <w:ind w:left="537"/>
        <w:spacing w:after="0"/>
        <w:tabs>
          <w:tab w:leader="none" w:pos="1057"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5"/>
          <w:szCs w:val="15"/>
          <w:color w:val="auto"/>
        </w:rPr>
        <w:t>Each director shall have one vote when voting on the Board of Directors.</w:t>
      </w:r>
    </w:p>
    <w:p>
      <w:pPr>
        <w:spacing w:after="0" w:line="231" w:lineRule="exact"/>
        <w:rPr>
          <w:sz w:val="20"/>
          <w:szCs w:val="20"/>
          <w:color w:val="auto"/>
        </w:rPr>
      </w:pPr>
    </w:p>
    <w:p>
      <w:pPr>
        <w:ind w:left="997" w:hanging="462"/>
        <w:spacing w:after="0" w:line="278" w:lineRule="auto"/>
        <w:tabs>
          <w:tab w:leader="none" w:pos="977" w:val="left"/>
        </w:tabs>
        <w:rPr>
          <w:sz w:val="20"/>
          <w:szCs w:val="20"/>
          <w:color w:val="auto"/>
        </w:rPr>
      </w:pPr>
      <w:r>
        <w:rPr>
          <w:rFonts w:ascii="Arial" w:cs="Arial" w:eastAsia="Arial" w:hAnsi="Arial"/>
          <w:sz w:val="17"/>
          <w:szCs w:val="17"/>
          <w:color w:val="auto"/>
        </w:rPr>
        <w:t>18.2</w:t>
        <w:tab/>
        <w:t>Decisions of the Board of Directors shall be taken by a majority vote. The chairperson of the Board of Directors shall not have any additional or casting opinion, and in the event of a tie vote, the decision brought for voting shall be rejected.</w:t>
      </w:r>
    </w:p>
    <w:p>
      <w:pPr>
        <w:spacing w:after="0" w:line="184" w:lineRule="exact"/>
        <w:rPr>
          <w:sz w:val="20"/>
          <w:szCs w:val="20"/>
          <w:color w:val="auto"/>
        </w:rPr>
      </w:pPr>
    </w:p>
    <w:p>
      <w:pPr>
        <w:ind w:left="477" w:hanging="477"/>
        <w:spacing w:after="0"/>
        <w:tabs>
          <w:tab w:leader="none" w:pos="477" w:val="left"/>
        </w:tabs>
        <w:numPr>
          <w:ilvl w:val="0"/>
          <w:numId w:val="117"/>
        </w:numPr>
        <w:rPr>
          <w:rFonts w:ascii="Arial" w:cs="Arial" w:eastAsia="Arial" w:hAnsi="Arial"/>
          <w:sz w:val="17"/>
          <w:szCs w:val="17"/>
          <w:color w:val="auto"/>
        </w:rPr>
      </w:pPr>
      <w:r>
        <w:rPr>
          <w:rFonts w:ascii="Arial" w:cs="Arial" w:eastAsia="Arial" w:hAnsi="Arial"/>
          <w:sz w:val="17"/>
          <w:szCs w:val="17"/>
          <w:b w:val="1"/>
          <w:bCs w:val="1"/>
          <w:u w:val="single" w:color="auto"/>
          <w:color w:val="auto"/>
        </w:rPr>
        <w:t>Committees of the Board of Directors</w:t>
      </w:r>
    </w:p>
    <w:p>
      <w:pPr>
        <w:spacing w:after="0" w:line="27" w:lineRule="exact"/>
        <w:rPr>
          <w:sz w:val="20"/>
          <w:szCs w:val="20"/>
          <w:color w:val="auto"/>
        </w:rPr>
      </w:pPr>
    </w:p>
    <w:p>
      <w:pPr>
        <w:jc w:val="both"/>
        <w:ind w:left="997" w:hanging="462"/>
        <w:spacing w:after="0" w:line="295" w:lineRule="auto"/>
        <w:tabs>
          <w:tab w:leader="none" w:pos="977"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5"/>
          <w:szCs w:val="15"/>
          <w:color w:val="auto"/>
        </w:rPr>
        <w:t>The Board of Directors is entitled to establish committees and to appoint members thereto (hereinafter – “</w:t>
      </w:r>
      <w:r>
        <w:rPr>
          <w:rFonts w:ascii="Arial" w:cs="Arial" w:eastAsia="Arial" w:hAnsi="Arial"/>
          <w:sz w:val="15"/>
          <w:szCs w:val="15"/>
          <w:b w:val="1"/>
          <w:bCs w:val="1"/>
          <w:color w:val="auto"/>
        </w:rPr>
        <w:t>the Committees of the Board of</w:t>
      </w:r>
      <w:r>
        <w:rPr>
          <w:rFonts w:ascii="Arial" w:cs="Arial" w:eastAsia="Arial" w:hAnsi="Arial"/>
          <w:sz w:val="15"/>
          <w:szCs w:val="15"/>
          <w:color w:val="auto"/>
        </w:rPr>
        <w:t xml:space="preserve"> </w:t>
      </w:r>
      <w:r>
        <w:rPr>
          <w:rFonts w:ascii="Arial" w:cs="Arial" w:eastAsia="Arial" w:hAnsi="Arial"/>
          <w:sz w:val="15"/>
          <w:szCs w:val="15"/>
          <w:b w:val="1"/>
          <w:bCs w:val="1"/>
          <w:color w:val="auto"/>
        </w:rPr>
        <w:t>Directors</w:t>
      </w:r>
      <w:r>
        <w:rPr>
          <w:rFonts w:ascii="Arial" w:cs="Arial" w:eastAsia="Arial" w:hAnsi="Arial"/>
          <w:sz w:val="15"/>
          <w:szCs w:val="15"/>
          <w:color w:val="auto"/>
        </w:rPr>
        <w:t>.”) If Committees of the Board of Directors are established, the Board of Directors shall determine, in the conditions of empowerment</w:t>
      </w:r>
      <w:r>
        <w:rPr>
          <w:rFonts w:ascii="Arial" w:cs="Arial" w:eastAsia="Arial" w:hAnsi="Arial"/>
          <w:sz w:val="15"/>
          <w:szCs w:val="15"/>
          <w:b w:val="1"/>
          <w:bCs w:val="1"/>
          <w:color w:val="auto"/>
        </w:rPr>
        <w:t xml:space="preserve"> </w:t>
      </w:r>
      <w:r>
        <w:rPr>
          <w:rFonts w:ascii="Arial" w:cs="Arial" w:eastAsia="Arial" w:hAnsi="Arial"/>
          <w:sz w:val="15"/>
          <w:szCs w:val="15"/>
          <w:color w:val="auto"/>
        </w:rPr>
        <w:t>thereof, whether specific authorities of the Board of Directors shall be delegated to the Committees of the Board of Directors, in such manner that the decision of the Committee of the Board of Directors shall be considered tantamount to a decision of the Board of Directors, or whether the decision of the Committee of the Board of Directors shall merely constitute a recommendation, subject to the authorization of the Board of Directors; provided that authorities to make decisions in the matters stated in Article 112 of the Companies Law shall not be delegated to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257415"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205" w:name="page206"/>
    <w:bookmarkEnd w:id="205"/>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19.2</w:t>
        <w:tab/>
        <w:t>A person who is not a director shall not serve in a Committee of the Board of Directors to which the Board of Directors has delegated authorities. Persons who are not members of the Board of Directors may serve in a Committee of the Board of Director whose function is merely to advise or submit recommendations to the Board of Directors.</w:t>
      </w:r>
    </w:p>
    <w:p>
      <w:pPr>
        <w:spacing w:after="0" w:line="201" w:lineRule="exact"/>
        <w:rPr>
          <w:sz w:val="20"/>
          <w:szCs w:val="20"/>
          <w:color w:val="auto"/>
        </w:rPr>
      </w:pPr>
    </w:p>
    <w:p>
      <w:pPr>
        <w:jc w:val="both"/>
        <w:ind w:left="997" w:hanging="462"/>
        <w:spacing w:after="0" w:line="265" w:lineRule="auto"/>
        <w:tabs>
          <w:tab w:leader="none" w:pos="977" w:val="left"/>
        </w:tabs>
        <w:rPr>
          <w:sz w:val="20"/>
          <w:szCs w:val="20"/>
          <w:color w:val="auto"/>
        </w:rPr>
      </w:pPr>
      <w:r>
        <w:rPr>
          <w:rFonts w:ascii="Arial" w:cs="Arial" w:eastAsia="Arial" w:hAnsi="Arial"/>
          <w:sz w:val="17"/>
          <w:szCs w:val="17"/>
          <w:color w:val="auto"/>
        </w:rPr>
        <w:t>19.3</w:t>
        <w:tab/>
        <w:t xml:space="preserve">The provisions included in these Articles relating to the meetings of the Board of Directors and voting therein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and subject to the decisions of the Board of Directors regarding the procedures for the meetings of the committee (if any), to any Committee of the Board of Directors comprising two or more members.</w:t>
      </w:r>
    </w:p>
    <w:p>
      <w:pPr>
        <w:spacing w:after="0" w:line="195" w:lineRule="exact"/>
        <w:rPr>
          <w:sz w:val="20"/>
          <w:szCs w:val="20"/>
          <w:color w:val="auto"/>
        </w:rPr>
      </w:pPr>
    </w:p>
    <w:p>
      <w:pPr>
        <w:ind w:left="497" w:hanging="497"/>
        <w:spacing w:after="0"/>
        <w:tabs>
          <w:tab w:leader="none" w:pos="497" w:val="left"/>
        </w:tabs>
        <w:numPr>
          <w:ilvl w:val="0"/>
          <w:numId w:val="118"/>
        </w:numPr>
        <w:rPr>
          <w:rFonts w:ascii="Arial" w:cs="Arial" w:eastAsia="Arial" w:hAnsi="Arial"/>
          <w:sz w:val="17"/>
          <w:szCs w:val="17"/>
          <w:color w:val="auto"/>
        </w:rPr>
      </w:pPr>
      <w:r>
        <w:rPr>
          <w:rFonts w:ascii="Arial" w:cs="Arial" w:eastAsia="Arial" w:hAnsi="Arial"/>
          <w:sz w:val="17"/>
          <w:szCs w:val="17"/>
          <w:b w:val="1"/>
          <w:bCs w:val="1"/>
          <w:u w:val="single" w:color="auto"/>
          <w:color w:val="auto"/>
        </w:rPr>
        <w:t>Audit Committee</w:t>
      </w:r>
    </w:p>
    <w:p>
      <w:pPr>
        <w:spacing w:after="0" w:line="27" w:lineRule="exact"/>
        <w:rPr>
          <w:sz w:val="20"/>
          <w:szCs w:val="20"/>
          <w:color w:val="auto"/>
        </w:rPr>
      </w:pPr>
    </w:p>
    <w:p>
      <w:pPr>
        <w:jc w:val="both"/>
        <w:ind w:left="997" w:hanging="462"/>
        <w:spacing w:after="0" w:line="256" w:lineRule="auto"/>
        <w:tabs>
          <w:tab w:leader="none" w:pos="977" w:val="left"/>
        </w:tabs>
        <w:rPr>
          <w:sz w:val="20"/>
          <w:szCs w:val="20"/>
          <w:color w:val="auto"/>
        </w:rPr>
      </w:pPr>
      <w:r>
        <w:rPr>
          <w:rFonts w:ascii="Arial" w:cs="Arial" w:eastAsia="Arial" w:hAnsi="Arial"/>
          <w:sz w:val="17"/>
          <w:szCs w:val="17"/>
          <w:color w:val="auto"/>
        </w:rPr>
        <w:t>20.1</w:t>
        <w:tab/>
        <w:t>The Board of Directors of the Company shall appoint an audit committee from among its members. The number of members of the audit committee shall be not less than three, and any external director may be a member thereof. The chairperson of the Board of Directors or any director employed by the Company, or providing it with services on a regular basis, or a controlling shareholder in the Company, or a relative thereof shall not be appointed to the committee.</w:t>
      </w:r>
    </w:p>
    <w:p>
      <w:pPr>
        <w:spacing w:after="0" w:line="210"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20.2</w:t>
      </w:r>
      <w:r>
        <w:rPr>
          <w:sz w:val="20"/>
          <w:szCs w:val="20"/>
          <w:color w:val="auto"/>
        </w:rPr>
        <w:tab/>
      </w:r>
      <w:r>
        <w:rPr>
          <w:rFonts w:ascii="Arial" w:cs="Arial" w:eastAsia="Arial" w:hAnsi="Arial"/>
          <w:sz w:val="15"/>
          <w:szCs w:val="15"/>
          <w:color w:val="auto"/>
        </w:rPr>
        <w:t>The functions of the audit committee shall be –</w:t>
      </w:r>
    </w:p>
    <w:p>
      <w:pPr>
        <w:spacing w:after="0" w:line="21" w:lineRule="exact"/>
        <w:rPr>
          <w:sz w:val="20"/>
          <w:szCs w:val="20"/>
          <w:color w:val="auto"/>
        </w:rPr>
      </w:pPr>
    </w:p>
    <w:p>
      <w:pPr>
        <w:ind w:left="1457" w:hanging="488"/>
        <w:spacing w:after="0" w:line="265" w:lineRule="auto"/>
        <w:rPr>
          <w:sz w:val="20"/>
          <w:szCs w:val="20"/>
          <w:color w:val="auto"/>
        </w:rPr>
      </w:pPr>
      <w:r>
        <w:rPr>
          <w:rFonts w:ascii="Arial" w:cs="Arial" w:eastAsia="Arial" w:hAnsi="Arial"/>
          <w:sz w:val="17"/>
          <w:szCs w:val="17"/>
          <w:color w:val="auto"/>
        </w:rPr>
        <w:t>20.2.1 To identify defects in the business management of the Company, inter alia through consultation with the internal auditor of the Company or the auditing accountant, and to propose methods to the Board of Directors for correcting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25741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206" w:name="page207"/>
    <w:bookmarkEnd w:id="206"/>
    <w:p>
      <w:pPr>
        <w:ind w:left="1457" w:hanging="531"/>
        <w:spacing w:after="0" w:line="278" w:lineRule="auto"/>
        <w:rPr>
          <w:sz w:val="20"/>
          <w:szCs w:val="20"/>
          <w:color w:val="auto"/>
        </w:rPr>
      </w:pPr>
      <w:r>
        <w:rPr>
          <w:rFonts w:ascii="Arial" w:cs="Arial" w:eastAsia="Arial" w:hAnsi="Arial"/>
          <w:sz w:val="17"/>
          <w:szCs w:val="17"/>
          <w:color w:val="auto"/>
        </w:rPr>
        <w:t>20.2.2 To decide whether to authorize actions and transactions requiring the authorization of the audit committee in accordance with the Companies Law.</w:t>
      </w:r>
    </w:p>
    <w:p>
      <w:pPr>
        <w:spacing w:after="0" w:line="184" w:lineRule="exact"/>
        <w:rPr>
          <w:sz w:val="20"/>
          <w:szCs w:val="20"/>
          <w:color w:val="auto"/>
        </w:rPr>
      </w:pPr>
    </w:p>
    <w:p>
      <w:pPr>
        <w:ind w:left="497" w:hanging="497"/>
        <w:spacing w:after="0"/>
        <w:tabs>
          <w:tab w:leader="none" w:pos="497" w:val="left"/>
        </w:tabs>
        <w:numPr>
          <w:ilvl w:val="0"/>
          <w:numId w:val="11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Director</w:t>
      </w:r>
    </w:p>
    <w:p>
      <w:pPr>
        <w:spacing w:after="0" w:line="27" w:lineRule="exact"/>
        <w:rPr>
          <w:sz w:val="20"/>
          <w:szCs w:val="20"/>
          <w:color w:val="auto"/>
        </w:rPr>
      </w:pPr>
    </w:p>
    <w:p>
      <w:pPr>
        <w:jc w:val="both"/>
        <w:ind w:left="477"/>
        <w:spacing w:after="0" w:line="332" w:lineRule="auto"/>
        <w:rPr>
          <w:sz w:val="20"/>
          <w:szCs w:val="20"/>
          <w:color w:val="auto"/>
        </w:rPr>
      </w:pPr>
      <w:r>
        <w:rPr>
          <w:rFonts w:ascii="Arial" w:cs="Arial" w:eastAsia="Arial" w:hAnsi="Arial"/>
          <w:sz w:val="15"/>
          <w:szCs w:val="15"/>
          <w:color w:val="auto"/>
        </w:rPr>
        <w:t>The Board of Directors of the Company shall appoint a general director, and is entitled to appoint more than one general director. The general director shall be responsible for the routine management of the Company’s affairs within the framework of the policy set by the Board of Directors and subject to its guidelines.</w:t>
      </w:r>
    </w:p>
    <w:p>
      <w:pPr>
        <w:spacing w:after="0" w:line="149" w:lineRule="exact"/>
        <w:rPr>
          <w:sz w:val="20"/>
          <w:szCs w:val="20"/>
          <w:color w:val="auto"/>
        </w:rPr>
      </w:pPr>
    </w:p>
    <w:p>
      <w:pPr>
        <w:ind w:left="497" w:hanging="497"/>
        <w:spacing w:after="0"/>
        <w:tabs>
          <w:tab w:leader="none" w:pos="497" w:val="left"/>
        </w:tabs>
        <w:numPr>
          <w:ilvl w:val="0"/>
          <w:numId w:val="120"/>
        </w:numPr>
        <w:rPr>
          <w:rFonts w:ascii="Arial" w:cs="Arial" w:eastAsia="Arial" w:hAnsi="Arial"/>
          <w:sz w:val="17"/>
          <w:szCs w:val="17"/>
          <w:color w:val="auto"/>
        </w:rPr>
      </w:pPr>
      <w:r>
        <w:rPr>
          <w:rFonts w:ascii="Arial" w:cs="Arial" w:eastAsia="Arial" w:hAnsi="Arial"/>
          <w:sz w:val="17"/>
          <w:szCs w:val="17"/>
          <w:b w:val="1"/>
          <w:bCs w:val="1"/>
          <w:u w:val="single" w:color="auto"/>
          <w:color w:val="auto"/>
        </w:rPr>
        <w:t>Exemption, Insurance, and Indemnification</w:t>
      </w:r>
    </w:p>
    <w:p>
      <w:pPr>
        <w:spacing w:after="0" w:line="27"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22.1</w:t>
        <w:tab/>
        <w:t>The Company is entitled to exempt an office holder therein in advance from any or all liability on account of damages deriving from the violation of the duty of care thereto in accordance with the provisions of the Companies Law, as this shall be amended from time to time and as it shall be valid on the date on which the exemption shall be granted.</w:t>
      </w:r>
    </w:p>
    <w:p>
      <w:pPr>
        <w:spacing w:after="0" w:line="205" w:lineRule="exact"/>
        <w:rPr>
          <w:sz w:val="20"/>
          <w:szCs w:val="20"/>
          <w:color w:val="auto"/>
        </w:rPr>
      </w:pPr>
    </w:p>
    <w:p>
      <w:pPr>
        <w:jc w:val="both"/>
        <w:ind w:left="997" w:hanging="462"/>
        <w:spacing w:after="0" w:line="289" w:lineRule="auto"/>
        <w:tabs>
          <w:tab w:leader="none" w:pos="977"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6"/>
          <w:szCs w:val="16"/>
          <w:color w:val="auto"/>
        </w:rPr>
        <w:t>The Company is entitled to indemnify an office holder therein retroactively, and to undertake in advance to indemnify an office bearer on account of all liabilities, expenses, and matters regarding which the Company is entitled to indemnify office holders, in accordance with the provisions of the Companies Law, as this shall be amended from time to time and as it shall be valid on the date on which the indemnification shall be required.</w:t>
      </w:r>
    </w:p>
    <w:p>
      <w:pPr>
        <w:spacing w:after="0" w:line="184" w:lineRule="exact"/>
        <w:rPr>
          <w:sz w:val="20"/>
          <w:szCs w:val="20"/>
          <w:color w:val="auto"/>
        </w:rPr>
      </w:pPr>
    </w:p>
    <w:p>
      <w:pPr>
        <w:jc w:val="both"/>
        <w:ind w:left="997" w:hanging="462"/>
        <w:spacing w:after="0" w:line="289" w:lineRule="auto"/>
        <w:tabs>
          <w:tab w:leader="none" w:pos="977"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6"/>
          <w:szCs w:val="16"/>
          <w:color w:val="auto"/>
        </w:rPr>
        <w:t>The Company is entitled to associate in a contract for the insurance of the liability of an office holder therein on account of all liabilities, expenses, and matters regarding which the Company is entitled to insure office holders, in accordance with the provisions of the Companies Law, as this shall be amended from time to time and as it shall be valid on the date on which the insurance contact shall be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7257415"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207" w:name="page208"/>
    <w:bookmarkEnd w:id="207"/>
    <w:p>
      <w:pPr>
        <w:ind w:left="997" w:hanging="462"/>
        <w:spacing w:after="0" w:line="278" w:lineRule="auto"/>
        <w:tabs>
          <w:tab w:leader="none" w:pos="977" w:val="left"/>
        </w:tabs>
        <w:rPr>
          <w:sz w:val="20"/>
          <w:szCs w:val="20"/>
          <w:color w:val="auto"/>
        </w:rPr>
      </w:pPr>
      <w:r>
        <w:rPr>
          <w:rFonts w:ascii="Arial" w:cs="Arial" w:eastAsia="Arial" w:hAnsi="Arial"/>
          <w:sz w:val="17"/>
          <w:szCs w:val="17"/>
          <w:color w:val="auto"/>
        </w:rPr>
        <w:t>22.4</w:t>
        <w:tab/>
        <w:t>Decisions regarding exemption, insurance, indemnification, or the granting of an undertaking to indemnify a director and/or an office holder other than a director shall be taken subject to any law.</w:t>
      </w:r>
    </w:p>
    <w:p>
      <w:pPr>
        <w:spacing w:after="0" w:line="184" w:lineRule="exact"/>
        <w:rPr>
          <w:sz w:val="20"/>
          <w:szCs w:val="20"/>
          <w:color w:val="auto"/>
        </w:rPr>
      </w:pPr>
    </w:p>
    <w:p>
      <w:pPr>
        <w:ind w:left="477" w:hanging="477"/>
        <w:spacing w:after="0"/>
        <w:tabs>
          <w:tab w:leader="none" w:pos="477"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Internal Auditor</w:t>
      </w:r>
    </w:p>
    <w:p>
      <w:pPr>
        <w:spacing w:after="0" w:line="27"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23.1</w:t>
        <w:tab/>
        <w:t>The Board of Directors of the Company shall appoint an internal auditor in accordance with the proposal of the audit committee. A person who is an interested party in the Company, an office holder therein, or the relative or either of the above, as well as the auditing accountant or any person on his behalf, shall not serve as an internal auditor in the Company.</w:t>
      </w:r>
    </w:p>
    <w:p>
      <w:pPr>
        <w:spacing w:after="0" w:line="205" w:lineRule="exact"/>
        <w:rPr>
          <w:sz w:val="20"/>
          <w:szCs w:val="20"/>
          <w:color w:val="auto"/>
        </w:rPr>
      </w:pPr>
    </w:p>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23.2</w:t>
        <w:tab/>
        <w:t>The Board of Directors shall determine which office holder shall be organizationally accountable for the internal auditor and, in the absence of such determination, this shall be the chairperson of the Board of Directors.</w:t>
      </w:r>
    </w:p>
    <w:p>
      <w:pPr>
        <w:spacing w:after="0" w:line="190" w:lineRule="exact"/>
        <w:rPr>
          <w:sz w:val="20"/>
          <w:szCs w:val="20"/>
          <w:color w:val="auto"/>
        </w:rPr>
      </w:pPr>
    </w:p>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23.3</w:t>
        <w:tab/>
        <w:t>The internal audit plan prepared by the auditor shall be submitted to the audit committee for authorization; however, the Board of Directors is permitted to determine that the plan shall be submitted to the Board of Directors for authorization.</w:t>
      </w:r>
    </w:p>
    <w:p>
      <w:pPr>
        <w:spacing w:after="0" w:line="184" w:lineRule="exact"/>
        <w:rPr>
          <w:sz w:val="20"/>
          <w:szCs w:val="20"/>
          <w:color w:val="auto"/>
        </w:rPr>
      </w:pPr>
    </w:p>
    <w:p>
      <w:pPr>
        <w:ind w:left="497" w:hanging="497"/>
        <w:spacing w:after="0"/>
        <w:tabs>
          <w:tab w:leader="none" w:pos="497" w:val="left"/>
        </w:tabs>
        <w:numPr>
          <w:ilvl w:val="0"/>
          <w:numId w:val="122"/>
        </w:numPr>
        <w:rPr>
          <w:rFonts w:ascii="Arial" w:cs="Arial" w:eastAsia="Arial" w:hAnsi="Arial"/>
          <w:sz w:val="17"/>
          <w:szCs w:val="17"/>
          <w:color w:val="auto"/>
        </w:rPr>
      </w:pPr>
      <w:r>
        <w:rPr>
          <w:rFonts w:ascii="Arial" w:cs="Arial" w:eastAsia="Arial" w:hAnsi="Arial"/>
          <w:sz w:val="17"/>
          <w:szCs w:val="17"/>
          <w:b w:val="1"/>
          <w:bCs w:val="1"/>
          <w:u w:val="single" w:color="auto"/>
          <w:color w:val="auto"/>
        </w:rPr>
        <w:t>Auditing Accountant</w:t>
      </w:r>
    </w:p>
    <w:p>
      <w:pPr>
        <w:spacing w:after="0" w:line="27" w:lineRule="exact"/>
        <w:rPr>
          <w:sz w:val="20"/>
          <w:szCs w:val="20"/>
          <w:color w:val="auto"/>
        </w:rPr>
      </w:pPr>
    </w:p>
    <w:p>
      <w:pPr>
        <w:jc w:val="both"/>
        <w:ind w:left="997" w:hanging="462"/>
        <w:spacing w:after="0" w:line="259" w:lineRule="auto"/>
        <w:tabs>
          <w:tab w:leader="none" w:pos="977" w:val="left"/>
        </w:tabs>
        <w:rPr>
          <w:sz w:val="20"/>
          <w:szCs w:val="20"/>
          <w:color w:val="auto"/>
        </w:rPr>
      </w:pPr>
      <w:r>
        <w:rPr>
          <w:rFonts w:ascii="Arial" w:cs="Arial" w:eastAsia="Arial" w:hAnsi="Arial"/>
          <w:sz w:val="17"/>
          <w:szCs w:val="17"/>
          <w:color w:val="auto"/>
        </w:rPr>
        <w:t>24.1</w:t>
        <w:tab/>
        <w:t>The general meeting shall appoint an auditing accountant for the Company. The auditing accountant shall service in his office through the end of the following annual meeting, or for a longer period as determined by the annual meeting, provided that the period of office shall not be extended beyond the end of the third annual meeting following that at which he was appointed.</w:t>
      </w:r>
    </w:p>
    <w:p>
      <w:pPr>
        <w:spacing w:after="0" w:line="205" w:lineRule="exact"/>
        <w:rPr>
          <w:sz w:val="20"/>
          <w:szCs w:val="20"/>
          <w:color w:val="auto"/>
        </w:rPr>
      </w:pPr>
    </w:p>
    <w:p>
      <w:pPr>
        <w:jc w:val="both"/>
        <w:ind w:left="997" w:hanging="462"/>
        <w:spacing w:after="0" w:line="278" w:lineRule="auto"/>
        <w:tabs>
          <w:tab w:leader="none" w:pos="977" w:val="left"/>
        </w:tabs>
        <w:rPr>
          <w:sz w:val="20"/>
          <w:szCs w:val="20"/>
          <w:color w:val="auto"/>
        </w:rPr>
      </w:pPr>
      <w:r>
        <w:rPr>
          <w:rFonts w:ascii="Arial" w:cs="Arial" w:eastAsia="Arial" w:hAnsi="Arial"/>
          <w:sz w:val="17"/>
          <w:szCs w:val="17"/>
          <w:color w:val="auto"/>
        </w:rPr>
        <w:t>24.2</w:t>
        <w:tab/>
        <w:t>The fee of the auditing accountant for the auditing operations shall be determined by the Board of Directors. The Board of Directors shall report to the annual meeting on the fee of the auditing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208" w:name="page209"/>
    <w:bookmarkEnd w:id="208"/>
    <w:p>
      <w:pPr>
        <w:ind w:left="497" w:hanging="497"/>
        <w:spacing w:after="0"/>
        <w:tabs>
          <w:tab w:leader="none" w:pos="497" w:val="left"/>
        </w:tabs>
        <w:numPr>
          <w:ilvl w:val="0"/>
          <w:numId w:val="123"/>
        </w:numPr>
        <w:rPr>
          <w:rFonts w:ascii="Arial" w:cs="Arial" w:eastAsia="Arial" w:hAnsi="Arial"/>
          <w:sz w:val="17"/>
          <w:szCs w:val="17"/>
          <w:color w:val="auto"/>
        </w:rPr>
      </w:pPr>
      <w:r>
        <w:rPr>
          <w:rFonts w:ascii="Arial" w:cs="Arial" w:eastAsia="Arial" w:hAnsi="Arial"/>
          <w:sz w:val="17"/>
          <w:szCs w:val="17"/>
          <w:b w:val="1"/>
          <w:bCs w:val="1"/>
          <w:u w:val="single" w:color="auto"/>
          <w:color w:val="auto"/>
        </w:rPr>
        <w:t>Signing in the Company’s Name</w:t>
      </w:r>
    </w:p>
    <w:p>
      <w:pPr>
        <w:spacing w:after="0" w:line="27"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5"/>
          <w:szCs w:val="15"/>
          <w:color w:val="auto"/>
        </w:rPr>
        <w:t>The rights to sign in the Company’s name shall be determined from time to time by the Board of Directors of the Company.</w:t>
      </w:r>
    </w:p>
    <w:p>
      <w:pPr>
        <w:spacing w:after="0" w:line="231"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5"/>
          <w:szCs w:val="15"/>
          <w:color w:val="auto"/>
        </w:rPr>
        <w:t>The Company’s authorized signatory shall do so together with the Company’s stamp, or alongside its printed name.</w:t>
      </w:r>
    </w:p>
    <w:p>
      <w:pPr>
        <w:spacing w:after="0" w:line="236" w:lineRule="exact"/>
        <w:rPr>
          <w:sz w:val="20"/>
          <w:szCs w:val="20"/>
          <w:color w:val="auto"/>
        </w:rPr>
      </w:pPr>
    </w:p>
    <w:p>
      <w:pPr>
        <w:ind w:left="497" w:hanging="497"/>
        <w:spacing w:after="0"/>
        <w:tabs>
          <w:tab w:leader="none" w:pos="497" w:val="left"/>
        </w:tabs>
        <w:numPr>
          <w:ilvl w:val="0"/>
          <w:numId w:val="124"/>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and Benefit Shares</w:t>
      </w:r>
    </w:p>
    <w:p>
      <w:pPr>
        <w:spacing w:after="0" w:line="27" w:lineRule="exact"/>
        <w:rPr>
          <w:rFonts w:ascii="Arial" w:cs="Arial" w:eastAsia="Arial" w:hAnsi="Arial"/>
          <w:sz w:val="17"/>
          <w:szCs w:val="17"/>
          <w:color w:val="auto"/>
        </w:rPr>
      </w:pPr>
    </w:p>
    <w:p>
      <w:pPr>
        <w:ind w:left="497"/>
        <w:spacing w:after="0"/>
        <w:rPr>
          <w:rFonts w:ascii="Arial" w:cs="Arial" w:eastAsia="Arial" w:hAnsi="Arial"/>
          <w:sz w:val="17"/>
          <w:szCs w:val="17"/>
          <w:color w:val="auto"/>
        </w:rPr>
      </w:pPr>
      <w:r>
        <w:rPr>
          <w:rFonts w:ascii="Arial" w:cs="Arial" w:eastAsia="Arial" w:hAnsi="Arial"/>
          <w:sz w:val="17"/>
          <w:szCs w:val="17"/>
          <w:color w:val="auto"/>
        </w:rPr>
        <w:t>26.1  The decision by the Company to allocate a dividend and/or to allocate benefit shares shall be taken by the Company’s Board of Directors.</w:t>
      </w:r>
    </w:p>
    <w:p>
      <w:pPr>
        <w:spacing w:after="0" w:line="231" w:lineRule="exact"/>
        <w:rPr>
          <w:sz w:val="20"/>
          <w:szCs w:val="20"/>
          <w:color w:val="auto"/>
        </w:rPr>
      </w:pPr>
    </w:p>
    <w:p>
      <w:pPr>
        <w:jc w:val="both"/>
        <w:ind w:left="997" w:hanging="462"/>
        <w:spacing w:after="0" w:line="277" w:lineRule="auto"/>
        <w:tabs>
          <w:tab w:leader="none" w:pos="977"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6"/>
          <w:szCs w:val="16"/>
          <w:color w:val="auto"/>
        </w:rPr>
        <w:t>Unless determined otherwise by the Board of Directors, it shall be permitted to pay any dividend by way of check or payment order to be sent by mail in accordance with the registered address of the shareholder or the personal eligible thereto or, in the case of joint registered owners of the same share, to that shareholder whose name is mentioned first in the registry of shareholders with regard to the joint ownership. Any such check shall be made out to order of the person to whom it is sent. A receipt from a person whose name, as of the date of declaration of the dividend, is registered in the registry of shareholders as the owner of any share or, in the case of joint owners, of one of the joint owners, shall serve as authorization regarding all payments made in connection with that share and regarding which the receipt was received.</w:t>
      </w:r>
    </w:p>
    <w:p>
      <w:pPr>
        <w:spacing w:after="0" w:line="192" w:lineRule="exact"/>
        <w:rPr>
          <w:sz w:val="20"/>
          <w:szCs w:val="20"/>
          <w:color w:val="auto"/>
        </w:rPr>
      </w:pPr>
    </w:p>
    <w:p>
      <w:pPr>
        <w:jc w:val="both"/>
        <w:ind w:left="997" w:hanging="462"/>
        <w:spacing w:after="0" w:line="282" w:lineRule="auto"/>
        <w:tabs>
          <w:tab w:leader="none" w:pos="977"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6"/>
          <w:szCs w:val="16"/>
          <w:color w:val="auto"/>
        </w:rPr>
        <w:t>For the purpose of executing any decision in accordance with the provisions of this section, the Board of Directors is entitled to resolve as it sees fit any difficulty that emerges regarding distribution of the dividend and/or the benefit shares, including determining the value for the purpose of the said division of certain assets, and to determine that payments in cash shall be made to members on the basis of the value so determined; to determine provisions regarding fractions of shares; or to determine that sums of less than NIS 50 shall not be paid to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209" w:name="page210"/>
    <w:bookmarkEnd w:id="209"/>
    <w:p>
      <w:pPr>
        <w:ind w:left="497" w:hanging="497"/>
        <w:spacing w:after="0"/>
        <w:tabs>
          <w:tab w:leader="none" w:pos="497"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Redeemable Securities</w:t>
      </w:r>
    </w:p>
    <w:p>
      <w:pPr>
        <w:spacing w:after="0" w:line="27" w:lineRule="exact"/>
        <w:rPr>
          <w:sz w:val="20"/>
          <w:szCs w:val="20"/>
          <w:color w:val="auto"/>
        </w:rPr>
      </w:pPr>
    </w:p>
    <w:p>
      <w:pPr>
        <w:ind w:left="477"/>
        <w:spacing w:after="0" w:line="265" w:lineRule="auto"/>
        <w:rPr>
          <w:sz w:val="20"/>
          <w:szCs w:val="20"/>
          <w:color w:val="auto"/>
        </w:rPr>
      </w:pPr>
      <w:r>
        <w:rPr>
          <w:rFonts w:ascii="Arial" w:cs="Arial" w:eastAsia="Arial" w:hAnsi="Arial"/>
          <w:sz w:val="17"/>
          <w:szCs w:val="17"/>
          <w:color w:val="auto"/>
        </w:rPr>
        <w:t>The Company is entitled, subject to any law, to issue redeemable securities on such conditions as shall be determined by the Board of Directors, provided that the general meeting shall approve the recommendation of the Board of Directors and the conditions established thereby.</w:t>
      </w:r>
    </w:p>
    <w:p>
      <w:pPr>
        <w:spacing w:after="0" w:line="195" w:lineRule="exact"/>
        <w:rPr>
          <w:sz w:val="20"/>
          <w:szCs w:val="20"/>
          <w:color w:val="auto"/>
        </w:rPr>
      </w:pPr>
    </w:p>
    <w:p>
      <w:pPr>
        <w:ind w:left="497" w:hanging="497"/>
        <w:spacing w:after="0"/>
        <w:tabs>
          <w:tab w:leader="none" w:pos="497" w:val="left"/>
        </w:tabs>
        <w:numPr>
          <w:ilvl w:val="0"/>
          <w:numId w:val="126"/>
        </w:numPr>
        <w:rPr>
          <w:rFonts w:ascii="Arial" w:cs="Arial" w:eastAsia="Arial" w:hAnsi="Arial"/>
          <w:sz w:val="17"/>
          <w:szCs w:val="17"/>
          <w:color w:val="auto"/>
        </w:rPr>
      </w:pPr>
      <w:r>
        <w:rPr>
          <w:rFonts w:ascii="Arial" w:cs="Arial" w:eastAsia="Arial" w:hAnsi="Arial"/>
          <w:sz w:val="17"/>
          <w:szCs w:val="17"/>
          <w:b w:val="1"/>
          <w:bCs w:val="1"/>
          <w:u w:val="single" w:color="auto"/>
          <w:color w:val="auto"/>
        </w:rPr>
        <w:t>Donations</w:t>
      </w:r>
    </w:p>
    <w:p>
      <w:pPr>
        <w:spacing w:after="0" w:line="27" w:lineRule="exact"/>
        <w:rPr>
          <w:sz w:val="20"/>
          <w:szCs w:val="20"/>
          <w:color w:val="auto"/>
        </w:rPr>
      </w:pPr>
    </w:p>
    <w:p>
      <w:pPr>
        <w:ind w:left="477"/>
        <w:spacing w:after="0" w:line="265" w:lineRule="auto"/>
        <w:rPr>
          <w:sz w:val="20"/>
          <w:szCs w:val="20"/>
          <w:color w:val="auto"/>
        </w:rPr>
      </w:pPr>
      <w:r>
        <w:rPr>
          <w:rFonts w:ascii="Arial" w:cs="Arial" w:eastAsia="Arial" w:hAnsi="Arial"/>
          <w:sz w:val="17"/>
          <w:szCs w:val="17"/>
          <w:color w:val="auto"/>
        </w:rPr>
        <w:t>The Company is entitled to donate a reasonable sum of money for a fit purpose. The Board of Directors of the Company is entitled to determine, at its discretion, rules for the making of donations by the Company.</w:t>
      </w:r>
    </w:p>
    <w:p>
      <w:pPr>
        <w:spacing w:after="0" w:line="195" w:lineRule="exact"/>
        <w:rPr>
          <w:sz w:val="20"/>
          <w:szCs w:val="20"/>
          <w:color w:val="auto"/>
        </w:rPr>
      </w:pPr>
    </w:p>
    <w:p>
      <w:pPr>
        <w:ind w:left="497" w:hanging="497"/>
        <w:spacing w:after="0"/>
        <w:tabs>
          <w:tab w:leader="none" w:pos="497" w:val="left"/>
        </w:tabs>
        <w:numPr>
          <w:ilvl w:val="0"/>
          <w:numId w:val="127"/>
        </w:numPr>
        <w:rPr>
          <w:rFonts w:ascii="Arial" w:cs="Arial" w:eastAsia="Arial" w:hAnsi="Arial"/>
          <w:sz w:val="17"/>
          <w:szCs w:val="17"/>
          <w:color w:val="auto"/>
        </w:rPr>
      </w:pPr>
      <w:r>
        <w:rPr>
          <w:rFonts w:ascii="Arial" w:cs="Arial" w:eastAsia="Arial" w:hAnsi="Arial"/>
          <w:sz w:val="17"/>
          <w:szCs w:val="17"/>
          <w:b w:val="1"/>
          <w:bCs w:val="1"/>
          <w:u w:val="single" w:color="auto"/>
          <w:color w:val="auto"/>
        </w:rPr>
        <w:t>Accounts</w:t>
      </w:r>
    </w:p>
    <w:p>
      <w:pPr>
        <w:spacing w:after="0" w:line="27" w:lineRule="exact"/>
        <w:rPr>
          <w:sz w:val="20"/>
          <w:szCs w:val="20"/>
          <w:color w:val="auto"/>
        </w:rPr>
      </w:pPr>
    </w:p>
    <w:p>
      <w:pPr>
        <w:ind w:left="537"/>
        <w:spacing w:after="0"/>
        <w:tabs>
          <w:tab w:leader="none" w:pos="977" w:val="left"/>
        </w:tabs>
        <w:rPr>
          <w:sz w:val="20"/>
          <w:szCs w:val="20"/>
          <w:color w:val="auto"/>
        </w:rPr>
      </w:pPr>
      <w:r>
        <w:rPr>
          <w:rFonts w:ascii="Arial" w:cs="Arial" w:eastAsia="Arial" w:hAnsi="Arial"/>
          <w:sz w:val="17"/>
          <w:szCs w:val="17"/>
          <w:color w:val="auto"/>
        </w:rPr>
        <w:t>29.1</w:t>
      </w:r>
      <w:r>
        <w:rPr>
          <w:sz w:val="20"/>
          <w:szCs w:val="20"/>
          <w:color w:val="auto"/>
        </w:rPr>
        <w:tab/>
      </w:r>
      <w:r>
        <w:rPr>
          <w:rFonts w:ascii="Arial" w:cs="Arial" w:eastAsia="Arial" w:hAnsi="Arial"/>
          <w:sz w:val="15"/>
          <w:szCs w:val="15"/>
          <w:color w:val="auto"/>
        </w:rPr>
        <w:t>The Company shall maintain accounts and shall prepare financial statements in accordance with the Securities Law and in accordance with any law.</w:t>
      </w:r>
    </w:p>
    <w:p>
      <w:pPr>
        <w:spacing w:after="0" w:line="231" w:lineRule="exact"/>
        <w:rPr>
          <w:sz w:val="20"/>
          <w:szCs w:val="20"/>
          <w:color w:val="auto"/>
        </w:rPr>
      </w:pPr>
    </w:p>
    <w:p>
      <w:pPr>
        <w:ind w:left="997" w:hanging="462"/>
        <w:spacing w:after="0" w:line="278" w:lineRule="auto"/>
        <w:tabs>
          <w:tab w:leader="none" w:pos="977" w:val="left"/>
        </w:tabs>
        <w:rPr>
          <w:sz w:val="20"/>
          <w:szCs w:val="20"/>
          <w:color w:val="auto"/>
        </w:rPr>
      </w:pPr>
      <w:r>
        <w:rPr>
          <w:rFonts w:ascii="Arial" w:cs="Arial" w:eastAsia="Arial" w:hAnsi="Arial"/>
          <w:sz w:val="17"/>
          <w:szCs w:val="17"/>
          <w:color w:val="auto"/>
        </w:rPr>
        <w:t>29.2</w:t>
        <w:tab/>
        <w:t>The account ledgers shall be held at the Company’s registered offices or in any other place as the directors shall see fit, and shall always be open for inspection by the directors.</w:t>
      </w:r>
    </w:p>
    <w:p>
      <w:pPr>
        <w:spacing w:after="0" w:line="184" w:lineRule="exact"/>
        <w:rPr>
          <w:sz w:val="20"/>
          <w:szCs w:val="20"/>
          <w:color w:val="auto"/>
        </w:rPr>
      </w:pPr>
    </w:p>
    <w:p>
      <w:pPr>
        <w:ind w:left="497" w:hanging="497"/>
        <w:spacing w:after="0"/>
        <w:tabs>
          <w:tab w:leader="none" w:pos="497" w:val="left"/>
        </w:tabs>
        <w:numPr>
          <w:ilvl w:val="0"/>
          <w:numId w:val="12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Notifications</w:t>
      </w:r>
    </w:p>
    <w:p>
      <w:pPr>
        <w:spacing w:after="0" w:line="27" w:lineRule="exact"/>
        <w:rPr>
          <w:sz w:val="20"/>
          <w:szCs w:val="20"/>
          <w:color w:val="auto"/>
        </w:rPr>
      </w:pPr>
    </w:p>
    <w:p>
      <w:pPr>
        <w:jc w:val="both"/>
        <w:ind w:left="997" w:hanging="462"/>
        <w:spacing w:after="0" w:line="294" w:lineRule="auto"/>
        <w:tabs>
          <w:tab w:leader="none" w:pos="977" w:val="left"/>
        </w:tabs>
        <w:rPr>
          <w:sz w:val="20"/>
          <w:szCs w:val="20"/>
          <w:color w:val="auto"/>
        </w:rPr>
      </w:pPr>
      <w:r>
        <w:rPr>
          <w:rFonts w:ascii="Arial" w:cs="Arial" w:eastAsia="Arial" w:hAnsi="Arial"/>
          <w:sz w:val="17"/>
          <w:szCs w:val="17"/>
          <w:color w:val="auto"/>
        </w:rPr>
        <w:t>30.1</w:t>
      </w:r>
      <w:r>
        <w:rPr>
          <w:sz w:val="20"/>
          <w:szCs w:val="20"/>
          <w:color w:val="auto"/>
        </w:rPr>
        <w:tab/>
      </w:r>
      <w:r>
        <w:rPr>
          <w:rFonts w:ascii="Arial" w:cs="Arial" w:eastAsia="Arial" w:hAnsi="Arial"/>
          <w:sz w:val="15"/>
          <w:szCs w:val="15"/>
          <w:color w:val="auto"/>
        </w:rPr>
        <w:t>Subject to any law, a notification or any other document that shall be delivered by the Company, and which it is entitled or required to issue in accordance with the provisions of the Articles and/or the Companies Law, the Securities Law, or any law, shall be delivered by the Company to any person in one of the following manners as decided by the Company in each individual case: (A) By dispatch by registered mail in a letter addressed in accordance with the registered address of that shareholder in the registry of shareholders, or in accordance with such address as stated by the shareholder in a letter to the Company as the letter for the delivery of notifications or other documents; or (B) By dispatch by facsimile in accordance with the number stated by the shareholder as the number for the delivery of facsimile notifications; or (C) By way of publication in two daily newspapers appearing in Israel; or (D) By way of publication in the distribution site of the Securities Authority and the Tel Aviv Stock Exchange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wp:posOffset>
            </wp:positionV>
            <wp:extent cx="7257415"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210" w:name="page211"/>
    <w:bookmarkEnd w:id="210"/>
    <w:p>
      <w:pPr>
        <w:jc w:val="both"/>
        <w:ind w:left="460" w:hanging="462"/>
        <w:spacing w:after="0" w:line="347" w:lineRule="auto"/>
        <w:tabs>
          <w:tab w:leader="none" w:pos="440" w:val="left"/>
        </w:tabs>
        <w:rPr>
          <w:sz w:val="20"/>
          <w:szCs w:val="20"/>
          <w:color w:val="auto"/>
        </w:rPr>
      </w:pPr>
      <w:r>
        <w:rPr>
          <w:rFonts w:ascii="Arial" w:cs="Arial" w:eastAsia="Arial" w:hAnsi="Arial"/>
          <w:sz w:val="17"/>
          <w:szCs w:val="17"/>
          <w:color w:val="auto"/>
        </w:rPr>
        <w:t>30.2</w:t>
      </w:r>
      <w:r>
        <w:rPr>
          <w:sz w:val="20"/>
          <w:szCs w:val="20"/>
          <w:color w:val="auto"/>
        </w:rPr>
        <w:tab/>
      </w:r>
      <w:r>
        <w:rPr>
          <w:rFonts w:ascii="Arial" w:cs="Arial" w:eastAsia="Arial" w:hAnsi="Arial"/>
          <w:sz w:val="15"/>
          <w:szCs w:val="15"/>
          <w:color w:val="auto"/>
        </w:rPr>
        <w:t>Any notification to be made to shareholders shall be made, regarding jointly owned shares, to that person whose name is mentioned first in the registry of shareholders as the holder of that share, and any notification made in this manner shall be sufficient notification for the holders of that share.</w:t>
      </w:r>
    </w:p>
    <w:p>
      <w:pPr>
        <w:spacing w:after="0" w:line="144" w:lineRule="exact"/>
        <w:rPr>
          <w:sz w:val="20"/>
          <w:szCs w:val="20"/>
          <w:color w:val="auto"/>
        </w:rPr>
      </w:pPr>
    </w:p>
    <w:p>
      <w:pPr>
        <w:jc w:val="both"/>
        <w:ind w:left="460" w:hanging="462"/>
        <w:spacing w:after="0" w:line="256" w:lineRule="auto"/>
        <w:tabs>
          <w:tab w:leader="none" w:pos="440" w:val="left"/>
        </w:tabs>
        <w:rPr>
          <w:sz w:val="20"/>
          <w:szCs w:val="20"/>
          <w:color w:val="auto"/>
        </w:rPr>
      </w:pPr>
      <w:r>
        <w:rPr>
          <w:rFonts w:ascii="Arial" w:cs="Arial" w:eastAsia="Arial" w:hAnsi="Arial"/>
          <w:sz w:val="17"/>
          <w:szCs w:val="17"/>
          <w:color w:val="auto"/>
        </w:rPr>
        <w:t>30.3</w:t>
        <w:tab/>
        <w:t>Any notification or other document sent in accordance with the provisions of section 30.1 above shall be considered to have reached its destination: (A) Within 3 business days – if sent by registered mail in Israel; or (B) On the first business day after its dispatch, if delivered by hand or sent by facsimile; or (C) On the date of publication, if published in a newspaper or on the distribution site of the Securities Authority and the Tel Aviv Stock Exchange Ltd.</w:t>
      </w:r>
    </w:p>
    <w:p>
      <w:pPr>
        <w:jc w:val="both"/>
        <w:ind w:left="460"/>
        <w:spacing w:after="0" w:line="259" w:lineRule="auto"/>
        <w:rPr>
          <w:sz w:val="20"/>
          <w:szCs w:val="20"/>
          <w:color w:val="auto"/>
        </w:rPr>
      </w:pPr>
      <w:r>
        <w:rPr>
          <w:rFonts w:ascii="Arial" w:cs="Arial" w:eastAsia="Arial" w:hAnsi="Arial"/>
          <w:sz w:val="17"/>
          <w:szCs w:val="17"/>
          <w:color w:val="auto"/>
        </w:rPr>
        <w:t>In proving delivery, it shall be sufficient to prove that the letter sent by mail included the notification and that the document was addressed properly and was delivered to the post office as a letter bearing stamps, or as a registered letter bearing stamps, and, regarding a facsimile, it shall be sufficient to produce a dispatch confirmation sheet from the dispatching facsimile machine.</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30.4</w:t>
      </w:r>
      <w:r>
        <w:rPr>
          <w:sz w:val="20"/>
          <w:szCs w:val="20"/>
          <w:color w:val="auto"/>
        </w:rPr>
        <w:tab/>
      </w:r>
      <w:r>
        <w:rPr>
          <w:rFonts w:ascii="Arial" w:cs="Arial" w:eastAsia="Arial" w:hAnsi="Arial"/>
          <w:sz w:val="15"/>
          <w:szCs w:val="15"/>
          <w:color w:val="auto"/>
        </w:rPr>
        <w:t>Any record made in an ordinary manner in the company’s registry shall be considered prima facie evidence of dispatch as recorded in that registry.</w:t>
      </w:r>
    </w:p>
    <w:p>
      <w:pPr>
        <w:spacing w:after="0" w:line="242" w:lineRule="exact"/>
        <w:rPr>
          <w:sz w:val="20"/>
          <w:szCs w:val="20"/>
          <w:color w:val="auto"/>
        </w:rPr>
      </w:pPr>
    </w:p>
    <w:p>
      <w:pPr>
        <w:ind w:left="460" w:hanging="462"/>
        <w:spacing w:after="0" w:line="278" w:lineRule="auto"/>
        <w:tabs>
          <w:tab w:leader="none" w:pos="440" w:val="left"/>
        </w:tabs>
        <w:rPr>
          <w:sz w:val="20"/>
          <w:szCs w:val="20"/>
          <w:color w:val="auto"/>
        </w:rPr>
      </w:pPr>
      <w:r>
        <w:rPr>
          <w:rFonts w:ascii="Arial" w:cs="Arial" w:eastAsia="Arial" w:hAnsi="Arial"/>
          <w:sz w:val="17"/>
          <w:szCs w:val="17"/>
          <w:color w:val="auto"/>
        </w:rPr>
        <w:t>30.5</w:t>
        <w:tab/>
        <w:t>When it is necessary to provide prior notification of a certain number of days, or when notification is valid for a certain period, the date of delivery shall be included in reckoning the number of days or the period.</w:t>
      </w:r>
    </w:p>
    <w:p>
      <w:pPr>
        <w:spacing w:after="0" w:line="19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w:t>
      </w:r>
    </w:p>
    <w:p>
      <w:pPr>
        <w:spacing w:after="0" w:line="242"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[The Articles were adopted on November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404495</wp:posOffset>
            </wp:positionV>
            <wp:extent cx="7257415" cy="209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80"/>
          </w:cols>
          <w:pgMar w:left="780" w:top="500"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7"/>
          <w:szCs w:val="17"/>
          <w:b w:val="1"/>
          <w:bCs w:val="1"/>
          <w:u w:val="single" w:color="auto"/>
          <w:color w:val="auto"/>
        </w:rPr>
        <w:t>REGISTRATION RIGHTS AGREEMENT</w:t>
      </w:r>
    </w:p>
    <w:p>
      <w:pPr>
        <w:spacing w:after="0" w:line="242" w:lineRule="exact"/>
        <w:rPr>
          <w:sz w:val="20"/>
          <w:szCs w:val="20"/>
          <w:color w:val="auto"/>
        </w:rPr>
      </w:pPr>
    </w:p>
    <w:p>
      <w:pPr>
        <w:ind w:firstLine="617"/>
        <w:spacing w:after="0" w:line="319" w:lineRule="auto"/>
        <w:rPr>
          <w:sz w:val="20"/>
          <w:szCs w:val="20"/>
          <w:color w:val="auto"/>
        </w:rPr>
      </w:pPr>
      <w:r>
        <w:rPr>
          <w:rFonts w:ascii="Arial" w:cs="Arial" w:eastAsia="Arial" w:hAnsi="Arial"/>
          <w:sz w:val="16"/>
          <w:szCs w:val="16"/>
          <w:color w:val="auto"/>
        </w:rPr>
        <w:t>This Registration Rights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made as of the __ day of January, 2007 by and among BioLine Rx Ltd., with a business address at 19 Hartum St., P.O. Box 45158, Jerusalem 91450, Israel (the “</w:t>
      </w:r>
      <w:r>
        <w:rPr>
          <w:rFonts w:ascii="Arial" w:cs="Arial" w:eastAsia="Arial" w:hAnsi="Arial"/>
          <w:sz w:val="16"/>
          <w:szCs w:val="16"/>
          <w:b w:val="1"/>
          <w:bCs w:val="1"/>
          <w:color w:val="auto"/>
        </w:rPr>
        <w:t>Company</w:t>
      </w:r>
      <w:r>
        <w:rPr>
          <w:rFonts w:ascii="Arial" w:cs="Arial" w:eastAsia="Arial" w:hAnsi="Arial"/>
          <w:sz w:val="16"/>
          <w:szCs w:val="16"/>
          <w:color w:val="auto"/>
        </w:rPr>
        <w:t>”) and shareholders of the Company listed on Schedule 1 hereto (the “</w:t>
      </w:r>
      <w:r>
        <w:rPr>
          <w:rFonts w:ascii="Arial" w:cs="Arial" w:eastAsia="Arial" w:hAnsi="Arial"/>
          <w:sz w:val="16"/>
          <w:szCs w:val="16"/>
          <w:b w:val="1"/>
          <w:bCs w:val="1"/>
          <w:color w:val="auto"/>
        </w:rPr>
        <w:t>Holders</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WITNESSETH</w:t>
      </w:r>
    </w:p>
    <w:p>
      <w:pPr>
        <w:spacing w:after="0" w:line="242"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of Directors of the Company has determined that it is in the best interest of the Company that the Company shall grant the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rights as set forth herein; and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intending to be legally bound, hereby agree as follows:</w:t>
      </w:r>
    </w:p>
    <w:p>
      <w:pPr>
        <w:spacing w:after="0" w:line="248" w:lineRule="exact"/>
        <w:rPr>
          <w:sz w:val="20"/>
          <w:szCs w:val="20"/>
          <w:color w:val="auto"/>
        </w:rPr>
      </w:pPr>
    </w:p>
    <w:p>
      <w:pPr>
        <w:ind w:left="1260" w:hanging="640"/>
        <w:spacing w:after="0"/>
        <w:tabs>
          <w:tab w:leader="none" w:pos="126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 The following provisions govern the registration of the Company's securities:</w:t>
      </w:r>
    </w:p>
    <w:p>
      <w:pPr>
        <w:spacing w:after="0" w:line="24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following terms have the following meanings:</w:t>
      </w:r>
    </w:p>
    <w:p>
      <w:pPr>
        <w:spacing w:after="0" w:line="236" w:lineRule="exact"/>
        <w:rPr>
          <w:sz w:val="20"/>
          <w:szCs w:val="20"/>
          <w:color w:val="auto"/>
        </w:rPr>
      </w:pPr>
    </w:p>
    <w:p>
      <w:pPr>
        <w:jc w:val="both"/>
        <w:ind w:firstLine="620"/>
        <w:spacing w:after="0" w:line="269" w:lineRule="auto"/>
        <w:tabs>
          <w:tab w:leader="none" w:pos="132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Form S-3</w:t>
      </w:r>
      <w:r>
        <w:rPr>
          <w:rFonts w:ascii="Arial" w:cs="Arial" w:eastAsia="Arial" w:hAnsi="Arial"/>
          <w:sz w:val="17"/>
          <w:szCs w:val="17"/>
          <w:color w:val="auto"/>
        </w:rPr>
        <w:t>" means Form S-3 or Form F-3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as in effect on the date hereof or any registration form under the Securities Act subsequently adopted by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which permits inclusion or incorporation of substantial information by reference to other documents filed by the Company with the SEC;</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w:t>
      </w:r>
    </w:p>
    <w:p>
      <w:pPr>
        <w:spacing w:after="0" w:line="236"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shall mean the first registration statement for a public offering of securities of the Company, other than a registration statement relating to the sale of securities to employees of the Company pursuant to a stock option, stock purchase or similar plan;</w:t>
      </w:r>
    </w:p>
    <w:p>
      <w:pPr>
        <w:spacing w:after="0" w:line="177" w:lineRule="exact"/>
        <w:rPr>
          <w:sz w:val="20"/>
          <w:szCs w:val="20"/>
          <w:color w:val="auto"/>
        </w:rPr>
      </w:pPr>
    </w:p>
    <w:p>
      <w:pPr>
        <w:jc w:val="both"/>
        <w:ind w:firstLine="47"/>
        <w:spacing w:after="0" w:line="261" w:lineRule="auto"/>
        <w:tabs>
          <w:tab w:leader="none" w:pos="63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means (1) Ordinary Shares now owned or hereafter acquired by the Holders, including all Ordinary Shares issuable with respect to Preferred Shares of the Company, and (2) any Ordinary Shares issued in respect of the shares described in clause (1) above (as a result of share splits, share dividends, reclassifications, recapitalizations or similar); provided, however, that Ordinary Shares that are Registrable Securities shall cease to be Registrable Securities upon (i) any sale thereof pursuant to a Registration Statement or Rule 144 under the Securities Act or (ii) any sale thereof in any manner to a person or entity which is not entitled to the rights provided by this Agreement;</w:t>
      </w:r>
    </w:p>
    <w:p>
      <w:pPr>
        <w:spacing w:after="0" w:line="197" w:lineRule="exact"/>
        <w:rPr>
          <w:rFonts w:ascii="Arial" w:cs="Arial" w:eastAsia="Arial" w:hAnsi="Arial"/>
          <w:sz w:val="17"/>
          <w:szCs w:val="17"/>
          <w:color w:val="auto"/>
        </w:rPr>
      </w:pPr>
    </w:p>
    <w:p>
      <w:pPr>
        <w:ind w:firstLine="620"/>
        <w:spacing w:after="0" w:line="319" w:lineRule="auto"/>
        <w:tabs>
          <w:tab w:leader="none" w:pos="129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Register</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registered</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refer to a registration effected by filing a registration statement in compliance with the Securities Act and the declaration or ordering by the SEC of effectiveness of such registration statement, or the equivalent actions under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25741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212" w:name="page213"/>
    <w:bookmarkEnd w:id="212"/>
    <w:p>
      <w:pPr>
        <w:spacing w:after="0"/>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u w:val="single" w:color="auto"/>
          <w:color w:val="auto"/>
        </w:rPr>
        <w:t>Incidental Registration</w:t>
      </w:r>
      <w:r>
        <w:rPr>
          <w:rFonts w:ascii="Arial" w:cs="Arial" w:eastAsia="Arial" w:hAnsi="Arial"/>
          <w:sz w:val="15"/>
          <w:szCs w:val="15"/>
          <w:color w:val="auto"/>
        </w:rPr>
        <w:t>.</w:t>
      </w:r>
    </w:p>
    <w:p>
      <w:pPr>
        <w:spacing w:after="0" w:line="242" w:lineRule="exact"/>
        <w:rPr>
          <w:sz w:val="20"/>
          <w:szCs w:val="20"/>
          <w:color w:val="auto"/>
        </w:rPr>
      </w:pPr>
    </w:p>
    <w:p>
      <w:pPr>
        <w:jc w:val="both"/>
        <w:ind w:left="-620" w:firstLine="1238"/>
        <w:spacing w:after="0" w:line="257" w:lineRule="auto"/>
        <w:tabs>
          <w:tab w:leader="none" w:pos="140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Company at any time proposes to register any of its securities (other than in its IPO, a demand registration under Section 1.3, a registration relating to stock option plan(s) of the Company, or a registration on Form F-4/S-4 in connection with a merger, acquisition or other business combination, but including the first public offering of the Company’s shares in a U.S. market following an IPO), it shall give prompt written notice to all Holders of such intention, together with a list of jurisdictions in which the Company intends to attempt to qualify such securities under applicable state securities laws. Upon the written request of any such Holder given within twenty (20) days after receipt of any such notice, the Company shall include in such registration all of the Registrable Securities indicated in such request, so as to permit the disposition of the shares so registered. The said “piggyback” or incidental right of the Holders under this Section, may be exercised an unlimited number of times.</w:t>
      </w:r>
    </w:p>
    <w:p>
      <w:pPr>
        <w:spacing w:after="0" w:line="206" w:lineRule="exact"/>
        <w:rPr>
          <w:rFonts w:ascii="Arial" w:cs="Arial" w:eastAsia="Arial" w:hAnsi="Arial"/>
          <w:sz w:val="17"/>
          <w:szCs w:val="17"/>
          <w:color w:val="auto"/>
        </w:rPr>
      </w:pPr>
    </w:p>
    <w:p>
      <w:pPr>
        <w:jc w:val="both"/>
        <w:ind w:left="-620" w:firstLine="1238"/>
        <w:spacing w:after="0" w:line="273" w:lineRule="auto"/>
        <w:tabs>
          <w:tab w:leader="none" w:pos="153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1.2, if the managing underwriter, if any, advises the Company in writing that marketing factors require a limitation of the number of shares to be underwritten (an "</w:t>
      </w:r>
      <w:r>
        <w:rPr>
          <w:rFonts w:ascii="Arial" w:cs="Arial" w:eastAsia="Arial" w:hAnsi="Arial"/>
          <w:sz w:val="16"/>
          <w:szCs w:val="16"/>
          <w:b w:val="1"/>
          <w:bCs w:val="1"/>
          <w:color w:val="auto"/>
        </w:rPr>
        <w:t>Underwriters' Cutback</w:t>
      </w:r>
      <w:r>
        <w:rPr>
          <w:rFonts w:ascii="Arial" w:cs="Arial" w:eastAsia="Arial" w:hAnsi="Arial"/>
          <w:sz w:val="16"/>
          <w:szCs w:val="16"/>
          <w:color w:val="auto"/>
        </w:rPr>
        <w:t xml:space="preserve">"), then, there shall be excluded from such registration and underwriting, to the extent necessary to satisfy such limitation, </w:t>
      </w:r>
      <w:r>
        <w:rPr>
          <w:rFonts w:ascii="Arial" w:cs="Arial" w:eastAsia="Arial" w:hAnsi="Arial"/>
          <w:sz w:val="16"/>
          <w:szCs w:val="16"/>
          <w:b w:val="1"/>
          <w:bCs w:val="1"/>
          <w:i w:val="1"/>
          <w:iCs w:val="1"/>
          <w:color w:val="auto"/>
        </w:rPr>
        <w:t>first</w:t>
      </w:r>
      <w:r>
        <w:rPr>
          <w:rFonts w:ascii="Arial" w:cs="Arial" w:eastAsia="Arial" w:hAnsi="Arial"/>
          <w:sz w:val="16"/>
          <w:szCs w:val="16"/>
          <w:color w:val="auto"/>
        </w:rPr>
        <w:t xml:space="preserve">, securities of the Company not held by the Holders, to the extent necessary, and </w:t>
      </w:r>
      <w:r>
        <w:rPr>
          <w:rFonts w:ascii="Arial" w:cs="Arial" w:eastAsia="Arial" w:hAnsi="Arial"/>
          <w:sz w:val="16"/>
          <w:szCs w:val="16"/>
          <w:b w:val="1"/>
          <w:bCs w:val="1"/>
          <w:i w:val="1"/>
          <w:iCs w:val="1"/>
          <w:color w:val="auto"/>
        </w:rPr>
        <w:t>second</w:t>
      </w:r>
      <w:r>
        <w:rPr>
          <w:rFonts w:ascii="Arial" w:cs="Arial" w:eastAsia="Arial" w:hAnsi="Arial"/>
          <w:sz w:val="16"/>
          <w:szCs w:val="16"/>
          <w:color w:val="auto"/>
        </w:rPr>
        <w:t xml:space="preserve">, Registrable Securities, to the extent necessary (on a pro rata basis according to the respective holdings of the Holders of Registrable Securities at the time of such registration);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number of Registrable Securities to be registered by the Holders is limited by the underwriter, the securities to be sold for the account of the Company shall have priority over those of the Holders in each such registration and the number of Registrable Securities, if any, that may be included in the registration shall be in accordance with the above order and preference; further provided, however, that without the written consent of the Holders holding a majority of the Registrable Securities requested to be included in such registration the Registrable Securities held by the Holders shall not be reduced to less than twenty-five percent (25%) of the aggregate shares to be registered in such underwriting.</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u w:val="single" w:color="auto"/>
          <w:color w:val="auto"/>
        </w:rPr>
        <w:t>Demand Registration</w:t>
      </w:r>
      <w:r>
        <w:rPr>
          <w:rFonts w:ascii="Arial" w:cs="Arial" w:eastAsia="Arial" w:hAnsi="Arial"/>
          <w:sz w:val="15"/>
          <w:szCs w:val="15"/>
          <w:color w:val="auto"/>
        </w:rPr>
        <w:t>.</w:t>
      </w:r>
    </w:p>
    <w:p>
      <w:pPr>
        <w:spacing w:after="0" w:line="242" w:lineRule="exact"/>
        <w:rPr>
          <w:sz w:val="20"/>
          <w:szCs w:val="20"/>
          <w:color w:val="auto"/>
        </w:rPr>
      </w:pPr>
    </w:p>
    <w:p>
      <w:pPr>
        <w:jc w:val="both"/>
        <w:ind w:left="-620" w:firstLine="1238"/>
        <w:spacing w:after="0" w:line="257" w:lineRule="auto"/>
        <w:tabs>
          <w:tab w:leader="none" w:pos="144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If the Company receives, at any time beginning six (6) months after the effective date of the IPO, from the Holders of a majority in interest of the Registrable Securities (calculated on an as converted basis) then outstanding, a request in writing that all or part of the Registrable Securities held by them having an aggregate value of at least $5,000,000 shall be registered for trading under the Securities Act, then, within seven (7) days after receipt of any such request, the Company shall give written notice of such request to the other Holders, and shall include in such registration all Registrable Securities held by all such Holders who wish to participate in such demand registration and provide the Company with written requests for inclusion therein within fifteen (15) days after the receipt of the Company's notice. Thereupon, the Company shall use its best efforts to effect the registration of all Registrable Securities, as to which it has received requests for registration under the Securities Act.</w:t>
      </w:r>
    </w:p>
    <w:p>
      <w:pPr>
        <w:spacing w:after="0" w:line="206" w:lineRule="exact"/>
        <w:rPr>
          <w:rFonts w:ascii="Arial" w:cs="Arial" w:eastAsia="Arial" w:hAnsi="Arial"/>
          <w:sz w:val="17"/>
          <w:szCs w:val="17"/>
          <w:color w:val="auto"/>
        </w:rPr>
      </w:pPr>
    </w:p>
    <w:p>
      <w:pPr>
        <w:jc w:val="both"/>
        <w:ind w:left="-620" w:firstLine="1238"/>
        <w:spacing w:after="0" w:line="294" w:lineRule="auto"/>
        <w:tabs>
          <w:tab w:leader="none" w:pos="1296"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Section 1.3(a), if the managing underwriter, if any, advises the Company in writing that marketing factors require an Underwriters Cutback, then there shall be excluded from such registration and underwriting, to the extent necessary to satisfy such limitation, </w:t>
      </w:r>
      <w:r>
        <w:rPr>
          <w:rFonts w:ascii="Arial" w:cs="Arial" w:eastAsia="Arial" w:hAnsi="Arial"/>
          <w:sz w:val="15"/>
          <w:szCs w:val="15"/>
          <w:b w:val="1"/>
          <w:bCs w:val="1"/>
          <w:i w:val="1"/>
          <w:iCs w:val="1"/>
          <w:color w:val="auto"/>
        </w:rPr>
        <w:t>first</w:t>
      </w:r>
      <w:r>
        <w:rPr>
          <w:rFonts w:ascii="Arial" w:cs="Arial" w:eastAsia="Arial" w:hAnsi="Arial"/>
          <w:sz w:val="15"/>
          <w:szCs w:val="15"/>
          <w:color w:val="auto"/>
        </w:rPr>
        <w:t xml:space="preserve">, securities of the Company not held by the Holders, to the extent necessary, and </w:t>
      </w:r>
      <w:r>
        <w:rPr>
          <w:rFonts w:ascii="Arial" w:cs="Arial" w:eastAsia="Arial" w:hAnsi="Arial"/>
          <w:sz w:val="15"/>
          <w:szCs w:val="15"/>
          <w:b w:val="1"/>
          <w:bCs w:val="1"/>
          <w:i w:val="1"/>
          <w:iCs w:val="1"/>
          <w:color w:val="auto"/>
        </w:rPr>
        <w:t>second</w:t>
      </w:r>
      <w:r>
        <w:rPr>
          <w:rFonts w:ascii="Arial" w:cs="Arial" w:eastAsia="Arial" w:hAnsi="Arial"/>
          <w:sz w:val="15"/>
          <w:szCs w:val="15"/>
          <w:color w:val="auto"/>
        </w:rPr>
        <w:t xml:space="preserve">, Registrable Securities, to the extent necessary (on a pro rata basis according to the respective holdings of the Holders of Registrable Securities at the time of such registration); provided however, that in any event all Registrable Securities must be included in such registration prior to any other shares of the Company. The Holders shall not be entitled to request a registration under Section 1.3(a) if the Company shall furnish to the Holders a certificate signed by the CEO of the Company confirming that in the good faith judgment of the Board of Directors of the Company it would be seriously detrimental to the Company or its shareholders for such registration statement to be effected at such time, in which event the Company shall have the right to defer the filing of the registration statement for a period of no more than ninety (90) days after the receipt of the request of the Holders under Section 1.3(a); </w:t>
      </w:r>
      <w:r>
        <w:rPr>
          <w:rFonts w:ascii="Arial" w:cs="Arial" w:eastAsia="Arial" w:hAnsi="Arial"/>
          <w:sz w:val="15"/>
          <w:szCs w:val="15"/>
          <w:u w:val="single" w:color="auto"/>
          <w:color w:val="auto"/>
        </w:rPr>
        <w:t>provided, however</w:t>
      </w:r>
      <w:r>
        <w:rPr>
          <w:rFonts w:ascii="Arial" w:cs="Arial" w:eastAsia="Arial" w:hAnsi="Arial"/>
          <w:sz w:val="15"/>
          <w:szCs w:val="15"/>
          <w:color w:val="auto"/>
        </w:rPr>
        <w:t>, the Company may not make more than one (1) such deferral in any twelve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366395</wp:posOffset>
            </wp:positionV>
            <wp:extent cx="7257415"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213" w:name="page214"/>
    <w:bookmarkEnd w:id="213"/>
    <w:p>
      <w:pPr>
        <w:ind w:left="1900" w:hanging="662"/>
        <w:spacing w:after="0"/>
        <w:tabs>
          <w:tab w:leader="none" w:pos="1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 Section 1.3(a):</w:t>
      </w:r>
    </w:p>
    <w:p>
      <w:pPr>
        <w:spacing w:after="0" w:line="253" w:lineRule="exact"/>
        <w:rPr>
          <w:rFonts w:ascii="Arial" w:cs="Arial" w:eastAsia="Arial" w:hAnsi="Arial"/>
          <w:sz w:val="16"/>
          <w:szCs w:val="16"/>
          <w:color w:val="auto"/>
        </w:rPr>
      </w:pPr>
    </w:p>
    <w:p>
      <w:pPr>
        <w:ind w:left="2480" w:hanging="625"/>
        <w:spacing w:after="0"/>
        <w:tabs>
          <w:tab w:leader="none" w:pos="248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after the Company has effected two (2) registrations pursuant to Section 1.3(a);</w:t>
      </w:r>
    </w:p>
    <w:p>
      <w:pPr>
        <w:spacing w:after="0" w:line="241" w:lineRule="exact"/>
        <w:rPr>
          <w:rFonts w:ascii="Arial" w:cs="Arial" w:eastAsia="Arial" w:hAnsi="Arial"/>
          <w:sz w:val="17"/>
          <w:szCs w:val="17"/>
          <w:color w:val="auto"/>
        </w:rPr>
      </w:pPr>
    </w:p>
    <w:p>
      <w:pPr>
        <w:jc w:val="both"/>
        <w:ind w:firstLine="1855"/>
        <w:spacing w:after="0" w:line="265" w:lineRule="auto"/>
        <w:tabs>
          <w:tab w:leader="none" w:pos="251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during the period ending (A) six (6) months after the effective date of a registration subject to Section 1.3(a) hereof or (B) six (6) months after the effective date of any other registration statement pertaining to Ordinary Shares of the Company, or such shorter periods if such shorter periods are acceptable to the underwriters of such offering;</w:t>
      </w:r>
    </w:p>
    <w:p>
      <w:pPr>
        <w:spacing w:after="0" w:line="201" w:lineRule="exact"/>
        <w:rPr>
          <w:rFonts w:ascii="Arial" w:cs="Arial" w:eastAsia="Arial" w:hAnsi="Arial"/>
          <w:sz w:val="17"/>
          <w:szCs w:val="17"/>
          <w:color w:val="auto"/>
        </w:rPr>
      </w:pPr>
    </w:p>
    <w:p>
      <w:pPr>
        <w:jc w:val="both"/>
        <w:ind w:firstLine="1855"/>
        <w:spacing w:after="0" w:line="265" w:lineRule="auto"/>
        <w:tabs>
          <w:tab w:leader="none" w:pos="2549"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in any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 or applicable rules or regulations thereunder; or</w:t>
      </w:r>
    </w:p>
    <w:p>
      <w:pPr>
        <w:spacing w:after="0" w:line="201" w:lineRule="exact"/>
        <w:rPr>
          <w:rFonts w:ascii="Arial" w:cs="Arial" w:eastAsia="Arial" w:hAnsi="Arial"/>
          <w:sz w:val="17"/>
          <w:szCs w:val="17"/>
          <w:color w:val="auto"/>
        </w:rPr>
      </w:pPr>
    </w:p>
    <w:p>
      <w:pPr>
        <w:ind w:left="2480" w:hanging="625"/>
        <w:spacing w:after="0"/>
        <w:tabs>
          <w:tab w:leader="none" w:pos="248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if such request does not cover shares representing a market value at the time of such request equal to a minimum of $5,000,000.</w:t>
      </w:r>
    </w:p>
    <w:p>
      <w:pPr>
        <w:spacing w:after="0" w:line="264"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1.4</w:t>
      </w:r>
      <w:r>
        <w:rPr>
          <w:rFonts w:ascii="Arial" w:cs="Arial" w:eastAsia="Arial" w:hAnsi="Arial"/>
          <w:sz w:val="15"/>
          <w:szCs w:val="15"/>
          <w:u w:val="single" w:color="auto"/>
          <w:color w:val="auto"/>
        </w:rPr>
        <w:t>Form S-3 Registration</w:t>
      </w:r>
      <w:r>
        <w:rPr>
          <w:rFonts w:ascii="Arial" w:cs="Arial" w:eastAsia="Arial" w:hAnsi="Arial"/>
          <w:sz w:val="15"/>
          <w:szCs w:val="15"/>
          <w:color w:val="auto"/>
        </w:rPr>
        <w:t>.</w:t>
      </w:r>
    </w:p>
    <w:p>
      <w:pPr>
        <w:spacing w:after="0" w:line="242" w:lineRule="exact"/>
        <w:rPr>
          <w:sz w:val="20"/>
          <w:szCs w:val="20"/>
          <w:color w:val="auto"/>
        </w:rPr>
      </w:pPr>
    </w:p>
    <w:p>
      <w:pPr>
        <w:jc w:val="both"/>
        <w:ind w:firstLine="1238"/>
        <w:spacing w:after="0" w:line="298" w:lineRule="auto"/>
        <w:tabs>
          <w:tab w:leader="none" w:pos="193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 the event the Company receives from any Holder a written request that the Company effect a registration on Form S-3, and any related qualification or compliance, the Company will within seven (7) days from receipt of any such request give written notice of the proposed registration, and any related qualification or compliance, to all other Holders, and include in such registration all Registrable Securities held by all such Holders, who wish to participate in such registration and provide the Company with written requests for inclusion therein within fifteen (15) days after the receipt of the Company's notice. Thereupon, the Company shall use its best efforts to effect such registration of the Registrable Securities held by the Holders, and all such qualifications and compliances as may be so requested and as would permit or facilitate the sale and distribution of all or such portion of such Registrable Securities as are specified in such request.</w:t>
      </w:r>
    </w:p>
    <w:p>
      <w:pPr>
        <w:spacing w:after="0" w:line="181" w:lineRule="exact"/>
        <w:rPr>
          <w:rFonts w:ascii="Arial" w:cs="Arial" w:eastAsia="Arial" w:hAnsi="Arial"/>
          <w:sz w:val="15"/>
          <w:szCs w:val="15"/>
          <w:color w:val="auto"/>
        </w:rPr>
      </w:pPr>
    </w:p>
    <w:p>
      <w:pPr>
        <w:ind w:left="2140" w:hanging="902"/>
        <w:spacing w:after="0"/>
        <w:tabs>
          <w:tab w:leader="none" w:pos="21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qualification or compliance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pursuant to Section 1.4(a):</w:t>
      </w:r>
    </w:p>
    <w:p>
      <w:pPr>
        <w:spacing w:after="0" w:line="230" w:lineRule="exact"/>
        <w:rPr>
          <w:rFonts w:ascii="Arial" w:cs="Arial" w:eastAsia="Arial" w:hAnsi="Arial"/>
          <w:sz w:val="16"/>
          <w:szCs w:val="16"/>
          <w:color w:val="auto"/>
        </w:rPr>
      </w:pPr>
    </w:p>
    <w:p>
      <w:pPr>
        <w:ind w:firstLine="1855"/>
        <w:spacing w:after="0" w:line="278" w:lineRule="auto"/>
        <w:tabs>
          <w:tab w:leader="none" w:pos="250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two registrations on Form S-3 for the Holders pursuant to this Section 1.4;</w:t>
      </w:r>
    </w:p>
    <w:p>
      <w:pPr>
        <w:spacing w:after="0" w:line="190" w:lineRule="exact"/>
        <w:rPr>
          <w:rFonts w:ascii="Arial" w:cs="Arial" w:eastAsia="Arial" w:hAnsi="Arial"/>
          <w:sz w:val="17"/>
          <w:szCs w:val="17"/>
          <w:color w:val="auto"/>
        </w:rPr>
      </w:pPr>
    </w:p>
    <w:p>
      <w:pPr>
        <w:ind w:firstLine="1855"/>
        <w:spacing w:after="0" w:line="278" w:lineRule="auto"/>
        <w:tabs>
          <w:tab w:leader="none" w:pos="250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in any particular jurisdiction in which the Company would be required to qualify to do business or to execute a general consent to service of process in effecting such registration, qualification or compliance;</w:t>
      </w:r>
    </w:p>
    <w:p>
      <w:pPr>
        <w:spacing w:after="0" w:line="190" w:lineRule="exact"/>
        <w:rPr>
          <w:rFonts w:ascii="Arial" w:cs="Arial" w:eastAsia="Arial" w:hAnsi="Arial"/>
          <w:sz w:val="17"/>
          <w:szCs w:val="17"/>
          <w:color w:val="auto"/>
        </w:rPr>
      </w:pPr>
    </w:p>
    <w:p>
      <w:pPr>
        <w:ind w:firstLine="1855"/>
        <w:spacing w:after="0" w:line="278" w:lineRule="auto"/>
        <w:tabs>
          <w:tab w:leader="none" w:pos="267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during the period ending 90 days after the effective date of any registration statement pertaining to Ordinary Shares of the Company (or such shorter period if such shorter period is acceptable to the underwriters of such offering);</w:t>
      </w:r>
    </w:p>
    <w:p>
      <w:pPr>
        <w:spacing w:after="0" w:line="190" w:lineRule="exact"/>
        <w:rPr>
          <w:rFonts w:ascii="Arial" w:cs="Arial" w:eastAsia="Arial" w:hAnsi="Arial"/>
          <w:sz w:val="17"/>
          <w:szCs w:val="17"/>
          <w:color w:val="auto"/>
        </w:rPr>
      </w:pPr>
    </w:p>
    <w:p>
      <w:pPr>
        <w:ind w:left="2540" w:hanging="685"/>
        <w:spacing w:after="0"/>
        <w:tabs>
          <w:tab w:leader="none" w:pos="254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if such request does not cover shares representing a market value at the time of such request equal to a minimum of $1,000,000;</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4" w:name="page215"/>
    <w:bookmarkEnd w:id="214"/>
    <w:p>
      <w:pPr>
        <w:ind w:left="2480" w:hanging="625"/>
        <w:spacing w:after="0"/>
        <w:tabs>
          <w:tab w:leader="none" w:pos="24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if Form S-3 is not available for such offering by the Holders.</w:t>
      </w:r>
    </w:p>
    <w:p>
      <w:pPr>
        <w:spacing w:after="0" w:line="24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1.5</w:t>
      </w:r>
      <w:r>
        <w:rPr>
          <w:rFonts w:ascii="Arial" w:cs="Arial" w:eastAsia="Arial" w:hAnsi="Arial"/>
          <w:sz w:val="16"/>
          <w:szCs w:val="16"/>
          <w:u w:val="single" w:color="auto"/>
          <w:color w:val="auto"/>
        </w:rPr>
        <w:t>Designation of Underwriter</w:t>
      </w:r>
      <w:r>
        <w:rPr>
          <w:rFonts w:ascii="Arial" w:cs="Arial" w:eastAsia="Arial" w:hAnsi="Arial"/>
          <w:sz w:val="16"/>
          <w:szCs w:val="16"/>
          <w:color w:val="auto"/>
        </w:rPr>
        <w:t>.</w:t>
      </w:r>
    </w:p>
    <w:p>
      <w:pPr>
        <w:spacing w:after="0" w:line="241" w:lineRule="exact"/>
        <w:rPr>
          <w:rFonts w:ascii="Arial" w:cs="Arial" w:eastAsia="Arial" w:hAnsi="Arial"/>
          <w:sz w:val="17"/>
          <w:szCs w:val="17"/>
          <w:color w:val="auto"/>
        </w:rPr>
      </w:pPr>
    </w:p>
    <w:p>
      <w:pPr>
        <w:ind w:firstLine="1238"/>
        <w:spacing w:after="0" w:line="311" w:lineRule="auto"/>
        <w:tabs>
          <w:tab w:leader="none" w:pos="191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any underwritten registration effected pursuant to Section 1.3, a majority in interest of the Holders of the Registrable Shares (calculated on an as converted basis) that submitted the request for registration shall appoint an underwriter reasonably acceptable to the Company.</w:t>
      </w:r>
    </w:p>
    <w:p>
      <w:pPr>
        <w:spacing w:after="0" w:line="166" w:lineRule="exact"/>
        <w:rPr>
          <w:rFonts w:ascii="Arial" w:cs="Arial" w:eastAsia="Arial" w:hAnsi="Arial"/>
          <w:sz w:val="16"/>
          <w:szCs w:val="16"/>
          <w:color w:val="auto"/>
        </w:rPr>
      </w:pPr>
    </w:p>
    <w:p>
      <w:pPr>
        <w:ind w:left="1980" w:hanging="742"/>
        <w:spacing w:after="0"/>
        <w:tabs>
          <w:tab w:leader="none" w:pos="19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the case of any registration initiated by the Company, the Company shall have the right to designate the managing underwriter in any</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underwritten offering.</w:t>
      </w:r>
    </w:p>
    <w:p>
      <w:pPr>
        <w:spacing w:after="0" w:line="231" w:lineRule="exact"/>
        <w:rPr>
          <w:sz w:val="20"/>
          <w:szCs w:val="20"/>
          <w:color w:val="auto"/>
        </w:rPr>
      </w:pPr>
    </w:p>
    <w:p>
      <w:pPr>
        <w:jc w:val="both"/>
        <w:ind w:firstLine="617"/>
        <w:spacing w:after="0" w:line="289"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All expenses incurred in connection with any registration or sale of shares under Section 1.2, Section 1.3 or Section 1.4 shall be borne by the Company (including fees up to $200,000 of one counsel for the selling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each of the Holders participating in such registration or sale shall pay its pro rata portion of the customary and standard discounts or commissions payable to any underwriter.</w:t>
      </w:r>
    </w:p>
    <w:p>
      <w:pPr>
        <w:spacing w:after="0" w:line="184"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u w:val="single" w:color="auto"/>
          <w:color w:val="auto"/>
        </w:rPr>
        <w:t>Indemnities</w:t>
      </w:r>
      <w:r>
        <w:rPr>
          <w:rFonts w:ascii="Arial" w:cs="Arial" w:eastAsia="Arial" w:hAnsi="Arial"/>
          <w:sz w:val="15"/>
          <w:szCs w:val="15"/>
          <w:color w:val="auto"/>
        </w:rPr>
        <w:t>. In the event of any registered offering of Ordinary Shares pursuant to this Section 1:</w:t>
      </w:r>
    </w:p>
    <w:p>
      <w:pPr>
        <w:spacing w:after="0" w:line="242" w:lineRule="exact"/>
        <w:rPr>
          <w:sz w:val="20"/>
          <w:szCs w:val="20"/>
          <w:color w:val="auto"/>
        </w:rPr>
      </w:pPr>
    </w:p>
    <w:p>
      <w:pPr>
        <w:jc w:val="both"/>
        <w:ind w:firstLine="1235"/>
        <w:spacing w:after="0" w:line="289" w:lineRule="auto"/>
        <w:rPr>
          <w:sz w:val="20"/>
          <w:szCs w:val="20"/>
          <w:color w:val="auto"/>
        </w:rPr>
      </w:pPr>
      <w:r>
        <w:rPr>
          <w:rFonts w:ascii="Arial" w:cs="Arial" w:eastAsia="Arial" w:hAnsi="Arial"/>
          <w:sz w:val="15"/>
          <w:szCs w:val="15"/>
          <w:color w:val="auto"/>
        </w:rPr>
        <w:t>1.7.1 The Company will indemnify and hold harmless, to the fullest extent permitted by law, any Holder (including its officers, directors, partners and legal counsel) and any underwriter for such Holder, and each person, if any, who controls the Holder or such underwriter, from and against any and all losses, damages, claims, liabilities, joint or several, costs and expenses (including any amounts paid in any settlement effected with the Company's consent) to which the Holder or any such underwriter or controlling person may become subject under applicable law or otherwise, insofar as such losses, damages, claims, liabilities (or actions or proceedings in respect thereof), costs or expenses arise out of or are based upon (i) any untrue statement or alleged untrue statement of any material fact contained in the registration statement or included in the prospectus, as amended or supplemented including any free writing prospectus, or (ii) the omission or alleged omission to state therein a material fact required to be stated therein or necessary to make the statements therein, in the light of the circumstances in which they are made, not misleading, (iii) any violation or alleged violation by the Company of the Securities Act, the Securities Exchange Act of 1934, as amended, any state securities law; or any rule or regulation promulgated under the Securities Act, Securities Exchange Act or any state security law; and the Company will reimburse the Holder, such underwriter and each such controlling person of the Holder or the underwriter, promptly upon demand, for any legal or any other expenses reasonably incurred by them in connection with investigating, preparing to defend or defending against or appearing as a third-party witness in connection with such loss, claim, damage, liability, action or proceeding; provided, however, that the Company will not be liable in any such case to the extent that any such loss, damage, liability, cost or expense arises out of or is based upon an untrue statement or alleged untrue statement or omission or alleged omission so made in conformity with information furnished in writing by a Holder, such underwriter or such controlling persons in writing specifically for inclusion therein; provided, further, that the indemnity agreement contained in this subsection 1.7.1 shall not apply to amounts paid in settlement of any such claim, loss, damage, liability or action if such settlement is effected without the consent of the Company, which consent shall not be unreasonably withheld. Such indemnity shall remain in full force and effect regardless of any investigation made by or on behalf of the selling shareholder, the underwriter or any controlling person of the selling shareholder or the underwriter, and regardless of any sale in connection with such offering by the selling shareholder. Such indemnity shall survive the transfer of securities by a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741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5" w:name="page216"/>
    <w:bookmarkEnd w:id="215"/>
    <w:p>
      <w:pPr>
        <w:jc w:val="both"/>
        <w:ind w:firstLine="1235"/>
        <w:spacing w:after="0" w:line="270" w:lineRule="auto"/>
        <w:rPr>
          <w:sz w:val="20"/>
          <w:szCs w:val="20"/>
          <w:color w:val="auto"/>
        </w:rPr>
      </w:pPr>
      <w:r>
        <w:rPr>
          <w:rFonts w:ascii="Arial" w:cs="Arial" w:eastAsia="Arial" w:hAnsi="Arial"/>
          <w:sz w:val="16"/>
          <w:szCs w:val="16"/>
          <w:color w:val="auto"/>
        </w:rPr>
        <w:t>1.7.2 Each Holder participating in a registration hereunder will indemnify and hold harmless the Company, any underwriter for the Company, and each person, if any, who controls the Company or such underwriter, from and against any and all losses, damages, claims, liabilities, costs or expenses (including any amounts paid in any settlement effected with the selling shareholder's consent) to which the Company or any such controlling person and/or any such underwriter may become subject under applicable law or otherwise, insofar as such losses, damages, claims, liabilities (or actions or proceedings in respect thereof), costs or expenses arise out of or are based on (i) any untrue or alleged untrue statement of any material fact contained in the registration statement or included in the prospectus, as amended or supplemented, including any free writing prospectus or (ii) the omission or the alleged omission to state therein a material fact required to be stated therein or necessary to make the statements therein, in the light of the circumstances in which they were made, not misleading, and each such Holder will reimburse the Company, any underwriter and each such controlling person of the Company or any underwriter, promptly upon demand, for any reasonable legal or other expenses incurred by them in connection with investigating, preparing to defend or defending against or appearing as a third-party witness in connection with such loss, claim, damage, liability, action or proceeding; in each case to the extent, but only to the extent, that such untrue statement or alleged untrue statement or omission or alleged omission was so made in strict conformity with written information furnished by such Holder specifically for inclusion therein. The foregoing indemnity agreement is subject to the condition that, insofar as it relates to any such untrue statement (or alleged untrue statement) or omission (or alleged omission) made in the preliminary prospectus but eliminated or remedied in the amended prospectus at the time the registration statement becomes effective or in the Final Prospectus, such indemnity agreement shall not inure to the benefit of (i) the Company and (ii) any underwriter, if a copy of the Final Prospectus was not furnished to the person or entity asserting the loss, liability, claim or damage at or prior to the time such furnishing is required by the Securities Act; provided, further, that this indemnity shall not be deemed to relieve any underwriter of any of its due diligence obligations; provided, further, that the indemnity agreement contained in this subsection 1.7.2 shall not apply to amounts paid in settlement of any such claim, loss, damage, liability or action if such settlement is effected without the consent of the Holders, as the case may be, which consent shall not be unreasonably withheld. In no event shall the liability of a Holder exceed the net proceeds from the offering received by such Holder.</w:t>
      </w:r>
    </w:p>
    <w:p>
      <w:pPr>
        <w:spacing w:after="0" w:line="209" w:lineRule="exact"/>
        <w:rPr>
          <w:sz w:val="20"/>
          <w:szCs w:val="20"/>
          <w:color w:val="auto"/>
        </w:rPr>
      </w:pPr>
    </w:p>
    <w:p>
      <w:pPr>
        <w:jc w:val="both"/>
        <w:ind w:firstLine="1235"/>
        <w:spacing w:after="0" w:line="271" w:lineRule="auto"/>
        <w:rPr>
          <w:sz w:val="20"/>
          <w:szCs w:val="20"/>
          <w:color w:val="auto"/>
        </w:rPr>
      </w:pPr>
      <w:r>
        <w:rPr>
          <w:rFonts w:ascii="Arial" w:cs="Arial" w:eastAsia="Arial" w:hAnsi="Arial"/>
          <w:sz w:val="16"/>
          <w:szCs w:val="16"/>
          <w:color w:val="auto"/>
        </w:rPr>
        <w:t>1.7.3 Promptly after receipt by an indemnified party pursuant to the provisions of Sections 1.7.1 or 1.7.2 of notice of the commencement of any action involving the subject matter of the foregoing indemnity provisions, such indemnified party will, if a claim thereof is to be made against the indemnifying party pursuant to the provisions of said Section 1.7.1 or 1.7.2, promptly notify the indemnifying party of the commencement thereof; but the omission to notify the indemnifying party will not relieve it from any liability which it may have to any indemnified party otherwise than hereunder. In case such action is brought against any indemnified party and it notifies the indemnifying party of the commencement thereof, the indemnifying party shall have the right to participate in, and, to the extent that it may wish, jointly with any other indemnifying party similarly notified, to assume the defense thereof with counsel reasonably satisfactory to such indemnified party; provided, however, that if the defendants in any action include both the indemnified party and the indemnifying party and there is a conflict of interests which would prevent counsel for the indemnifying party from also representing the indemnified party, the indemnified party or parties shall have the right to select one separate counsel to participate in the defense of such action on behalf of such indemnified party or parties. After notice from the indemnifying party to such indemnified party of its election so to assume the defense thereof, the indemnifying party will not be liable to such indemnified party pursuant to the provisions of said Sections 1.7.1 or 1.7.2 for any legal or other expense subsequently incurred by such indemnified party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fifteen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25741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6" w:name="page217"/>
    <w:bookmarkEnd w:id="216"/>
    <w:p>
      <w:pPr>
        <w:jc w:val="both"/>
        <w:ind w:firstLine="1235"/>
        <w:spacing w:after="0" w:line="257" w:lineRule="auto"/>
        <w:rPr>
          <w:sz w:val="20"/>
          <w:szCs w:val="20"/>
          <w:color w:val="auto"/>
        </w:rPr>
      </w:pPr>
      <w:r>
        <w:rPr>
          <w:rFonts w:ascii="Arial" w:cs="Arial" w:eastAsia="Arial" w:hAnsi="Arial"/>
          <w:sz w:val="17"/>
          <w:szCs w:val="17"/>
          <w:color w:val="auto"/>
        </w:rPr>
        <w:t>1.7.4 If recovery is not available under the foregoing indemnification provisions, for any reason other than as specified therein, the parties entitled to indemnification by the terms thereof shall be entitled to contribution to liabilities and expenses as more fully set forth in an underwriting agreement to be executed in connection with such registration. In determining the amount of contribution to which the respective parties are entitled, there shall be considered the parties' relative knowledge and access to information concerning the matter with respect to which the claim was asserted, the opportunity to correct and prevent any statement or omission, and any other equitable considerations appropriate under the circumstances. In no event shall the contribution obligation of a Holder exceed the net proceeds from the offering received by such Holder.</w:t>
      </w:r>
    </w:p>
    <w:p>
      <w:pPr>
        <w:spacing w:after="0" w:line="210"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Whenever required under this Section 1 to effect the registration of any Registrable Securities, the Company shall, as expeditiously as possible:</w:t>
      </w:r>
    </w:p>
    <w:p>
      <w:pPr>
        <w:spacing w:after="0" w:line="190" w:lineRule="exact"/>
        <w:rPr>
          <w:sz w:val="20"/>
          <w:szCs w:val="20"/>
          <w:color w:val="auto"/>
        </w:rPr>
      </w:pPr>
    </w:p>
    <w:p>
      <w:pPr>
        <w:jc w:val="both"/>
        <w:ind w:firstLine="1235"/>
        <w:spacing w:after="0" w:line="317" w:lineRule="auto"/>
        <w:rPr>
          <w:sz w:val="20"/>
          <w:szCs w:val="20"/>
          <w:color w:val="auto"/>
        </w:rPr>
      </w:pPr>
      <w:r>
        <w:rPr>
          <w:rFonts w:ascii="Arial" w:cs="Arial" w:eastAsia="Arial" w:hAnsi="Arial"/>
          <w:sz w:val="15"/>
          <w:szCs w:val="15"/>
          <w:color w:val="auto"/>
        </w:rPr>
        <w:t>1.8.1 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nine months or, if sooner, until the distribution contemplated in the Registration Statement has been completed;</w:t>
      </w:r>
    </w:p>
    <w:p>
      <w:pPr>
        <w:spacing w:after="0" w:line="165" w:lineRule="exact"/>
        <w:rPr>
          <w:sz w:val="20"/>
          <w:szCs w:val="20"/>
          <w:color w:val="auto"/>
        </w:rPr>
      </w:pPr>
    </w:p>
    <w:p>
      <w:pPr>
        <w:jc w:val="both"/>
        <w:ind w:firstLine="1235"/>
        <w:spacing w:after="0" w:line="265" w:lineRule="auto"/>
        <w:rPr>
          <w:sz w:val="20"/>
          <w:szCs w:val="20"/>
          <w:color w:val="auto"/>
        </w:rPr>
      </w:pPr>
      <w:r>
        <w:rPr>
          <w:rFonts w:ascii="Arial" w:cs="Arial" w:eastAsia="Arial" w:hAnsi="Arial"/>
          <w:sz w:val="17"/>
          <w:szCs w:val="17"/>
          <w:color w:val="auto"/>
        </w:rPr>
        <w:t>1.8.2 Prepare and file with the SEC such amendments and supplements to such registration statement and the prospectus used in connection with such registration statement as may be necessary to comply with the provisions of the Securities Act with respect to the disposition of all Registrable Securities covered by such registration statement;</w:t>
      </w:r>
    </w:p>
    <w:p>
      <w:pPr>
        <w:spacing w:after="0" w:line="201" w:lineRule="exact"/>
        <w:rPr>
          <w:sz w:val="20"/>
          <w:szCs w:val="20"/>
          <w:color w:val="auto"/>
        </w:rPr>
      </w:pPr>
    </w:p>
    <w:p>
      <w:pPr>
        <w:jc w:val="both"/>
        <w:ind w:firstLine="1235"/>
        <w:spacing w:after="0" w:line="265" w:lineRule="auto"/>
        <w:rPr>
          <w:sz w:val="20"/>
          <w:szCs w:val="20"/>
          <w:color w:val="auto"/>
        </w:rPr>
      </w:pPr>
      <w:r>
        <w:rPr>
          <w:rFonts w:ascii="Arial" w:cs="Arial" w:eastAsia="Arial" w:hAnsi="Arial"/>
          <w:sz w:val="17"/>
          <w:szCs w:val="17"/>
          <w:color w:val="auto"/>
        </w:rPr>
        <w:t>1.8.3 Furnish to the Holders such numbers of copies of a prospectus, including a preliminary prospectus, in conformity with the requirements of the Securities Act, and such other documents, including any free writing prospectus as they may reasonably request in order to facilitate the disposition of Registrable Securities owned by them;</w:t>
      </w:r>
    </w:p>
    <w:p>
      <w:pPr>
        <w:spacing w:after="0" w:line="201" w:lineRule="exact"/>
        <w:rPr>
          <w:sz w:val="20"/>
          <w:szCs w:val="20"/>
          <w:color w:val="auto"/>
        </w:rPr>
      </w:pPr>
    </w:p>
    <w:p>
      <w:pPr>
        <w:jc w:val="both"/>
        <w:ind w:firstLine="1235"/>
        <w:spacing w:after="0" w:line="265" w:lineRule="auto"/>
        <w:rPr>
          <w:sz w:val="20"/>
          <w:szCs w:val="20"/>
          <w:color w:val="auto"/>
        </w:rPr>
      </w:pPr>
      <w:r>
        <w:rPr>
          <w:rFonts w:ascii="Arial" w:cs="Arial" w:eastAsia="Arial" w:hAnsi="Arial"/>
          <w:sz w:val="17"/>
          <w:szCs w:val="17"/>
          <w:color w:val="auto"/>
        </w:rPr>
        <w:t>1.8.4 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201" w:lineRule="exact"/>
        <w:rPr>
          <w:sz w:val="20"/>
          <w:szCs w:val="20"/>
          <w:color w:val="auto"/>
        </w:rPr>
      </w:pPr>
    </w:p>
    <w:p>
      <w:pPr>
        <w:jc w:val="both"/>
        <w:ind w:firstLine="1235"/>
        <w:spacing w:after="0" w:line="261" w:lineRule="auto"/>
        <w:rPr>
          <w:sz w:val="20"/>
          <w:szCs w:val="20"/>
          <w:color w:val="auto"/>
        </w:rPr>
      </w:pPr>
      <w:r>
        <w:rPr>
          <w:rFonts w:ascii="Arial" w:cs="Arial" w:eastAsia="Arial" w:hAnsi="Arial"/>
          <w:sz w:val="17"/>
          <w:szCs w:val="17"/>
          <w:color w:val="auto"/>
        </w:rPr>
        <w:t>1.8.5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204" w:lineRule="exact"/>
        <w:rPr>
          <w:sz w:val="20"/>
          <w:szCs w:val="20"/>
          <w:color w:val="auto"/>
        </w:rPr>
      </w:pPr>
    </w:p>
    <w:p>
      <w:pPr>
        <w:jc w:val="both"/>
        <w:ind w:firstLine="1235"/>
        <w:spacing w:after="0" w:line="278" w:lineRule="auto"/>
        <w:rPr>
          <w:sz w:val="20"/>
          <w:szCs w:val="20"/>
          <w:color w:val="auto"/>
        </w:rPr>
      </w:pPr>
      <w:r>
        <w:rPr>
          <w:rFonts w:ascii="Arial" w:cs="Arial" w:eastAsia="Arial" w:hAnsi="Arial"/>
          <w:sz w:val="17"/>
          <w:szCs w:val="17"/>
          <w:color w:val="auto"/>
        </w:rPr>
        <w:t>1.8.6 Cause all Registrable Securities registered pursuant hereunder to be listed on each securities exchange on which similar securities issued by the Company are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7" w:name="page218"/>
    <w:bookmarkEnd w:id="217"/>
    <w:p>
      <w:pPr>
        <w:jc w:val="both"/>
        <w:ind w:firstLine="1235"/>
        <w:spacing w:after="0" w:line="278" w:lineRule="auto"/>
        <w:rPr>
          <w:sz w:val="20"/>
          <w:szCs w:val="20"/>
          <w:color w:val="auto"/>
        </w:rPr>
      </w:pPr>
      <w:r>
        <w:rPr>
          <w:rFonts w:ascii="Arial" w:cs="Arial" w:eastAsia="Arial" w:hAnsi="Arial"/>
          <w:sz w:val="17"/>
          <w:szCs w:val="17"/>
          <w:color w:val="auto"/>
        </w:rPr>
        <w:t>1.8.7 Provide a transfer agent and registrar for all Registrable Securities registered pursuant hereunder and a CUSIP number for all such Registrable Securities, in each case not later than the effective date of such registration;</w:t>
      </w:r>
    </w:p>
    <w:p>
      <w:pPr>
        <w:spacing w:after="0" w:line="190" w:lineRule="exact"/>
        <w:rPr>
          <w:sz w:val="20"/>
          <w:szCs w:val="20"/>
          <w:color w:val="auto"/>
        </w:rPr>
      </w:pPr>
    </w:p>
    <w:p>
      <w:pPr>
        <w:jc w:val="both"/>
        <w:ind w:firstLine="1235"/>
        <w:spacing w:after="0" w:line="291" w:lineRule="auto"/>
        <w:rPr>
          <w:sz w:val="20"/>
          <w:szCs w:val="20"/>
          <w:color w:val="auto"/>
        </w:rPr>
      </w:pPr>
      <w:r>
        <w:rPr>
          <w:rFonts w:ascii="Arial" w:cs="Arial" w:eastAsia="Arial" w:hAnsi="Arial"/>
          <w:sz w:val="15"/>
          <w:szCs w:val="15"/>
          <w:color w:val="auto"/>
        </w:rPr>
        <w:t>1.8.8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or, if such securities are not being sold through underwriters, on the date that the registration statement with respect to such securities becomes effective,</w:t>
      </w:r>
    </w:p>
    <w:p>
      <w:pPr>
        <w:spacing w:after="0" w:line="1" w:lineRule="exact"/>
        <w:rPr>
          <w:sz w:val="20"/>
          <w:szCs w:val="20"/>
          <w:color w:val="auto"/>
        </w:rPr>
      </w:pPr>
    </w:p>
    <w:p>
      <w:pPr>
        <w:jc w:val="both"/>
        <w:ind w:firstLine="3"/>
        <w:spacing w:after="0" w:line="255" w:lineRule="auto"/>
        <w:tabs>
          <w:tab w:leader="none" w:pos="22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211"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xml:space="preserve">. Any of the Holders may assign its rights to cause the Company to register Shares pursuant to this Section 1 to any transferee of its Registrable Securities;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within thirty (30) days subsequent to such transfer, such transferor shall furnish the Company with written notice of the name and address of such transferee and the securities with respect to which such registration rights are being assigned, and the transferee's written agreement to be bound by this Section 1.</w:t>
      </w:r>
    </w:p>
    <w:p>
      <w:pPr>
        <w:spacing w:after="0" w:line="204" w:lineRule="exact"/>
        <w:rPr>
          <w:sz w:val="20"/>
          <w:szCs w:val="20"/>
          <w:color w:val="auto"/>
        </w:rPr>
      </w:pPr>
    </w:p>
    <w:p>
      <w:pPr>
        <w:jc w:val="both"/>
        <w:ind w:firstLine="617"/>
        <w:spacing w:after="0" w:line="296" w:lineRule="auto"/>
        <w:rPr>
          <w:sz w:val="20"/>
          <w:szCs w:val="20"/>
          <w:color w:val="auto"/>
        </w:rPr>
      </w:pPr>
      <w:r>
        <w:rPr>
          <w:rFonts w:ascii="Arial" w:cs="Arial" w:eastAsia="Arial" w:hAnsi="Arial"/>
          <w:sz w:val="15"/>
          <w:szCs w:val="15"/>
          <w:color w:val="auto"/>
        </w:rPr>
        <w:t xml:space="preserve">1.10 </w:t>
      </w:r>
      <w:r>
        <w:rPr>
          <w:rFonts w:ascii="Arial" w:cs="Arial" w:eastAsia="Arial" w:hAnsi="Arial"/>
          <w:sz w:val="15"/>
          <w:szCs w:val="15"/>
          <w:u w:val="single" w:color="auto"/>
          <w:color w:val="auto"/>
        </w:rPr>
        <w:t>Lock-Up and Other Requests by the Underwriter</w:t>
      </w:r>
      <w:r>
        <w:rPr>
          <w:rFonts w:ascii="Arial" w:cs="Arial" w:eastAsia="Arial" w:hAnsi="Arial"/>
          <w:sz w:val="15"/>
          <w:szCs w:val="15"/>
          <w:color w:val="auto"/>
        </w:rPr>
        <w:t>. Each Holder hereby agrees that such Holder shall not sell or otherwise transfer or dispose of any Registrable Securities of the Company held by such Holder (other than those included in the registration) for a period specified by the representative of the underwriters of Ordinary Shares (or other securities) of the Company not to exceed one hundred eighty (180) days following the effective date of the IPO, and provided that each of the senior officers of the Company (i.e. CEO and CFO) and holders of at least one percent (1%) of the Company’s issued and outstanding shares enters in an identical undertaking. Each Holder agrees to execute and deliver such other agreements as may be reasonably requested by the Company or the underwriter which are consistent with the foregoing or which are necessary to give further effect thereto. The Company may impose stop-transfer instructions with respect to the shares of Ordinary Shares (or other securities) subject to the foregoing restriction until the end of said one hundred eighty (180) day period;</w:t>
      </w:r>
    </w:p>
    <w:p>
      <w:pPr>
        <w:spacing w:after="0" w:line="183"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Rule 144 Reporting</w:t>
      </w:r>
      <w:r>
        <w:rPr>
          <w:rFonts w:ascii="Arial" w:cs="Arial" w:eastAsia="Arial" w:hAnsi="Arial"/>
          <w:sz w:val="17"/>
          <w:szCs w:val="17"/>
          <w:color w:val="auto"/>
        </w:rPr>
        <w:t>. With a view to making available to the Holders the benefits of certain rules and regulations of the SEC which may permit the sale of the Registrable Securities to the public without registration, the Company agrees to use its best efforts to:</w:t>
      </w:r>
    </w:p>
    <w:p>
      <w:pPr>
        <w:spacing w:after="0" w:line="190" w:lineRule="exact"/>
        <w:rPr>
          <w:sz w:val="20"/>
          <w:szCs w:val="20"/>
          <w:color w:val="auto"/>
        </w:rPr>
      </w:pPr>
    </w:p>
    <w:p>
      <w:pPr>
        <w:jc w:val="both"/>
        <w:ind w:firstLine="1238"/>
        <w:spacing w:after="0" w:line="265" w:lineRule="auto"/>
        <w:tabs>
          <w:tab w:leader="none" w:pos="193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201" w:lineRule="exact"/>
        <w:rPr>
          <w:rFonts w:ascii="Arial" w:cs="Arial" w:eastAsia="Arial" w:hAnsi="Arial"/>
          <w:sz w:val="17"/>
          <w:szCs w:val="17"/>
          <w:color w:val="auto"/>
        </w:rPr>
      </w:pPr>
    </w:p>
    <w:p>
      <w:pPr>
        <w:ind w:left="1900" w:hanging="662"/>
        <w:spacing w:after="0"/>
        <w:tabs>
          <w:tab w:leader="none" w:pos="1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file with the SEC, in a timely manner, all reports and other documents required of the Company under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8" w:name="page219"/>
    <w:bookmarkEnd w:id="218"/>
    <w:p>
      <w:pPr>
        <w:jc w:val="both"/>
        <w:ind w:firstLine="1238"/>
        <w:spacing w:after="0" w:line="282" w:lineRule="auto"/>
        <w:tabs>
          <w:tab w:leader="none" w:pos="195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and such other reports and documents as a Holder may reasonably request in availing itself of any rule or regulation of the SEC allowing it to sell any such securities without registration;</w:t>
      </w:r>
    </w:p>
    <w:p>
      <w:pPr>
        <w:spacing w:after="0" w:line="190"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Termination of Registration Rights</w:t>
      </w:r>
      <w:r>
        <w:rPr>
          <w:rFonts w:ascii="Arial" w:cs="Arial" w:eastAsia="Arial" w:hAnsi="Arial"/>
          <w:sz w:val="17"/>
          <w:szCs w:val="17"/>
          <w:color w:val="auto"/>
        </w:rPr>
        <w:t>. All registration rights granted under this Section 1, shall terminate and be of no further force and effect five (5) years after the date of the IPO. In addition, a Holder's registration rights shall expire if all Registrable Securities held by and issuable to such Holder may be sold under Rule 144(k) during any ninety (90) day period.</w:t>
      </w:r>
    </w:p>
    <w:p>
      <w:pPr>
        <w:spacing w:after="0" w:line="201"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Additional Rights to Third Parties</w:t>
      </w:r>
      <w:r>
        <w:rPr>
          <w:rFonts w:ascii="Arial" w:cs="Arial" w:eastAsia="Arial" w:hAnsi="Arial"/>
          <w:sz w:val="17"/>
          <w:szCs w:val="17"/>
          <w:color w:val="auto"/>
        </w:rPr>
        <w:t>. The Company shall not grant shareholder registration rights to any party that is not a party to this Agreement having preference over, or in parity with, the registration rights of the Holders hereunder, without the written consent of a majority of interest of the holders of the Registrable Securities.</w:t>
      </w:r>
    </w:p>
    <w:p>
      <w:pPr>
        <w:spacing w:after="0" w:line="201" w:lineRule="exact"/>
        <w:rPr>
          <w:sz w:val="20"/>
          <w:szCs w:val="20"/>
          <w:color w:val="auto"/>
        </w:rPr>
      </w:pPr>
    </w:p>
    <w:p>
      <w:pPr>
        <w:ind w:left="1260" w:hanging="640"/>
        <w:spacing w:after="0"/>
        <w:tabs>
          <w:tab w:leader="none" w:pos="126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42"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according to the laws of New York, without regard to the conflict of laws provisions thereof.</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expressly limited herein, the provisions hereof shall inure to the benefit of, and be binding upon, the successors, assigns, heirs, executors, and administrators of the parties hereto.</w:t>
      </w:r>
    </w:p>
    <w:p>
      <w:pPr>
        <w:spacing w:after="0" w:line="190"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Entire Agreement; Amendment and Waiver</w:t>
      </w:r>
      <w:r>
        <w:rPr>
          <w:rFonts w:ascii="Arial" w:cs="Arial" w:eastAsia="Arial" w:hAnsi="Arial"/>
          <w:sz w:val="15"/>
          <w:szCs w:val="15"/>
          <w:color w:val="auto"/>
        </w:rPr>
        <w:t>.</w:t>
      </w:r>
    </w:p>
    <w:p>
      <w:pPr>
        <w:spacing w:after="0" w:line="242" w:lineRule="exact"/>
        <w:rPr>
          <w:sz w:val="20"/>
          <w:szCs w:val="20"/>
          <w:color w:val="auto"/>
        </w:rPr>
      </w:pPr>
    </w:p>
    <w:p>
      <w:pPr>
        <w:jc w:val="both"/>
        <w:ind w:firstLine="1238"/>
        <w:spacing w:after="0" w:line="291" w:lineRule="auto"/>
        <w:tabs>
          <w:tab w:leader="none" w:pos="209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This Agreement constitutes the full and entire understanding and agreement between the parties, and supersedes any agreement and understanding between any of the parties, with regard to the subject matters hereof. (b)Any term of this Agreement (as amended) may be amended and the observance of any term hereof may be waived (either prospectively or retroactively and either generally or in a particular instance) only with the written consent of:</w:t>
      </w:r>
    </w:p>
    <w:p>
      <w:pPr>
        <w:jc w:val="both"/>
        <w:ind w:firstLine="3"/>
        <w:spacing w:after="0" w:line="255" w:lineRule="auto"/>
        <w:tabs>
          <w:tab w:leader="none" w:pos="21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Company, and (ii) a majority of interest of the holders of Registrable Securities (calculated on an as converted basis); provided that (x) should such waiver or amendment adversely affect the rights or privileges granted hereunder to the particular Holder or group of Holders, in a manner which discriminates such Holder/s against other Holders (a “Discriminated Class”), such waiver or amendment shall be subject to the written approval of the Holder/s who are the owners of record of a majority of the outstanding shares of such Discriminated Class, and (y) any right or limitation provided for the express benefit of a specifically named party may not be amended or waived without the consent of such party. Any amendment or waiver effected in accordance with this Section 2.4 shall be binding upon the Company, the Holders, and each of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741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9" w:name="page220"/>
    <w:bookmarkEnd w:id="219"/>
    <w:p>
      <w:pPr>
        <w:ind w:left="62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u w:val="single" w:color="auto"/>
          <w:color w:val="auto"/>
        </w:rPr>
        <w:t>Notices, etc.</w:t>
      </w:r>
    </w:p>
    <w:p>
      <w:pPr>
        <w:spacing w:after="0" w:line="242" w:lineRule="exact"/>
        <w:rPr>
          <w:sz w:val="20"/>
          <w:szCs w:val="20"/>
          <w:color w:val="auto"/>
        </w:rPr>
      </w:pPr>
    </w:p>
    <w:p>
      <w:pPr>
        <w:ind w:left="1240"/>
        <w:spacing w:after="0"/>
        <w:tabs>
          <w:tab w:leader="none" w:pos="188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5"/>
          <w:szCs w:val="15"/>
          <w:color w:val="auto"/>
        </w:rPr>
        <w:t>All notices and other communications made pursuant to this Agreement shall be in writing and shall be conclusively deemed to have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duly given: (i) in the case of hand delivery to the address shown below, on the next Business Day after delivery; (ii) in the case of delivery by an internationally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recognized overnight courier to the address set forth below, freight prepaid, on the next Business Day after delivery; (iii) in the case of a notice sent by facsimile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transmission or email to the number, and addressed as, set forth below, on the next Business Day after delivery, if facsimile transmission or email is confirmed; (iv) in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case of a notice sent by email to any of the email addresses set forth in Schedule 1 hereto, on the date of written acknowledgment of receipt of such email by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receiving party. A “Business Day” means a day on which the banks are open for business in the country of receipt of any notice.</w:t>
      </w:r>
    </w:p>
    <w:p>
      <w:pPr>
        <w:spacing w:after="0" w:line="231" w:lineRule="exact"/>
        <w:rPr>
          <w:sz w:val="20"/>
          <w:szCs w:val="20"/>
          <w:color w:val="auto"/>
        </w:rPr>
      </w:pPr>
    </w:p>
    <w:p>
      <w:pPr>
        <w:jc w:val="both"/>
        <w:ind w:firstLine="1235"/>
        <w:spacing w:after="0" w:line="278" w:lineRule="auto"/>
        <w:rPr>
          <w:sz w:val="20"/>
          <w:szCs w:val="20"/>
          <w:color w:val="auto"/>
        </w:rPr>
      </w:pPr>
      <w:r>
        <w:rPr>
          <w:rFonts w:ascii="Arial" w:cs="Arial" w:eastAsia="Arial" w:hAnsi="Arial"/>
          <w:sz w:val="17"/>
          <w:szCs w:val="17"/>
          <w:color w:val="auto"/>
        </w:rPr>
        <w:t>2.5.2 In the event that notices are given pursuant to one of the methods listed in subsections 2.5.1 (i) to (iii) above, a copy of the notice shall also be sent by email to such address set forth in Schedule 1.</w:t>
      </w:r>
    </w:p>
    <w:p>
      <w:pPr>
        <w:spacing w:after="0" w:line="190" w:lineRule="exact"/>
        <w:rPr>
          <w:sz w:val="20"/>
          <w:szCs w:val="20"/>
          <w:color w:val="auto"/>
        </w:rPr>
      </w:pPr>
    </w:p>
    <w:p>
      <w:pPr>
        <w:jc w:val="both"/>
        <w:ind w:firstLine="1235"/>
        <w:spacing w:after="0" w:line="265" w:lineRule="auto"/>
        <w:rPr>
          <w:sz w:val="20"/>
          <w:szCs w:val="20"/>
          <w:color w:val="auto"/>
        </w:rPr>
      </w:pPr>
      <w:r>
        <w:rPr>
          <w:rFonts w:ascii="Arial" w:cs="Arial" w:eastAsia="Arial" w:hAnsi="Arial"/>
          <w:sz w:val="17"/>
          <w:szCs w:val="17"/>
          <w:color w:val="auto"/>
        </w:rPr>
        <w:t>2.5.3 A party may change or supplement the contact details for service of any notice pursuant to this Agreement, or designate additional addresses, facsimile numbers and email addresses for the purposes of this Section 2.5 by giving the other party written notice of the new contact details in the manner set forth above.</w:t>
      </w:r>
    </w:p>
    <w:p>
      <w:pPr>
        <w:spacing w:after="0" w:line="18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340" w:type="dxa"/>
            <w:vAlign w:val="bottom"/>
          </w:tcPr>
          <w:p>
            <w:pPr>
              <w:spacing w:after="0"/>
              <w:rPr>
                <w:sz w:val="20"/>
                <w:szCs w:val="20"/>
                <w:color w:val="auto"/>
              </w:rPr>
            </w:pPr>
            <w:r>
              <w:rPr>
                <w:rFonts w:ascii="Arial" w:cs="Arial" w:eastAsia="Arial" w:hAnsi="Arial"/>
                <w:sz w:val="17"/>
                <w:szCs w:val="17"/>
                <w:color w:val="auto"/>
              </w:rPr>
              <w:t>if to the Holders:</w:t>
            </w: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w w:val="88"/>
              </w:rPr>
              <w:t>to the addresses set forth in Schedule 1;</w:t>
            </w:r>
          </w:p>
        </w:tc>
      </w:tr>
      <w:tr>
        <w:trPr>
          <w:trHeight w:val="20"/>
        </w:trPr>
        <w:tc>
          <w:tcPr>
            <w:tcW w:w="2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9"/>
        </w:trPr>
        <w:tc>
          <w:tcPr>
            <w:tcW w:w="2340" w:type="dxa"/>
            <w:vAlign w:val="bottom"/>
          </w:tcPr>
          <w:p>
            <w:pPr>
              <w:spacing w:after="0"/>
              <w:rPr>
                <w:sz w:val="20"/>
                <w:szCs w:val="20"/>
                <w:color w:val="auto"/>
              </w:rPr>
            </w:pPr>
            <w:r>
              <w:rPr>
                <w:rFonts w:ascii="Arial" w:cs="Arial" w:eastAsia="Arial" w:hAnsi="Arial"/>
                <w:sz w:val="17"/>
                <w:szCs w:val="17"/>
                <w:color w:val="auto"/>
              </w:rPr>
              <w:t>If to the Company:</w:t>
            </w: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w w:val="89"/>
              </w:rPr>
              <w:t>To the address set forth in the Preamble</w:t>
            </w:r>
          </w:p>
        </w:tc>
      </w:tr>
      <w:tr>
        <w:trPr>
          <w:trHeight w:val="401"/>
        </w:trPr>
        <w:tc>
          <w:tcPr>
            <w:tcW w:w="2340" w:type="dxa"/>
            <w:vAlign w:val="bottom"/>
          </w:tcPr>
          <w:p>
            <w:pPr>
              <w:spacing w:after="0"/>
              <w:rPr>
                <w:sz w:val="20"/>
                <w:szCs w:val="20"/>
                <w:color w:val="auto"/>
              </w:rPr>
            </w:pPr>
            <w:r>
              <w:rPr>
                <w:rFonts w:ascii="Arial" w:cs="Arial" w:eastAsia="Arial" w:hAnsi="Arial"/>
                <w:sz w:val="17"/>
                <w:szCs w:val="17"/>
                <w:color w:val="auto"/>
              </w:rPr>
              <w:t>With a copy to:</w:t>
            </w: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rPr>
              <w:t>Yigal Arnon &amp; Co.</w:t>
            </w:r>
          </w:p>
        </w:tc>
      </w:tr>
      <w:tr>
        <w:trPr>
          <w:trHeight w:val="206"/>
        </w:trPr>
        <w:tc>
          <w:tcPr>
            <w:tcW w:w="2340" w:type="dxa"/>
            <w:vAlign w:val="bottom"/>
          </w:tcPr>
          <w:p>
            <w:pPr>
              <w:spacing w:after="0"/>
              <w:rPr>
                <w:sz w:val="17"/>
                <w:szCs w:val="17"/>
                <w:color w:val="auto"/>
              </w:rPr>
            </w:pP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rPr>
              <w:t>22 Rivlin Street</w:t>
            </w:r>
          </w:p>
        </w:tc>
      </w:tr>
      <w:tr>
        <w:trPr>
          <w:trHeight w:val="206"/>
        </w:trPr>
        <w:tc>
          <w:tcPr>
            <w:tcW w:w="2340" w:type="dxa"/>
            <w:vAlign w:val="bottom"/>
          </w:tcPr>
          <w:p>
            <w:pPr>
              <w:spacing w:after="0"/>
              <w:rPr>
                <w:sz w:val="17"/>
                <w:szCs w:val="17"/>
                <w:color w:val="auto"/>
              </w:rPr>
            </w:pP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rPr>
              <w:t>Jerusalem, Israel 91000</w:t>
            </w:r>
          </w:p>
        </w:tc>
      </w:tr>
      <w:tr>
        <w:trPr>
          <w:trHeight w:val="206"/>
        </w:trPr>
        <w:tc>
          <w:tcPr>
            <w:tcW w:w="2340" w:type="dxa"/>
            <w:vAlign w:val="bottom"/>
          </w:tcPr>
          <w:p>
            <w:pPr>
              <w:spacing w:after="0"/>
              <w:rPr>
                <w:sz w:val="17"/>
                <w:szCs w:val="17"/>
                <w:color w:val="auto"/>
              </w:rPr>
            </w:pP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rPr>
              <w:t>Attn.: Adv. Barry P. Levenfeld</w:t>
            </w:r>
          </w:p>
        </w:tc>
      </w:tr>
      <w:tr>
        <w:trPr>
          <w:trHeight w:val="206"/>
        </w:trPr>
        <w:tc>
          <w:tcPr>
            <w:tcW w:w="2340" w:type="dxa"/>
            <w:vAlign w:val="bottom"/>
          </w:tcPr>
          <w:p>
            <w:pPr>
              <w:spacing w:after="0"/>
              <w:rPr>
                <w:sz w:val="17"/>
                <w:szCs w:val="17"/>
                <w:color w:val="auto"/>
              </w:rPr>
            </w:pP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rPr>
              <w:t>Tel: 972-2-623-9200</w:t>
            </w:r>
          </w:p>
        </w:tc>
      </w:tr>
      <w:tr>
        <w:trPr>
          <w:trHeight w:val="217"/>
        </w:trPr>
        <w:tc>
          <w:tcPr>
            <w:tcW w:w="2340" w:type="dxa"/>
            <w:vAlign w:val="bottom"/>
          </w:tcPr>
          <w:p>
            <w:pPr>
              <w:spacing w:after="0"/>
              <w:rPr>
                <w:sz w:val="18"/>
                <w:szCs w:val="18"/>
                <w:color w:val="auto"/>
              </w:rPr>
            </w:pPr>
          </w:p>
        </w:tc>
        <w:tc>
          <w:tcPr>
            <w:tcW w:w="3760" w:type="dxa"/>
            <w:vAlign w:val="bottom"/>
            <w:gridSpan w:val="3"/>
          </w:tcPr>
          <w:p>
            <w:pPr>
              <w:ind w:left="1040"/>
              <w:spacing w:after="0"/>
              <w:rPr>
                <w:sz w:val="20"/>
                <w:szCs w:val="20"/>
                <w:color w:val="auto"/>
              </w:rPr>
            </w:pPr>
            <w:r>
              <w:rPr>
                <w:rFonts w:ascii="Arial" w:cs="Arial" w:eastAsia="Arial" w:hAnsi="Arial"/>
                <w:sz w:val="17"/>
                <w:szCs w:val="17"/>
                <w:color w:val="auto"/>
              </w:rPr>
              <w:t>Fax: 972-2-623-9236</w:t>
            </w:r>
          </w:p>
        </w:tc>
      </w:tr>
    </w:tbl>
    <w:p>
      <w:pPr>
        <w:spacing w:after="0" w:line="221"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therefore or thereafter.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206" w:lineRule="exact"/>
        <w:rPr>
          <w:sz w:val="20"/>
          <w:szCs w:val="20"/>
          <w:color w:val="auto"/>
        </w:rPr>
      </w:pPr>
    </w:p>
    <w:p>
      <w:pPr>
        <w:jc w:val="both"/>
        <w:ind w:firstLine="617"/>
        <w:spacing w:after="0" w:line="28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90"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90"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Except as expressly provided in this Agreement, this Agreement (including the documents and instruments referred to herein) is not intended to confer on any person other than the parties hereto any rights, remedies, obligations or liabilities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20" w:name="page221"/>
    <w:bookmarkEnd w:id="220"/>
    <w:p>
      <w:pPr>
        <w:ind w:left="2860"/>
        <w:spacing w:after="0"/>
        <w:rPr>
          <w:sz w:val="20"/>
          <w:szCs w:val="20"/>
          <w:color w:val="auto"/>
        </w:rPr>
      </w:pPr>
      <w:r>
        <w:rPr>
          <w:rFonts w:ascii="Arial" w:cs="Arial" w:eastAsia="Arial" w:hAnsi="Arial"/>
          <w:sz w:val="17"/>
          <w:szCs w:val="17"/>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404495</wp:posOffset>
            </wp:positionV>
            <wp:extent cx="725741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21" w:name="page222"/>
    <w:bookmarkEnd w:id="221"/>
    <w:p>
      <w:pPr>
        <w:ind w:left="62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signed this Investors Rights Agreement as of the date first hereinabove set forth.</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5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BIOLINE RX LTD.</w:t>
            </w:r>
          </w:p>
        </w:tc>
        <w:tc>
          <w:tcPr>
            <w:tcW w:w="5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SHAREHOLDERS – SEE SEPARATE</w:t>
            </w:r>
          </w:p>
        </w:tc>
        <w:tc>
          <w:tcPr>
            <w:tcW w:w="0" w:type="dxa"/>
            <w:vAlign w:val="bottom"/>
          </w:tcPr>
          <w:p>
            <w:pPr>
              <w:spacing w:after="0"/>
              <w:rPr>
                <w:sz w:val="1"/>
                <w:szCs w:val="1"/>
                <w:color w:val="auto"/>
              </w:rPr>
            </w:pPr>
          </w:p>
        </w:tc>
      </w:tr>
      <w:tr>
        <w:trPr>
          <w:trHeight w:val="217"/>
        </w:trPr>
        <w:tc>
          <w:tcPr>
            <w:tcW w:w="5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7"/>
                <w:szCs w:val="17"/>
                <w:color w:val="auto"/>
              </w:rPr>
              <w:t>by:   /s/ Yuri Shoshan</w:t>
            </w:r>
          </w:p>
        </w:tc>
        <w:tc>
          <w:tcPr>
            <w:tcW w:w="58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SIGNATURE PAGE</w:t>
            </w:r>
          </w:p>
        </w:tc>
        <w:tc>
          <w:tcPr>
            <w:tcW w:w="0" w:type="dxa"/>
            <w:vAlign w:val="bottom"/>
          </w:tcPr>
          <w:p>
            <w:pPr>
              <w:spacing w:after="0"/>
              <w:rPr>
                <w:sz w:val="1"/>
                <w:szCs w:val="1"/>
                <w:color w:val="auto"/>
              </w:rPr>
            </w:pPr>
          </w:p>
        </w:tc>
      </w:tr>
      <w:tr>
        <w:trPr>
          <w:trHeight w:val="195"/>
        </w:trPr>
        <w:tc>
          <w:tcPr>
            <w:tcW w:w="5620" w:type="dxa"/>
            <w:vAlign w:val="bottom"/>
            <w:tcBorders>
              <w:left w:val="single" w:sz="8" w:color="auto"/>
              <w:right w:val="single" w:sz="8" w:color="auto"/>
            </w:tcBorders>
            <w:vMerge w:val="continue"/>
          </w:tcPr>
          <w:p>
            <w:pPr>
              <w:spacing w:after="0"/>
              <w:rPr>
                <w:sz w:val="16"/>
                <w:szCs w:val="16"/>
                <w:color w:val="auto"/>
              </w:rPr>
            </w:pPr>
          </w:p>
        </w:tc>
        <w:tc>
          <w:tcPr>
            <w:tcW w:w="5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name:Yuri Shoshan</w:t>
            </w:r>
          </w:p>
        </w:tc>
        <w:tc>
          <w:tcPr>
            <w:tcW w:w="5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title: Vice President, Finance and</w:t>
            </w:r>
          </w:p>
        </w:tc>
        <w:tc>
          <w:tcPr>
            <w:tcW w:w="5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Corporate Development</w:t>
            </w:r>
          </w:p>
        </w:tc>
        <w:tc>
          <w:tcPr>
            <w:tcW w:w="5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620" w:type="dxa"/>
            <w:vAlign w:val="bottom"/>
            <w:tcBorders>
              <w:bottom w:val="single" w:sz="8" w:color="808080"/>
            </w:tcBorders>
          </w:tcPr>
          <w:p>
            <w:pPr>
              <w:spacing w:after="0"/>
              <w:rPr>
                <w:sz w:val="24"/>
                <w:szCs w:val="24"/>
                <w:color w:val="auto"/>
              </w:rPr>
            </w:pPr>
          </w:p>
        </w:tc>
        <w:tc>
          <w:tcPr>
            <w:tcW w:w="5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gridSpan w:val="2"/>
          </w:tcPr>
          <w:p>
            <w:pPr>
              <w:spacing w:after="0"/>
              <w:rPr>
                <w:sz w:val="20"/>
                <w:szCs w:val="20"/>
                <w:color w:val="auto"/>
              </w:rPr>
            </w:pPr>
            <w:r>
              <w:rPr>
                <w:rFonts w:ascii="Arial" w:cs="Arial" w:eastAsia="Arial" w:hAnsi="Arial"/>
                <w:sz w:val="17"/>
                <w:szCs w:val="17"/>
                <w:color w:val="auto"/>
              </w:rPr>
              <w:t>Jerusalem Development Authority</w:t>
            </w:r>
          </w:p>
        </w:tc>
        <w:tc>
          <w:tcPr>
            <w:tcW w:w="4200" w:type="dxa"/>
            <w:vAlign w:val="bottom"/>
            <w:gridSpan w:val="4"/>
          </w:tcPr>
          <w:p>
            <w:pPr>
              <w:spacing w:after="0"/>
              <w:rPr>
                <w:sz w:val="20"/>
                <w:szCs w:val="20"/>
                <w:color w:val="auto"/>
              </w:rPr>
            </w:pPr>
            <w:r>
              <w:rPr>
                <w:rFonts w:ascii="Arial" w:cs="Arial" w:eastAsia="Arial" w:hAnsi="Arial"/>
                <w:sz w:val="17"/>
                <w:szCs w:val="17"/>
                <w:color w:val="auto"/>
              </w:rPr>
              <w:t>/s/ Ezriel M. Levi</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Print or Type Name of Shareholder</w:t>
            </w: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gridSpan w:val="2"/>
            <w:vMerge w:val="continue"/>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Signature</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C.E.O.</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200" w:type="dxa"/>
            <w:vAlign w:val="bottom"/>
            <w:gridSpan w:val="4"/>
          </w:tcPr>
          <w:p>
            <w:pPr>
              <w:ind w:left="40"/>
              <w:spacing w:after="0"/>
              <w:rPr>
                <w:sz w:val="20"/>
                <w:szCs w:val="20"/>
                <w:color w:val="auto"/>
              </w:rPr>
            </w:pPr>
            <w:r>
              <w:rPr>
                <w:rFonts w:ascii="Arial" w:cs="Arial" w:eastAsia="Arial" w:hAnsi="Arial"/>
                <w:sz w:val="17"/>
                <w:szCs w:val="17"/>
                <w:color w:val="auto"/>
              </w:rPr>
              <w:t>(Title, if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80" w:type="dxa"/>
            <w:vAlign w:val="bottom"/>
            <w:gridSpan w:val="2"/>
          </w:tcPr>
          <w:p>
            <w:pPr>
              <w:spacing w:after="0"/>
              <w:rPr>
                <w:sz w:val="20"/>
                <w:szCs w:val="20"/>
                <w:color w:val="auto"/>
              </w:rPr>
            </w:pPr>
            <w:r>
              <w:rPr>
                <w:rFonts w:ascii="Arial" w:cs="Arial" w:eastAsia="Arial" w:hAnsi="Arial"/>
                <w:sz w:val="17"/>
                <w:szCs w:val="17"/>
                <w:color w:val="auto"/>
              </w:rPr>
              <w:t>Typed or printed name and address of Shareholder:</w:t>
            </w:r>
          </w:p>
        </w:tc>
        <w:tc>
          <w:tcPr>
            <w:tcW w:w="1180" w:type="dxa"/>
            <w:vAlign w:val="bottom"/>
          </w:tcPr>
          <w:p>
            <w:pPr>
              <w:spacing w:after="0"/>
              <w:rPr>
                <w:sz w:val="20"/>
                <w:szCs w:val="20"/>
                <w:color w:val="auto"/>
              </w:rPr>
            </w:pPr>
            <w:r>
              <w:rPr>
                <w:rFonts w:ascii="Arial" w:cs="Arial" w:eastAsia="Arial" w:hAnsi="Arial"/>
                <w:sz w:val="17"/>
                <w:szCs w:val="17"/>
                <w:color w:val="auto"/>
              </w:rPr>
              <w:t>Fax Number:</w:t>
            </w:r>
          </w:p>
        </w:tc>
        <w:tc>
          <w:tcPr>
            <w:tcW w:w="20" w:type="dxa"/>
            <w:vAlign w:val="bottom"/>
          </w:tcPr>
          <w:p>
            <w:pPr>
              <w:spacing w:after="0"/>
              <w:rPr>
                <w:sz w:val="24"/>
                <w:szCs w:val="24"/>
                <w:color w:val="auto"/>
              </w:rPr>
            </w:pPr>
          </w:p>
        </w:tc>
        <w:tc>
          <w:tcPr>
            <w:tcW w:w="3000" w:type="dxa"/>
            <w:vAlign w:val="bottom"/>
            <w:gridSpan w:val="2"/>
          </w:tcPr>
          <w:p>
            <w:pPr>
              <w:jc w:val="right"/>
              <w:ind w:right="1940"/>
              <w:spacing w:after="0"/>
              <w:rPr>
                <w:sz w:val="20"/>
                <w:szCs w:val="20"/>
                <w:color w:val="auto"/>
              </w:rPr>
            </w:pPr>
            <w:r>
              <w:rPr>
                <w:rFonts w:ascii="Arial" w:cs="Arial" w:eastAsia="Arial" w:hAnsi="Arial"/>
                <w:sz w:val="17"/>
                <w:szCs w:val="17"/>
                <w:color w:val="auto"/>
                <w:w w:val="90"/>
              </w:rPr>
              <w:t>972-2-6250875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Telephone:</w:t>
            </w: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972-2-6297629</w:t>
            </w: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Email:</w:t>
            </w:r>
          </w:p>
        </w:tc>
        <w:tc>
          <w:tcPr>
            <w:tcW w:w="3020" w:type="dxa"/>
            <w:vAlign w:val="bottom"/>
            <w:gridSpan w:val="3"/>
          </w:tcPr>
          <w:p>
            <w:pPr>
              <w:spacing w:after="0"/>
              <w:rPr>
                <w:sz w:val="20"/>
                <w:szCs w:val="20"/>
                <w:color w:val="auto"/>
              </w:rPr>
            </w:pPr>
            <w:r>
              <w:rPr>
                <w:rFonts w:ascii="Arial" w:cs="Arial" w:eastAsia="Arial" w:hAnsi="Arial"/>
                <w:sz w:val="17"/>
                <w:szCs w:val="17"/>
                <w:color w:val="auto"/>
              </w:rPr>
              <w:t>ezri@jda.gov.il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236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23" w:name="page224"/>
    <w:bookmarkEnd w:id="223"/>
    <w:p>
      <w:pPr>
        <w:jc w:val="center"/>
        <w:ind w:right="-79"/>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Typed or printed name and address of Shareholder: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RUTH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773805" cy="165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77380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Pitango Venture Capital Fund III (Israeli Sub),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Pitango Venture Capital Fund III (Israeli Sub) Non-Q L.P.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Pitango Venture Capital Fund III (Israeli Investors), 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Pitango Principals Fund III (Israel), L.P.</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Pitango Venture Capital Fund III Trusts 2000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7257415"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494" w:right="29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gridSpan w:val="2"/>
          </w:tcPr>
          <w:p>
            <w:pPr>
              <w:spacing w:after="0"/>
              <w:rPr>
                <w:sz w:val="20"/>
                <w:szCs w:val="20"/>
                <w:color w:val="auto"/>
              </w:rPr>
            </w:pPr>
            <w:r>
              <w:rPr>
                <w:rFonts w:ascii="Arial" w:cs="Arial" w:eastAsia="Arial" w:hAnsi="Arial"/>
                <w:sz w:val="17"/>
                <w:szCs w:val="17"/>
                <w:color w:val="auto"/>
              </w:rPr>
              <w:t>Hadasit</w:t>
            </w:r>
          </w:p>
        </w:tc>
        <w:tc>
          <w:tcPr>
            <w:tcW w:w="4200" w:type="dxa"/>
            <w:vAlign w:val="bottom"/>
            <w:gridSpan w:val="2"/>
          </w:tcPr>
          <w:p>
            <w:pPr>
              <w:spacing w:after="0"/>
              <w:rPr>
                <w:sz w:val="20"/>
                <w:szCs w:val="20"/>
                <w:color w:val="auto"/>
              </w:rPr>
            </w:pPr>
            <w:r>
              <w:rPr>
                <w:rFonts w:ascii="Arial" w:cs="Arial" w:eastAsia="Arial" w:hAnsi="Arial"/>
                <w:sz w:val="17"/>
                <w:szCs w:val="17"/>
                <w:color w:val="auto"/>
              </w:rPr>
              <w:t>/s/ RAFI HOFSTEIN</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Print or Type Name of Shareholder</w:t>
            </w:r>
          </w:p>
        </w:tc>
        <w:tc>
          <w:tcPr>
            <w:tcW w:w="4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gridSpan w:val="2"/>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5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C.E.O.</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200" w:type="dxa"/>
            <w:vAlign w:val="bottom"/>
            <w:gridSpan w:val="2"/>
          </w:tcPr>
          <w:p>
            <w:pPr>
              <w:ind w:left="40"/>
              <w:spacing w:after="0"/>
              <w:rPr>
                <w:sz w:val="20"/>
                <w:szCs w:val="20"/>
                <w:color w:val="auto"/>
              </w:rPr>
            </w:pPr>
            <w:r>
              <w:rPr>
                <w:rFonts w:ascii="Arial" w:cs="Arial" w:eastAsia="Arial" w:hAnsi="Arial"/>
                <w:sz w:val="17"/>
                <w:szCs w:val="17"/>
                <w:color w:val="auto"/>
              </w:rPr>
              <w:t>(Title, if 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080" w:type="dxa"/>
            <w:vAlign w:val="bottom"/>
            <w:gridSpan w:val="2"/>
          </w:tcPr>
          <w:p>
            <w:pPr>
              <w:spacing w:after="0"/>
              <w:rPr>
                <w:sz w:val="20"/>
                <w:szCs w:val="20"/>
                <w:color w:val="auto"/>
              </w:rPr>
            </w:pPr>
            <w:r>
              <w:rPr>
                <w:rFonts w:ascii="Arial" w:cs="Arial" w:eastAsia="Arial" w:hAnsi="Arial"/>
                <w:sz w:val="17"/>
                <w:szCs w:val="17"/>
                <w:color w:val="auto"/>
              </w:rPr>
              <w:t>Typed or printed name and address of Shareholder:</w:t>
            </w:r>
          </w:p>
        </w:tc>
        <w:tc>
          <w:tcPr>
            <w:tcW w:w="4200" w:type="dxa"/>
            <w:vAlign w:val="bottom"/>
            <w:gridSpan w:val="2"/>
          </w:tcPr>
          <w:p>
            <w:pPr>
              <w:spacing w:after="0"/>
              <w:rPr>
                <w:sz w:val="20"/>
                <w:szCs w:val="20"/>
                <w:color w:val="auto"/>
              </w:rPr>
            </w:pPr>
            <w:r>
              <w:rPr>
                <w:rFonts w:ascii="Arial" w:cs="Arial" w:eastAsia="Arial" w:hAnsi="Arial"/>
                <w:sz w:val="17"/>
                <w:szCs w:val="17"/>
                <w:color w:val="auto"/>
              </w:rPr>
              <w:t>Fax Number: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Telephone: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Email: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52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Giza GE Venture Fund III, LLC</w:t>
            </w:r>
          </w:p>
        </w:tc>
        <w:tc>
          <w:tcPr>
            <w:tcW w:w="11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7"/>
                <w:szCs w:val="17"/>
                <w:color w:val="auto"/>
              </w:rPr>
              <w:t>Giza Alpinvest Venture Fund III, LLC</w:t>
            </w:r>
          </w:p>
        </w:tc>
        <w:tc>
          <w:tcPr>
            <w:tcW w:w="6960" w:type="dxa"/>
            <w:vAlign w:val="bottom"/>
            <w:gridSpan w:val="2"/>
          </w:tcPr>
          <w:p>
            <w:pPr>
              <w:ind w:left="960"/>
              <w:spacing w:after="0"/>
              <w:rPr>
                <w:sz w:val="20"/>
                <w:szCs w:val="20"/>
                <w:color w:val="auto"/>
              </w:rPr>
            </w:pPr>
            <w:r>
              <w:rPr>
                <w:rFonts w:ascii="Arial" w:cs="Arial" w:eastAsia="Arial" w:hAnsi="Arial"/>
                <w:sz w:val="17"/>
                <w:szCs w:val="17"/>
                <w:color w:val="auto"/>
              </w:rPr>
              <w:t>/s/ Ezer Soref, Managing Director</w:t>
            </w:r>
          </w:p>
        </w:tc>
        <w:tc>
          <w:tcPr>
            <w:tcW w:w="0" w:type="dxa"/>
            <w:vAlign w:val="bottom"/>
          </w:tcPr>
          <w:p>
            <w:pPr>
              <w:spacing w:after="0"/>
              <w:rPr>
                <w:sz w:val="1"/>
                <w:szCs w:val="1"/>
                <w:color w:val="auto"/>
              </w:rPr>
            </w:pPr>
          </w:p>
        </w:tc>
      </w:tr>
      <w:tr>
        <w:trPr>
          <w:trHeight w:val="204"/>
        </w:trPr>
        <w:tc>
          <w:tcPr>
            <w:tcW w:w="4460" w:type="dxa"/>
            <w:vAlign w:val="bottom"/>
          </w:tcPr>
          <w:p>
            <w:pPr>
              <w:spacing w:after="0"/>
              <w:rPr>
                <w:sz w:val="20"/>
                <w:szCs w:val="20"/>
                <w:color w:val="auto"/>
              </w:rPr>
            </w:pPr>
            <w:r>
              <w:rPr>
                <w:rFonts w:ascii="Arial" w:cs="Arial" w:eastAsia="Arial" w:hAnsi="Arial"/>
                <w:sz w:val="17"/>
                <w:szCs w:val="17"/>
                <w:color w:val="auto"/>
              </w:rPr>
              <w:t>Giza Venture Fund III Limited Partnership</w:t>
            </w:r>
          </w:p>
        </w:tc>
        <w:tc>
          <w:tcPr>
            <w:tcW w:w="1180" w:type="dxa"/>
            <w:vAlign w:val="bottom"/>
          </w:tcPr>
          <w:p>
            <w:pPr>
              <w:spacing w:after="0"/>
              <w:rPr>
                <w:sz w:val="17"/>
                <w:szCs w:val="17"/>
                <w:color w:val="auto"/>
              </w:rPr>
            </w:pPr>
          </w:p>
        </w:tc>
        <w:tc>
          <w:tcPr>
            <w:tcW w:w="5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7"/>
                <w:szCs w:val="17"/>
                <w:color w:val="auto"/>
              </w:rPr>
              <w:t>Giza Gmulot Venture Fund III Limited Partnership</w:t>
            </w:r>
          </w:p>
        </w:tc>
        <w:tc>
          <w:tcPr>
            <w:tcW w:w="6960" w:type="dxa"/>
            <w:vAlign w:val="bottom"/>
            <w:gridSpan w:val="2"/>
          </w:tcPr>
          <w:p>
            <w:pPr>
              <w:ind w:left="960"/>
              <w:spacing w:after="0"/>
              <w:rPr>
                <w:sz w:val="20"/>
                <w:szCs w:val="20"/>
                <w:color w:val="auto"/>
              </w:rPr>
            </w:pPr>
            <w:r>
              <w:rPr>
                <w:rFonts w:ascii="Arial" w:cs="Arial" w:eastAsia="Arial" w:hAnsi="Arial"/>
                <w:sz w:val="17"/>
                <w:szCs w:val="17"/>
                <w:color w:val="auto"/>
              </w:rPr>
              <w:t>/s/ Zvi Schechter, Managing Director</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Arial" w:cs="Arial" w:eastAsia="Arial" w:hAnsi="Arial"/>
                <w:sz w:val="17"/>
                <w:szCs w:val="17"/>
                <w:color w:val="auto"/>
              </w:rPr>
              <w:t>Giza Executive Venture Fund III, LLC</w:t>
            </w:r>
          </w:p>
        </w:tc>
        <w:tc>
          <w:tcPr>
            <w:tcW w:w="1180" w:type="dxa"/>
            <w:vAlign w:val="bottom"/>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460" w:type="dxa"/>
            <w:vAlign w:val="bottom"/>
            <w:vMerge w:val="continue"/>
          </w:tcPr>
          <w:p>
            <w:pPr>
              <w:spacing w:after="0"/>
              <w:rPr>
                <w:sz w:val="16"/>
                <w:szCs w:val="16"/>
                <w:color w:val="auto"/>
              </w:rPr>
            </w:pPr>
          </w:p>
        </w:tc>
        <w:tc>
          <w:tcPr>
            <w:tcW w:w="6960" w:type="dxa"/>
            <w:vAlign w:val="bottom"/>
            <w:gridSpan w:val="2"/>
          </w:tcPr>
          <w:p>
            <w:pPr>
              <w:ind w:left="960"/>
              <w:spacing w:after="0" w:line="194" w:lineRule="exact"/>
              <w:rPr>
                <w:sz w:val="20"/>
                <w:szCs w:val="20"/>
                <w:color w:val="auto"/>
              </w:rPr>
            </w:pPr>
            <w:r>
              <w:rPr>
                <w:rFonts w:ascii="Arial" w:cs="Arial" w:eastAsia="Arial" w:hAnsi="Arial"/>
                <w:sz w:val="17"/>
                <w:szCs w:val="17"/>
                <w:color w:val="auto"/>
              </w:rPr>
              <w:t>Signature</w:t>
            </w: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Giza Venture Fund IV, LP</w:t>
            </w:r>
          </w:p>
        </w:tc>
        <w:tc>
          <w:tcPr>
            <w:tcW w:w="11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Giza Venture Fund IV (TW) L.P.</w:t>
            </w:r>
          </w:p>
        </w:tc>
        <w:tc>
          <w:tcPr>
            <w:tcW w:w="11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7"/>
                <w:szCs w:val="17"/>
                <w:color w:val="auto"/>
              </w:rPr>
              <w:t>Giza Venture Fund IV (Jersey) LP</w:t>
            </w:r>
          </w:p>
        </w:tc>
        <w:tc>
          <w:tcPr>
            <w:tcW w:w="11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7"/>
                <w:szCs w:val="17"/>
                <w:color w:val="auto"/>
              </w:rPr>
              <w:t>Giza Venture Fund IV (Israel) Limited Partnership</w:t>
            </w:r>
          </w:p>
        </w:tc>
        <w:tc>
          <w:tcPr>
            <w:tcW w:w="11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460" w:type="dxa"/>
            <w:vAlign w:val="bottom"/>
          </w:tcPr>
          <w:p>
            <w:pPr>
              <w:spacing w:after="0"/>
              <w:rPr>
                <w:sz w:val="20"/>
                <w:szCs w:val="20"/>
                <w:color w:val="auto"/>
              </w:rPr>
            </w:pPr>
            <w:r>
              <w:rPr>
                <w:rFonts w:ascii="Arial" w:cs="Arial" w:eastAsia="Arial" w:hAnsi="Arial"/>
                <w:sz w:val="17"/>
                <w:szCs w:val="17"/>
                <w:color w:val="auto"/>
              </w:rPr>
              <w:t>Print or Type Name of Shareholder</w:t>
            </w:r>
          </w:p>
        </w:tc>
        <w:tc>
          <w:tcPr>
            <w:tcW w:w="11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4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26" w:name="page227"/>
    <w:bookmarkEnd w:id="226"/>
    <w:p>
      <w:pPr>
        <w:jc w:val="center"/>
        <w:ind w:right="-79"/>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SVE Star Ventures Enterprises GmbH &amp; Co. No. IX KG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SVM Star Ventures Managementgesellschaft mbH Nr.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3 &amp; Co. Beteiligungs KG Nr. 4</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 SVM Star Ventures Managementgesellschaft mbH Nr. 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Partner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 Meir Barel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By: Dr. Meir Barel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Director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Star Management of Investments No II (2000),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SVM STAR Venture Capital Management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Partner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 Meir Barel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By: Dr. Meir Barel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544195</wp:posOffset>
            </wp:positionV>
            <wp:extent cx="7257415"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494" w:right="29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Yehuda Zisapel</w:t>
            </w:r>
          </w:p>
        </w:tc>
        <w:tc>
          <w:tcPr>
            <w:tcW w:w="1380" w:type="dxa"/>
            <w:vAlign w:val="bottom"/>
          </w:tcPr>
          <w:p>
            <w:pPr>
              <w:spacing w:after="0"/>
              <w:rPr>
                <w:sz w:val="20"/>
                <w:szCs w:val="20"/>
                <w:color w:val="auto"/>
              </w:rPr>
            </w:pPr>
            <w:r>
              <w:rPr>
                <w:rFonts w:ascii="Arial" w:cs="Arial" w:eastAsia="Arial" w:hAnsi="Arial"/>
                <w:sz w:val="17"/>
                <w:szCs w:val="17"/>
                <w:color w:val="auto"/>
                <w:w w:val="96"/>
              </w:rPr>
              <w:t>/s/ Yehuda Zisapel</w:t>
            </w: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5860" w:type="dxa"/>
            <w:vAlign w:val="bottom"/>
            <w:gridSpan w:val="2"/>
            <w:vMerge w:val="restart"/>
          </w:tcPr>
          <w:p>
            <w:pPr>
              <w:spacing w:after="0"/>
              <w:rPr>
                <w:sz w:val="20"/>
                <w:szCs w:val="20"/>
                <w:color w:val="auto"/>
              </w:rPr>
            </w:pPr>
            <w:r>
              <w:rPr>
                <w:rFonts w:ascii="Arial" w:cs="Arial" w:eastAsia="Arial" w:hAnsi="Arial"/>
                <w:sz w:val="17"/>
                <w:szCs w:val="17"/>
                <w:color w:val="auto"/>
              </w:rPr>
              <w:t>Print or Type Name of Shareholder</w:t>
            </w:r>
          </w:p>
        </w:tc>
        <w:tc>
          <w:tcPr>
            <w:tcW w:w="13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60" w:type="dxa"/>
            <w:vAlign w:val="bottom"/>
            <w:gridSpan w:val="2"/>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Signature</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7"/>
                <w:szCs w:val="17"/>
                <w:color w:val="auto"/>
                <w:w w:val="95"/>
              </w:rPr>
              <w:t>(Title, if applicable)</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60" w:type="dxa"/>
            <w:vAlign w:val="bottom"/>
            <w:gridSpan w:val="2"/>
          </w:tcPr>
          <w:p>
            <w:pPr>
              <w:spacing w:after="0"/>
              <w:rPr>
                <w:sz w:val="20"/>
                <w:szCs w:val="20"/>
                <w:color w:val="auto"/>
              </w:rPr>
            </w:pPr>
            <w:r>
              <w:rPr>
                <w:rFonts w:ascii="Arial" w:cs="Arial" w:eastAsia="Arial" w:hAnsi="Arial"/>
                <w:sz w:val="17"/>
                <w:szCs w:val="17"/>
                <w:color w:val="auto"/>
              </w:rPr>
              <w:t>Typed or printed name and address of Shareholder:</w:t>
            </w:r>
          </w:p>
        </w:tc>
        <w:tc>
          <w:tcPr>
            <w:tcW w:w="1380" w:type="dxa"/>
            <w:vAlign w:val="bottom"/>
          </w:tcPr>
          <w:p>
            <w:pPr>
              <w:spacing w:after="0"/>
              <w:rPr>
                <w:sz w:val="20"/>
                <w:szCs w:val="20"/>
                <w:color w:val="auto"/>
              </w:rPr>
            </w:pPr>
            <w:r>
              <w:rPr>
                <w:rFonts w:ascii="Arial" w:cs="Arial" w:eastAsia="Arial" w:hAnsi="Arial"/>
                <w:sz w:val="17"/>
                <w:szCs w:val="17"/>
                <w:color w:val="auto"/>
              </w:rPr>
              <w:t>Fax Number:</w:t>
            </w:r>
          </w:p>
        </w:tc>
        <w:tc>
          <w:tcPr>
            <w:tcW w:w="4180" w:type="dxa"/>
            <w:vAlign w:val="bottom"/>
          </w:tcPr>
          <w:p>
            <w:pPr>
              <w:jc w:val="right"/>
              <w:ind w:right="2994"/>
              <w:spacing w:after="0"/>
              <w:rPr>
                <w:sz w:val="20"/>
                <w:szCs w:val="20"/>
                <w:color w:val="auto"/>
              </w:rPr>
            </w:pPr>
            <w:r>
              <w:rPr>
                <w:rFonts w:ascii="Arial" w:cs="Arial" w:eastAsia="Arial" w:hAnsi="Arial"/>
                <w:sz w:val="17"/>
                <w:szCs w:val="17"/>
                <w:color w:val="auto"/>
                <w:w w:val="93"/>
              </w:rPr>
              <w:t>972-3-6498520</w:t>
            </w:r>
          </w:p>
        </w:tc>
        <w:tc>
          <w:tcPr>
            <w:tcW w:w="0" w:type="dxa"/>
            <w:vAlign w:val="bottom"/>
          </w:tcPr>
          <w:p>
            <w:pPr>
              <w:spacing w:after="0"/>
              <w:rPr>
                <w:sz w:val="1"/>
                <w:szCs w:val="1"/>
                <w:color w:val="auto"/>
              </w:rPr>
            </w:pPr>
          </w:p>
        </w:tc>
      </w:tr>
      <w:tr>
        <w:trPr>
          <w:trHeight w:val="401"/>
        </w:trPr>
        <w:tc>
          <w:tcPr>
            <w:tcW w:w="5860" w:type="dxa"/>
            <w:vAlign w:val="bottom"/>
            <w:gridSpan w:val="2"/>
          </w:tcPr>
          <w:p>
            <w:pPr>
              <w:spacing w:after="0"/>
              <w:rPr>
                <w:sz w:val="20"/>
                <w:szCs w:val="20"/>
                <w:color w:val="auto"/>
              </w:rPr>
            </w:pPr>
            <w:r>
              <w:rPr>
                <w:rFonts w:ascii="Arial" w:cs="Arial" w:eastAsia="Arial" w:hAnsi="Arial"/>
                <w:sz w:val="17"/>
                <w:szCs w:val="17"/>
                <w:color w:val="auto"/>
              </w:rPr>
              <w:t>Yehuda Zisapel</w:t>
            </w:r>
          </w:p>
        </w:tc>
        <w:tc>
          <w:tcPr>
            <w:tcW w:w="1380" w:type="dxa"/>
            <w:vAlign w:val="bottom"/>
          </w:tcPr>
          <w:p>
            <w:pPr>
              <w:spacing w:after="0"/>
              <w:rPr>
                <w:sz w:val="20"/>
                <w:szCs w:val="20"/>
                <w:color w:val="auto"/>
              </w:rPr>
            </w:pPr>
            <w:r>
              <w:rPr>
                <w:rFonts w:ascii="Arial" w:cs="Arial" w:eastAsia="Arial" w:hAnsi="Arial"/>
                <w:sz w:val="17"/>
                <w:szCs w:val="17"/>
                <w:color w:val="auto"/>
              </w:rPr>
              <w:t>Telephone:</w:t>
            </w:r>
          </w:p>
        </w:tc>
        <w:tc>
          <w:tcPr>
            <w:tcW w:w="4180" w:type="dxa"/>
            <w:vAlign w:val="bottom"/>
          </w:tcPr>
          <w:p>
            <w:pPr>
              <w:ind w:left="20"/>
              <w:spacing w:after="0"/>
              <w:rPr>
                <w:sz w:val="20"/>
                <w:szCs w:val="20"/>
                <w:color w:val="auto"/>
              </w:rPr>
            </w:pPr>
            <w:r>
              <w:rPr>
                <w:rFonts w:ascii="Arial" w:cs="Arial" w:eastAsia="Arial" w:hAnsi="Arial"/>
                <w:sz w:val="17"/>
                <w:szCs w:val="17"/>
                <w:color w:val="auto"/>
              </w:rPr>
              <w:t>972-3-6455522</w:t>
            </w:r>
          </w:p>
        </w:tc>
        <w:tc>
          <w:tcPr>
            <w:tcW w:w="0" w:type="dxa"/>
            <w:vAlign w:val="bottom"/>
          </w:tcPr>
          <w:p>
            <w:pPr>
              <w:spacing w:after="0"/>
              <w:rPr>
                <w:sz w:val="1"/>
                <w:szCs w:val="1"/>
                <w:color w:val="auto"/>
              </w:rPr>
            </w:pPr>
          </w:p>
        </w:tc>
      </w:tr>
      <w:tr>
        <w:trPr>
          <w:trHeight w:val="217"/>
        </w:trPr>
        <w:tc>
          <w:tcPr>
            <w:tcW w:w="5860" w:type="dxa"/>
            <w:vAlign w:val="bottom"/>
            <w:gridSpan w:val="2"/>
          </w:tcPr>
          <w:p>
            <w:pPr>
              <w:spacing w:after="0"/>
              <w:rPr>
                <w:sz w:val="20"/>
                <w:szCs w:val="20"/>
                <w:color w:val="auto"/>
              </w:rPr>
            </w:pPr>
            <w:r>
              <w:rPr>
                <w:rFonts w:ascii="Arial" w:cs="Arial" w:eastAsia="Arial" w:hAnsi="Arial"/>
                <w:sz w:val="17"/>
                <w:szCs w:val="17"/>
                <w:color w:val="auto"/>
              </w:rPr>
              <w:t>c/o RAD Group</w:t>
            </w:r>
          </w:p>
        </w:tc>
        <w:tc>
          <w:tcPr>
            <w:tcW w:w="13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7"/>
                <w:szCs w:val="17"/>
                <w:color w:val="auto"/>
              </w:rPr>
              <w:t>24 Raoul Wallenberg Street,</w:t>
            </w:r>
          </w:p>
        </w:tc>
        <w:tc>
          <w:tcPr>
            <w:tcW w:w="1380" w:type="dxa"/>
            <w:vAlign w:val="bottom"/>
          </w:tcPr>
          <w:p>
            <w:pPr>
              <w:spacing w:after="0"/>
              <w:rPr>
                <w:sz w:val="20"/>
                <w:szCs w:val="20"/>
                <w:color w:val="auto"/>
              </w:rPr>
            </w:pPr>
            <w:r>
              <w:rPr>
                <w:rFonts w:ascii="Arial" w:cs="Arial" w:eastAsia="Arial" w:hAnsi="Arial"/>
                <w:sz w:val="17"/>
                <w:szCs w:val="17"/>
                <w:color w:val="auto"/>
              </w:rPr>
              <w:t>Email:</w:t>
            </w:r>
          </w:p>
        </w:tc>
        <w:tc>
          <w:tcPr>
            <w:tcW w:w="4180" w:type="dxa"/>
            <w:vAlign w:val="bottom"/>
          </w:tcPr>
          <w:p>
            <w:pPr>
              <w:ind w:left="20"/>
              <w:spacing w:after="0"/>
              <w:rPr>
                <w:sz w:val="20"/>
                <w:szCs w:val="20"/>
                <w:color w:val="auto"/>
              </w:rPr>
            </w:pPr>
            <w:r>
              <w:rPr>
                <w:rFonts w:ascii="Arial" w:cs="Arial" w:eastAsia="Arial" w:hAnsi="Arial"/>
                <w:sz w:val="17"/>
                <w:szCs w:val="17"/>
                <w:color w:val="auto"/>
              </w:rPr>
              <w:t>yehuda_z@rad.com</w:t>
            </w:r>
          </w:p>
        </w:tc>
        <w:tc>
          <w:tcPr>
            <w:tcW w:w="0" w:type="dxa"/>
            <w:vAlign w:val="bottom"/>
          </w:tcPr>
          <w:p>
            <w:pPr>
              <w:spacing w:after="0"/>
              <w:rPr>
                <w:sz w:val="1"/>
                <w:szCs w:val="1"/>
                <w:color w:val="auto"/>
              </w:rPr>
            </w:pPr>
          </w:p>
        </w:tc>
      </w:tr>
      <w:tr>
        <w:trPr>
          <w:trHeight w:val="217"/>
        </w:trPr>
        <w:tc>
          <w:tcPr>
            <w:tcW w:w="5860" w:type="dxa"/>
            <w:vAlign w:val="bottom"/>
            <w:gridSpan w:val="2"/>
          </w:tcPr>
          <w:p>
            <w:pPr>
              <w:spacing w:after="0"/>
              <w:rPr>
                <w:sz w:val="20"/>
                <w:szCs w:val="20"/>
                <w:color w:val="auto"/>
              </w:rPr>
            </w:pPr>
            <w:r>
              <w:rPr>
                <w:rFonts w:ascii="Arial" w:cs="Arial" w:eastAsia="Arial" w:hAnsi="Arial"/>
                <w:sz w:val="17"/>
                <w:szCs w:val="17"/>
                <w:color w:val="auto"/>
              </w:rPr>
              <w:t>Tel Aviv 69719, Israel</w:t>
            </w:r>
          </w:p>
        </w:tc>
        <w:tc>
          <w:tcPr>
            <w:tcW w:w="13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0"/>
        </w:trPr>
        <w:tc>
          <w:tcPr>
            <w:tcW w:w="106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7"/>
          <w:szCs w:val="17"/>
          <w:b w:val="1"/>
          <w:bCs w:val="1"/>
          <w:color w:val="auto"/>
        </w:rPr>
        <w:t>Registration Rights Agreement - Signature Page</w:t>
      </w:r>
    </w:p>
    <w:p>
      <w:pPr>
        <w:spacing w:after="0" w:line="24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IN WITNESS WHEREOF, by executing this Signature Page, the undersigned has read, understood and acknowledged the representations and covenants in the Registration Rights Agreement (the “RRA”) by and between BioLine Rx Ltd. (the “Company”) and its shareholders. Upon receipt by the Company of this Signature Page and execution by the Company of its counterpart signature page, the undersigned shall become a party to the RRA, and hereby authorizes this signature page to be attached to a counterpart of the RRA executed by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20"/>
                <w:szCs w:val="20"/>
                <w:color w:val="auto"/>
              </w:rPr>
            </w:pPr>
            <w:r>
              <w:rPr>
                <w:rFonts w:ascii="Arial" w:cs="Arial" w:eastAsia="Arial" w:hAnsi="Arial"/>
                <w:sz w:val="17"/>
                <w:szCs w:val="17"/>
                <w:color w:val="auto"/>
              </w:rPr>
              <w:t>Pan Atlantic Investments Limited</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Robert J. Bourque</w:t>
            </w:r>
          </w:p>
        </w:tc>
        <w:tc>
          <w:tcPr>
            <w:tcW w:w="0" w:type="dxa"/>
            <w:vAlign w:val="bottom"/>
          </w:tcPr>
          <w:p>
            <w:pPr>
              <w:spacing w:after="0"/>
              <w:rPr>
                <w:sz w:val="1"/>
                <w:szCs w:val="1"/>
                <w:color w:val="auto"/>
              </w:rPr>
            </w:pPr>
          </w:p>
        </w:tc>
      </w:tr>
      <w:tr>
        <w:trPr>
          <w:trHeight w:val="193"/>
        </w:trPr>
        <w:tc>
          <w:tcPr>
            <w:tcW w:w="5720" w:type="dxa"/>
            <w:vAlign w:val="bottom"/>
          </w:tcPr>
          <w:p>
            <w:pPr>
              <w:spacing w:after="0"/>
              <w:rPr>
                <w:sz w:val="16"/>
                <w:szCs w:val="16"/>
                <w:color w:val="auto"/>
              </w:rPr>
            </w:pPr>
          </w:p>
        </w:tc>
        <w:tc>
          <w:tcPr>
            <w:tcW w:w="1260" w:type="dxa"/>
            <w:vAlign w:val="bottom"/>
          </w:tcPr>
          <w:p>
            <w:pPr>
              <w:spacing w:after="0" w:line="194" w:lineRule="exact"/>
              <w:rPr>
                <w:sz w:val="20"/>
                <w:szCs w:val="20"/>
                <w:color w:val="auto"/>
              </w:rPr>
            </w:pPr>
            <w:r>
              <w:rPr>
                <w:rFonts w:ascii="Arial" w:cs="Arial" w:eastAsia="Arial" w:hAnsi="Arial"/>
                <w:sz w:val="17"/>
                <w:szCs w:val="17"/>
                <w:color w:val="auto"/>
                <w:w w:val="89"/>
              </w:rPr>
              <w:t>Robert J. Bourque</w:t>
            </w: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Managing Director</w:t>
            </w:r>
          </w:p>
        </w:tc>
        <w:tc>
          <w:tcPr>
            <w:tcW w:w="0" w:type="dxa"/>
            <w:vAlign w:val="bottom"/>
          </w:tcPr>
          <w:p>
            <w:pPr>
              <w:spacing w:after="0"/>
              <w:rPr>
                <w:sz w:val="1"/>
                <w:szCs w:val="1"/>
                <w:color w:val="auto"/>
              </w:rPr>
            </w:pPr>
          </w:p>
        </w:tc>
      </w:tr>
      <w:tr>
        <w:trPr>
          <w:trHeight w:val="401"/>
        </w:trPr>
        <w:tc>
          <w:tcPr>
            <w:tcW w:w="5720" w:type="dxa"/>
            <w:vAlign w:val="bottom"/>
          </w:tcPr>
          <w:p>
            <w:pPr>
              <w:spacing w:after="0"/>
              <w:rPr>
                <w:sz w:val="20"/>
                <w:szCs w:val="20"/>
                <w:color w:val="auto"/>
              </w:rPr>
            </w:pPr>
            <w:r>
              <w:rPr>
                <w:rFonts w:ascii="Arial" w:cs="Arial" w:eastAsia="Arial" w:hAnsi="Arial"/>
                <w:sz w:val="17"/>
                <w:szCs w:val="17"/>
                <w:color w:val="auto"/>
              </w:rPr>
              <w:t>Musson Building, 2nd Floor</w:t>
            </w:r>
          </w:p>
        </w:tc>
        <w:tc>
          <w:tcPr>
            <w:tcW w:w="1260" w:type="dxa"/>
            <w:vAlign w:val="bottom"/>
          </w:tcPr>
          <w:p>
            <w:pPr>
              <w:spacing w:after="0"/>
              <w:rPr>
                <w:sz w:val="20"/>
                <w:szCs w:val="20"/>
                <w:color w:val="auto"/>
              </w:rPr>
            </w:pPr>
            <w:r>
              <w:rPr>
                <w:rFonts w:ascii="Arial" w:cs="Arial" w:eastAsia="Arial" w:hAnsi="Arial"/>
                <w:sz w:val="17"/>
                <w:szCs w:val="17"/>
                <w:color w:val="auto"/>
              </w:rPr>
              <w:t>Fax Number:</w:t>
            </w:r>
          </w:p>
        </w:tc>
        <w:tc>
          <w:tcPr>
            <w:tcW w:w="4440" w:type="dxa"/>
            <w:vAlign w:val="bottom"/>
          </w:tcPr>
          <w:p>
            <w:pPr>
              <w:jc w:val="right"/>
              <w:ind w:right="3254"/>
              <w:spacing w:after="0"/>
              <w:rPr>
                <w:sz w:val="20"/>
                <w:szCs w:val="20"/>
                <w:color w:val="auto"/>
              </w:rPr>
            </w:pPr>
            <w:r>
              <w:rPr>
                <w:rFonts w:ascii="Arial" w:cs="Arial" w:eastAsia="Arial" w:hAnsi="Arial"/>
                <w:sz w:val="17"/>
                <w:szCs w:val="17"/>
                <w:color w:val="auto"/>
                <w:w w:val="92"/>
              </w:rPr>
              <w:t>(246) 228-1158</w:t>
            </w: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Hincks Street</w:t>
            </w:r>
          </w:p>
        </w:tc>
        <w:tc>
          <w:tcPr>
            <w:tcW w:w="1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20" w:type="dxa"/>
            <w:vAlign w:val="bottom"/>
          </w:tcPr>
          <w:p>
            <w:pPr>
              <w:spacing w:after="0"/>
              <w:rPr>
                <w:sz w:val="20"/>
                <w:szCs w:val="20"/>
                <w:color w:val="auto"/>
              </w:rPr>
            </w:pPr>
            <w:r>
              <w:rPr>
                <w:rFonts w:ascii="Arial" w:cs="Arial" w:eastAsia="Arial" w:hAnsi="Arial"/>
                <w:sz w:val="17"/>
                <w:szCs w:val="17"/>
                <w:color w:val="auto"/>
              </w:rPr>
              <w:t>Bridgetown</w:t>
            </w:r>
          </w:p>
        </w:tc>
        <w:tc>
          <w:tcPr>
            <w:tcW w:w="1260" w:type="dxa"/>
            <w:vAlign w:val="bottom"/>
          </w:tcPr>
          <w:p>
            <w:pPr>
              <w:spacing w:after="0"/>
              <w:rPr>
                <w:sz w:val="20"/>
                <w:szCs w:val="20"/>
                <w:color w:val="auto"/>
              </w:rPr>
            </w:pPr>
            <w:r>
              <w:rPr>
                <w:rFonts w:ascii="Arial" w:cs="Arial" w:eastAsia="Arial" w:hAnsi="Arial"/>
                <w:sz w:val="17"/>
                <w:szCs w:val="17"/>
                <w:color w:val="auto"/>
              </w:rPr>
              <w:t>Telephone:</w:t>
            </w:r>
          </w:p>
        </w:tc>
        <w:tc>
          <w:tcPr>
            <w:tcW w:w="4440" w:type="dxa"/>
            <w:vAlign w:val="bottom"/>
          </w:tcPr>
          <w:p>
            <w:pPr>
              <w:spacing w:after="0"/>
              <w:rPr>
                <w:sz w:val="20"/>
                <w:szCs w:val="20"/>
                <w:color w:val="auto"/>
              </w:rPr>
            </w:pPr>
            <w:r>
              <w:rPr>
                <w:rFonts w:ascii="Arial" w:cs="Arial" w:eastAsia="Arial" w:hAnsi="Arial"/>
                <w:sz w:val="17"/>
                <w:szCs w:val="17"/>
                <w:color w:val="auto"/>
              </w:rPr>
              <w:t>(246) 436-9756</w:t>
            </w: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7"/>
                <w:szCs w:val="17"/>
                <w:color w:val="auto"/>
              </w:rPr>
              <w:t>Barbados West Indies 11000</w:t>
            </w:r>
          </w:p>
        </w:tc>
        <w:tc>
          <w:tcPr>
            <w:tcW w:w="1260" w:type="dxa"/>
            <w:vAlign w:val="bottom"/>
            <w:vMerge w:val="restart"/>
          </w:tcPr>
          <w:p>
            <w:pPr>
              <w:spacing w:after="0"/>
              <w:rPr>
                <w:sz w:val="20"/>
                <w:szCs w:val="20"/>
                <w:color w:val="auto"/>
              </w:rPr>
            </w:pPr>
            <w:r>
              <w:rPr>
                <w:rFonts w:ascii="Arial" w:cs="Arial" w:eastAsia="Arial" w:hAnsi="Arial"/>
                <w:sz w:val="17"/>
                <w:szCs w:val="17"/>
                <w:color w:val="auto"/>
              </w:rPr>
              <w:t>Email:</w:t>
            </w:r>
          </w:p>
        </w:tc>
        <w:tc>
          <w:tcPr>
            <w:tcW w:w="4440" w:type="dxa"/>
            <w:vAlign w:val="bottom"/>
            <w:vMerge w:val="restart"/>
          </w:tcPr>
          <w:p>
            <w:pPr>
              <w:spacing w:after="0"/>
              <w:rPr>
                <w:sz w:val="20"/>
                <w:szCs w:val="20"/>
                <w:color w:val="auto"/>
              </w:rPr>
            </w:pPr>
            <w:r>
              <w:rPr>
                <w:rFonts w:ascii="Arial" w:cs="Arial" w:eastAsia="Arial" w:hAnsi="Arial"/>
                <w:sz w:val="17"/>
                <w:szCs w:val="17"/>
                <w:color w:val="auto"/>
              </w:rPr>
              <w:t>rjbourque@pabt.bb</w:t>
            </w:r>
          </w:p>
        </w:tc>
        <w:tc>
          <w:tcPr>
            <w:tcW w:w="0" w:type="dxa"/>
            <w:vAlign w:val="bottom"/>
          </w:tcPr>
          <w:p>
            <w:pPr>
              <w:spacing w:after="0"/>
              <w:rPr>
                <w:sz w:val="1"/>
                <w:szCs w:val="1"/>
                <w:color w:val="auto"/>
              </w:rPr>
            </w:pPr>
          </w:p>
        </w:tc>
      </w:tr>
      <w:tr>
        <w:trPr>
          <w:trHeight w:val="206"/>
        </w:trPr>
        <w:tc>
          <w:tcPr>
            <w:tcW w:w="57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4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34"/>
        </w:trPr>
        <w:tc>
          <w:tcPr>
            <w:tcW w:w="57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7"/>
          <w:szCs w:val="17"/>
          <w:color w:val="auto"/>
        </w:rPr>
        <w:t>EXHIBIT 4.1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BioLine Therapeutics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57415" cy="1676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7415" cy="16764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May 1, 2003</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Dr. Morris Laster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 Reuven Shari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97246</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Morris,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Engagement Offer</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Further to our discussions, we are pleased to offer you employment with BioLine Therapeutics Ltd., in accordance with the terms and conditions set forth in this letter. By signing this letter you indicate your acceptance to the offer and thus turning this letter into a binding employment contract between you and us (this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convenience, BioLine Therapeutics Ltd. will be called in this letter the "Company" or "we", and you will be called the "Employee" or "you".</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48" w:lineRule="exact"/>
        <w:rPr>
          <w:sz w:val="20"/>
          <w:szCs w:val="20"/>
          <w:color w:val="auto"/>
        </w:rPr>
      </w:pPr>
    </w:p>
    <w:p>
      <w:pPr>
        <w:jc w:val="both"/>
        <w:ind w:firstLine="3"/>
        <w:spacing w:after="0" w:line="259" w:lineRule="auto"/>
        <w:tabs>
          <w:tab w:leader="none" w:pos="638"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You shall serve as the Chief Executive Officer of the Company. In such position you shall report regularly to, and be subject to the direction of the Company's Board of Directors. You shall perform your duties diligently, conscientiously and in furtherance of the Company's best interests. You agree and undertake to inform the Company, immediately after you become aware of any matter that may in any way raise a conflict of interest between yourself and the Company. You shall not receive during your employment by the Company any payment, compensation or benefit from any third party in connection, directly or indirectly, with the execution of your position in the Company (except from Spin Off’s as set forth herein).</w:t>
      </w:r>
    </w:p>
    <w:p>
      <w:pPr>
        <w:spacing w:after="0" w:line="205" w:lineRule="exact"/>
        <w:rPr>
          <w:rFonts w:ascii="Arial" w:cs="Arial" w:eastAsia="Arial" w:hAnsi="Arial"/>
          <w:sz w:val="17"/>
          <w:szCs w:val="17"/>
          <w:color w:val="auto"/>
        </w:rPr>
      </w:pPr>
    </w:p>
    <w:p>
      <w:pPr>
        <w:jc w:val="both"/>
        <w:ind w:firstLine="3"/>
        <w:spacing w:after="0" w:line="257" w:lineRule="auto"/>
        <w:tabs>
          <w:tab w:leader="none" w:pos="638"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Full Time Employment</w:t>
      </w:r>
      <w:r>
        <w:rPr>
          <w:rFonts w:ascii="Arial" w:cs="Arial" w:eastAsia="Arial" w:hAnsi="Arial"/>
          <w:sz w:val="17"/>
          <w:szCs w:val="17"/>
          <w:color w:val="auto"/>
        </w:rPr>
        <w:t>. You will be employed on a full time basis. You shall devote your entire business time and attention to the business of the Company and you shall engage in other business or professional activities, in your business time, whether or not such activities are pursued for gain, profit or other pecuniary advantage, only with the prior written consent of the Company's Board of Directors.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 law in addition to the compensation set forth in this Agreement.</w:t>
      </w:r>
    </w:p>
    <w:p>
      <w:pPr>
        <w:spacing w:after="0" w:line="210" w:lineRule="exact"/>
        <w:rPr>
          <w:rFonts w:ascii="Arial" w:cs="Arial" w:eastAsia="Arial" w:hAnsi="Arial"/>
          <w:sz w:val="17"/>
          <w:szCs w:val="17"/>
          <w:color w:val="auto"/>
        </w:rPr>
      </w:pPr>
    </w:p>
    <w:p>
      <w:pPr>
        <w:ind w:firstLine="3"/>
        <w:spacing w:after="0" w:line="278" w:lineRule="auto"/>
        <w:tabs>
          <w:tab w:leader="none" w:pos="806"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You shall perform your duties hereunder at the Company's facilities in Israel, but you understand and agree that your position may involve significant domestic and international travel.</w:t>
      </w:r>
    </w:p>
    <w:p>
      <w:pPr>
        <w:spacing w:after="0" w:line="190" w:lineRule="exact"/>
        <w:rPr>
          <w:rFonts w:ascii="Arial" w:cs="Arial" w:eastAsia="Arial" w:hAnsi="Arial"/>
          <w:sz w:val="17"/>
          <w:szCs w:val="17"/>
          <w:color w:val="auto"/>
        </w:rPr>
      </w:pPr>
    </w:p>
    <w:p>
      <w:pPr>
        <w:ind w:left="620" w:hanging="617"/>
        <w:spacing w:after="0"/>
        <w:tabs>
          <w:tab w:leader="none" w:pos="620"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Employee's Representations and Warranties</w:t>
      </w:r>
      <w:r>
        <w:rPr>
          <w:rFonts w:ascii="Arial" w:cs="Arial" w:eastAsia="Arial" w:hAnsi="Arial"/>
          <w:sz w:val="15"/>
          <w:szCs w:val="15"/>
          <w:color w:val="auto"/>
        </w:rPr>
        <w:t>. You represent and warrant that the execution and delivery of this Agreement and the fulfillment of all its terms:</w:t>
      </w:r>
    </w:p>
    <w:p>
      <w:pPr>
        <w:spacing w:after="0" w:line="44" w:lineRule="exact"/>
        <w:rPr>
          <w:rFonts w:ascii="Arial" w:cs="Arial" w:eastAsia="Arial" w:hAnsi="Arial"/>
          <w:sz w:val="15"/>
          <w:szCs w:val="15"/>
          <w:color w:val="auto"/>
        </w:rPr>
      </w:pPr>
    </w:p>
    <w:p>
      <w:pPr>
        <w:jc w:val="both"/>
        <w:spacing w:after="0" w:line="255" w:lineRule="auto"/>
        <w:rPr>
          <w:rFonts w:ascii="Arial" w:cs="Arial" w:eastAsia="Arial" w:hAnsi="Arial"/>
          <w:sz w:val="15"/>
          <w:szCs w:val="15"/>
          <w:color w:val="auto"/>
        </w:rPr>
      </w:pPr>
      <w:r>
        <w:rPr>
          <w:rFonts w:ascii="Arial" w:cs="Arial" w:eastAsia="Arial" w:hAnsi="Arial"/>
          <w:sz w:val="17"/>
          <w:szCs w:val="17"/>
          <w:color w:val="auto"/>
        </w:rPr>
        <w:t>(i) will not constitute a default under or conflict with any agreement or other instrument to which you are a party to or by which you are bound; and (ii) do not require the consent of any person or entity. Further, with respect to any past engagement you may have had with third parties and with respect to any allowed engagement you may have with any third party during the term of your engagement with the Company (for purposes hereof, such third parties shall be referred to as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Employers</w:t>
      </w:r>
      <w:r>
        <w:rPr>
          <w:rFonts w:ascii="Arial" w:cs="Arial" w:eastAsia="Arial" w:hAnsi="Arial"/>
          <w:sz w:val="17"/>
          <w:szCs w:val="17"/>
          <w:color w:val="auto"/>
        </w:rPr>
        <w:t>"), you represent, warrant and undertake that: (a) your engagement with the Company is and/or will not be in breach of his undertakings towards Other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Employers, and (b) you will not disclose to the Company, or use, in provision of any services to the Company, any proprietary or confidential information belonging to any Other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7415"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21"/>
          <w:szCs w:val="21"/>
          <w:color w:val="auto"/>
        </w:rPr>
        <w:t>- 2 -</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 of Employment</w:t>
      </w:r>
    </w:p>
    <w:p>
      <w:pPr>
        <w:spacing w:after="0" w:line="242" w:lineRule="exact"/>
        <w:rPr>
          <w:sz w:val="20"/>
          <w:szCs w:val="20"/>
          <w:color w:val="auto"/>
        </w:rPr>
      </w:pPr>
    </w:p>
    <w:p>
      <w:pPr>
        <w:ind w:firstLine="3"/>
        <w:spacing w:after="0" w:line="286" w:lineRule="auto"/>
        <w:tabs>
          <w:tab w:leader="none" w:pos="613"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Your employment by the Company shall be deemed to have commenced on the date of May 1, 2003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shall continue until it is terminated pursuant to the terms set forth herein.</w:t>
      </w:r>
    </w:p>
    <w:p>
      <w:pPr>
        <w:spacing w:after="0" w:line="183" w:lineRule="exact"/>
        <w:rPr>
          <w:rFonts w:ascii="Arial" w:cs="Arial" w:eastAsia="Arial" w:hAnsi="Arial"/>
          <w:sz w:val="17"/>
          <w:szCs w:val="17"/>
          <w:color w:val="auto"/>
        </w:rPr>
      </w:pPr>
    </w:p>
    <w:p>
      <w:pPr>
        <w:jc w:val="both"/>
        <w:ind w:firstLine="3"/>
        <w:spacing w:after="0" w:line="257" w:lineRule="auto"/>
        <w:tabs>
          <w:tab w:leader="none" w:pos="613"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Termination at Will</w:t>
      </w:r>
      <w:r>
        <w:rPr>
          <w:rFonts w:ascii="Arial" w:cs="Arial" w:eastAsia="Arial" w:hAnsi="Arial"/>
          <w:sz w:val="17"/>
          <w:szCs w:val="17"/>
          <w:color w:val="auto"/>
        </w:rPr>
        <w:t>. Either party may terminate the employment relationship hereunder at any time by giving the other party a prior written notice of at least 4 (four) months (the "</w:t>
      </w:r>
      <w:r>
        <w:rPr>
          <w:rFonts w:ascii="Arial" w:cs="Arial" w:eastAsia="Arial" w:hAnsi="Arial"/>
          <w:sz w:val="17"/>
          <w:szCs w:val="17"/>
          <w:b w:val="1"/>
          <w:bCs w:val="1"/>
          <w:color w:val="auto"/>
        </w:rPr>
        <w:t>Notice Period</w:t>
      </w:r>
      <w:r>
        <w:rPr>
          <w:rFonts w:ascii="Arial" w:cs="Arial" w:eastAsia="Arial" w:hAnsi="Arial"/>
          <w:sz w:val="17"/>
          <w:szCs w:val="17"/>
          <w:color w:val="auto"/>
        </w:rPr>
        <w:t>"). However, the Company, at its own discretion, may terminate this Agreement and the employment relationship at any time immediately upon a written notice and pay you a one time amount equal to the Salary, and other benefits hereunder, that would have been paid to you during the Notice Period in lieu of the prior notice. Notwithstanding the aforesaid, in such case, you will still be entitled to make use of the Car (as such term is defined in Section 16) and the Phone (as such term is defined in Section 17), and the Vesting Period (as such term is defined in Section 2.4.1 of Exhibit A) shall be deemed to continue until the end of such 4-month period.</w:t>
      </w:r>
    </w:p>
    <w:p>
      <w:pPr>
        <w:spacing w:after="0" w:line="210" w:lineRule="exact"/>
        <w:rPr>
          <w:rFonts w:ascii="Arial" w:cs="Arial" w:eastAsia="Arial" w:hAnsi="Arial"/>
          <w:sz w:val="17"/>
          <w:szCs w:val="17"/>
          <w:color w:val="auto"/>
        </w:rPr>
      </w:pPr>
    </w:p>
    <w:p>
      <w:pPr>
        <w:jc w:val="both"/>
        <w:ind w:firstLine="3"/>
        <w:spacing w:after="0" w:line="277" w:lineRule="auto"/>
        <w:tabs>
          <w:tab w:leader="none" w:pos="677"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immediately terminate the employment relationship for Cause, and such termination shall be effective as of the time of notice of the same. "</w:t>
      </w:r>
      <w:r>
        <w:rPr>
          <w:rFonts w:ascii="Arial" w:cs="Arial" w:eastAsia="Arial" w:hAnsi="Arial"/>
          <w:sz w:val="16"/>
          <w:szCs w:val="16"/>
          <w:b w:val="1"/>
          <w:bCs w:val="1"/>
          <w:color w:val="auto"/>
        </w:rPr>
        <w:t>Cause</w:t>
      </w:r>
      <w:r>
        <w:rPr>
          <w:rFonts w:ascii="Arial" w:cs="Arial" w:eastAsia="Arial" w:hAnsi="Arial"/>
          <w:sz w:val="16"/>
          <w:szCs w:val="16"/>
          <w:color w:val="auto"/>
        </w:rPr>
        <w:t>" means (a) a serious breach of trust including but not limited to theft, embezzlement, self-dealing, prohibited disclosure to unauthorized persons or entities of confidential or proprietary information of or relating to the Company or its affiliates and the engaging by yourself in any prohibited business competitive to the business of the Company; or (b) any repetitive willful failure to perform or to perform competently any of your fundamental functions or duties hereunder, to the extent such failure was not remedied after appropriate notice was given by the Company; or (c) a material breach of the any material provision of this Agreement, to the extent such breach (if it can be remedied) was not remedied after appropriate notice was given by the Company.</w:t>
      </w:r>
    </w:p>
    <w:p>
      <w:pPr>
        <w:spacing w:after="0" w:line="192" w:lineRule="exact"/>
        <w:rPr>
          <w:rFonts w:ascii="Arial" w:cs="Arial" w:eastAsia="Arial" w:hAnsi="Arial"/>
          <w:sz w:val="16"/>
          <w:szCs w:val="16"/>
          <w:color w:val="auto"/>
        </w:rPr>
      </w:pPr>
    </w:p>
    <w:p>
      <w:pPr>
        <w:jc w:val="both"/>
        <w:ind w:firstLine="3"/>
        <w:spacing w:after="0" w:line="261" w:lineRule="auto"/>
        <w:tabs>
          <w:tab w:leader="none" w:pos="690"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Notice Period; End of Relations</w:t>
      </w:r>
      <w:r>
        <w:rPr>
          <w:rFonts w:ascii="Arial" w:cs="Arial" w:eastAsia="Arial" w:hAnsi="Arial"/>
          <w:sz w:val="17"/>
          <w:szCs w:val="17"/>
          <w:color w:val="auto"/>
        </w:rPr>
        <w:t>. During the period following notice of termination by either party, the employment relationship hereunder shall remain in full force and effect and there shall be no change in your position with the Company, in your Salary and other benefits hereunder, or in any other obligations of either party hereunder, and you shall cooperate with the Company and assist the Company with the integration into the Company of the person who will assume your responsibilities.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Covenants</w:t>
      </w:r>
    </w:p>
    <w:p>
      <w:pPr>
        <w:spacing w:after="0" w:line="248" w:lineRule="exact"/>
        <w:rPr>
          <w:sz w:val="20"/>
          <w:szCs w:val="20"/>
          <w:color w:val="auto"/>
        </w:rPr>
      </w:pPr>
    </w:p>
    <w:p>
      <w:pPr>
        <w:ind w:firstLine="3"/>
        <w:spacing w:after="0" w:line="278" w:lineRule="auto"/>
        <w:tabs>
          <w:tab w:leader="none" w:pos="62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Proprietary Information; Assignment of Inventions and Non-Competition</w:t>
      </w:r>
      <w:r>
        <w:rPr>
          <w:rFonts w:ascii="Arial" w:cs="Arial" w:eastAsia="Arial" w:hAnsi="Arial"/>
          <w:sz w:val="17"/>
          <w:szCs w:val="17"/>
          <w:color w:val="auto"/>
        </w:rPr>
        <w:t xml:space="preserve">. By executing this letter you confirm and agree to the provisions of the Company's Proprietary Information, Assignment of Inventions, Confidentiality and Non-Competition Agreement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Salary and Additional Compensation; Insurance; Advanced Study Fund</w:t>
      </w:r>
    </w:p>
    <w:p>
      <w:pPr>
        <w:spacing w:after="0" w:line="248" w:lineRule="exact"/>
        <w:rPr>
          <w:sz w:val="20"/>
          <w:szCs w:val="20"/>
          <w:color w:val="auto"/>
        </w:rPr>
      </w:pPr>
    </w:p>
    <w:p>
      <w:pPr>
        <w:jc w:val="both"/>
        <w:ind w:firstLine="3"/>
        <w:spacing w:after="0" w:line="277" w:lineRule="auto"/>
        <w:tabs>
          <w:tab w:leader="none" w:pos="784"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The Company shall pay to you as compensation for the employment services an aggregate monthly compensation in the amount of US$16,100 (sixteen thousand one hundred U.S. Dollars) (the "</w:t>
      </w:r>
      <w:r>
        <w:rPr>
          <w:rFonts w:ascii="Arial" w:cs="Arial" w:eastAsia="Arial" w:hAnsi="Arial"/>
          <w:sz w:val="16"/>
          <w:szCs w:val="16"/>
          <w:b w:val="1"/>
          <w:bCs w:val="1"/>
          <w:color w:val="auto"/>
        </w:rPr>
        <w:t>Salary</w:t>
      </w:r>
      <w:r>
        <w:rPr>
          <w:rFonts w:ascii="Arial" w:cs="Arial" w:eastAsia="Arial" w:hAnsi="Arial"/>
          <w:sz w:val="16"/>
          <w:szCs w:val="16"/>
          <w:color w:val="auto"/>
        </w:rPr>
        <w:t>"). Notwithstanding the aforesaid, it is agreed that in the event that by the end of July 2003 the income ceiling for contributions for national insurance and health insurance which was cancelled as of July 1, 2002, shall not be reinstated, then, and so long as a ceiling is not reinstated, (i) the Company shall further pay to you an additional monthly gross amount of US$1,000 (one thousand U.S. Dollars); and (ii) the Company shall further pay to you an additional monthly gross amount compensating you for the income tax payments borne by you with respect to provision of the Car under Section 16. Such additional compensations shall not be deemed as part of the Salary but rather as a separate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372745</wp:posOffset>
            </wp:positionV>
            <wp:extent cx="7257415"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21"/>
          <w:szCs w:val="21"/>
          <w:color w:val="auto"/>
        </w:rPr>
        <w:t>- 3 -</w:t>
      </w:r>
    </w:p>
    <w:p>
      <w:pPr>
        <w:spacing w:after="0" w:line="230"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Except as specifically set forth herein, the Salary includes any and all payments to which you are entitled from the Company hereunder and under any applicable law, regulation or agreement. The Salary is to be paid to you no later then the 7</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calendar month after the month for which the Salary is paid, after deduction of applicable taxes and other mutually agreed upon payments.</w:t>
      </w:r>
    </w:p>
    <w:p>
      <w:pPr>
        <w:spacing w:after="0" w:line="221" w:lineRule="exact"/>
        <w:rPr>
          <w:sz w:val="20"/>
          <w:szCs w:val="20"/>
          <w:color w:val="auto"/>
        </w:rPr>
      </w:pPr>
    </w:p>
    <w:p>
      <w:pPr>
        <w:ind w:left="640" w:hanging="637"/>
        <w:spacing w:after="0"/>
        <w:tabs>
          <w:tab w:leader="none" w:pos="64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Insurance and Social Benefits</w:t>
      </w:r>
      <w:r>
        <w:rPr>
          <w:rFonts w:ascii="Arial" w:cs="Arial" w:eastAsia="Arial" w:hAnsi="Arial"/>
          <w:sz w:val="17"/>
          <w:szCs w:val="17"/>
          <w:color w:val="auto"/>
        </w:rPr>
        <w:t>.</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will insure you under a "Manager's Insurance Scheme" to be mutually agreed upon (the "</w:t>
      </w:r>
      <w:r>
        <w:rPr>
          <w:rFonts w:ascii="Arial" w:cs="Arial" w:eastAsia="Arial" w:hAnsi="Arial"/>
          <w:sz w:val="16"/>
          <w:szCs w:val="16"/>
          <w:b w:val="1"/>
          <w:bCs w:val="1"/>
          <w:color w:val="auto"/>
        </w:rPr>
        <w:t>Insurance Scheme</w:t>
      </w:r>
      <w:r>
        <w:rPr>
          <w:rFonts w:ascii="Arial" w:cs="Arial" w:eastAsia="Arial" w:hAnsi="Arial"/>
          <w:sz w:val="16"/>
          <w:szCs w:val="16"/>
          <w:color w:val="auto"/>
        </w:rPr>
        <w:t>") as follows: (i) the Company will pay, at its expense, an amount equal to 13 1/3% (thirteen percent and one third of a percent) of the Salary towards a fund for life insurance and pension, which includes an amount equal to 8 1/3% (eight percent and one third of a percent) of the Salary towards a fund for severance compensation and 5% (five percent) for pension (Gemel), and shall also deduct an amount equal to 5% (five percent) of the Salary and pay such amount towards the Insurance Scheme for your benefit; (ii) the Company will pay, at its expense, an amount of up to 2.5% (two percent and one half of a percent) of the Salary towards an insurance for the event of loss of working ability ("Ovdan Kosher Avoda"). Further, the Company will also open and maintain an advanced study fund ("Keren Hishtalmut") on your behalf such that the Company shall contribute, at its expense, an amount equal to 7.5% (seven percent and one half of a percent) of the Salary and shall also deduct an amount equal to 2.5% (two percent and one half of a percent) of the Salary and pay such amount towards the Keren Hishtalmut for your benefit. All of your aforementioned contributions (i.e., not those which at the Company's expense) shall be transferred to the above referred to plans and funds by the Company by deducting such amounts from each monthly Salary payment.</w:t>
      </w:r>
    </w:p>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All amounts paid by the Company in accordance with this Section will be unconditionally transferred to you or the policies and funds will be transferred in your name, as applicable, upon the termination of your employment under any circumstances and for any reason whatsoever without limitation, provided that the same shall constitute the full and only compensation to be paid by the Company to you in such circumstances, as severance compensation or any other amounts you may be entitled to upon or due termination of your employment in accordance with any applicable law, rule or regulation, or any collective agreement or the like, except that the above shall not be deemed as derogating from remedies available for breach of contract and other unlawful acts or omissions, to the extent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Additional Benefits</w:t>
      </w:r>
    </w:p>
    <w:p>
      <w:pPr>
        <w:spacing w:after="0" w:line="248" w:lineRule="exact"/>
        <w:rPr>
          <w:sz w:val="20"/>
          <w:szCs w:val="20"/>
          <w:color w:val="auto"/>
        </w:rPr>
      </w:pPr>
    </w:p>
    <w:p>
      <w:pPr>
        <w:jc w:val="both"/>
        <w:ind w:firstLine="3"/>
        <w:spacing w:after="0" w:line="261" w:lineRule="auto"/>
        <w:tabs>
          <w:tab w:leader="none" w:pos="737"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addition, the Company will reimburse you for business expenses borne by you, in accordance with the Company’s policies as determined by the Company from time to time, and provided that substantial or extraordinary expenses are approved in advance by the Company. As a condition to reimbursement, you shall be required to provide the Company with all invoices, receipts and other evidence of expenditure as may be reasonably required by the Company from time to time.</w:t>
      </w:r>
    </w:p>
    <w:p>
      <w:pPr>
        <w:spacing w:after="0" w:line="204" w:lineRule="exact"/>
        <w:rPr>
          <w:rFonts w:ascii="Arial" w:cs="Arial" w:eastAsia="Arial" w:hAnsi="Arial"/>
          <w:sz w:val="17"/>
          <w:szCs w:val="17"/>
          <w:color w:val="auto"/>
        </w:rPr>
      </w:pPr>
    </w:p>
    <w:p>
      <w:pPr>
        <w:jc w:val="both"/>
        <w:ind w:firstLine="3"/>
        <w:spacing w:after="0" w:line="317" w:lineRule="auto"/>
        <w:tabs>
          <w:tab w:leader="none" w:pos="763"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Bonuses</w:t>
      </w:r>
      <w:r>
        <w:rPr>
          <w:rFonts w:ascii="Arial" w:cs="Arial" w:eastAsia="Arial" w:hAnsi="Arial"/>
          <w:sz w:val="15"/>
          <w:szCs w:val="15"/>
          <w:color w:val="auto"/>
        </w:rPr>
        <w:t>. In addition, at the beginning of each one-year period of engagement under this Agreement, the Company's Board of Directors may consider the grant of a yearly bonus based upon the achievement of certain goals and milestones to be set and determined by the Company's Board of Directors. For the avoidance of doubt, any bonus grant, its amount, and the goals and milestone criteria shall be at the sole and absolute discretion of the Company's Board of Directors.</w:t>
      </w:r>
    </w:p>
    <w:p>
      <w:pPr>
        <w:spacing w:after="0" w:line="165" w:lineRule="exact"/>
        <w:rPr>
          <w:rFonts w:ascii="Arial" w:cs="Arial" w:eastAsia="Arial" w:hAnsi="Arial"/>
          <w:sz w:val="15"/>
          <w:szCs w:val="15"/>
          <w:color w:val="auto"/>
        </w:rPr>
      </w:pPr>
    </w:p>
    <w:p>
      <w:pPr>
        <w:jc w:val="both"/>
        <w:ind w:firstLine="3"/>
        <w:spacing w:after="0" w:line="261" w:lineRule="auto"/>
        <w:tabs>
          <w:tab w:leader="none" w:pos="801"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You shall be entitled to 21 (twenty one) vacation days per year, the use of which will be coordinated with the Company. In the event that the demands of your activities shall preclude or limit your ability to actually use such vacation days in any specific year, you shall be entitled to the balance of the unused vacation days only in the next succeeding year or, if unable to take the balance in that next succeeding year, to receive an amount equal to the rate of Salary then applicable to the vacation days not taken during such year.</w:t>
      </w:r>
    </w:p>
    <w:p>
      <w:pPr>
        <w:spacing w:after="0" w:line="204" w:lineRule="exact"/>
        <w:rPr>
          <w:rFonts w:ascii="Arial" w:cs="Arial" w:eastAsia="Arial" w:hAnsi="Arial"/>
          <w:sz w:val="17"/>
          <w:szCs w:val="17"/>
          <w:color w:val="auto"/>
        </w:rPr>
      </w:pPr>
    </w:p>
    <w:p>
      <w:pPr>
        <w:ind w:left="680" w:hanging="677"/>
        <w:spacing w:after="0"/>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Sick Leave; Recreation Pay</w:t>
      </w:r>
      <w:r>
        <w:rPr>
          <w:rFonts w:ascii="Arial" w:cs="Arial" w:eastAsia="Arial" w:hAnsi="Arial"/>
          <w:sz w:val="17"/>
          <w:szCs w:val="17"/>
          <w:color w:val="auto"/>
        </w:rPr>
        <w:t>. You shall be entitled to paid sick leave and to Recreation Pay ("Dmei Havra'a") pursuant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1"/>
          <w:szCs w:val="21"/>
          <w:color w:val="auto"/>
        </w:rPr>
        <w:t>- 4 -</w:t>
      </w:r>
    </w:p>
    <w:p>
      <w:pPr>
        <w:spacing w:after="0" w:line="230" w:lineRule="exact"/>
        <w:rPr>
          <w:sz w:val="20"/>
          <w:szCs w:val="20"/>
          <w:color w:val="auto"/>
        </w:rPr>
      </w:pPr>
    </w:p>
    <w:p>
      <w:pPr>
        <w:jc w:val="both"/>
        <w:ind w:firstLine="3"/>
        <w:spacing w:after="0" w:line="301" w:lineRule="auto"/>
        <w:tabs>
          <w:tab w:leader="none" w:pos="75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Company Car</w:t>
      </w:r>
      <w:r>
        <w:rPr>
          <w:rFonts w:ascii="Arial" w:cs="Arial" w:eastAsia="Arial" w:hAnsi="Arial"/>
          <w:sz w:val="15"/>
          <w:szCs w:val="15"/>
          <w:color w:val="auto"/>
        </w:rPr>
        <w:t>. In addition, for purposes of performance of your duties and tasks, the Company will provide you with a car of a "management class" level (such as Mazda 6, Peugeot 406, etc.) to be agreed upon in accordance with market standards (the "</w:t>
      </w:r>
      <w:r>
        <w:rPr>
          <w:rFonts w:ascii="Arial" w:cs="Arial" w:eastAsia="Arial" w:hAnsi="Arial"/>
          <w:sz w:val="15"/>
          <w:szCs w:val="15"/>
          <w:b w:val="1"/>
          <w:bCs w:val="1"/>
          <w:color w:val="auto"/>
        </w:rPr>
        <w:t>Car</w:t>
      </w:r>
      <w:r>
        <w:rPr>
          <w:rFonts w:ascii="Arial" w:cs="Arial" w:eastAsia="Arial" w:hAnsi="Arial"/>
          <w:sz w:val="15"/>
          <w:szCs w:val="15"/>
          <w:color w:val="auto"/>
        </w:rPr>
        <w:t>"). The Car will remain in the Company's ownership, and will be returned to the Company by you immediately after the later of the actual termination of your employment by the Company, or at the end of the Notice Period. The Company shall bear and pay, at its expense, any and all costs of maintenance and repairs, fuel, and any insurance deductibles for the Car. You shall be liable for paying for any parking and/or traffic fines received in connection with the Car, and for indemnification of the Company in case of unlawful use of the Car.</w:t>
      </w:r>
    </w:p>
    <w:p>
      <w:pPr>
        <w:spacing w:after="0" w:line="172" w:lineRule="exact"/>
        <w:rPr>
          <w:rFonts w:ascii="Arial" w:cs="Arial" w:eastAsia="Arial" w:hAnsi="Arial"/>
          <w:sz w:val="15"/>
          <w:szCs w:val="15"/>
          <w:color w:val="auto"/>
        </w:rPr>
      </w:pPr>
    </w:p>
    <w:p>
      <w:pPr>
        <w:jc w:val="both"/>
        <w:ind w:firstLine="3"/>
        <w:spacing w:after="0" w:line="321" w:lineRule="auto"/>
        <w:tabs>
          <w:tab w:leader="none" w:pos="711"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Company Telephone</w:t>
      </w:r>
      <w:r>
        <w:rPr>
          <w:rFonts w:ascii="Arial" w:cs="Arial" w:eastAsia="Arial" w:hAnsi="Arial"/>
          <w:sz w:val="15"/>
          <w:szCs w:val="15"/>
          <w:color w:val="auto"/>
        </w:rPr>
        <w:t>. For purposes of performance of your duties and tasks, the Company will provide you with a mobile phone (the "</w:t>
      </w:r>
      <w:r>
        <w:rPr>
          <w:rFonts w:ascii="Arial" w:cs="Arial" w:eastAsia="Arial" w:hAnsi="Arial"/>
          <w:sz w:val="15"/>
          <w:szCs w:val="15"/>
          <w:b w:val="1"/>
          <w:bCs w:val="1"/>
          <w:color w:val="auto"/>
        </w:rPr>
        <w:t>Phone</w:t>
      </w:r>
      <w:r>
        <w:rPr>
          <w:rFonts w:ascii="Arial" w:cs="Arial" w:eastAsia="Arial" w:hAnsi="Arial"/>
          <w:sz w:val="15"/>
          <w:szCs w:val="15"/>
          <w:color w:val="auto"/>
        </w:rPr>
        <w:t>"). The Phone will remain in the Company's ownership, and will be returned to the Company by you immediately after the later of the actual termination of your employment by the Company, or at the end of the Notice Period. The Company shall bear and pay, at its expense, any and all costs of maintenance, insurance and repairs for the Phone.</w:t>
      </w:r>
    </w:p>
    <w:p>
      <w:pPr>
        <w:spacing w:after="0" w:line="162" w:lineRule="exact"/>
        <w:rPr>
          <w:rFonts w:ascii="Arial" w:cs="Arial" w:eastAsia="Arial" w:hAnsi="Arial"/>
          <w:sz w:val="15"/>
          <w:szCs w:val="15"/>
          <w:color w:val="auto"/>
        </w:rPr>
      </w:pPr>
    </w:p>
    <w:p>
      <w:pPr>
        <w:ind w:firstLine="3"/>
        <w:spacing w:after="0" w:line="278" w:lineRule="auto"/>
        <w:tabs>
          <w:tab w:leader="none" w:pos="699"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Stock Incentive</w:t>
      </w:r>
      <w:r>
        <w:rPr>
          <w:rFonts w:ascii="Arial" w:cs="Arial" w:eastAsia="Arial" w:hAnsi="Arial"/>
          <w:sz w:val="17"/>
          <w:szCs w:val="17"/>
          <w:color w:val="auto"/>
        </w:rPr>
        <w:t xml:space="preserve">. In additional consideration for your employment with the Company, you shall be entitled to a stock incentive, in accordance with the terms and conditions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48" w:lineRule="exact"/>
        <w:rPr>
          <w:sz w:val="20"/>
          <w:szCs w:val="20"/>
          <w:color w:val="auto"/>
        </w:rPr>
      </w:pPr>
    </w:p>
    <w:p>
      <w:pPr>
        <w:jc w:val="both"/>
        <w:ind w:firstLine="3"/>
        <w:spacing w:after="0" w:line="272" w:lineRule="auto"/>
        <w:tabs>
          <w:tab w:leader="none" w:pos="76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laws of the State of Israel shall apply to this Agreement and the sole and exclusive place of jurisdiction in any matter arising out of or in connection with this Agreement shall be the Tel-Aviv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Both parties acknowledge and confirm that all terms of your employment are personal and confidential, and undertake to keep such term in confidence and refrain from disclosing such terms to any third party; the aforesaid shall not be interpreted as limiting the Company from any disclosure which may be required under applicable law or as part of its business activities. You shall be covered by a Directors and Officers insurance policy to the same extent as such insurance policy shall cover the members of Company's Board of Directors appointed by the Founders.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900" w:type="dxa"/>
            <w:vAlign w:val="bottom"/>
            <w:gridSpan w:val="3"/>
          </w:tcPr>
          <w:p>
            <w:pPr>
              <w:spacing w:after="0"/>
              <w:rPr>
                <w:sz w:val="20"/>
                <w:szCs w:val="20"/>
                <w:color w:val="auto"/>
              </w:rPr>
            </w:pPr>
            <w:r>
              <w:rPr>
                <w:rFonts w:ascii="Arial" w:cs="Arial" w:eastAsia="Arial" w:hAnsi="Arial"/>
                <w:sz w:val="17"/>
                <w:szCs w:val="17"/>
                <w:color w:val="auto"/>
                <w:w w:val="93"/>
              </w:rPr>
              <w:t>Please indicate your acceptance to the terms of this letter by signing and dating them and returning a counterpart hereof to us.</w:t>
            </w:r>
          </w:p>
        </w:tc>
        <w:tc>
          <w:tcPr>
            <w:tcW w:w="2520" w:type="dxa"/>
            <w:vAlign w:val="bottom"/>
          </w:tcPr>
          <w:p>
            <w:pPr>
              <w:spacing w:after="0"/>
              <w:rPr>
                <w:sz w:val="18"/>
                <w:szCs w:val="18"/>
                <w:color w:val="auto"/>
              </w:rPr>
            </w:pPr>
          </w:p>
        </w:tc>
      </w:tr>
      <w:tr>
        <w:trPr>
          <w:trHeight w:val="426"/>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60" w:type="dxa"/>
            <w:vAlign w:val="bottom"/>
          </w:tcPr>
          <w:p>
            <w:pPr>
              <w:ind w:left="4420"/>
              <w:spacing w:after="0"/>
              <w:rPr>
                <w:sz w:val="20"/>
                <w:szCs w:val="20"/>
                <w:color w:val="auto"/>
              </w:rPr>
            </w:pPr>
            <w:r>
              <w:rPr>
                <w:rFonts w:ascii="Arial" w:cs="Arial" w:eastAsia="Arial" w:hAnsi="Arial"/>
                <w:sz w:val="17"/>
                <w:szCs w:val="17"/>
                <w:color w:val="auto"/>
              </w:rPr>
              <w:t>Sincerely yours,</w:t>
            </w:r>
          </w:p>
        </w:tc>
        <w:tc>
          <w:tcPr>
            <w:tcW w:w="2520" w:type="dxa"/>
            <w:vAlign w:val="bottom"/>
          </w:tcPr>
          <w:p>
            <w:pPr>
              <w:spacing w:after="0"/>
              <w:rPr>
                <w:sz w:val="24"/>
                <w:szCs w:val="24"/>
                <w:color w:val="auto"/>
              </w:rPr>
            </w:pPr>
          </w:p>
        </w:tc>
      </w:tr>
      <w:tr>
        <w:trPr>
          <w:trHeight w:val="206"/>
        </w:trPr>
        <w:tc>
          <w:tcPr>
            <w:tcW w:w="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60" w:type="dxa"/>
            <w:vAlign w:val="bottom"/>
          </w:tcPr>
          <w:p>
            <w:pPr>
              <w:ind w:left="4420"/>
              <w:spacing w:after="0"/>
              <w:rPr>
                <w:sz w:val="20"/>
                <w:szCs w:val="20"/>
                <w:color w:val="auto"/>
              </w:rPr>
            </w:pPr>
            <w:r>
              <w:rPr>
                <w:rFonts w:ascii="Arial" w:cs="Arial" w:eastAsia="Arial" w:hAnsi="Arial"/>
                <w:sz w:val="17"/>
                <w:szCs w:val="17"/>
                <w:color w:val="auto"/>
              </w:rPr>
              <w:t>Aharon Schwartz</w:t>
            </w:r>
          </w:p>
        </w:tc>
        <w:tc>
          <w:tcPr>
            <w:tcW w:w="2520" w:type="dxa"/>
            <w:vAlign w:val="bottom"/>
          </w:tcPr>
          <w:p>
            <w:pPr>
              <w:ind w:left="240"/>
              <w:spacing w:after="0"/>
              <w:rPr>
                <w:sz w:val="20"/>
                <w:szCs w:val="20"/>
                <w:color w:val="auto"/>
              </w:rPr>
            </w:pPr>
            <w:r>
              <w:rPr>
                <w:rFonts w:ascii="Arial" w:cs="Arial" w:eastAsia="Arial" w:hAnsi="Arial"/>
                <w:sz w:val="17"/>
                <w:szCs w:val="17"/>
                <w:color w:val="auto"/>
              </w:rPr>
              <w:t>Allon Reiter</w:t>
            </w:r>
          </w:p>
        </w:tc>
      </w:tr>
      <w:tr>
        <w:trPr>
          <w:trHeight w:val="206"/>
        </w:trPr>
        <w:tc>
          <w:tcPr>
            <w:tcW w:w="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60" w:type="dxa"/>
            <w:vAlign w:val="bottom"/>
          </w:tcPr>
          <w:p>
            <w:pPr>
              <w:ind w:left="4420"/>
              <w:spacing w:after="0"/>
              <w:rPr>
                <w:sz w:val="20"/>
                <w:szCs w:val="20"/>
                <w:color w:val="auto"/>
              </w:rPr>
            </w:pPr>
            <w:r>
              <w:rPr>
                <w:rFonts w:ascii="Arial" w:cs="Arial" w:eastAsia="Arial" w:hAnsi="Arial"/>
                <w:sz w:val="17"/>
                <w:szCs w:val="17"/>
                <w:color w:val="auto"/>
              </w:rPr>
              <w:t>/s/ Aharon Schwartz</w:t>
            </w:r>
          </w:p>
        </w:tc>
        <w:tc>
          <w:tcPr>
            <w:tcW w:w="2520" w:type="dxa"/>
            <w:vAlign w:val="bottom"/>
          </w:tcPr>
          <w:p>
            <w:pPr>
              <w:ind w:left="240"/>
              <w:spacing w:after="0"/>
              <w:rPr>
                <w:sz w:val="20"/>
                <w:szCs w:val="20"/>
                <w:color w:val="auto"/>
              </w:rPr>
            </w:pPr>
            <w:r>
              <w:rPr>
                <w:rFonts w:ascii="Arial" w:cs="Arial" w:eastAsia="Arial" w:hAnsi="Arial"/>
                <w:sz w:val="17"/>
                <w:szCs w:val="17"/>
                <w:color w:val="auto"/>
              </w:rPr>
              <w:t>/s/ Allon Reiter</w:t>
            </w:r>
          </w:p>
        </w:tc>
      </w:tr>
      <w:tr>
        <w:trPr>
          <w:trHeight w:val="217"/>
        </w:trPr>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60" w:type="dxa"/>
            <w:vAlign w:val="bottom"/>
          </w:tcPr>
          <w:p>
            <w:pPr>
              <w:ind w:left="4420"/>
              <w:spacing w:after="0"/>
              <w:rPr>
                <w:sz w:val="20"/>
                <w:szCs w:val="20"/>
                <w:color w:val="auto"/>
              </w:rPr>
            </w:pPr>
            <w:r>
              <w:rPr>
                <w:rFonts w:ascii="Arial" w:cs="Arial" w:eastAsia="Arial" w:hAnsi="Arial"/>
                <w:sz w:val="17"/>
                <w:szCs w:val="17"/>
                <w:color w:val="auto"/>
              </w:rPr>
              <w:t>BioLine Therapeutics Ltd.</w:t>
            </w:r>
          </w:p>
        </w:tc>
        <w:tc>
          <w:tcPr>
            <w:tcW w:w="2520" w:type="dxa"/>
            <w:vAlign w:val="bottom"/>
          </w:tcPr>
          <w:p>
            <w:pPr>
              <w:spacing w:after="0"/>
              <w:rPr>
                <w:sz w:val="18"/>
                <w:szCs w:val="18"/>
                <w:color w:val="auto"/>
              </w:rPr>
            </w:pPr>
          </w:p>
        </w:tc>
      </w:tr>
      <w:tr>
        <w:trPr>
          <w:trHeight w:val="437"/>
        </w:trPr>
        <w:tc>
          <w:tcPr>
            <w:tcW w:w="2440" w:type="dxa"/>
            <w:vAlign w:val="bottom"/>
            <w:gridSpan w:val="2"/>
          </w:tcPr>
          <w:p>
            <w:pPr>
              <w:spacing w:after="0"/>
              <w:rPr>
                <w:sz w:val="20"/>
                <w:szCs w:val="20"/>
                <w:color w:val="auto"/>
              </w:rPr>
            </w:pPr>
            <w:r>
              <w:rPr>
                <w:rFonts w:ascii="Arial" w:cs="Arial" w:eastAsia="Arial" w:hAnsi="Arial"/>
                <w:sz w:val="17"/>
                <w:szCs w:val="17"/>
                <w:color w:val="auto"/>
              </w:rPr>
              <w:t>I agree to all terms of this letter.</w:t>
            </w:r>
          </w:p>
        </w:tc>
        <w:tc>
          <w:tcPr>
            <w:tcW w:w="64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7"/>
                <w:szCs w:val="17"/>
                <w:color w:val="auto"/>
              </w:rPr>
              <w:t>Name:</w:t>
            </w:r>
          </w:p>
        </w:tc>
        <w:tc>
          <w:tcPr>
            <w:tcW w:w="1780" w:type="dxa"/>
            <w:vAlign w:val="bottom"/>
          </w:tcPr>
          <w:p>
            <w:pPr>
              <w:jc w:val="center"/>
              <w:ind w:right="114"/>
              <w:spacing w:after="0"/>
              <w:rPr>
                <w:sz w:val="20"/>
                <w:szCs w:val="20"/>
                <w:color w:val="auto"/>
              </w:rPr>
            </w:pPr>
            <w:r>
              <w:rPr>
                <w:rFonts w:ascii="Arial" w:cs="Arial" w:eastAsia="Arial" w:hAnsi="Arial"/>
                <w:sz w:val="17"/>
                <w:szCs w:val="17"/>
                <w:color w:val="auto"/>
                <w:w w:val="93"/>
              </w:rPr>
              <w:t>Dr. Morris Laster</w:t>
            </w:r>
          </w:p>
        </w:tc>
        <w:tc>
          <w:tcPr>
            <w:tcW w:w="64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7"/>
        </w:trPr>
        <w:tc>
          <w:tcPr>
            <w:tcW w:w="660" w:type="dxa"/>
            <w:vAlign w:val="bottom"/>
          </w:tcPr>
          <w:p>
            <w:pPr>
              <w:spacing w:after="0"/>
              <w:rPr>
                <w:sz w:val="20"/>
                <w:szCs w:val="20"/>
                <w:color w:val="auto"/>
              </w:rPr>
            </w:pPr>
            <w:r>
              <w:rPr>
                <w:rFonts w:ascii="Arial" w:cs="Arial" w:eastAsia="Arial" w:hAnsi="Arial"/>
                <w:sz w:val="17"/>
                <w:szCs w:val="17"/>
                <w:color w:val="auto"/>
              </w:rPr>
              <w:t>Date:</w:t>
            </w:r>
          </w:p>
        </w:tc>
        <w:tc>
          <w:tcPr>
            <w:tcW w:w="1780" w:type="dxa"/>
            <w:vAlign w:val="bottom"/>
          </w:tcPr>
          <w:p>
            <w:pPr>
              <w:jc w:val="center"/>
              <w:ind w:right="134"/>
              <w:spacing w:after="0"/>
              <w:rPr>
                <w:sz w:val="20"/>
                <w:szCs w:val="20"/>
                <w:color w:val="auto"/>
              </w:rPr>
            </w:pPr>
            <w:r>
              <w:rPr>
                <w:rFonts w:ascii="Arial" w:cs="Arial" w:eastAsia="Arial" w:hAnsi="Arial"/>
                <w:sz w:val="17"/>
                <w:szCs w:val="17"/>
                <w:color w:val="auto"/>
                <w:w w:val="94"/>
              </w:rPr>
              <w:t>May 1, 2003</w:t>
            </w:r>
          </w:p>
        </w:tc>
        <w:tc>
          <w:tcPr>
            <w:tcW w:w="6460" w:type="dxa"/>
            <w:vAlign w:val="bottom"/>
          </w:tcPr>
          <w:p>
            <w:pPr>
              <w:ind w:left="260"/>
              <w:spacing w:after="0"/>
              <w:rPr>
                <w:sz w:val="20"/>
                <w:szCs w:val="20"/>
                <w:color w:val="auto"/>
              </w:rPr>
            </w:pPr>
            <w:r>
              <w:rPr>
                <w:rFonts w:ascii="Arial" w:cs="Arial" w:eastAsia="Arial" w:hAnsi="Arial"/>
                <w:sz w:val="17"/>
                <w:szCs w:val="17"/>
                <w:color w:val="auto"/>
              </w:rPr>
              <w:t>/s/ Morris Laster</w:t>
            </w:r>
          </w:p>
        </w:tc>
        <w:tc>
          <w:tcPr>
            <w:tcW w:w="2520" w:type="dxa"/>
            <w:vAlign w:val="bottom"/>
          </w:tcPr>
          <w:p>
            <w:pPr>
              <w:spacing w:after="0"/>
              <w:rPr>
                <w:sz w:val="18"/>
                <w:szCs w:val="18"/>
                <w:color w:val="auto"/>
              </w:rPr>
            </w:pPr>
          </w:p>
        </w:tc>
      </w:tr>
      <w:tr>
        <w:trPr>
          <w:trHeight w:val="628"/>
        </w:trPr>
        <w:tc>
          <w:tcPr>
            <w:tcW w:w="6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64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1"/>
          <w:szCs w:val="21"/>
          <w:color w:val="auto"/>
        </w:rPr>
        <w:t>- 5 -</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Exhibit A to the Employment Agreement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BioLine Therapeutics and Dr. Morris Laster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Stock Incentive Scheme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Stock Incentive Scheme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that certain Employment Agreement by and between BioLine Therapeutics Ltd. (the "</w:t>
      </w:r>
      <w:r>
        <w:rPr>
          <w:rFonts w:ascii="Arial" w:cs="Arial" w:eastAsia="Arial" w:hAnsi="Arial"/>
          <w:sz w:val="16"/>
          <w:szCs w:val="16"/>
          <w:b w:val="1"/>
          <w:bCs w:val="1"/>
          <w:color w:val="auto"/>
        </w:rPr>
        <w:t>Company</w:t>
      </w:r>
      <w:r>
        <w:rPr>
          <w:rFonts w:ascii="Arial" w:cs="Arial" w:eastAsia="Arial" w:hAnsi="Arial"/>
          <w:sz w:val="16"/>
          <w:szCs w:val="16"/>
          <w:color w:val="auto"/>
        </w:rPr>
        <w:t>") and Dr.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Morris Laster ("</w:t>
      </w:r>
      <w:r>
        <w:rPr>
          <w:rFonts w:ascii="Arial" w:cs="Arial" w:eastAsia="Arial" w:hAnsi="Arial"/>
          <w:sz w:val="17"/>
          <w:szCs w:val="17"/>
          <w:b w:val="1"/>
          <w:bCs w:val="1"/>
          <w:color w:val="auto"/>
        </w:rPr>
        <w:t>Employee</w:t>
      </w:r>
      <w:r>
        <w:rPr>
          <w:rFonts w:ascii="Arial" w:cs="Arial" w:eastAsia="Arial" w:hAnsi="Arial"/>
          <w:sz w:val="17"/>
          <w:szCs w:val="17"/>
          <w:color w:val="auto"/>
        </w:rPr>
        <w:t>") (the "</w:t>
      </w:r>
      <w:r>
        <w:rPr>
          <w:rFonts w:ascii="Arial" w:cs="Arial" w:eastAsia="Arial" w:hAnsi="Arial"/>
          <w:sz w:val="17"/>
          <w:szCs w:val="17"/>
          <w:b w:val="1"/>
          <w:bCs w:val="1"/>
          <w:color w:val="auto"/>
        </w:rPr>
        <w:t>Employment Agreement</w:t>
      </w:r>
      <w:r>
        <w:rPr>
          <w:rFonts w:ascii="Arial" w:cs="Arial" w:eastAsia="Arial" w:hAnsi="Arial"/>
          <w:sz w:val="17"/>
          <w:szCs w:val="17"/>
          <w:color w:val="auto"/>
        </w:rPr>
        <w:t>").</w:t>
      </w:r>
    </w:p>
    <w:p>
      <w:pPr>
        <w:spacing w:after="0" w:line="23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additional consideration for Employee's employment with the Company, Employee shall be entitled to grant of securities in accordance with the terms and conditions set forth herein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48" w:lineRule="exact"/>
        <w:rPr>
          <w:sz w:val="20"/>
          <w:szCs w:val="20"/>
          <w:color w:val="auto"/>
        </w:rPr>
      </w:pPr>
    </w:p>
    <w:p>
      <w:pPr>
        <w:ind w:left="620" w:hanging="463"/>
        <w:spacing w:after="0" w:line="278" w:lineRule="auto"/>
        <w:tabs>
          <w:tab w:leader="none" w:pos="6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All the capitalized terms herein shall have the meanings ascribed to them in the Employment Agreement. Additionally, the following capitalized terms shall have the meaning ascribed next to them:</w:t>
      </w:r>
    </w:p>
    <w:p>
      <w:pPr>
        <w:spacing w:after="0" w:line="184" w:lineRule="exact"/>
        <w:rPr>
          <w:rFonts w:ascii="Arial" w:cs="Arial" w:eastAsia="Arial" w:hAnsi="Arial"/>
          <w:sz w:val="17"/>
          <w:szCs w:val="17"/>
          <w:color w:val="auto"/>
        </w:rPr>
      </w:pPr>
    </w:p>
    <w:p>
      <w:pPr>
        <w:ind w:left="1840" w:hanging="1235"/>
        <w:spacing w:after="0" w:line="278" w:lineRule="auto"/>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6"/>
          <w:szCs w:val="16"/>
          <w:color w:val="auto"/>
        </w:rPr>
        <w:t>"</w:t>
      </w:r>
      <w:r>
        <w:rPr>
          <w:rFonts w:ascii="Arial" w:cs="Arial" w:eastAsia="Arial" w:hAnsi="Arial"/>
          <w:sz w:val="16"/>
          <w:szCs w:val="16"/>
          <w:b w:val="1"/>
          <w:bCs w:val="1"/>
          <w:color w:val="auto"/>
        </w:rPr>
        <w:t>Adjustment Actions</w:t>
      </w:r>
      <w:r>
        <w:rPr>
          <w:rFonts w:ascii="Arial" w:cs="Arial" w:eastAsia="Arial" w:hAnsi="Arial"/>
          <w:sz w:val="16"/>
          <w:szCs w:val="16"/>
          <w:color w:val="auto"/>
        </w:rPr>
        <w:t>" - Any of the following actions which may be taken by a Corporation with respect to securities issued by such Corporation: (i) forfeiture by the Corporation, (ii) redemption by the Corporation for the securities' par value (or for less than that amount, if allowed under applicable law), (iii) purchase by the Corporation or by any other person or entity designated by the Corporation, for the securities' par value (or for less than that amount, if allowed under applicable law); (iv) conversion into deferred shares entitling their holder only to their par value upon liquidation of the Corporation, or (v) any other action which may be required in order to achieve similar results - all as shall be determined by the Corporation, at its sole and absolute discretion.</w:t>
      </w:r>
    </w:p>
    <w:p>
      <w:pPr>
        <w:spacing w:after="0" w:line="187" w:lineRule="exact"/>
        <w:rPr>
          <w:rFonts w:ascii="Arial" w:cs="Arial" w:eastAsia="Arial" w:hAnsi="Arial"/>
          <w:sz w:val="17"/>
          <w:szCs w:val="17"/>
          <w:color w:val="auto"/>
        </w:rPr>
      </w:pPr>
    </w:p>
    <w:p>
      <w:pPr>
        <w:ind w:left="1840" w:hanging="1235"/>
        <w:spacing w:after="0" w:line="269" w:lineRule="auto"/>
        <w:rPr>
          <w:rFonts w:ascii="Arial" w:cs="Arial" w:eastAsia="Arial" w:hAnsi="Arial"/>
          <w:sz w:val="17"/>
          <w:szCs w:val="17"/>
          <w:color w:val="auto"/>
        </w:rPr>
      </w:pPr>
      <w:r>
        <w:rPr>
          <w:rFonts w:ascii="Arial" w:cs="Arial" w:eastAsia="Arial" w:hAnsi="Arial"/>
          <w:sz w:val="17"/>
          <w:szCs w:val="17"/>
          <w:color w:val="auto"/>
        </w:rPr>
        <w:t>1.2."</w:t>
      </w:r>
      <w:r>
        <w:rPr>
          <w:rFonts w:ascii="Arial" w:cs="Arial" w:eastAsia="Arial" w:hAnsi="Arial"/>
          <w:sz w:val="17"/>
          <w:szCs w:val="17"/>
          <w:b w:val="1"/>
          <w:bCs w:val="1"/>
          <w:color w:val="auto"/>
        </w:rPr>
        <w:t>Applicable Percent</w:t>
      </w:r>
      <w:r>
        <w:rPr>
          <w:rFonts w:ascii="Arial" w:cs="Arial" w:eastAsia="Arial" w:hAnsi="Arial"/>
          <w:sz w:val="17"/>
          <w:szCs w:val="17"/>
          <w:color w:val="auto"/>
        </w:rPr>
        <w:t>" - The percentage of Financing Securities to which Employee may be entitled under this Exhibit from time to time. Initially, the Applicable Percent shall be 8% (eight percent), but it may be adjusted downwards in accordance with the provisions of Section 2.4 of this Exhibit.</w:t>
      </w:r>
    </w:p>
    <w:p>
      <w:pPr>
        <w:spacing w:after="0" w:line="19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1.3.</w:t>
      </w: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 Either of the Company or a Spin-Off.</w:t>
      </w:r>
    </w:p>
    <w:p>
      <w:pPr>
        <w:spacing w:after="0" w:line="24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1.4.</w:t>
      </w:r>
      <w:r>
        <w:rPr>
          <w:rFonts w:ascii="Arial" w:cs="Arial" w:eastAsia="Arial" w:hAnsi="Arial"/>
          <w:sz w:val="15"/>
          <w:szCs w:val="15"/>
          <w:color w:val="auto"/>
        </w:rPr>
        <w:t>"</w:t>
      </w:r>
      <w:r>
        <w:rPr>
          <w:rFonts w:ascii="Arial" w:cs="Arial" w:eastAsia="Arial" w:hAnsi="Arial"/>
          <w:sz w:val="15"/>
          <w:szCs w:val="15"/>
          <w:b w:val="1"/>
          <w:bCs w:val="1"/>
          <w:color w:val="auto"/>
        </w:rPr>
        <w:t>Equity Investors</w:t>
      </w:r>
      <w:r>
        <w:rPr>
          <w:rFonts w:ascii="Arial" w:cs="Arial" w:eastAsia="Arial" w:hAnsi="Arial"/>
          <w:sz w:val="15"/>
          <w:szCs w:val="15"/>
          <w:color w:val="auto"/>
        </w:rPr>
        <w:t>" - Holders of Financing Securities.</w:t>
      </w:r>
    </w:p>
    <w:p>
      <w:pPr>
        <w:spacing w:after="0" w:line="241" w:lineRule="exact"/>
        <w:rPr>
          <w:rFonts w:ascii="Arial" w:cs="Arial" w:eastAsia="Arial" w:hAnsi="Arial"/>
          <w:sz w:val="17"/>
          <w:szCs w:val="17"/>
          <w:color w:val="auto"/>
        </w:rPr>
      </w:pPr>
    </w:p>
    <w:p>
      <w:pPr>
        <w:ind w:left="1840" w:hanging="1235"/>
        <w:spacing w:after="0" w:line="271" w:lineRule="auto"/>
        <w:rPr>
          <w:rFonts w:ascii="Arial" w:cs="Arial" w:eastAsia="Arial" w:hAnsi="Arial"/>
          <w:sz w:val="17"/>
          <w:szCs w:val="17"/>
          <w:color w:val="auto"/>
        </w:rPr>
      </w:pPr>
      <w:r>
        <w:rPr>
          <w:rFonts w:ascii="Arial" w:cs="Arial" w:eastAsia="Arial" w:hAnsi="Arial"/>
          <w:sz w:val="17"/>
          <w:szCs w:val="17"/>
          <w:color w:val="auto"/>
        </w:rPr>
        <w:t>1.5.</w:t>
      </w:r>
      <w:r>
        <w:rPr>
          <w:rFonts w:ascii="Arial" w:cs="Arial" w:eastAsia="Arial" w:hAnsi="Arial"/>
          <w:sz w:val="16"/>
          <w:szCs w:val="16"/>
          <w:color w:val="auto"/>
        </w:rPr>
        <w:t>"</w:t>
      </w:r>
      <w:r>
        <w:rPr>
          <w:rFonts w:ascii="Arial" w:cs="Arial" w:eastAsia="Arial" w:hAnsi="Arial"/>
          <w:sz w:val="16"/>
          <w:szCs w:val="16"/>
          <w:b w:val="1"/>
          <w:bCs w:val="1"/>
          <w:color w:val="auto"/>
        </w:rPr>
        <w:t>Financing Securities</w:t>
      </w:r>
      <w:r>
        <w:rPr>
          <w:rFonts w:ascii="Arial" w:cs="Arial" w:eastAsia="Arial" w:hAnsi="Arial"/>
          <w:sz w:val="16"/>
          <w:szCs w:val="16"/>
          <w:color w:val="auto"/>
        </w:rPr>
        <w:t>" - Any Corporation shares issued to a person or other legal entity making an equity investment in the Corporation, the principal purpose of which issuance is the raising of capital by the Corporation through the sale of securities of the Corporation. Without derogating from the aforesaid definition, the following securities are specifically excluded from the above definition of "Financing Securities": (a) loans, debentures convertible notes, and the like so long as they have not yet been actually exercised, exchanged, or converted into shares of the Corporation ("</w:t>
      </w:r>
      <w:r>
        <w:rPr>
          <w:rFonts w:ascii="Arial" w:cs="Arial" w:eastAsia="Arial" w:hAnsi="Arial"/>
          <w:sz w:val="16"/>
          <w:szCs w:val="16"/>
          <w:b w:val="1"/>
          <w:bCs w:val="1"/>
          <w:color w:val="auto"/>
        </w:rPr>
        <w:t>Loans</w:t>
      </w:r>
      <w:r>
        <w:rPr>
          <w:rFonts w:ascii="Arial" w:cs="Arial" w:eastAsia="Arial" w:hAnsi="Arial"/>
          <w:sz w:val="16"/>
          <w:szCs w:val="16"/>
          <w:color w:val="auto"/>
        </w:rPr>
        <w:t>"); notwithstanding the aforesaid, it is agreed that any convertible notes which may be issued to Teva under the Founders Agreement shall not be deemed as a Loan for purpose of this provision, but rather shall be deemed Financing Securities (for the avoidance of doubt, shares which may be issued upon conversion of such Convertible Notes of Teva shall not be deemed as additional Financing Securities); (b) securities issued pursuant to or under various incentive arrangements (e.g., employees and service providers stock incentive plans, stock grants to directors and officers, etc.); (c) securities issued in consideration for goods or services provided and the like issuances (such as and specifically including issuances to banks and the like financial institutions granting loans or credit lines or the like facilities, issuances to equipment lessors, acquisition of other corporations, etc.); (d) securities issued upon exercise or conversion of shares, options, warrants, convertible notes and the like securities the issuance of which already entitled Employee to an Update Issuance or was exempted from Employee's right to an Update Issuance (except for securities which may be issued upon exercise or conversion of Loans, which securities shall be deemed as Financing Securities upon such exercise or conversion of a Loan); (e) securities issued to all shareholders of the Corporation in connection with any stock combination or subdivision or split, issue of bonus shares or stock dividends, or any other similar recapitalization of the share capital of the Corporation; (f) securities issued in an M&amp;A Transaction; or (g) securities issued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7415"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34" w:name="page235"/>
    <w:bookmarkEnd w:id="234"/>
    <w:p>
      <w:pPr>
        <w:jc w:val="center"/>
        <w:ind w:right="137"/>
        <w:spacing w:after="0"/>
        <w:rPr>
          <w:sz w:val="20"/>
          <w:szCs w:val="20"/>
          <w:color w:val="auto"/>
        </w:rPr>
      </w:pPr>
      <w:r>
        <w:rPr>
          <w:rFonts w:ascii="Arial" w:cs="Arial" w:eastAsia="Arial" w:hAnsi="Arial"/>
          <w:sz w:val="21"/>
          <w:szCs w:val="21"/>
          <w:color w:val="auto"/>
        </w:rPr>
        <w:t>- 6 -</w:t>
      </w:r>
    </w:p>
    <w:p>
      <w:pPr>
        <w:spacing w:after="0" w:line="224" w:lineRule="exact"/>
        <w:rPr>
          <w:sz w:val="20"/>
          <w:szCs w:val="20"/>
          <w:color w:val="auto"/>
        </w:rPr>
      </w:pPr>
    </w:p>
    <w:p>
      <w:pPr>
        <w:jc w:val="both"/>
        <w:ind w:left="1683" w:hanging="1234"/>
        <w:spacing w:after="0" w:line="263" w:lineRule="auto"/>
        <w:tabs>
          <w:tab w:leader="none" w:pos="1662"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Founders</w:t>
      </w:r>
      <w:r>
        <w:rPr>
          <w:rFonts w:ascii="Arial" w:cs="Arial" w:eastAsia="Arial" w:hAnsi="Arial"/>
          <w:sz w:val="17"/>
          <w:szCs w:val="17"/>
          <w:color w:val="auto"/>
        </w:rPr>
        <w:t>" - Teva Pharmaceutical Industries Ltd. ("</w:t>
      </w:r>
      <w:r>
        <w:rPr>
          <w:rFonts w:ascii="Arial" w:cs="Arial" w:eastAsia="Arial" w:hAnsi="Arial"/>
          <w:sz w:val="17"/>
          <w:szCs w:val="17"/>
          <w:b w:val="1"/>
          <w:bCs w:val="1"/>
          <w:color w:val="auto"/>
        </w:rPr>
        <w:t>Teva</w:t>
      </w:r>
      <w:r>
        <w:rPr>
          <w:rFonts w:ascii="Arial" w:cs="Arial" w:eastAsia="Arial" w:hAnsi="Arial"/>
          <w:sz w:val="17"/>
          <w:szCs w:val="17"/>
          <w:color w:val="auto"/>
        </w:rPr>
        <w:t>"), Hadasit Medical Research Services and Development Ltd. ("</w:t>
      </w:r>
      <w:r>
        <w:rPr>
          <w:rFonts w:ascii="Arial" w:cs="Arial" w:eastAsia="Arial" w:hAnsi="Arial"/>
          <w:sz w:val="17"/>
          <w:szCs w:val="17"/>
          <w:b w:val="1"/>
          <w:bCs w:val="1"/>
          <w:color w:val="auto"/>
        </w:rPr>
        <w:t>Hadasit</w:t>
      </w:r>
      <w:r>
        <w:rPr>
          <w:rFonts w:ascii="Arial" w:cs="Arial" w:eastAsia="Arial" w:hAnsi="Arial"/>
          <w:sz w:val="17"/>
          <w:szCs w:val="17"/>
          <w:color w:val="auto"/>
        </w:rPr>
        <w:t>"), Pitango Venture Capital Fund III (Israeli Sub), L.P. and related entities (collectively, "</w:t>
      </w:r>
      <w:r>
        <w:rPr>
          <w:rFonts w:ascii="Arial" w:cs="Arial" w:eastAsia="Arial" w:hAnsi="Arial"/>
          <w:sz w:val="17"/>
          <w:szCs w:val="17"/>
          <w:b w:val="1"/>
          <w:bCs w:val="1"/>
          <w:color w:val="auto"/>
        </w:rPr>
        <w:t>Pitango</w:t>
      </w:r>
      <w:r>
        <w:rPr>
          <w:rFonts w:ascii="Arial" w:cs="Arial" w:eastAsia="Arial" w:hAnsi="Arial"/>
          <w:sz w:val="17"/>
          <w:szCs w:val="17"/>
          <w:color w:val="auto"/>
        </w:rPr>
        <w:t>"), Giza GE Venture Fund III, LLC and related entities (collectively, "</w:t>
      </w:r>
      <w:r>
        <w:rPr>
          <w:rFonts w:ascii="Arial" w:cs="Arial" w:eastAsia="Arial" w:hAnsi="Arial"/>
          <w:sz w:val="17"/>
          <w:szCs w:val="17"/>
          <w:b w:val="1"/>
          <w:bCs w:val="1"/>
          <w:color w:val="auto"/>
        </w:rPr>
        <w:t>Giza</w:t>
      </w:r>
      <w:r>
        <w:rPr>
          <w:rFonts w:ascii="Arial" w:cs="Arial" w:eastAsia="Arial" w:hAnsi="Arial"/>
          <w:sz w:val="17"/>
          <w:szCs w:val="17"/>
          <w:color w:val="auto"/>
        </w:rPr>
        <w:t>"), and other persons and entities which may be added from time to time at the discretion of the Company.</w:t>
      </w:r>
    </w:p>
    <w:p>
      <w:pPr>
        <w:spacing w:after="0" w:line="198" w:lineRule="exact"/>
        <w:rPr>
          <w:sz w:val="20"/>
          <w:szCs w:val="20"/>
          <w:color w:val="auto"/>
        </w:rPr>
      </w:pPr>
    </w:p>
    <w:p>
      <w:pPr>
        <w:jc w:val="both"/>
        <w:ind w:left="1683" w:hanging="1234"/>
        <w:spacing w:after="0" w:line="286" w:lineRule="auto"/>
        <w:tabs>
          <w:tab w:leader="none" w:pos="1662"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Founders Agreement</w:t>
      </w:r>
      <w:r>
        <w:rPr>
          <w:rFonts w:ascii="Arial" w:cs="Arial" w:eastAsia="Arial" w:hAnsi="Arial"/>
          <w:sz w:val="17"/>
          <w:szCs w:val="17"/>
          <w:color w:val="auto"/>
        </w:rPr>
        <w:t>" - That certain Founders Agreement, dated as of March 31, 2003, by and between the Company and the Founders, a copy of which was provided to Employee and his legal counsel.</w:t>
      </w:r>
    </w:p>
    <w:p>
      <w:pPr>
        <w:spacing w:after="0" w:line="177" w:lineRule="exact"/>
        <w:rPr>
          <w:sz w:val="20"/>
          <w:szCs w:val="20"/>
          <w:color w:val="auto"/>
        </w:rPr>
      </w:pPr>
    </w:p>
    <w:p>
      <w:pPr>
        <w:ind w:left="443"/>
        <w:spacing w:after="0"/>
        <w:tabs>
          <w:tab w:leader="none" w:pos="1662"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Incentive Shares</w:t>
      </w:r>
      <w:r>
        <w:rPr>
          <w:rFonts w:ascii="Arial" w:cs="Arial" w:eastAsia="Arial" w:hAnsi="Arial"/>
          <w:sz w:val="15"/>
          <w:szCs w:val="15"/>
          <w:color w:val="auto"/>
        </w:rPr>
        <w:t>" - Ordinary A Shares par value NIS 0.01 each of the Company</w:t>
      </w:r>
    </w:p>
    <w:p>
      <w:pPr>
        <w:spacing w:after="0" w:line="242" w:lineRule="exact"/>
        <w:rPr>
          <w:sz w:val="20"/>
          <w:szCs w:val="20"/>
          <w:color w:val="auto"/>
        </w:rPr>
      </w:pPr>
    </w:p>
    <w:p>
      <w:pPr>
        <w:jc w:val="both"/>
        <w:ind w:left="1683" w:hanging="1234"/>
        <w:spacing w:after="0" w:line="286" w:lineRule="auto"/>
        <w:tabs>
          <w:tab w:leader="none" w:pos="1662"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M&amp;A Transaction</w:t>
      </w:r>
      <w:r>
        <w:rPr>
          <w:rFonts w:ascii="Arial" w:cs="Arial" w:eastAsia="Arial" w:hAnsi="Arial"/>
          <w:sz w:val="17"/>
          <w:szCs w:val="17"/>
          <w:color w:val="auto"/>
        </w:rPr>
        <w:t>" - A merger of the Company with or into any other corporation, or the sale of all or substantially all of the outstanding shares of the Company or the sale of all or substantially all of the assets of the Company.</w:t>
      </w:r>
    </w:p>
    <w:p>
      <w:pPr>
        <w:spacing w:after="0" w:line="177" w:lineRule="exact"/>
        <w:rPr>
          <w:sz w:val="20"/>
          <w:szCs w:val="20"/>
          <w:color w:val="auto"/>
        </w:rPr>
      </w:pPr>
    </w:p>
    <w:p>
      <w:pPr>
        <w:jc w:val="both"/>
        <w:ind w:left="1683" w:hanging="1234"/>
        <w:spacing w:after="0" w:line="286" w:lineRule="auto"/>
        <w:tabs>
          <w:tab w:leader="none" w:pos="1662"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Spin-Off</w:t>
      </w:r>
      <w:r>
        <w:rPr>
          <w:rFonts w:ascii="Arial" w:cs="Arial" w:eastAsia="Arial" w:hAnsi="Arial"/>
          <w:sz w:val="17"/>
          <w:szCs w:val="17"/>
          <w:color w:val="auto"/>
        </w:rPr>
        <w:t>" - Any subsidiary or division of the Company spun-off, so that it shall be held, in whole or in part, by the Company's Equity Investors.</w:t>
      </w:r>
    </w:p>
    <w:p>
      <w:pPr>
        <w:spacing w:after="0" w:line="177" w:lineRule="exact"/>
        <w:rPr>
          <w:sz w:val="20"/>
          <w:szCs w:val="20"/>
          <w:color w:val="auto"/>
        </w:rPr>
      </w:pPr>
    </w:p>
    <w:p>
      <w:pPr>
        <w:ind w:left="443"/>
        <w:spacing w:after="0"/>
        <w:tabs>
          <w:tab w:leader="none" w:pos="1662"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Update Issuance</w:t>
      </w:r>
      <w:r>
        <w:rPr>
          <w:rFonts w:ascii="Arial" w:cs="Arial" w:eastAsia="Arial" w:hAnsi="Arial"/>
          <w:sz w:val="15"/>
          <w:szCs w:val="15"/>
          <w:color w:val="auto"/>
        </w:rPr>
        <w:t>" - An issuance as defined in Section 4.1.</w:t>
      </w:r>
    </w:p>
    <w:p>
      <w:pPr>
        <w:spacing w:after="0" w:line="242" w:lineRule="exact"/>
        <w:rPr>
          <w:sz w:val="20"/>
          <w:szCs w:val="20"/>
          <w:color w:val="auto"/>
        </w:rPr>
      </w:pPr>
    </w:p>
    <w:p>
      <w:pPr>
        <w:ind w:left="463" w:hanging="463"/>
        <w:spacing w:after="0"/>
        <w:tabs>
          <w:tab w:leader="none" w:pos="463" w:val="left"/>
        </w:tabs>
        <w:numPr>
          <w:ilvl w:val="0"/>
          <w:numId w:val="153"/>
        </w:numPr>
        <w:rPr>
          <w:rFonts w:ascii="Arial" w:cs="Arial" w:eastAsia="Arial" w:hAnsi="Arial"/>
          <w:sz w:val="17"/>
          <w:szCs w:val="17"/>
          <w:color w:val="auto"/>
        </w:rPr>
      </w:pPr>
      <w:r>
        <w:rPr>
          <w:rFonts w:ascii="Arial" w:cs="Arial" w:eastAsia="Arial" w:hAnsi="Arial"/>
          <w:sz w:val="17"/>
          <w:szCs w:val="17"/>
          <w:b w:val="1"/>
          <w:bCs w:val="1"/>
          <w:u w:val="single" w:color="auto"/>
          <w:color w:val="auto"/>
        </w:rPr>
        <w:t>Equity in the Company</w:t>
      </w:r>
    </w:p>
    <w:p>
      <w:pPr>
        <w:spacing w:after="0" w:line="273" w:lineRule="exact"/>
        <w:rPr>
          <w:rFonts w:ascii="Arial" w:cs="Arial" w:eastAsia="Arial" w:hAnsi="Arial"/>
          <w:sz w:val="17"/>
          <w:szCs w:val="17"/>
          <w:color w:val="auto"/>
        </w:rPr>
      </w:pPr>
    </w:p>
    <w:p>
      <w:pPr>
        <w:ind w:left="1683" w:hanging="1235"/>
        <w:spacing w:after="0" w:line="296" w:lineRule="auto"/>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5"/>
          <w:szCs w:val="15"/>
          <w:u w:val="single" w:color="auto"/>
          <w:color w:val="auto"/>
        </w:rPr>
        <w:t>General</w:t>
      </w:r>
      <w:r>
        <w:rPr>
          <w:rFonts w:ascii="Arial" w:cs="Arial" w:eastAsia="Arial" w:hAnsi="Arial"/>
          <w:sz w:val="15"/>
          <w:szCs w:val="15"/>
          <w:color w:val="auto"/>
        </w:rPr>
        <w:t>. Employee shall be entitled to and issued Incentive Shares in accordance with the following provisions of this Section 2 and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other provisions of this Exhibit. The Incentive Shares shall be granted and issued in accordance with the provisions of Section 102 of the Tax Ordinance ("</w:t>
      </w:r>
      <w:r>
        <w:rPr>
          <w:rFonts w:ascii="Arial" w:cs="Arial" w:eastAsia="Arial" w:hAnsi="Arial"/>
          <w:sz w:val="15"/>
          <w:szCs w:val="15"/>
          <w:b w:val="1"/>
          <w:bCs w:val="1"/>
          <w:color w:val="auto"/>
        </w:rPr>
        <w:t>Section 102</w:t>
      </w:r>
      <w:r>
        <w:rPr>
          <w:rFonts w:ascii="Arial" w:cs="Arial" w:eastAsia="Arial" w:hAnsi="Arial"/>
          <w:sz w:val="15"/>
          <w:szCs w:val="15"/>
          <w:color w:val="auto"/>
        </w:rPr>
        <w:t>"), pursuant to the "Capital Gains" track thereof, and subject to and in accordance with the general terms and conditions of a stock incentive plan to be adopted by the Board of Directors of the Company (the "</w:t>
      </w:r>
      <w:r>
        <w:rPr>
          <w:rFonts w:ascii="Arial" w:cs="Arial" w:eastAsia="Arial" w:hAnsi="Arial"/>
          <w:sz w:val="15"/>
          <w:szCs w:val="15"/>
          <w:b w:val="1"/>
          <w:bCs w:val="1"/>
          <w:color w:val="auto"/>
        </w:rPr>
        <w:t>Plan</w:t>
      </w:r>
      <w:r>
        <w:rPr>
          <w:rFonts w:ascii="Arial" w:cs="Arial" w:eastAsia="Arial" w:hAnsi="Arial"/>
          <w:sz w:val="15"/>
          <w:szCs w:val="15"/>
          <w:color w:val="auto"/>
        </w:rPr>
        <w:t>") and to be approved by the Israeli Tax Authorities, and a particular Stock Incentive Grant Agreement to be signed by and between the Company and Employee (the "</w:t>
      </w:r>
      <w:r>
        <w:rPr>
          <w:rFonts w:ascii="Arial" w:cs="Arial" w:eastAsia="Arial" w:hAnsi="Arial"/>
          <w:sz w:val="15"/>
          <w:szCs w:val="15"/>
          <w:b w:val="1"/>
          <w:bCs w:val="1"/>
          <w:color w:val="auto"/>
        </w:rPr>
        <w:t>Stock</w:t>
      </w:r>
      <w:r>
        <w:rPr>
          <w:rFonts w:ascii="Arial" w:cs="Arial" w:eastAsia="Arial" w:hAnsi="Arial"/>
          <w:sz w:val="15"/>
          <w:szCs w:val="15"/>
          <w:color w:val="auto"/>
        </w:rPr>
        <w:t xml:space="preserve"> </w:t>
      </w:r>
      <w:r>
        <w:rPr>
          <w:rFonts w:ascii="Arial" w:cs="Arial" w:eastAsia="Arial" w:hAnsi="Arial"/>
          <w:sz w:val="15"/>
          <w:szCs w:val="15"/>
          <w:b w:val="1"/>
          <w:bCs w:val="1"/>
          <w:color w:val="auto"/>
        </w:rPr>
        <w:t>Incentive Grant Agreement</w:t>
      </w:r>
      <w:r>
        <w:rPr>
          <w:rFonts w:ascii="Arial" w:cs="Arial" w:eastAsia="Arial" w:hAnsi="Arial"/>
          <w:sz w:val="15"/>
          <w:szCs w:val="15"/>
          <w:color w:val="auto"/>
        </w:rPr>
        <w:t>") pursuant to the terms and conditions hereof. In the event of any discrepancy between the provisions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Exhibit and either of the Plan or the Stock Incentive Grant Agreement, then the provisions hereof shall apply.</w:t>
      </w:r>
    </w:p>
    <w:p>
      <w:pPr>
        <w:spacing w:after="0" w:line="183" w:lineRule="exact"/>
        <w:rPr>
          <w:sz w:val="20"/>
          <w:szCs w:val="20"/>
          <w:color w:val="auto"/>
        </w:rPr>
      </w:pPr>
    </w:p>
    <w:p>
      <w:pPr>
        <w:ind w:left="1703"/>
        <w:spacing w:after="0"/>
        <w:rPr>
          <w:sz w:val="20"/>
          <w:szCs w:val="20"/>
          <w:color w:val="auto"/>
        </w:rPr>
      </w:pPr>
      <w:r>
        <w:rPr>
          <w:rFonts w:ascii="Arial" w:cs="Arial" w:eastAsia="Arial" w:hAnsi="Arial"/>
          <w:sz w:val="15"/>
          <w:szCs w:val="15"/>
          <w:color w:val="auto"/>
        </w:rPr>
        <w:t>The Company shall complete such Plan, and file the Plan with the Israeli Tax Authorities within 45 (forty five) days from the date hereof.</w:t>
      </w:r>
    </w:p>
    <w:p>
      <w:pPr>
        <w:spacing w:after="0" w:line="265" w:lineRule="exact"/>
        <w:rPr>
          <w:sz w:val="20"/>
          <w:szCs w:val="20"/>
          <w:color w:val="auto"/>
        </w:rPr>
      </w:pPr>
    </w:p>
    <w:p>
      <w:pPr>
        <w:jc w:val="both"/>
        <w:ind w:left="1683" w:hanging="1234"/>
        <w:spacing w:after="0" w:line="317" w:lineRule="auto"/>
        <w:tabs>
          <w:tab w:leader="none" w:pos="1662"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Initial Grant of Incentive Shares</w:t>
      </w:r>
      <w:r>
        <w:rPr>
          <w:rFonts w:ascii="Arial" w:cs="Arial" w:eastAsia="Arial" w:hAnsi="Arial"/>
          <w:sz w:val="15"/>
          <w:szCs w:val="15"/>
          <w:color w:val="auto"/>
        </w:rPr>
        <w:t>. Upon adoption of the Plan and its approval by the Israeli Tax Authorities, and simultaneously with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execution of the Stock Incentive Grant Agreement, the Company shall issue to Employee such amount of Incentive Shares, representing, on the date of their issuance, the Applicable Percent of the amount of the then issued and outstanding Financing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257415"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235" w:name="page236"/>
    <w:bookmarkEnd w:id="235"/>
    <w:p>
      <w:pPr>
        <w:ind w:left="4340"/>
        <w:spacing w:after="0"/>
        <w:rPr>
          <w:sz w:val="20"/>
          <w:szCs w:val="20"/>
          <w:color w:val="auto"/>
        </w:rPr>
      </w:pPr>
      <w:r>
        <w:rPr>
          <w:rFonts w:ascii="Arial" w:cs="Arial" w:eastAsia="Arial" w:hAnsi="Arial"/>
          <w:sz w:val="21"/>
          <w:szCs w:val="21"/>
          <w:color w:val="auto"/>
        </w:rPr>
        <w:t>- 7 -</w:t>
      </w:r>
    </w:p>
    <w:p>
      <w:pPr>
        <w:spacing w:after="0" w:line="230" w:lineRule="exact"/>
        <w:rPr>
          <w:sz w:val="20"/>
          <w:szCs w:val="20"/>
          <w:color w:val="auto"/>
        </w:rPr>
      </w:pPr>
    </w:p>
    <w:p>
      <w:pPr>
        <w:jc w:val="both"/>
        <w:ind w:left="640" w:hanging="1234"/>
        <w:spacing w:after="0" w:line="278" w:lineRule="auto"/>
        <w:tabs>
          <w:tab w:leader="none" w:pos="6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Issue Price</w:t>
      </w:r>
      <w:r>
        <w:rPr>
          <w:rFonts w:ascii="Arial" w:cs="Arial" w:eastAsia="Arial" w:hAnsi="Arial"/>
          <w:sz w:val="17"/>
          <w:szCs w:val="17"/>
          <w:color w:val="auto"/>
        </w:rPr>
        <w:t>. The issue price of each Incentive Share which shall be issued to Employee in accordance with the provisions of Sections 2 or 4</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be the par value of the share.</w:t>
      </w:r>
    </w:p>
    <w:p>
      <w:pPr>
        <w:spacing w:after="0" w:line="190" w:lineRule="exact"/>
        <w:rPr>
          <w:sz w:val="20"/>
          <w:szCs w:val="20"/>
          <w:color w:val="auto"/>
        </w:rPr>
      </w:pPr>
    </w:p>
    <w:p>
      <w:pPr>
        <w:jc w:val="both"/>
        <w:ind w:left="640" w:hanging="1234"/>
        <w:spacing w:after="0" w:line="259" w:lineRule="auto"/>
        <w:tabs>
          <w:tab w:leader="none" w:pos="6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u w:val="single" w:color="auto"/>
          <w:color w:val="auto"/>
        </w:rPr>
        <w:t>Vesting</w:t>
      </w:r>
      <w:r>
        <w:rPr>
          <w:rFonts w:ascii="Arial" w:cs="Arial" w:eastAsia="Arial" w:hAnsi="Arial"/>
          <w:sz w:val="17"/>
          <w:szCs w:val="17"/>
          <w:color w:val="auto"/>
        </w:rPr>
        <w:t>. Notwithstanding any and all above provisions of this Section 2, Employee acknowledges and agrees that all Incentive Shares are</w:t>
      </w:r>
      <w:r>
        <w:rPr>
          <w:rFonts w:ascii="Arial" w:cs="Arial" w:eastAsia="Arial" w:hAnsi="Arial"/>
          <w:sz w:val="17"/>
          <w:szCs w:val="17"/>
          <w:u w:val="single" w:color="auto"/>
          <w:color w:val="auto"/>
        </w:rPr>
        <w:t xml:space="preserve"> </w:t>
      </w:r>
      <w:r>
        <w:rPr>
          <w:rFonts w:ascii="Arial" w:cs="Arial" w:eastAsia="Arial" w:hAnsi="Arial"/>
          <w:sz w:val="17"/>
          <w:szCs w:val="17"/>
          <w:color w:val="auto"/>
        </w:rPr>
        <w:t>granted and issued based on the understanding that Employee will be fully and continuously engaged with the Company under the Employment Agreement for certain minimum periods of time as set forth herein below, and, accordingly it is hereby covenanted and agreed by Employee that Incentive Shares shall be subject to applicable vesting periods and in accordance with and subject to the following terms and provisions:</w:t>
      </w:r>
    </w:p>
    <w:p>
      <w:pPr>
        <w:spacing w:after="0" w:line="206" w:lineRule="exact"/>
        <w:rPr>
          <w:sz w:val="20"/>
          <w:szCs w:val="20"/>
          <w:color w:val="auto"/>
        </w:rPr>
      </w:pPr>
    </w:p>
    <w:p>
      <w:pPr>
        <w:jc w:val="both"/>
        <w:ind w:left="1860" w:hanging="1234"/>
        <w:spacing w:after="0" w:line="261" w:lineRule="auto"/>
        <w:tabs>
          <w:tab w:leader="none" w:pos="18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25% (twenty five percent) of the Incentive Shares shall vest after 12 (twelve) months from the Commencement Date, and the remaining 75% (seventy five percent) of the Incentive Shares shall vest in 12 (twelve) equal portions on a quarterly basis over the following period of 36 (thirty six) months. The full period of 4 (four) years from the Commencement Date shall be referred to as the "</w:t>
      </w:r>
      <w:r>
        <w:rPr>
          <w:rFonts w:ascii="Arial" w:cs="Arial" w:eastAsia="Arial" w:hAnsi="Arial"/>
          <w:sz w:val="17"/>
          <w:szCs w:val="17"/>
          <w:b w:val="1"/>
          <w:bCs w:val="1"/>
          <w:color w:val="auto"/>
        </w:rPr>
        <w:t>Vesting Period</w:t>
      </w:r>
      <w:r>
        <w:rPr>
          <w:rFonts w:ascii="Arial" w:cs="Arial" w:eastAsia="Arial" w:hAnsi="Arial"/>
          <w:sz w:val="17"/>
          <w:szCs w:val="17"/>
          <w:color w:val="auto"/>
        </w:rPr>
        <w:t>".</w:t>
      </w:r>
    </w:p>
    <w:p>
      <w:pPr>
        <w:spacing w:after="0" w:line="204" w:lineRule="exact"/>
        <w:rPr>
          <w:sz w:val="20"/>
          <w:szCs w:val="20"/>
          <w:color w:val="auto"/>
        </w:rPr>
      </w:pPr>
    </w:p>
    <w:p>
      <w:pPr>
        <w:jc w:val="both"/>
        <w:ind w:left="1860" w:hanging="1234"/>
        <w:spacing w:after="0" w:line="272" w:lineRule="auto"/>
        <w:tabs>
          <w:tab w:leader="none" w:pos="184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6"/>
          <w:szCs w:val="16"/>
          <w:color w:val="auto"/>
        </w:rPr>
        <w:t>In the event that, at any time during the Vesting Period, the Employment Agreement shall be terminated or cancelled for any reason whatsoever (a "</w:t>
      </w:r>
      <w:r>
        <w:rPr>
          <w:rFonts w:ascii="Arial" w:cs="Arial" w:eastAsia="Arial" w:hAnsi="Arial"/>
          <w:sz w:val="16"/>
          <w:szCs w:val="16"/>
          <w:b w:val="1"/>
          <w:bCs w:val="1"/>
          <w:color w:val="auto"/>
        </w:rPr>
        <w:t>Termination Event</w:t>
      </w:r>
      <w:r>
        <w:rPr>
          <w:rFonts w:ascii="Arial" w:cs="Arial" w:eastAsia="Arial" w:hAnsi="Arial"/>
          <w:sz w:val="16"/>
          <w:szCs w:val="16"/>
          <w:color w:val="auto"/>
        </w:rPr>
        <w:t>"), then, upon the later of the actual termination of the Employment Agreement and the end of the Notice Period, where applicable, all unvested Incentive Shares at such date shall be subject to one or more Adjustment Actions as shall be determined by the Company, at its sole and absolute discretion in order to cause the Applicable Percent to be adjusted to the applicable percentage as at the time of termination. For example, in the event of a Termination Event at the end of 12 (twelve) months from the Commencement Date, the Applicable Percent shall be 2% (two percent); Employee hereby agrees and confirms that the shareholders of the Company may take all such Adjustment Actions, and hereby empowers the Board of Directors of the Company or any person which may be designated by the Board of Directors of the Company to vote all the Incentive Shares (to the extent required and applicable for the above purposes only) in any way as he or she may deem fit for the above purposes. For the avoidance of doubt, a Termination Event will have no effect whatsoever with regard to any vested shares, which will include all shares vested in accordance hereof until the later of the actual termination of the Employment Agreement and the end of the Notice Period, where applicable.</w:t>
      </w:r>
    </w:p>
    <w:p>
      <w:pPr>
        <w:spacing w:after="0" w:line="196" w:lineRule="exact"/>
        <w:rPr>
          <w:sz w:val="20"/>
          <w:szCs w:val="20"/>
          <w:color w:val="auto"/>
        </w:rPr>
      </w:pPr>
    </w:p>
    <w:p>
      <w:pPr>
        <w:jc w:val="both"/>
        <w:ind w:left="640" w:hanging="1234"/>
        <w:spacing w:after="0" w:line="279" w:lineRule="auto"/>
        <w:tabs>
          <w:tab w:leader="none" w:pos="6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u w:val="single" w:color="auto"/>
          <w:color w:val="auto"/>
        </w:rPr>
        <w:t>Acceleration Events</w:t>
      </w:r>
      <w:r>
        <w:rPr>
          <w:rFonts w:ascii="Arial" w:cs="Arial" w:eastAsia="Arial" w:hAnsi="Arial"/>
          <w:sz w:val="16"/>
          <w:szCs w:val="16"/>
          <w:color w:val="auto"/>
        </w:rPr>
        <w:t>. Notwithstanding the aforesaid provisions of Section 2.4, it is agreed that, during the Vesting Period: (i) upon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closing of an M&amp;A Transaction, all of the Incentive Shares then still subject to vesting shall be deemed fully vested; and (ii) in the event of death of Employee or permanent severe disability of Employee that no longer enables Employee to reasonably work, 50% (fifty percent) of all the Incentive Shares then still subject to vesting shall be deemed fully vested. For the avoidance of doubt, the provisions of Section 2.4 shall no longer apply to any Incentive Shares deemed vested in accordance with the provisions of this Section 2.5.</w:t>
      </w:r>
    </w:p>
    <w:p>
      <w:pPr>
        <w:spacing w:after="0" w:line="191" w:lineRule="exact"/>
        <w:rPr>
          <w:sz w:val="20"/>
          <w:szCs w:val="20"/>
          <w:color w:val="auto"/>
        </w:rPr>
      </w:pPr>
    </w:p>
    <w:p>
      <w:pPr>
        <w:jc w:val="both"/>
        <w:ind w:left="640" w:hanging="1234"/>
        <w:spacing w:after="0" w:line="278" w:lineRule="auto"/>
        <w:tabs>
          <w:tab w:leader="none" w:pos="6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u w:val="single" w:color="auto"/>
          <w:color w:val="auto"/>
        </w:rPr>
        <w:t>No Engagement Commitment</w:t>
      </w:r>
      <w:r>
        <w:rPr>
          <w:rFonts w:ascii="Arial" w:cs="Arial" w:eastAsia="Arial" w:hAnsi="Arial"/>
          <w:sz w:val="17"/>
          <w:szCs w:val="17"/>
          <w:color w:val="auto"/>
        </w:rPr>
        <w:t>. For avoidance of doubt, it is clarified that nothing in this Exhibit shall be deemed as an undertaking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Company to retain Employee's services for any minimum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371475</wp:posOffset>
            </wp:positionV>
            <wp:extent cx="7257415"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1" w:right="239" w:bottom="1440" w:gutter="0" w:footer="0" w:header="0"/>
        </w:sectPr>
      </w:pPr>
    </w:p>
    <w:bookmarkStart w:id="236" w:name="page237"/>
    <w:bookmarkEnd w:id="236"/>
    <w:p>
      <w:pPr>
        <w:ind w:left="4340"/>
        <w:spacing w:after="0"/>
        <w:rPr>
          <w:sz w:val="20"/>
          <w:szCs w:val="20"/>
          <w:color w:val="auto"/>
        </w:rPr>
      </w:pPr>
      <w:r>
        <w:rPr>
          <w:rFonts w:ascii="Arial" w:cs="Arial" w:eastAsia="Arial" w:hAnsi="Arial"/>
          <w:sz w:val="21"/>
          <w:szCs w:val="21"/>
          <w:color w:val="auto"/>
        </w:rPr>
        <w:t>- 8 -</w:t>
      </w:r>
    </w:p>
    <w:p>
      <w:pPr>
        <w:spacing w:after="0" w:line="230" w:lineRule="exact"/>
        <w:rPr>
          <w:sz w:val="20"/>
          <w:szCs w:val="20"/>
          <w:color w:val="auto"/>
        </w:rPr>
      </w:pPr>
    </w:p>
    <w:p>
      <w:pPr>
        <w:jc w:val="both"/>
        <w:ind w:left="640" w:hanging="1234"/>
        <w:spacing w:after="0" w:line="257" w:lineRule="auto"/>
        <w:tabs>
          <w:tab w:leader="none" w:pos="6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u w:val="single" w:color="auto"/>
          <w:color w:val="auto"/>
        </w:rPr>
        <w:t>Rights and Obligations of the Incentive Shares</w:t>
      </w:r>
      <w:r>
        <w:rPr>
          <w:rFonts w:ascii="Arial" w:cs="Arial" w:eastAsia="Arial" w:hAnsi="Arial"/>
          <w:sz w:val="17"/>
          <w:szCs w:val="17"/>
          <w:color w:val="auto"/>
        </w:rPr>
        <w:t>. The Incentive Shares shall be entitled to all rights and shall be subject to all obligations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restrictions as set forth in the Articles of Association of the Company applicable to the Ordinary A Shares of the Company, as such rights, obligations and restrictions may be from time to time (subject to the following). At all times, the Ordinary A Shares shall have identical rights and obligations, in all material respects, as those attached to the Ordinary Shares of the Company, except that the Ordinary A Shares shall not be entitled to receive notices of general meetings of the shareholders of the Company, to attend such meetings or to vote therein on any matter.</w:t>
      </w:r>
    </w:p>
    <w:p>
      <w:pPr>
        <w:spacing w:after="0" w:line="210" w:lineRule="exact"/>
        <w:rPr>
          <w:sz w:val="20"/>
          <w:szCs w:val="20"/>
          <w:color w:val="auto"/>
        </w:rPr>
      </w:pPr>
    </w:p>
    <w:p>
      <w:pPr>
        <w:jc w:val="both"/>
        <w:ind w:left="660"/>
        <w:spacing w:after="0" w:line="274" w:lineRule="auto"/>
        <w:rPr>
          <w:sz w:val="20"/>
          <w:szCs w:val="20"/>
          <w:color w:val="auto"/>
        </w:rPr>
      </w:pPr>
      <w:r>
        <w:rPr>
          <w:rFonts w:ascii="Arial" w:cs="Arial" w:eastAsia="Arial" w:hAnsi="Arial"/>
          <w:sz w:val="16"/>
          <w:szCs w:val="16"/>
          <w:color w:val="auto"/>
        </w:rPr>
        <w:t>The Company shall not, without Employee's agreement, cancel, modify in any material way, or adversely derogate from in any material way, rights attached to the Ordinary A Shares held by Employee to receive dividends or the like distributions in cash or kind ("</w:t>
      </w:r>
      <w:r>
        <w:rPr>
          <w:rFonts w:ascii="Arial" w:cs="Arial" w:eastAsia="Arial" w:hAnsi="Arial"/>
          <w:sz w:val="16"/>
          <w:szCs w:val="16"/>
          <w:b w:val="1"/>
          <w:bCs w:val="1"/>
          <w:color w:val="auto"/>
        </w:rPr>
        <w:t>Dividends</w:t>
      </w:r>
      <w:r>
        <w:rPr>
          <w:rFonts w:ascii="Arial" w:cs="Arial" w:eastAsia="Arial" w:hAnsi="Arial"/>
          <w:sz w:val="16"/>
          <w:szCs w:val="16"/>
          <w:color w:val="auto"/>
        </w:rPr>
        <w:t>") or Dividends upon liquidation of the Company; provided however that nothing herein shall be deemed as derogating in any way from the Company's full and unlimited right and discretion to grant rights - including preferred or superior rights - to Dividends or Dividends upon liquidation to any person or entity investing in the Company. Notwithstanding the above, in the event of an additional fund raising (not covered by the Founders Agreement) from any specific Founder(s) (e.g., equity investments, bridge loans, or any other financing form), the Company may negotiate and effect, inter alia, changes of the rights to Dividends or Dividends upon liquidation attached to the Series A Redeemable Preferred Share of the Company, par value NIS0.1 issued to such Founder(s).</w:t>
      </w:r>
    </w:p>
    <w:p>
      <w:pPr>
        <w:spacing w:after="0" w:line="198" w:lineRule="exact"/>
        <w:rPr>
          <w:sz w:val="20"/>
          <w:szCs w:val="20"/>
          <w:color w:val="auto"/>
        </w:rPr>
      </w:pPr>
    </w:p>
    <w:p>
      <w:pPr>
        <w:jc w:val="both"/>
        <w:ind w:left="660"/>
        <w:spacing w:after="0" w:line="265" w:lineRule="auto"/>
        <w:rPr>
          <w:sz w:val="20"/>
          <w:szCs w:val="20"/>
          <w:color w:val="auto"/>
        </w:rPr>
      </w:pPr>
      <w:r>
        <w:rPr>
          <w:rFonts w:ascii="Arial" w:cs="Arial" w:eastAsia="Arial" w:hAnsi="Arial"/>
          <w:sz w:val="17"/>
          <w:szCs w:val="17"/>
          <w:color w:val="auto"/>
        </w:rPr>
        <w:t xml:space="preserve">Employee hereby agrees and undertakes that, subject to the above, the Company may, at its discretion, convert the Ordinary A Shares into Ordinary Shares. For the avoidance of doubt, in such case, the provisions of the second paragraph of this Section 2.7 shall apply,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w:t>
      </w:r>
    </w:p>
    <w:p>
      <w:pPr>
        <w:spacing w:after="0" w:line="201" w:lineRule="exact"/>
        <w:rPr>
          <w:sz w:val="20"/>
          <w:szCs w:val="20"/>
          <w:color w:val="auto"/>
        </w:rPr>
      </w:pPr>
    </w:p>
    <w:p>
      <w:pPr>
        <w:jc w:val="both"/>
        <w:ind w:left="640" w:hanging="1234"/>
        <w:spacing w:after="0" w:line="257" w:lineRule="auto"/>
        <w:tabs>
          <w:tab w:leader="none" w:pos="62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u w:val="single" w:color="auto"/>
          <w:color w:val="auto"/>
        </w:rPr>
        <w:t>Dividend Distributions During the Vesting Period</w:t>
      </w:r>
      <w:r>
        <w:rPr>
          <w:rFonts w:ascii="Arial" w:cs="Arial" w:eastAsia="Arial" w:hAnsi="Arial"/>
          <w:sz w:val="17"/>
          <w:szCs w:val="17"/>
          <w:color w:val="auto"/>
        </w:rPr>
        <w:t>. In the event that during the Vesting Period, the Company shall make any distribution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Dividends to its shareholders (each a "</w:t>
      </w:r>
      <w:r>
        <w:rPr>
          <w:rFonts w:ascii="Arial" w:cs="Arial" w:eastAsia="Arial" w:hAnsi="Arial"/>
          <w:sz w:val="17"/>
          <w:szCs w:val="17"/>
          <w:b w:val="1"/>
          <w:bCs w:val="1"/>
          <w:color w:val="auto"/>
        </w:rPr>
        <w:t>Given Distribution</w:t>
      </w:r>
      <w:r>
        <w:rPr>
          <w:rFonts w:ascii="Arial" w:cs="Arial" w:eastAsia="Arial" w:hAnsi="Arial"/>
          <w:sz w:val="17"/>
          <w:szCs w:val="17"/>
          <w:color w:val="auto"/>
        </w:rPr>
        <w:t>"), then: (i) at the time of any Given Distribution, Employee shall receive Dividends based on the portion of vested Incentive Shares as at that time, and (ii) upon vesting of each additional portion of Incentive Shares, Employee shall receive an additional proportionate portion of the Given Distribution. The Company shall set aside, in a segregated trust account, Dividends due but not yet paid to Employee pursuant to this Section 2.8, and shall remit any interest accumulated with regard thereto to Employee together with the Dividend.</w:t>
      </w:r>
    </w:p>
    <w:p>
      <w:pPr>
        <w:spacing w:after="0" w:line="210" w:lineRule="exact"/>
        <w:rPr>
          <w:sz w:val="20"/>
          <w:szCs w:val="20"/>
          <w:color w:val="auto"/>
        </w:rPr>
      </w:pPr>
    </w:p>
    <w:p>
      <w:pPr>
        <w:jc w:val="both"/>
        <w:ind w:left="640" w:hanging="1234"/>
        <w:spacing w:after="0" w:line="298" w:lineRule="auto"/>
        <w:tabs>
          <w:tab w:leader="none" w:pos="62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u w:val="single" w:color="auto"/>
          <w:color w:val="auto"/>
        </w:rPr>
        <w:t>Restricted Transfer; Transfer Arrangements</w:t>
      </w:r>
      <w:r>
        <w:rPr>
          <w:rFonts w:ascii="Arial" w:cs="Arial" w:eastAsia="Arial" w:hAnsi="Arial"/>
          <w:sz w:val="15"/>
          <w:szCs w:val="15"/>
          <w:color w:val="auto"/>
        </w:rPr>
        <w:t>. During the Vesting Period, the Incentive Shares may not be transferred, assigned, mortgaged</w:t>
      </w:r>
      <w:r>
        <w:rPr>
          <w:rFonts w:ascii="Arial" w:cs="Arial" w:eastAsia="Arial" w:hAnsi="Arial"/>
          <w:sz w:val="15"/>
          <w:szCs w:val="15"/>
          <w:u w:val="single" w:color="auto"/>
          <w:color w:val="auto"/>
        </w:rPr>
        <w:t xml:space="preserve"> </w:t>
      </w:r>
      <w:r>
        <w:rPr>
          <w:rFonts w:ascii="Arial" w:cs="Arial" w:eastAsia="Arial" w:hAnsi="Arial"/>
          <w:sz w:val="15"/>
          <w:szCs w:val="15"/>
          <w:color w:val="auto"/>
        </w:rPr>
        <w:t>or otherwise disposed of in any manner (a "</w:t>
      </w:r>
      <w:r>
        <w:rPr>
          <w:rFonts w:ascii="Arial" w:cs="Arial" w:eastAsia="Arial" w:hAnsi="Arial"/>
          <w:sz w:val="15"/>
          <w:szCs w:val="15"/>
          <w:b w:val="1"/>
          <w:bCs w:val="1"/>
          <w:color w:val="auto"/>
        </w:rPr>
        <w:t>Transfer</w:t>
      </w:r>
      <w:r>
        <w:rPr>
          <w:rFonts w:ascii="Arial" w:cs="Arial" w:eastAsia="Arial" w:hAnsi="Arial"/>
          <w:sz w:val="15"/>
          <w:szCs w:val="15"/>
          <w:color w:val="auto"/>
        </w:rPr>
        <w:t>"), and any unauthorized Transfer shall subject such shares to an Adjustment Action. As of the end of the Vesting Period, the Incentive Shares may be freely Transferred, subject to the general terms and conditions applicable to all shares of the Company as may be set in the Articles of Association of the Company. Employee specifically acknowledges and agrees that the Inventive Shares shall be subject to any and all "Bring Along" or "Tag Along" arrangements which may be set in the Articles of Association of the Company to the extent imposed on all or substantially all of the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365760</wp:posOffset>
            </wp:positionV>
            <wp:extent cx="7257415"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1" w:right="239" w:bottom="1440" w:gutter="0" w:footer="0" w:header="0"/>
        </w:sectPr>
      </w:pPr>
    </w:p>
    <w:bookmarkStart w:id="237" w:name="page238"/>
    <w:bookmarkEnd w:id="237"/>
    <w:p>
      <w:pPr>
        <w:jc w:val="center"/>
        <w:ind w:right="137"/>
        <w:spacing w:after="0"/>
        <w:rPr>
          <w:sz w:val="20"/>
          <w:szCs w:val="20"/>
          <w:color w:val="auto"/>
        </w:rPr>
      </w:pPr>
      <w:r>
        <w:rPr>
          <w:rFonts w:ascii="Arial" w:cs="Arial" w:eastAsia="Arial" w:hAnsi="Arial"/>
          <w:sz w:val="21"/>
          <w:szCs w:val="21"/>
          <w:color w:val="auto"/>
        </w:rPr>
        <w:t>- 9 -</w:t>
      </w:r>
    </w:p>
    <w:p>
      <w:pPr>
        <w:spacing w:after="0" w:line="230" w:lineRule="exact"/>
        <w:rPr>
          <w:sz w:val="20"/>
          <w:szCs w:val="20"/>
          <w:color w:val="auto"/>
        </w:rPr>
      </w:pPr>
    </w:p>
    <w:p>
      <w:pPr>
        <w:jc w:val="both"/>
        <w:ind w:left="1683" w:hanging="1234"/>
        <w:spacing w:after="0" w:line="275" w:lineRule="auto"/>
        <w:tabs>
          <w:tab w:leader="none" w:pos="1662"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u w:val="single" w:color="auto"/>
          <w:color w:val="auto"/>
        </w:rPr>
        <w:t>Taxation</w:t>
      </w:r>
      <w:r>
        <w:rPr>
          <w:rFonts w:ascii="Arial" w:cs="Arial" w:eastAsia="Arial" w:hAnsi="Arial"/>
          <w:sz w:val="16"/>
          <w:szCs w:val="16"/>
          <w:color w:val="auto"/>
        </w:rPr>
        <w:t>. All tax consequences arising from the grant and vesting of the Incentive Shares, or the exercise of any Adjustment Actions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any other event or act of the Company or Employee hereunder, shall be borne solely by Employee, and Employee will indemnify the Company and hold it harmless against and from any and all liability for any such tax or interest or penalty thereon, including without limitation, liabilities relating to the necessity to withhold, or to have withheld, any such tax. Employee hereby irrevocably authorizes the Company to deduct from any payment, which may be due to Employee from the Company any amount Employee may owe in accordance with the above provisions of this Section 2.10. Notwithstanding the above, the Company shall be liable for any failure to lawfully prepare, file and administer the Plan in accordance with applicable law.</w:t>
      </w:r>
    </w:p>
    <w:p>
      <w:pPr>
        <w:spacing w:after="0" w:line="190" w:lineRule="exact"/>
        <w:rPr>
          <w:sz w:val="20"/>
          <w:szCs w:val="20"/>
          <w:color w:val="auto"/>
        </w:rPr>
      </w:pPr>
    </w:p>
    <w:p>
      <w:pPr>
        <w:ind w:left="463" w:hanging="463"/>
        <w:spacing w:after="0"/>
        <w:tabs>
          <w:tab w:leader="none" w:pos="463" w:val="left"/>
        </w:tabs>
        <w:numPr>
          <w:ilvl w:val="0"/>
          <w:numId w:val="154"/>
        </w:numPr>
        <w:rPr>
          <w:rFonts w:ascii="Arial" w:cs="Arial" w:eastAsia="Arial" w:hAnsi="Arial"/>
          <w:sz w:val="17"/>
          <w:szCs w:val="17"/>
          <w:color w:val="auto"/>
        </w:rPr>
      </w:pPr>
      <w:r>
        <w:rPr>
          <w:rFonts w:ascii="Arial" w:cs="Arial" w:eastAsia="Arial" w:hAnsi="Arial"/>
          <w:sz w:val="17"/>
          <w:szCs w:val="17"/>
          <w:b w:val="1"/>
          <w:bCs w:val="1"/>
          <w:u w:val="single" w:color="auto"/>
          <w:color w:val="auto"/>
        </w:rPr>
        <w:t>Equity in Spin-Offs</w:t>
      </w:r>
    </w:p>
    <w:p>
      <w:pPr>
        <w:spacing w:after="0" w:line="42" w:lineRule="exact"/>
        <w:rPr>
          <w:rFonts w:ascii="Arial" w:cs="Arial" w:eastAsia="Arial" w:hAnsi="Arial"/>
          <w:sz w:val="17"/>
          <w:szCs w:val="17"/>
          <w:color w:val="auto"/>
        </w:rPr>
      </w:pPr>
    </w:p>
    <w:p>
      <w:pPr>
        <w:ind w:left="463"/>
        <w:spacing w:after="0"/>
        <w:rPr>
          <w:rFonts w:ascii="Arial" w:cs="Arial" w:eastAsia="Arial" w:hAnsi="Arial"/>
          <w:sz w:val="17"/>
          <w:szCs w:val="17"/>
          <w:color w:val="auto"/>
        </w:rPr>
      </w:pPr>
      <w:r>
        <w:rPr>
          <w:rFonts w:ascii="Arial" w:cs="Arial" w:eastAsia="Arial" w:hAnsi="Arial"/>
          <w:sz w:val="17"/>
          <w:szCs w:val="17"/>
          <w:color w:val="auto"/>
        </w:rPr>
        <w:t>To the extent that the Company shall spin-off any Spin-Off , the following provisions shall apply:</w:t>
      </w:r>
    </w:p>
    <w:p>
      <w:pPr>
        <w:spacing w:after="0" w:line="241" w:lineRule="exact"/>
        <w:rPr>
          <w:rFonts w:ascii="Arial" w:cs="Arial" w:eastAsia="Arial" w:hAnsi="Arial"/>
          <w:sz w:val="17"/>
          <w:szCs w:val="17"/>
          <w:color w:val="auto"/>
        </w:rPr>
      </w:pPr>
    </w:p>
    <w:p>
      <w:pPr>
        <w:ind w:left="1683" w:hanging="1235"/>
        <w:spacing w:after="0" w:line="306" w:lineRule="auto"/>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5"/>
          <w:szCs w:val="15"/>
          <w:color w:val="auto"/>
        </w:rPr>
        <w:t>Upon the incorporation of any Spin-Off, Employee shall be entitled and issued securities of the Spin-Off with substantially similar terms as those of the Incentive Shares (or securities with better terms, at the discretion of the Board of Directors of the founders of the Spin-Off or its Board of Directors) (the "</w:t>
      </w:r>
      <w:r>
        <w:rPr>
          <w:rFonts w:ascii="Arial" w:cs="Arial" w:eastAsia="Arial" w:hAnsi="Arial"/>
          <w:sz w:val="15"/>
          <w:szCs w:val="15"/>
          <w:b w:val="1"/>
          <w:bCs w:val="1"/>
          <w:color w:val="auto"/>
        </w:rPr>
        <w:t>Spin-Off Shares</w:t>
      </w:r>
      <w:r>
        <w:rPr>
          <w:rFonts w:ascii="Arial" w:cs="Arial" w:eastAsia="Arial" w:hAnsi="Arial"/>
          <w:sz w:val="15"/>
          <w:szCs w:val="15"/>
          <w:color w:val="auto"/>
        </w:rPr>
        <w:t>"), in an amount equal to the then Applicable Percent times the aggregate amount of Financing Securities of the Spin-Off which shall be issued to the Company's Equity Investors at the time of incorporation of the Spin-Off.</w:t>
      </w:r>
    </w:p>
    <w:p>
      <w:pPr>
        <w:spacing w:after="0" w:line="175" w:lineRule="exact"/>
        <w:rPr>
          <w:sz w:val="20"/>
          <w:szCs w:val="20"/>
          <w:color w:val="auto"/>
        </w:rPr>
      </w:pPr>
    </w:p>
    <w:p>
      <w:pPr>
        <w:ind w:left="1683" w:hanging="1234"/>
        <w:spacing w:after="0" w:line="311" w:lineRule="auto"/>
        <w:tabs>
          <w:tab w:leader="none" w:pos="1662"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To the extent that the Incentive Shares shall be subject to adjustment in accordance with the provisions of Section 2.4 or in accordance with the provisions of Section 5, then the Spin-Off Shares shall be similarly adjusted as set forth with respect to the Incentive Shares.</w:t>
      </w:r>
    </w:p>
    <w:p>
      <w:pPr>
        <w:spacing w:after="0" w:line="166" w:lineRule="exact"/>
        <w:rPr>
          <w:sz w:val="20"/>
          <w:szCs w:val="20"/>
          <w:color w:val="auto"/>
        </w:rPr>
      </w:pPr>
    </w:p>
    <w:p>
      <w:pPr>
        <w:ind w:left="443"/>
        <w:spacing w:after="0"/>
        <w:tabs>
          <w:tab w:leader="none" w:pos="1662"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For example:</w:t>
      </w:r>
    </w:p>
    <w:p>
      <w:pPr>
        <w:spacing w:after="0" w:line="242" w:lineRule="exact"/>
        <w:rPr>
          <w:sz w:val="20"/>
          <w:szCs w:val="20"/>
          <w:color w:val="auto"/>
        </w:rPr>
      </w:pPr>
    </w:p>
    <w:p>
      <w:pPr>
        <w:jc w:val="both"/>
        <w:ind w:left="2903" w:hanging="1234"/>
        <w:spacing w:after="0" w:line="311" w:lineRule="auto"/>
        <w:tabs>
          <w:tab w:leader="none" w:pos="2882"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6"/>
          <w:szCs w:val="16"/>
          <w:color w:val="auto"/>
        </w:rPr>
        <w:t>A Spin-Off is incorporated, in which the Company's Equity Investors will hold 50%, and at such time the Applicable Percent is 8%: Employee shall be issued Spin-Off Shares equal to 4% of the share capital of the Spin-Off.</w:t>
      </w:r>
    </w:p>
    <w:p>
      <w:pPr>
        <w:spacing w:after="0" w:line="166" w:lineRule="exact"/>
        <w:rPr>
          <w:sz w:val="20"/>
          <w:szCs w:val="20"/>
          <w:color w:val="auto"/>
        </w:rPr>
      </w:pPr>
    </w:p>
    <w:p>
      <w:pPr>
        <w:jc w:val="both"/>
        <w:ind w:left="2903" w:hanging="1234"/>
        <w:spacing w:after="0" w:line="265" w:lineRule="auto"/>
        <w:tabs>
          <w:tab w:leader="none" w:pos="2882"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7"/>
          <w:szCs w:val="17"/>
          <w:color w:val="auto"/>
        </w:rPr>
        <w:t>A Termination Event occurs under the Employment Agreement, following which 50% of the Incentive Shares are subject to an Adjustment Action (and, accordingly, the Applicable Percent is reduced to 4%): 50% of the Spin-Off Shares shall be subject to a similar Adjustment Action.</w:t>
      </w:r>
    </w:p>
    <w:p>
      <w:pPr>
        <w:spacing w:after="0" w:line="201" w:lineRule="exact"/>
        <w:rPr>
          <w:sz w:val="20"/>
          <w:szCs w:val="20"/>
          <w:color w:val="auto"/>
        </w:rPr>
      </w:pPr>
    </w:p>
    <w:p>
      <w:pPr>
        <w:ind w:left="443"/>
        <w:spacing w:after="0"/>
        <w:tabs>
          <w:tab w:leader="none" w:pos="1662"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 xml:space="preserve">The provisions of Sections 2.3, 2.7-2.10 (inclusive) and 5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with respect to any and all Spin-Off as well.</w:t>
      </w:r>
    </w:p>
    <w:p>
      <w:pPr>
        <w:spacing w:after="0" w:line="242" w:lineRule="exact"/>
        <w:rPr>
          <w:sz w:val="20"/>
          <w:szCs w:val="20"/>
          <w:color w:val="auto"/>
        </w:rPr>
      </w:pPr>
    </w:p>
    <w:p>
      <w:pPr>
        <w:ind w:left="1683" w:hanging="1234"/>
        <w:spacing w:after="0" w:line="278" w:lineRule="auto"/>
        <w:tabs>
          <w:tab w:leader="none" w:pos="1662"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The corporate documents and/or shareholders agreement(s) of each Spin-Off may further elaborate on the above matters, as may be required in order to fully implement the above agreements.</w:t>
      </w:r>
    </w:p>
    <w:p>
      <w:pPr>
        <w:spacing w:after="0" w:line="184" w:lineRule="exact"/>
        <w:rPr>
          <w:sz w:val="20"/>
          <w:szCs w:val="20"/>
          <w:color w:val="auto"/>
        </w:rPr>
      </w:pPr>
    </w:p>
    <w:p>
      <w:pPr>
        <w:ind w:left="463" w:hanging="463"/>
        <w:spacing w:after="0"/>
        <w:tabs>
          <w:tab w:leader="none" w:pos="463" w:val="left"/>
        </w:tabs>
        <w:numPr>
          <w:ilvl w:val="0"/>
          <w:numId w:val="155"/>
        </w:numPr>
        <w:rPr>
          <w:rFonts w:ascii="Arial" w:cs="Arial" w:eastAsia="Arial" w:hAnsi="Arial"/>
          <w:sz w:val="17"/>
          <w:szCs w:val="17"/>
          <w:color w:val="auto"/>
        </w:rPr>
      </w:pPr>
      <w:r>
        <w:rPr>
          <w:rFonts w:ascii="Arial" w:cs="Arial" w:eastAsia="Arial" w:hAnsi="Arial"/>
          <w:sz w:val="17"/>
          <w:szCs w:val="17"/>
          <w:b w:val="1"/>
          <w:bCs w:val="1"/>
          <w:u w:val="single" w:color="auto"/>
          <w:color w:val="auto"/>
        </w:rPr>
        <w:t>Anti-dilution Protection</w:t>
      </w:r>
    </w:p>
    <w:p>
      <w:pPr>
        <w:spacing w:after="0" w:line="42" w:lineRule="exact"/>
        <w:rPr>
          <w:rFonts w:ascii="Arial" w:cs="Arial" w:eastAsia="Arial" w:hAnsi="Arial"/>
          <w:sz w:val="17"/>
          <w:szCs w:val="17"/>
          <w:color w:val="auto"/>
        </w:rPr>
      </w:pPr>
    </w:p>
    <w:p>
      <w:pPr>
        <w:jc w:val="both"/>
        <w:ind w:left="463"/>
        <w:spacing w:after="0" w:line="317" w:lineRule="auto"/>
        <w:rPr>
          <w:rFonts w:ascii="Arial" w:cs="Arial" w:eastAsia="Arial" w:hAnsi="Arial"/>
          <w:sz w:val="17"/>
          <w:szCs w:val="17"/>
          <w:color w:val="auto"/>
        </w:rPr>
      </w:pPr>
      <w:r>
        <w:rPr>
          <w:rFonts w:ascii="Arial" w:cs="Arial" w:eastAsia="Arial" w:hAnsi="Arial"/>
          <w:sz w:val="15"/>
          <w:szCs w:val="15"/>
          <w:color w:val="auto"/>
        </w:rPr>
        <w:t>It is agreed that Employee's holdings in the Company and in any Spin-Off shall be protected from dilution until an actual aggregate investment in either of the Company and/or any Spin-Offs, equal to US$11,000,000 (eleven million U.S. Dollars) is made (adding thereto and taking into account that initial amount invested in the Company prior to the date of issuance of Incentive Shares pursuant to Section 2.2), in accordance with the following terms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355600</wp:posOffset>
            </wp:positionV>
            <wp:extent cx="7257415"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238" w:name="page239"/>
    <w:bookmarkEnd w:id="238"/>
    <w:p>
      <w:pPr>
        <w:jc w:val="center"/>
        <w:ind w:right="137"/>
        <w:spacing w:after="0"/>
        <w:rPr>
          <w:sz w:val="20"/>
          <w:szCs w:val="20"/>
          <w:color w:val="auto"/>
        </w:rPr>
      </w:pPr>
      <w:r>
        <w:rPr>
          <w:rFonts w:ascii="Arial" w:cs="Arial" w:eastAsia="Arial" w:hAnsi="Arial"/>
          <w:sz w:val="21"/>
          <w:szCs w:val="21"/>
          <w:color w:val="auto"/>
        </w:rPr>
        <w:t>- 10 -</w:t>
      </w:r>
    </w:p>
    <w:p>
      <w:pPr>
        <w:spacing w:after="0" w:line="230" w:lineRule="exact"/>
        <w:rPr>
          <w:sz w:val="20"/>
          <w:szCs w:val="20"/>
          <w:color w:val="auto"/>
        </w:rPr>
      </w:pPr>
    </w:p>
    <w:p>
      <w:pPr>
        <w:jc w:val="both"/>
        <w:ind w:left="1683" w:hanging="1234"/>
        <w:spacing w:after="0" w:line="289" w:lineRule="auto"/>
        <w:tabs>
          <w:tab w:leader="none" w:pos="1662"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Upon the issuance by the Company of any Financing Securities, Employee shall be issued, for no additional consideration, except for payment of the par value thereof, additional Incentive Shares in such amount resulting in an aggregate holding by Employee of Incentive Shares equal to the then Applicable Percent of all Financing Securities issued by the Company to its Equity Investors.</w:t>
      </w:r>
    </w:p>
    <w:p>
      <w:pPr>
        <w:spacing w:after="0" w:line="184" w:lineRule="exact"/>
        <w:rPr>
          <w:sz w:val="20"/>
          <w:szCs w:val="20"/>
          <w:color w:val="auto"/>
        </w:rPr>
      </w:pPr>
    </w:p>
    <w:p>
      <w:pPr>
        <w:jc w:val="both"/>
        <w:ind w:left="1703"/>
        <w:spacing w:after="0" w:line="261" w:lineRule="auto"/>
        <w:rPr>
          <w:sz w:val="20"/>
          <w:szCs w:val="20"/>
          <w:color w:val="auto"/>
        </w:rPr>
      </w:pPr>
      <w:r>
        <w:rPr>
          <w:rFonts w:ascii="Arial" w:cs="Arial" w:eastAsia="Arial" w:hAnsi="Arial"/>
          <w:sz w:val="17"/>
          <w:szCs w:val="17"/>
          <w:color w:val="auto"/>
        </w:rPr>
        <w:t>Similarly, upon the issuance by any Spin-Off of any Financing Securities, Employee shall be issued, for no additional consideration, except for payment of the par value thereof, additional Spin-Off Shares of such Spin-Off in such amount resulting in an aggregate holding by Employee of Spin-Off Shares equal to the then Applicable Percent times of Financing Securities issued by such Spin-Off to its Equity Investors.</w:t>
      </w:r>
    </w:p>
    <w:p>
      <w:pPr>
        <w:spacing w:after="0" w:line="198" w:lineRule="exact"/>
        <w:rPr>
          <w:sz w:val="20"/>
          <w:szCs w:val="20"/>
          <w:color w:val="auto"/>
        </w:rPr>
      </w:pPr>
    </w:p>
    <w:p>
      <w:pPr>
        <w:ind w:left="1703"/>
        <w:spacing w:after="0"/>
        <w:rPr>
          <w:sz w:val="20"/>
          <w:szCs w:val="20"/>
          <w:color w:val="auto"/>
        </w:rPr>
      </w:pPr>
      <w:r>
        <w:rPr>
          <w:rFonts w:ascii="Arial" w:cs="Arial" w:eastAsia="Arial" w:hAnsi="Arial"/>
          <w:sz w:val="17"/>
          <w:szCs w:val="17"/>
          <w:color w:val="auto"/>
        </w:rPr>
        <w:t>Any and each of the above referred to issuances shall be referred to as an "</w:t>
      </w:r>
      <w:r>
        <w:rPr>
          <w:rFonts w:ascii="Arial" w:cs="Arial" w:eastAsia="Arial" w:hAnsi="Arial"/>
          <w:sz w:val="17"/>
          <w:szCs w:val="17"/>
          <w:b w:val="1"/>
          <w:bCs w:val="1"/>
          <w:color w:val="auto"/>
        </w:rPr>
        <w:t>Update Issuance</w:t>
      </w:r>
      <w:r>
        <w:rPr>
          <w:rFonts w:ascii="Arial" w:cs="Arial" w:eastAsia="Arial" w:hAnsi="Arial"/>
          <w:sz w:val="17"/>
          <w:szCs w:val="17"/>
          <w:color w:val="auto"/>
        </w:rPr>
        <w:t>".</w:t>
      </w:r>
    </w:p>
    <w:p>
      <w:pPr>
        <w:spacing w:after="0" w:line="248" w:lineRule="exact"/>
        <w:rPr>
          <w:sz w:val="20"/>
          <w:szCs w:val="20"/>
          <w:color w:val="auto"/>
        </w:rPr>
      </w:pPr>
    </w:p>
    <w:p>
      <w:pPr>
        <w:jc w:val="both"/>
        <w:ind w:left="1683" w:hanging="1234"/>
        <w:spacing w:after="0" w:line="265" w:lineRule="auto"/>
        <w:tabs>
          <w:tab w:leader="none" w:pos="1662"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Employee's right to an Update Issuance shall apply with respect to the Company and each Spin-Off separately, with respect to any issuance therein of Financing Securities, and such right to Update Issuances shall terminate altogether upon an actual aggregate investment in the Company and all Spin-Offs, together, of US$11,000,000 (eleven million U.S. Dollars).</w:t>
      </w:r>
    </w:p>
    <w:p>
      <w:pPr>
        <w:spacing w:after="0" w:line="201" w:lineRule="exact"/>
        <w:rPr>
          <w:sz w:val="20"/>
          <w:szCs w:val="20"/>
          <w:color w:val="auto"/>
        </w:rPr>
      </w:pPr>
    </w:p>
    <w:p>
      <w:pPr>
        <w:ind w:left="443"/>
        <w:spacing w:after="0"/>
        <w:tabs>
          <w:tab w:leader="none" w:pos="1662"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For example, based on the assumption of the existence of the Company and one Spin-Off:</w:t>
      </w:r>
    </w:p>
    <w:p>
      <w:pPr>
        <w:spacing w:after="0" w:line="242" w:lineRule="exact"/>
        <w:rPr>
          <w:sz w:val="20"/>
          <w:szCs w:val="20"/>
          <w:color w:val="auto"/>
        </w:rPr>
      </w:pPr>
    </w:p>
    <w:p>
      <w:pPr>
        <w:jc w:val="both"/>
        <w:ind w:left="2903" w:hanging="1234"/>
        <w:spacing w:after="0" w:line="261" w:lineRule="auto"/>
        <w:tabs>
          <w:tab w:leader="none" w:pos="2882" w:val="left"/>
        </w:tabs>
        <w:rPr>
          <w:sz w:val="20"/>
          <w:szCs w:val="20"/>
          <w:color w:val="auto"/>
        </w:rPr>
      </w:pPr>
      <w:r>
        <w:rPr>
          <w:rFonts w:ascii="Arial" w:cs="Arial" w:eastAsia="Arial" w:hAnsi="Arial"/>
          <w:sz w:val="17"/>
          <w:szCs w:val="17"/>
          <w:color w:val="auto"/>
        </w:rPr>
        <w:t>4.3.1.</w:t>
      </w:r>
      <w:r>
        <w:rPr>
          <w:sz w:val="20"/>
          <w:szCs w:val="20"/>
          <w:color w:val="auto"/>
        </w:rPr>
        <w:tab/>
      </w:r>
      <w:r>
        <w:rPr>
          <w:rFonts w:ascii="Arial" w:cs="Arial" w:eastAsia="Arial" w:hAnsi="Arial"/>
          <w:sz w:val="17"/>
          <w:szCs w:val="17"/>
          <w:color w:val="auto"/>
        </w:rPr>
        <w:t>Employee was initially issued Incentive Shares based on an actual aggregate investment of $500,000. Thereafter, the Company issues Financing Securities in consideration for an actual aggregate investment by the Company's Equity Investors of $9,500,000: Employee shall be entitled to an Update Issuance of Incentive Shares, protecting Employee's holdings in the Company from dilution by such entire amount.</w:t>
      </w:r>
    </w:p>
    <w:p>
      <w:pPr>
        <w:spacing w:after="0" w:line="204" w:lineRule="exact"/>
        <w:rPr>
          <w:sz w:val="20"/>
          <w:szCs w:val="20"/>
          <w:color w:val="auto"/>
        </w:rPr>
      </w:pPr>
    </w:p>
    <w:p>
      <w:pPr>
        <w:jc w:val="both"/>
        <w:ind w:left="2903" w:hanging="1234"/>
        <w:spacing w:after="0" w:line="265" w:lineRule="auto"/>
        <w:tabs>
          <w:tab w:leader="none" w:pos="2882" w:val="left"/>
        </w:tabs>
        <w:rPr>
          <w:sz w:val="20"/>
          <w:szCs w:val="20"/>
          <w:color w:val="auto"/>
        </w:rPr>
      </w:pPr>
      <w:r>
        <w:rPr>
          <w:rFonts w:ascii="Arial" w:cs="Arial" w:eastAsia="Arial" w:hAnsi="Arial"/>
          <w:sz w:val="17"/>
          <w:szCs w:val="17"/>
          <w:color w:val="auto"/>
        </w:rPr>
        <w:t>4.3.2.</w:t>
      </w:r>
      <w:r>
        <w:rPr>
          <w:sz w:val="20"/>
          <w:szCs w:val="20"/>
          <w:color w:val="auto"/>
        </w:rPr>
        <w:tab/>
      </w:r>
      <w:r>
        <w:rPr>
          <w:rFonts w:ascii="Arial" w:cs="Arial" w:eastAsia="Arial" w:hAnsi="Arial"/>
          <w:sz w:val="17"/>
          <w:szCs w:val="17"/>
          <w:color w:val="auto"/>
        </w:rPr>
        <w:t>The Spin-Off issues Financing Securities in consideration for an actual investment by its Equity Investors of $1,000,000: Employee shall be entitled to an Update Issuance of Spin-Off Shares of such specific Spin-Off, protecting Employee's holdings in the Spin-Off from dilution by such entire amount.</w:t>
      </w:r>
    </w:p>
    <w:p>
      <w:pPr>
        <w:spacing w:after="0" w:line="201" w:lineRule="exact"/>
        <w:rPr>
          <w:sz w:val="20"/>
          <w:szCs w:val="20"/>
          <w:color w:val="auto"/>
        </w:rPr>
      </w:pPr>
    </w:p>
    <w:p>
      <w:pPr>
        <w:jc w:val="both"/>
        <w:ind w:left="2903" w:hanging="1234"/>
        <w:spacing w:after="0" w:line="278" w:lineRule="auto"/>
        <w:tabs>
          <w:tab w:leader="none" w:pos="2882" w:val="left"/>
        </w:tabs>
        <w:rPr>
          <w:sz w:val="20"/>
          <w:szCs w:val="20"/>
          <w:color w:val="auto"/>
        </w:rPr>
      </w:pPr>
      <w:r>
        <w:rPr>
          <w:rFonts w:ascii="Arial" w:cs="Arial" w:eastAsia="Arial" w:hAnsi="Arial"/>
          <w:sz w:val="17"/>
          <w:szCs w:val="17"/>
          <w:color w:val="auto"/>
        </w:rPr>
        <w:t>4.3.3.</w:t>
      </w:r>
      <w:r>
        <w:rPr>
          <w:sz w:val="20"/>
          <w:szCs w:val="20"/>
          <w:color w:val="auto"/>
        </w:rPr>
        <w:tab/>
      </w:r>
      <w:r>
        <w:rPr>
          <w:rFonts w:ascii="Arial" w:cs="Arial" w:eastAsia="Arial" w:hAnsi="Arial"/>
          <w:sz w:val="17"/>
          <w:szCs w:val="17"/>
          <w:color w:val="auto"/>
        </w:rPr>
        <w:t>As of that time and onwards, none of Employee's holdings in any Corporation shall be entitled to any Update Issuances or other protection from dilution with respect to any issuances of securities by any such Corporation.</w:t>
      </w:r>
    </w:p>
    <w:p>
      <w:pPr>
        <w:spacing w:after="0" w:line="190" w:lineRule="exact"/>
        <w:rPr>
          <w:sz w:val="20"/>
          <w:szCs w:val="20"/>
          <w:color w:val="auto"/>
        </w:rPr>
      </w:pPr>
    </w:p>
    <w:p>
      <w:pPr>
        <w:jc w:val="both"/>
        <w:ind w:left="1683" w:hanging="1234"/>
        <w:spacing w:after="0" w:line="265" w:lineRule="auto"/>
        <w:tabs>
          <w:tab w:leader="none" w:pos="1662"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For the avoidance of doubt it is clarified the anti-dilution protection granted in this section 4 shall continue to apply whether or not Employee is still employed with the Company at such time and shall survive without limitation the termination of the Agreement for any reason whatsoever.</w:t>
      </w:r>
    </w:p>
    <w:p>
      <w:pPr>
        <w:spacing w:after="0" w:line="195" w:lineRule="exact"/>
        <w:rPr>
          <w:sz w:val="20"/>
          <w:szCs w:val="20"/>
          <w:color w:val="auto"/>
        </w:rPr>
      </w:pPr>
    </w:p>
    <w:p>
      <w:pPr>
        <w:ind w:left="463" w:hanging="463"/>
        <w:spacing w:after="0"/>
        <w:tabs>
          <w:tab w:leader="none" w:pos="463" w:val="left"/>
        </w:tabs>
        <w:numPr>
          <w:ilvl w:val="0"/>
          <w:numId w:val="156"/>
        </w:numPr>
        <w:rPr>
          <w:rFonts w:ascii="Arial" w:cs="Arial" w:eastAsia="Arial" w:hAnsi="Arial"/>
          <w:sz w:val="17"/>
          <w:szCs w:val="17"/>
          <w:color w:val="auto"/>
        </w:rPr>
      </w:pPr>
      <w:r>
        <w:rPr>
          <w:rFonts w:ascii="Arial" w:cs="Arial" w:eastAsia="Arial" w:hAnsi="Arial"/>
          <w:sz w:val="17"/>
          <w:szCs w:val="17"/>
          <w:b w:val="1"/>
          <w:bCs w:val="1"/>
          <w:u w:val="single" w:color="auto"/>
          <w:color w:val="auto"/>
        </w:rPr>
        <w:t>Decrease Adjustment</w:t>
      </w:r>
    </w:p>
    <w:p>
      <w:pPr>
        <w:spacing w:after="0" w:line="42" w:lineRule="exact"/>
        <w:rPr>
          <w:rFonts w:ascii="Arial" w:cs="Arial" w:eastAsia="Arial" w:hAnsi="Arial"/>
          <w:sz w:val="17"/>
          <w:szCs w:val="17"/>
          <w:color w:val="auto"/>
        </w:rPr>
      </w:pPr>
    </w:p>
    <w:p>
      <w:pPr>
        <w:jc w:val="both"/>
        <w:ind w:left="463"/>
        <w:spacing w:after="0" w:line="261" w:lineRule="auto"/>
        <w:rPr>
          <w:rFonts w:ascii="Arial" w:cs="Arial" w:eastAsia="Arial" w:hAnsi="Arial"/>
          <w:sz w:val="17"/>
          <w:szCs w:val="17"/>
          <w:color w:val="auto"/>
        </w:rPr>
      </w:pPr>
      <w:r>
        <w:rPr>
          <w:rFonts w:ascii="Arial" w:cs="Arial" w:eastAsia="Arial" w:hAnsi="Arial"/>
          <w:sz w:val="17"/>
          <w:szCs w:val="17"/>
          <w:color w:val="auto"/>
        </w:rPr>
        <w:t>In the event that any of the Financing Securities shall be subject to actions of the kind of the Adjustment Actions, then a proportionate portion of the Incentive Shares shall be subject to Adjustment Actions so that the ratio between the amount of all remaining Incentive Shares and all remaining Financing Securities remains equal the ratio between the amount of all Incentive Shares and Financing Securities existing prior to occurrence of such Adjustment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380365</wp:posOffset>
            </wp:positionV>
            <wp:extent cx="7257415"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21"/>
          <w:szCs w:val="21"/>
          <w:color w:val="auto"/>
        </w:rPr>
        <w:t>- 11 -</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Exhibit B to the Employment Agreement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BioLine Therapeutics and Dr. Morris Laster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Proprietary Information; Assignment of Inventions, Confidentiality and Non-Competition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This Proprietary Information, Assignment of Inventions, Confidentiality and Non-Competition Agreement is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that certain Employment Agreement by and between BioLine Therapeutics Ltd. ("</w:t>
      </w:r>
      <w:r>
        <w:rPr>
          <w:rFonts w:ascii="Arial" w:cs="Arial" w:eastAsia="Arial" w:hAnsi="Arial"/>
          <w:sz w:val="17"/>
          <w:szCs w:val="17"/>
          <w:b w:val="1"/>
          <w:bCs w:val="1"/>
          <w:color w:val="auto"/>
        </w:rPr>
        <w:t>Company</w:t>
      </w:r>
      <w:r>
        <w:rPr>
          <w:rFonts w:ascii="Arial" w:cs="Arial" w:eastAsia="Arial" w:hAnsi="Arial"/>
          <w:sz w:val="17"/>
          <w:szCs w:val="17"/>
          <w:color w:val="auto"/>
        </w:rPr>
        <w:t>") and Dr. Morris Laster ("</w:t>
      </w:r>
      <w:r>
        <w:rPr>
          <w:rFonts w:ascii="Arial" w:cs="Arial" w:eastAsia="Arial" w:hAnsi="Arial"/>
          <w:sz w:val="17"/>
          <w:szCs w:val="17"/>
          <w:b w:val="1"/>
          <w:bCs w:val="1"/>
          <w:color w:val="auto"/>
        </w:rPr>
        <w:t>Employee</w:t>
      </w:r>
      <w:r>
        <w:rPr>
          <w:rFonts w:ascii="Arial" w:cs="Arial" w:eastAsia="Arial" w:hAnsi="Arial"/>
          <w:sz w:val="17"/>
          <w:szCs w:val="17"/>
          <w:color w:val="auto"/>
        </w:rPr>
        <w:t>") (the "</w:t>
      </w:r>
      <w:r>
        <w:rPr>
          <w:rFonts w:ascii="Arial" w:cs="Arial" w:eastAsia="Arial" w:hAnsi="Arial"/>
          <w:sz w:val="17"/>
          <w:szCs w:val="17"/>
          <w:b w:val="1"/>
          <w:bCs w:val="1"/>
          <w:color w:val="auto"/>
        </w:rPr>
        <w:t>Agreement</w:t>
      </w:r>
      <w:r>
        <w:rPr>
          <w:rFonts w:ascii="Arial" w:cs="Arial" w:eastAsia="Arial" w:hAnsi="Arial"/>
          <w:sz w:val="17"/>
          <w:szCs w:val="17"/>
          <w:color w:val="auto"/>
        </w:rPr>
        <w:t>"). All the capitalized terms herein shall have the meanings ascribed to them in the Agreement. For purposes hereof, the term "Company" shall mean and include Company any subsidiaries and affiliates of Company.</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Employee's obligations and representations and Company's rights under this Exhibit shall apply as of the time it first became engaged with Company, regardless of the date of execution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Confidentiality; Proprietary Information</w:t>
      </w:r>
    </w:p>
    <w:p>
      <w:pPr>
        <w:spacing w:after="0" w:line="242" w:lineRule="exact"/>
        <w:rPr>
          <w:sz w:val="20"/>
          <w:szCs w:val="20"/>
          <w:color w:val="auto"/>
        </w:rPr>
      </w:pPr>
    </w:p>
    <w:p>
      <w:pPr>
        <w:jc w:val="both"/>
        <w:ind w:left="620" w:hanging="531"/>
        <w:spacing w:after="0" w:line="281" w:lineRule="auto"/>
        <w:tabs>
          <w:tab w:leader="none" w:pos="6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Proprietary Information</w:t>
      </w:r>
      <w:r>
        <w:rPr>
          <w:rFonts w:ascii="Arial" w:cs="Arial" w:eastAsia="Arial" w:hAnsi="Arial"/>
          <w:sz w:val="16"/>
          <w:szCs w:val="16"/>
          <w:color w:val="auto"/>
        </w:rPr>
        <w:t>" means confidential and proprietary information concerning the business and financial activities of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Company may obtain or receive from third parties.</w:t>
      </w:r>
    </w:p>
    <w:p>
      <w:pPr>
        <w:spacing w:after="0" w:line="189" w:lineRule="exact"/>
        <w:rPr>
          <w:rFonts w:ascii="Arial" w:cs="Arial" w:eastAsia="Arial" w:hAnsi="Arial"/>
          <w:sz w:val="16"/>
          <w:szCs w:val="16"/>
          <w:color w:val="auto"/>
        </w:rPr>
      </w:pPr>
    </w:p>
    <w:p>
      <w:pPr>
        <w:jc w:val="both"/>
        <w:ind w:left="620" w:hanging="531"/>
        <w:spacing w:after="0" w:line="306" w:lineRule="auto"/>
        <w:tabs>
          <w:tab w:leader="none" w:pos="62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Proprietary Information shall be deemed to include any and all proprietary information disclosed by or on behalf of Company and irrespective of form but excluding information that (i) was known to Employee prior to Employee's association with Company and can be so proven; (ii) is or shall become part of the public knowledge except as a result of the breach of the Agreement or this Exhibit by Employee; (iii) reflects general skills and experience gained during Employee's engagement by Company; or (iv) reflects information and data generally known in the industries or trades in which Company operates.</w:t>
      </w:r>
    </w:p>
    <w:p>
      <w:pPr>
        <w:spacing w:after="0" w:line="175" w:lineRule="exact"/>
        <w:rPr>
          <w:rFonts w:ascii="Arial" w:cs="Arial" w:eastAsia="Arial" w:hAnsi="Arial"/>
          <w:sz w:val="15"/>
          <w:szCs w:val="15"/>
          <w:color w:val="auto"/>
        </w:rPr>
      </w:pPr>
    </w:p>
    <w:p>
      <w:pPr>
        <w:jc w:val="both"/>
        <w:ind w:left="620" w:hanging="531"/>
        <w:spacing w:after="0" w:line="265" w:lineRule="auto"/>
        <w:tabs>
          <w:tab w:leader="none" w:pos="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Employee recognizes that Company received and will receive confidential or proprietary information from third parties, subject to a duty on Company's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jc w:val="both"/>
        <w:ind w:left="620" w:hanging="531"/>
        <w:spacing w:after="0" w:line="279" w:lineRule="auto"/>
        <w:tabs>
          <w:tab w:leader="none" w:pos="6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Employee agrees that all Proprietary Information, and patents, trademarks, copyrights and other intellectual property and ownership rights in connection therewith shall be the sole property of Company its subsidiaries and their assigns. At all times, both during the term of Employee's engagement with Company (the "</w:t>
      </w:r>
      <w:r>
        <w:rPr>
          <w:rFonts w:ascii="Arial" w:cs="Arial" w:eastAsia="Arial" w:hAnsi="Arial"/>
          <w:sz w:val="16"/>
          <w:szCs w:val="16"/>
          <w:b w:val="1"/>
          <w:bCs w:val="1"/>
          <w:color w:val="auto"/>
        </w:rPr>
        <w:t>Term</w:t>
      </w:r>
      <w:r>
        <w:rPr>
          <w:rFonts w:ascii="Arial" w:cs="Arial" w:eastAsia="Arial" w:hAnsi="Arial"/>
          <w:sz w:val="16"/>
          <w:szCs w:val="16"/>
          <w:color w:val="auto"/>
        </w:rPr>
        <w:t>") and after the termination of the engagement between the parties, Employee will keep in confidence and trust all Proprietary Information, and Employee will not use or disclose any Proprietary Information or anything relating to it without the written consent of Company or its subsidiaries, except as may be necessary in the ordinary course of performing Employee's duties under the Agreement.</w:t>
      </w:r>
    </w:p>
    <w:p>
      <w:pPr>
        <w:spacing w:after="0" w:line="191" w:lineRule="exact"/>
        <w:rPr>
          <w:rFonts w:ascii="Arial" w:cs="Arial" w:eastAsia="Arial" w:hAnsi="Arial"/>
          <w:sz w:val="16"/>
          <w:szCs w:val="16"/>
          <w:color w:val="auto"/>
        </w:rPr>
      </w:pPr>
    </w:p>
    <w:p>
      <w:pPr>
        <w:jc w:val="both"/>
        <w:ind w:left="620" w:hanging="531"/>
        <w:spacing w:after="0" w:line="265" w:lineRule="auto"/>
        <w:tabs>
          <w:tab w:leader="none" w:pos="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Upon termination of Employee's engagement with Company, Employee will promptly deliver to Company all documents and materials of any nature pertaining to Employee's engagement with Company, and will not take with his any documents or materials or copies thereof containing any Proprietary Information.</w:t>
      </w:r>
    </w:p>
    <w:p>
      <w:pPr>
        <w:spacing w:after="0" w:line="201" w:lineRule="exact"/>
        <w:rPr>
          <w:rFonts w:ascii="Arial" w:cs="Arial" w:eastAsia="Arial" w:hAnsi="Arial"/>
          <w:sz w:val="17"/>
          <w:szCs w:val="17"/>
          <w:color w:val="auto"/>
        </w:rPr>
      </w:pPr>
    </w:p>
    <w:p>
      <w:pPr>
        <w:ind w:left="620" w:hanging="531"/>
        <w:spacing w:after="0" w:line="278" w:lineRule="auto"/>
        <w:tabs>
          <w:tab w:leader="none" w:pos="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Employee's undertakings set forth in Section 1 through Section 5 of this Exhibit shall remain in full force and effect after termination of the Agreement or any renewal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1"/>
          <w:szCs w:val="21"/>
          <w:color w:val="auto"/>
        </w:rPr>
        <w:t>- 12 -</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Disclosure and Assignment of Inventions</w:t>
      </w:r>
    </w:p>
    <w:p>
      <w:pPr>
        <w:spacing w:after="0" w:line="242" w:lineRule="exact"/>
        <w:rPr>
          <w:sz w:val="20"/>
          <w:szCs w:val="20"/>
          <w:color w:val="auto"/>
        </w:rPr>
      </w:pPr>
    </w:p>
    <w:p>
      <w:pPr>
        <w:jc w:val="both"/>
        <w:ind w:left="620" w:hanging="531"/>
        <w:spacing w:after="0" w:line="259" w:lineRule="auto"/>
        <w:tabs>
          <w:tab w:leader="none" w:pos="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Inventions</w:t>
      </w:r>
      <w:r>
        <w:rPr>
          <w:rFonts w:ascii="Arial" w:cs="Arial" w:eastAsia="Arial" w:hAnsi="Arial"/>
          <w:sz w:val="17"/>
          <w:szCs w:val="17"/>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7"/>
          <w:szCs w:val="17"/>
          <w:b w:val="1"/>
          <w:bCs w:val="1"/>
          <w:color w:val="auto"/>
        </w:rPr>
        <w:t>Company Inventions</w:t>
      </w:r>
      <w:r>
        <w:rPr>
          <w:rFonts w:ascii="Arial" w:cs="Arial" w:eastAsia="Arial" w:hAnsi="Arial"/>
          <w:sz w:val="17"/>
          <w:szCs w:val="17"/>
          <w:color w:val="auto"/>
        </w:rPr>
        <w:t>" means any Inventions that are made or conceived or first reduced to practice or created by Employee, whether alone or jointly with others, during the period of Employee's engagement with Company, and which are: (i) developed using equipment, supplies, facilities or Proprietary Information of Company, (ii) result from work performed by Employee for Company, or (iii) related to the field of business of Company, or to specific fields of research and development undertaken by Company.</w:t>
      </w:r>
    </w:p>
    <w:p>
      <w:pPr>
        <w:spacing w:after="0" w:line="206" w:lineRule="exact"/>
        <w:rPr>
          <w:rFonts w:ascii="Arial" w:cs="Arial" w:eastAsia="Arial" w:hAnsi="Arial"/>
          <w:sz w:val="17"/>
          <w:szCs w:val="17"/>
          <w:color w:val="auto"/>
        </w:rPr>
      </w:pPr>
    </w:p>
    <w:p>
      <w:pPr>
        <w:ind w:left="620" w:hanging="531"/>
        <w:spacing w:after="0"/>
        <w:tabs>
          <w:tab w:leader="none" w:pos="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Employee undertakes and covenants he will promptly disclose in confidence to Company all Inventions deemed as Company Inventions.</w:t>
      </w:r>
    </w:p>
    <w:p>
      <w:pPr>
        <w:spacing w:after="0" w:line="241" w:lineRule="exact"/>
        <w:rPr>
          <w:rFonts w:ascii="Arial" w:cs="Arial" w:eastAsia="Arial" w:hAnsi="Arial"/>
          <w:sz w:val="17"/>
          <w:szCs w:val="17"/>
          <w:color w:val="auto"/>
        </w:rPr>
      </w:pPr>
    </w:p>
    <w:p>
      <w:pPr>
        <w:ind w:left="620" w:hanging="531"/>
        <w:spacing w:after="0" w:line="311" w:lineRule="auto"/>
        <w:tabs>
          <w:tab w:leader="none" w:pos="6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Employee hereby irrevocably transfers and assigns to Company all worldwide patents, patent applications, copyrights, mask works, trade secrets and other intellectual property rights in any Company Invention, and any and all moral rights that he may have in or with respect to any Company Invention.</w:t>
      </w:r>
    </w:p>
    <w:p>
      <w:pPr>
        <w:spacing w:after="0" w:line="166" w:lineRule="exact"/>
        <w:rPr>
          <w:rFonts w:ascii="Arial" w:cs="Arial" w:eastAsia="Arial" w:hAnsi="Arial"/>
          <w:sz w:val="16"/>
          <w:szCs w:val="16"/>
          <w:color w:val="auto"/>
        </w:rPr>
      </w:pPr>
    </w:p>
    <w:p>
      <w:pPr>
        <w:jc w:val="both"/>
        <w:ind w:left="620" w:hanging="617"/>
        <w:spacing w:after="0" w:line="273" w:lineRule="auto"/>
        <w:tabs>
          <w:tab w:leader="none" w:pos="6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Employee agrees to assist Company, at Company's expense, in every reasonable and proper way with Company’s efforts to obtain for Company and enforce patents, copyrights, mask work rights, and other legal protections for Company Inventions in any and all countries. Employee will execute any documents that Company may reasonably request for use in obtaining or enforcing such patents, copyrights, mask work rights, trade secrets and other legal protections. Such obligation shall continue beyond the termination of Employee's engagement with Company, provided that Company appropriately compensates Employee for his time and efforts in this regard. Employee hereby irrevocably designates and appoints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Non-Competition</w:t>
      </w:r>
    </w:p>
    <w:p>
      <w:pPr>
        <w:spacing w:after="0" w:line="248" w:lineRule="exact"/>
        <w:rPr>
          <w:sz w:val="20"/>
          <w:szCs w:val="20"/>
          <w:color w:val="auto"/>
        </w:rPr>
      </w:pPr>
    </w:p>
    <w:p>
      <w:pPr>
        <w:jc w:val="both"/>
        <w:ind w:left="620" w:hanging="617"/>
        <w:spacing w:after="0" w:line="282" w:lineRule="auto"/>
        <w:tabs>
          <w:tab w:leader="none" w:pos="6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Employee agrees and undertakes that he will not, so long as the Agreement is in effect and for a period of nine (9) months following termination of the Agreement, for any reason whatsoever, directly or indirectly, in any capacity whatsoever, materially be engaged in, or employed by, any business or venture that is engaging in the same business as the Business (as defined below) of Company. For purposes hereof, "Business" means the incubation of companies and projects focused on the identification, development and commercialization of new chemical entities in the bio-pharmaceutical field.</w:t>
      </w:r>
    </w:p>
    <w:p>
      <w:pPr>
        <w:spacing w:after="0" w:line="190" w:lineRule="exact"/>
        <w:rPr>
          <w:rFonts w:ascii="Arial" w:cs="Arial" w:eastAsia="Arial" w:hAnsi="Arial"/>
          <w:sz w:val="16"/>
          <w:szCs w:val="16"/>
          <w:color w:val="auto"/>
        </w:rPr>
      </w:pPr>
    </w:p>
    <w:p>
      <w:pPr>
        <w:jc w:val="both"/>
        <w:ind w:left="620" w:hanging="617"/>
        <w:spacing w:after="0" w:line="259" w:lineRule="auto"/>
        <w:tabs>
          <w:tab w:leader="none" w:pos="6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Employee agrees and undertakes that during the Term and for a period of twelve (12) months following termination of his engagement for whatever reason, Employee will not, directly or indirectly, including personally or in any business in which Employee may have a controlling interest, solicit for employment any person who is employed by Company, or any person materially retained by Company as a Employee, advisor or the like who is subject to an undertaking towards Company to refrain from engagement in activities competing with the activities of Company, or was retained as an employee, consultant, advisor or the like during the six months preceding termination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1"/>
          <w:szCs w:val="21"/>
          <w:color w:val="auto"/>
        </w:rPr>
        <w:t>- 13 -</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Reasonableness of Protective Covenants</w:t>
      </w:r>
    </w:p>
    <w:p>
      <w:pPr>
        <w:spacing w:after="0" w:line="248" w:lineRule="exact"/>
        <w:rPr>
          <w:sz w:val="20"/>
          <w:szCs w:val="20"/>
          <w:color w:val="auto"/>
        </w:rPr>
      </w:pPr>
    </w:p>
    <w:p>
      <w:pPr>
        <w:jc w:val="both"/>
        <w:ind w:left="620" w:hanging="617"/>
        <w:spacing w:after="0" w:line="275" w:lineRule="auto"/>
        <w:tabs>
          <w:tab w:leader="none" w:pos="6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Insofar as the protective covenants set forth in this Exhibit are concerned, Employee specifically acknowledges, stipulates and agrees as follows: (i) the protective covenants are reasonable and necessary to protect the goodwill, property and Proprietary Information of Company, and the operations and business of Company; and (ii) the time duration of the protective covenants is reasonable and necessary to protect the goodwill and the operations and business of Company, and does not impose a greater restrain than is necessary to protect the goodwill or other business interests of Company. Nevertheless, if any of the restrictions set forth in this Exhibit is found by a court having jurisdiction to be unreasonable or overly-broad as to geographic area, scope or time or to be otherwise unenforceable, the parties hereto intend for the restrictions set forth in this Exhibit to be reformed, modified and redefined by such court so as to be reasonable and enforceable and, as so modified by such court, to be fully enforced.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Remedies for Breach</w:t>
      </w:r>
    </w:p>
    <w:p>
      <w:pPr>
        <w:spacing w:after="0" w:line="248" w:lineRule="exact"/>
        <w:rPr>
          <w:sz w:val="20"/>
          <w:szCs w:val="20"/>
          <w:color w:val="auto"/>
        </w:rPr>
      </w:pPr>
    </w:p>
    <w:p>
      <w:pPr>
        <w:jc w:val="both"/>
        <w:ind w:left="620" w:hanging="617"/>
        <w:spacing w:after="0" w:line="317" w:lineRule="auto"/>
        <w:tabs>
          <w:tab w:leader="none" w:pos="6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Employee acknowledges that the legal remedies for breach of the provisions of this Exhibit may be found inadequate and therefore agrees that, in addition to all of the remedies available to Company in the event of a breach or a threatened breach of any of such provisions, Company may also, in addition to any other remedies which may be available under applicable law, obtain temporary, preliminary and permanent injunctions against any and all such actions.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Intent of Parties</w:t>
      </w:r>
    </w:p>
    <w:p>
      <w:pPr>
        <w:spacing w:after="0" w:line="248" w:lineRule="exact"/>
        <w:rPr>
          <w:sz w:val="20"/>
          <w:szCs w:val="20"/>
          <w:color w:val="auto"/>
        </w:rPr>
      </w:pPr>
    </w:p>
    <w:p>
      <w:pPr>
        <w:jc w:val="both"/>
        <w:ind w:left="620" w:hanging="617"/>
        <w:spacing w:after="0" w:line="261" w:lineRule="auto"/>
        <w:tabs>
          <w:tab w:leader="none" w:pos="6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Employee recognizes and agrees: (i) that this Exhibit is necessary and essential to protect the business of Company and to realize and derive all the benefits, rights and expectations of conducting Company’s business; (ii) that the area and duration of the protective covenants contained herein are in all things reasonable; and (iii) that good and valuable consideration exists under the Agreement, for Employee's agreement to be bound by the provisions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741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7"/>
          <w:szCs w:val="17"/>
          <w:color w:val="auto"/>
        </w:rPr>
        <w:t>- 14 -</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Exhibit A to the Employment Agreement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BioLineRx and Dr. Morris Laster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Stock Incentive Scheme</w:t>
      </w:r>
    </w:p>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This Stock Incentive Scheme is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that certain Employment Agreement by and between BioLineRx Ltd. (the “</w:t>
      </w:r>
      <w:r>
        <w:rPr>
          <w:rFonts w:ascii="Arial" w:cs="Arial" w:eastAsia="Arial" w:hAnsi="Arial"/>
          <w:sz w:val="17"/>
          <w:szCs w:val="17"/>
          <w:b w:val="1"/>
          <w:bCs w:val="1"/>
          <w:color w:val="auto"/>
        </w:rPr>
        <w:t>Company</w:t>
      </w:r>
      <w:r>
        <w:rPr>
          <w:rFonts w:ascii="Arial" w:cs="Arial" w:eastAsia="Arial" w:hAnsi="Arial"/>
          <w:sz w:val="17"/>
          <w:szCs w:val="17"/>
          <w:color w:val="auto"/>
        </w:rPr>
        <w:t>”) and Dr. Morris Laster (“</w:t>
      </w:r>
      <w:r>
        <w:rPr>
          <w:rFonts w:ascii="Arial" w:cs="Arial" w:eastAsia="Arial" w:hAnsi="Arial"/>
          <w:sz w:val="17"/>
          <w:szCs w:val="17"/>
          <w:b w:val="1"/>
          <w:bCs w:val="1"/>
          <w:color w:val="auto"/>
        </w:rPr>
        <w:t>Employee</w:t>
      </w:r>
      <w:r>
        <w:rPr>
          <w:rFonts w:ascii="Arial" w:cs="Arial" w:eastAsia="Arial" w:hAnsi="Arial"/>
          <w:sz w:val="17"/>
          <w:szCs w:val="17"/>
          <w:color w:val="auto"/>
        </w:rPr>
        <w:t>”) (the “</w:t>
      </w:r>
      <w:r>
        <w:rPr>
          <w:rFonts w:ascii="Arial" w:cs="Arial" w:eastAsia="Arial" w:hAnsi="Arial"/>
          <w:sz w:val="17"/>
          <w:szCs w:val="17"/>
          <w:b w:val="1"/>
          <w:bCs w:val="1"/>
          <w:color w:val="auto"/>
        </w:rPr>
        <w:t>Employment Agreement</w:t>
      </w:r>
      <w:r>
        <w:rPr>
          <w:rFonts w:ascii="Arial" w:cs="Arial" w:eastAsia="Arial" w:hAnsi="Arial"/>
          <w:sz w:val="17"/>
          <w:szCs w:val="17"/>
          <w:color w:val="auto"/>
        </w:rPr>
        <w:t>”).</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As additional consideration for Employee’s employment with the Company, Employee shall be entitled to grant of securities in accordance with the terms and conditions set forth herein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48" w:lineRule="exact"/>
        <w:rPr>
          <w:sz w:val="20"/>
          <w:szCs w:val="20"/>
          <w:color w:val="auto"/>
        </w:rPr>
      </w:pPr>
    </w:p>
    <w:p>
      <w:pPr>
        <w:jc w:val="both"/>
        <w:ind w:left="620" w:hanging="617"/>
        <w:spacing w:after="0" w:line="265" w:lineRule="auto"/>
        <w:tabs>
          <w:tab w:leader="none" w:pos="62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Entitlement</w:t>
      </w:r>
      <w:r>
        <w:rPr>
          <w:rFonts w:ascii="Arial" w:cs="Arial" w:eastAsia="Arial" w:hAnsi="Arial"/>
          <w:sz w:val="17"/>
          <w:szCs w:val="17"/>
          <w:color w:val="auto"/>
        </w:rPr>
        <w:t>. Employee shall be entitled to, and issued, 956,522 (nine hundred fifty six thousand and fine hundred twenty two) Ordinary Shares par value NIS 0.01 each of the Company (the “</w:t>
      </w:r>
      <w:r>
        <w:rPr>
          <w:rFonts w:ascii="Arial" w:cs="Arial" w:eastAsia="Arial" w:hAnsi="Arial"/>
          <w:sz w:val="17"/>
          <w:szCs w:val="17"/>
          <w:b w:val="1"/>
          <w:bCs w:val="1"/>
          <w:color w:val="auto"/>
        </w:rPr>
        <w:t>Incentive Shares</w:t>
      </w:r>
      <w:r>
        <w:rPr>
          <w:rFonts w:ascii="Arial" w:cs="Arial" w:eastAsia="Arial" w:hAnsi="Arial"/>
          <w:sz w:val="17"/>
          <w:szCs w:val="17"/>
          <w:color w:val="auto"/>
        </w:rPr>
        <w:t>”), in accordance with the following provisions of this Section 1 and the other provisions of this Exhibit.</w:t>
      </w:r>
    </w:p>
    <w:p>
      <w:pPr>
        <w:spacing w:after="0" w:line="195" w:lineRule="exact"/>
        <w:rPr>
          <w:rFonts w:ascii="Arial" w:cs="Arial" w:eastAsia="Arial" w:hAnsi="Arial"/>
          <w:sz w:val="17"/>
          <w:szCs w:val="17"/>
          <w:color w:val="auto"/>
        </w:rPr>
      </w:pPr>
    </w:p>
    <w:p>
      <w:pPr>
        <w:jc w:val="both"/>
        <w:ind w:left="620" w:hanging="617"/>
        <w:spacing w:after="0" w:line="259" w:lineRule="auto"/>
        <w:tabs>
          <w:tab w:leader="none" w:pos="62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Section 102 Grant</w:t>
      </w:r>
      <w:r>
        <w:rPr>
          <w:rFonts w:ascii="Arial" w:cs="Arial" w:eastAsia="Arial" w:hAnsi="Arial"/>
          <w:sz w:val="17"/>
          <w:szCs w:val="17"/>
          <w:color w:val="auto"/>
        </w:rPr>
        <w:t>. The Incentive Shares shall be granted and issued in accordance with the provisions of Section 102 of the Tax Ordinance (“</w:t>
      </w:r>
      <w:r>
        <w:rPr>
          <w:rFonts w:ascii="Arial" w:cs="Arial" w:eastAsia="Arial" w:hAnsi="Arial"/>
          <w:sz w:val="17"/>
          <w:szCs w:val="17"/>
          <w:b w:val="1"/>
          <w:bCs w:val="1"/>
          <w:color w:val="auto"/>
        </w:rPr>
        <w:t>Section 102</w:t>
      </w:r>
      <w:r>
        <w:rPr>
          <w:rFonts w:ascii="Arial" w:cs="Arial" w:eastAsia="Arial" w:hAnsi="Arial"/>
          <w:sz w:val="17"/>
          <w:szCs w:val="17"/>
          <w:color w:val="auto"/>
        </w:rPr>
        <w:t>”), pursuant to the “Capital Gains” track thereof, and subject to and in accordance with the general terms and conditions of a stock incentive plan to be adopted by the Board of Directors of the Company (the “</w:t>
      </w:r>
      <w:r>
        <w:rPr>
          <w:rFonts w:ascii="Arial" w:cs="Arial" w:eastAsia="Arial" w:hAnsi="Arial"/>
          <w:sz w:val="17"/>
          <w:szCs w:val="17"/>
          <w:b w:val="1"/>
          <w:bCs w:val="1"/>
          <w:color w:val="auto"/>
        </w:rPr>
        <w:t>Plan</w:t>
      </w:r>
      <w:r>
        <w:rPr>
          <w:rFonts w:ascii="Arial" w:cs="Arial" w:eastAsia="Arial" w:hAnsi="Arial"/>
          <w:sz w:val="17"/>
          <w:szCs w:val="17"/>
          <w:color w:val="auto"/>
        </w:rPr>
        <w:t>”) and to be approved by the Israeli Tax Authorities, and a particular Stock Incentive Grant Agreement to be signed by and between the Company and Employee (the “</w:t>
      </w:r>
      <w:r>
        <w:rPr>
          <w:rFonts w:ascii="Arial" w:cs="Arial" w:eastAsia="Arial" w:hAnsi="Arial"/>
          <w:sz w:val="17"/>
          <w:szCs w:val="17"/>
          <w:b w:val="1"/>
          <w:bCs w:val="1"/>
          <w:color w:val="auto"/>
        </w:rPr>
        <w:t>Stock Incentive Grant Agreement</w:t>
      </w:r>
      <w:r>
        <w:rPr>
          <w:rFonts w:ascii="Arial" w:cs="Arial" w:eastAsia="Arial" w:hAnsi="Arial"/>
          <w:sz w:val="17"/>
          <w:szCs w:val="17"/>
          <w:color w:val="auto"/>
        </w:rPr>
        <w:t>”) pursuant to the terms and conditions hereof. In the event of any discrepancy between the provisions of this Exhibit and either of the Plan or the Stock Incentive Grant Agreement, then the provisions hereof shall apply.</w:t>
      </w:r>
    </w:p>
    <w:p>
      <w:pPr>
        <w:spacing w:after="0" w:line="206" w:lineRule="exact"/>
        <w:rPr>
          <w:rFonts w:ascii="Arial" w:cs="Arial" w:eastAsia="Arial" w:hAnsi="Arial"/>
          <w:sz w:val="17"/>
          <w:szCs w:val="17"/>
          <w:color w:val="auto"/>
        </w:rPr>
      </w:pPr>
    </w:p>
    <w:p>
      <w:pPr>
        <w:ind w:left="620" w:hanging="617"/>
        <w:spacing w:after="0"/>
        <w:tabs>
          <w:tab w:leader="none" w:pos="62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Issue Price</w:t>
      </w:r>
      <w:r>
        <w:rPr>
          <w:rFonts w:ascii="Arial" w:cs="Arial" w:eastAsia="Arial" w:hAnsi="Arial"/>
          <w:sz w:val="17"/>
          <w:szCs w:val="17"/>
          <w:color w:val="auto"/>
        </w:rPr>
        <w:t>. The issue price of each Incentive Share which shall be issued to Employee shall be the par value of the share.</w:t>
      </w:r>
    </w:p>
    <w:p>
      <w:pPr>
        <w:spacing w:after="0" w:line="241" w:lineRule="exact"/>
        <w:rPr>
          <w:rFonts w:ascii="Arial" w:cs="Arial" w:eastAsia="Arial" w:hAnsi="Arial"/>
          <w:sz w:val="17"/>
          <w:szCs w:val="17"/>
          <w:color w:val="auto"/>
        </w:rPr>
      </w:pPr>
    </w:p>
    <w:p>
      <w:pPr>
        <w:jc w:val="both"/>
        <w:ind w:left="620" w:hanging="617"/>
        <w:spacing w:after="0" w:line="261" w:lineRule="auto"/>
        <w:tabs>
          <w:tab w:leader="none" w:pos="62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Notwithstanding any and all above provisions of Section 1, Employee acknowledges and agrees that all Incentive Shares are granted and issued based on the understanding that Employee will be fully and continuously engaged with the Company under the Employment Agreement for certain minimum periods of time as set forth herein below, and, accordingly it is hereby covenanted and agreed by Employee that Incentive Shares shall be subject to applicable vesting periods and in accordance with and subject to the following terms and provisions:</w:t>
      </w:r>
    </w:p>
    <w:p>
      <w:pPr>
        <w:spacing w:after="0" w:line="204" w:lineRule="exact"/>
        <w:rPr>
          <w:rFonts w:ascii="Arial" w:cs="Arial" w:eastAsia="Arial" w:hAnsi="Arial"/>
          <w:sz w:val="17"/>
          <w:szCs w:val="17"/>
          <w:color w:val="auto"/>
        </w:rPr>
      </w:pPr>
    </w:p>
    <w:p>
      <w:pPr>
        <w:ind w:left="1240" w:hanging="617"/>
        <w:spacing w:after="0" w:line="265" w:lineRule="auto"/>
        <w:rPr>
          <w:rFonts w:ascii="Arial" w:cs="Arial" w:eastAsia="Arial" w:hAnsi="Arial"/>
          <w:sz w:val="17"/>
          <w:szCs w:val="17"/>
          <w:color w:val="auto"/>
        </w:rPr>
      </w:pPr>
      <w:r>
        <w:rPr>
          <w:rFonts w:ascii="Arial" w:cs="Arial" w:eastAsia="Arial" w:hAnsi="Arial"/>
          <w:sz w:val="17"/>
          <w:szCs w:val="17"/>
          <w:color w:val="auto"/>
        </w:rPr>
        <w:t>4.125% (twenty five percent) of the Incentive Shares shall vest after 12 (twelve) months from the Commencement Date, and the remaining 75% (seventy five percent) of the Incentive Shares shall vest in 12 (twelve) equal portions on a quarterly basis over the following period of 36 (thirty six) months. The full period of 4 (four) years from the Commencement Date shall be referred to as the “</w:t>
      </w:r>
      <w:r>
        <w:rPr>
          <w:rFonts w:ascii="Arial" w:cs="Arial" w:eastAsia="Arial" w:hAnsi="Arial"/>
          <w:sz w:val="17"/>
          <w:szCs w:val="17"/>
          <w:b w:val="1"/>
          <w:bCs w:val="1"/>
          <w:color w:val="auto"/>
        </w:rPr>
        <w:t>Vesting Period</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240" w:hanging="617"/>
        <w:spacing w:after="0" w:line="273" w:lineRule="auto"/>
        <w:rPr>
          <w:rFonts w:ascii="Arial" w:cs="Arial" w:eastAsia="Arial" w:hAnsi="Arial"/>
          <w:sz w:val="17"/>
          <w:szCs w:val="17"/>
          <w:color w:val="auto"/>
        </w:rPr>
      </w:pPr>
      <w:r>
        <w:rPr>
          <w:rFonts w:ascii="Arial" w:cs="Arial" w:eastAsia="Arial" w:hAnsi="Arial"/>
          <w:sz w:val="17"/>
          <w:szCs w:val="17"/>
          <w:color w:val="auto"/>
        </w:rPr>
        <w:t>4.2</w:t>
      </w:r>
      <w:r>
        <w:rPr>
          <w:rFonts w:ascii="Arial" w:cs="Arial" w:eastAsia="Arial" w:hAnsi="Arial"/>
          <w:sz w:val="16"/>
          <w:szCs w:val="16"/>
          <w:color w:val="auto"/>
        </w:rPr>
        <w:t>In the event that, at any time during the Vesting Period, the Employment Agreement shall be terminated or cancelled for any reason whatsoever (a “</w:t>
      </w:r>
      <w:r>
        <w:rPr>
          <w:rFonts w:ascii="Arial" w:cs="Arial" w:eastAsia="Arial" w:hAnsi="Arial"/>
          <w:sz w:val="16"/>
          <w:szCs w:val="16"/>
          <w:b w:val="1"/>
          <w:bCs w:val="1"/>
          <w:color w:val="auto"/>
        </w:rPr>
        <w:t>Termination Event</w:t>
      </w:r>
      <w:r>
        <w:rPr>
          <w:rFonts w:ascii="Arial" w:cs="Arial" w:eastAsia="Arial" w:hAnsi="Arial"/>
          <w:sz w:val="16"/>
          <w:szCs w:val="16"/>
          <w:color w:val="auto"/>
        </w:rPr>
        <w:t>”), then, upon the later of the actual termination of the Employment Agreement and the end of the Notice Period, where applicable, all unvested Incentive Shares at such date shall be subject to one or more Adjustment Actions (as defined below) as shall be determined by the Company, at its sole and absolute discretion. Employee hereby agrees and confirms that the Company and the shareholders of the Company may take all such Adjustment Actions, and hereby empowers the Board of Directors of the Company or any person which may be designated by the Board of Directors of the Company to vote all the Incentive Shares (to the extent required and applicable for the above purposes only) in any way as he or she may deem fit for the above purposes. For the avoidance of doubt, a Termination Event will have no effect whatsoever with regard to any vested shares, which will include all shares vested in accordance hereof until the later of the actual termination of the Employment Agreement and the end of the Notice Period,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57415"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1"/>
          <w:szCs w:val="21"/>
          <w:color w:val="auto"/>
        </w:rPr>
        <w:t>- 15 -</w:t>
      </w:r>
    </w:p>
    <w:p>
      <w:pPr>
        <w:spacing w:after="0" w:line="230" w:lineRule="exact"/>
        <w:rPr>
          <w:sz w:val="20"/>
          <w:szCs w:val="20"/>
          <w:color w:val="auto"/>
        </w:rPr>
      </w:pPr>
    </w:p>
    <w:p>
      <w:pPr>
        <w:jc w:val="both"/>
        <w:ind w:left="1240"/>
        <w:spacing w:after="0" w:line="257" w:lineRule="auto"/>
        <w:rPr>
          <w:sz w:val="20"/>
          <w:szCs w:val="20"/>
          <w:color w:val="auto"/>
        </w:rPr>
      </w:pPr>
      <w:r>
        <w:rPr>
          <w:rFonts w:ascii="Arial" w:cs="Arial" w:eastAsia="Arial" w:hAnsi="Arial"/>
          <w:sz w:val="17"/>
          <w:szCs w:val="17"/>
          <w:color w:val="auto"/>
        </w:rPr>
        <w:t>For purposes hereof, the term “Adjustment Actions” shall mean any of the following actions which may be taken by the Company with respect to the Incentive Shares (including, for purposes hereof, any additional securities issued on account of such Incentive Shares, such as bonus shares): (i) forfeiture by the Company, (ii) redemption by the Company for the securities’ par value (or for less than that amount, if allowed under applicable law), (iii) purchase by the Company or by any other person or entity designated by the Company, for the securities’ par value (or for less than that amount, if allowed under applicable law); (iv) conversion into deferred shares entitling their holder only to their par value upon liquidation of the Company, or (v) any other action which may be required in order to achieve similar results – all as shall be determined by the Company, at its sole and absolute discretion.</w:t>
      </w:r>
    </w:p>
    <w:p>
      <w:pPr>
        <w:spacing w:after="0" w:line="207" w:lineRule="exact"/>
        <w:rPr>
          <w:sz w:val="20"/>
          <w:szCs w:val="20"/>
          <w:color w:val="auto"/>
        </w:rPr>
      </w:pPr>
    </w:p>
    <w:p>
      <w:pPr>
        <w:jc w:val="both"/>
        <w:ind w:left="620" w:hanging="617"/>
        <w:spacing w:after="0" w:line="279" w:lineRule="auto"/>
        <w:tabs>
          <w:tab w:leader="none" w:pos="62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Acceleration Events</w:t>
      </w:r>
      <w:r>
        <w:rPr>
          <w:rFonts w:ascii="Arial" w:cs="Arial" w:eastAsia="Arial" w:hAnsi="Arial"/>
          <w:sz w:val="16"/>
          <w:szCs w:val="16"/>
          <w:color w:val="auto"/>
        </w:rPr>
        <w:t>. Notwithstanding the aforesaid provisions of Section 4, it is agreed that, during the Vesting Period: (i) upon the closing of an M&amp;A Transaction (as defined in Section 1.9 of the Employment Agreement), all of the Incentive Shares then still subject to vesting shall be deemed fully vested; and (ii) in the event of death of Employee or permanent severe disability of Employee that no longer enables Employee to reasonably work, 50% (fifty percent) of all the Incentive Shares then still subject to vesting shall be deemed fully vested. For the avoidance of doubt, the provisions of Section 4 shall no longer apply to any Incentive Shares deemed vested in accordance with the provisions of this Section 5.</w:t>
      </w:r>
    </w:p>
    <w:p>
      <w:pPr>
        <w:spacing w:after="0" w:line="191" w:lineRule="exact"/>
        <w:rPr>
          <w:rFonts w:ascii="Arial" w:cs="Arial" w:eastAsia="Arial" w:hAnsi="Arial"/>
          <w:sz w:val="16"/>
          <w:szCs w:val="16"/>
          <w:color w:val="auto"/>
        </w:rPr>
      </w:pPr>
    </w:p>
    <w:p>
      <w:pPr>
        <w:ind w:left="620" w:hanging="617"/>
        <w:spacing w:after="0" w:line="278" w:lineRule="auto"/>
        <w:tabs>
          <w:tab w:leader="none" w:pos="62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No Engagement Commitment</w:t>
      </w:r>
      <w:r>
        <w:rPr>
          <w:rFonts w:ascii="Arial" w:cs="Arial" w:eastAsia="Arial" w:hAnsi="Arial"/>
          <w:sz w:val="17"/>
          <w:szCs w:val="17"/>
          <w:color w:val="auto"/>
        </w:rPr>
        <w:t>. For avoidance of doubt, it is clarified that nothing in this Exhibit shall be deemed as an undertaking of the Company to retain Employee’s services for any minimum period of time.</w:t>
      </w:r>
    </w:p>
    <w:p>
      <w:pPr>
        <w:spacing w:after="0" w:line="190" w:lineRule="exact"/>
        <w:rPr>
          <w:rFonts w:ascii="Arial" w:cs="Arial" w:eastAsia="Arial" w:hAnsi="Arial"/>
          <w:sz w:val="17"/>
          <w:szCs w:val="17"/>
          <w:color w:val="auto"/>
        </w:rPr>
      </w:pPr>
    </w:p>
    <w:p>
      <w:pPr>
        <w:jc w:val="both"/>
        <w:ind w:left="620" w:hanging="617"/>
        <w:spacing w:after="0" w:line="265" w:lineRule="auto"/>
        <w:tabs>
          <w:tab w:leader="none" w:pos="62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Rights and Obligations of the Incentive Shares</w:t>
      </w:r>
      <w:r>
        <w:rPr>
          <w:rFonts w:ascii="Arial" w:cs="Arial" w:eastAsia="Arial" w:hAnsi="Arial"/>
          <w:sz w:val="17"/>
          <w:szCs w:val="17"/>
          <w:color w:val="auto"/>
        </w:rPr>
        <w:t>. The Incentive Shares shall be entitled to all rights and shall be subject to all obligations and restrictions as set forth in the Articles of Association of the Company applicable to the Ordinary Shares of the Company, as such rights, obligations and restrictions may be from time to time (subject to the following).</w:t>
      </w:r>
    </w:p>
    <w:p>
      <w:pPr>
        <w:spacing w:after="0" w:line="201" w:lineRule="exact"/>
        <w:rPr>
          <w:rFonts w:ascii="Arial" w:cs="Arial" w:eastAsia="Arial" w:hAnsi="Arial"/>
          <w:sz w:val="17"/>
          <w:szCs w:val="17"/>
          <w:color w:val="auto"/>
        </w:rPr>
      </w:pPr>
    </w:p>
    <w:p>
      <w:pPr>
        <w:ind w:left="620" w:hanging="617"/>
        <w:spacing w:after="0"/>
        <w:tabs>
          <w:tab w:leader="none" w:pos="620"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Simultaneously with the execution of this Agreement, you shall execute the irrevocable power of attorney form, attached hereto as</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b w:val="1"/>
          <w:bCs w:val="1"/>
          <w:u w:val="single" w:color="auto"/>
          <w:color w:val="auto"/>
        </w:rPr>
        <w:t>Annex I</w:t>
      </w:r>
      <w:r>
        <w:rPr>
          <w:rFonts w:ascii="Arial" w:cs="Arial" w:eastAsia="Arial" w:hAnsi="Arial"/>
          <w:sz w:val="17"/>
          <w:szCs w:val="17"/>
          <w:b w:val="1"/>
          <w:bCs w:val="1"/>
          <w:color w:val="auto"/>
        </w:rPr>
        <w:t>.</w:t>
      </w:r>
    </w:p>
    <w:p>
      <w:pPr>
        <w:spacing w:after="0" w:line="230" w:lineRule="exact"/>
        <w:rPr>
          <w:rFonts w:ascii="Arial" w:cs="Arial" w:eastAsia="Arial" w:hAnsi="Arial"/>
          <w:sz w:val="16"/>
          <w:szCs w:val="16"/>
          <w:color w:val="auto"/>
        </w:rPr>
      </w:pPr>
    </w:p>
    <w:p>
      <w:pPr>
        <w:jc w:val="both"/>
        <w:ind w:left="620" w:hanging="617"/>
        <w:spacing w:after="0" w:line="257" w:lineRule="auto"/>
        <w:tabs>
          <w:tab w:leader="none" w:pos="62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Dividend Distributions During the Vesting Period</w:t>
      </w:r>
      <w:r>
        <w:rPr>
          <w:rFonts w:ascii="Arial" w:cs="Arial" w:eastAsia="Arial" w:hAnsi="Arial"/>
          <w:sz w:val="17"/>
          <w:szCs w:val="17"/>
          <w:color w:val="auto"/>
        </w:rPr>
        <w:t>. In the event that during the Vesting Period, the Company shall make any distribution of dividends or the like distributions in cash or kind (“</w:t>
      </w:r>
      <w:r>
        <w:rPr>
          <w:rFonts w:ascii="Arial" w:cs="Arial" w:eastAsia="Arial" w:hAnsi="Arial"/>
          <w:sz w:val="17"/>
          <w:szCs w:val="17"/>
          <w:b w:val="1"/>
          <w:bCs w:val="1"/>
          <w:color w:val="auto"/>
        </w:rPr>
        <w:t>Dividends</w:t>
      </w:r>
      <w:r>
        <w:rPr>
          <w:rFonts w:ascii="Arial" w:cs="Arial" w:eastAsia="Arial" w:hAnsi="Arial"/>
          <w:sz w:val="17"/>
          <w:szCs w:val="17"/>
          <w:color w:val="auto"/>
        </w:rPr>
        <w:t>”) to its shareholders (each a “</w:t>
      </w:r>
      <w:r>
        <w:rPr>
          <w:rFonts w:ascii="Arial" w:cs="Arial" w:eastAsia="Arial" w:hAnsi="Arial"/>
          <w:sz w:val="17"/>
          <w:szCs w:val="17"/>
          <w:b w:val="1"/>
          <w:bCs w:val="1"/>
          <w:color w:val="auto"/>
        </w:rPr>
        <w:t>Given Distribution</w:t>
      </w:r>
      <w:r>
        <w:rPr>
          <w:rFonts w:ascii="Arial" w:cs="Arial" w:eastAsia="Arial" w:hAnsi="Arial"/>
          <w:sz w:val="17"/>
          <w:szCs w:val="17"/>
          <w:color w:val="auto"/>
        </w:rPr>
        <w:t>”), then: (i) at the time of any Given Distribution, Employee shall receive Dividends based on the portion of vested Incentive Shares as at that time, and (ii) upon vesting of each additional portion of Incentive Shares, Employee shall receive an additional proportionate portion of the Given Distribution. The Company shall set aside, in a segregated trust account, Dividends due but not yet paid to Employee pursuant to this Section 9, and shall remit any interest accumulated with regard thereto to Employee together with the Dividend.</w:t>
      </w:r>
    </w:p>
    <w:p>
      <w:pPr>
        <w:spacing w:after="0" w:line="210" w:lineRule="exact"/>
        <w:rPr>
          <w:rFonts w:ascii="Arial" w:cs="Arial" w:eastAsia="Arial" w:hAnsi="Arial"/>
          <w:sz w:val="17"/>
          <w:szCs w:val="17"/>
          <w:color w:val="auto"/>
        </w:rPr>
      </w:pPr>
    </w:p>
    <w:p>
      <w:pPr>
        <w:jc w:val="both"/>
        <w:ind w:left="620" w:hanging="617"/>
        <w:spacing w:after="0" w:line="257" w:lineRule="auto"/>
        <w:tabs>
          <w:tab w:leader="none" w:pos="62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Restricted Transfer; Transfer Arrangements</w:t>
      </w:r>
      <w:r>
        <w:rPr>
          <w:rFonts w:ascii="Arial" w:cs="Arial" w:eastAsia="Arial" w:hAnsi="Arial"/>
          <w:sz w:val="17"/>
          <w:szCs w:val="17"/>
          <w:color w:val="auto"/>
        </w:rPr>
        <w:t>. During the Vesting Period, the Incentive Shares may not be transferred, assigned, mortgaged or otherwise disposed of in any manner (a “</w:t>
      </w:r>
      <w:r>
        <w:rPr>
          <w:rFonts w:ascii="Arial" w:cs="Arial" w:eastAsia="Arial" w:hAnsi="Arial"/>
          <w:sz w:val="17"/>
          <w:szCs w:val="17"/>
          <w:b w:val="1"/>
          <w:bCs w:val="1"/>
          <w:color w:val="auto"/>
        </w:rPr>
        <w:t>Transfer</w:t>
      </w:r>
      <w:r>
        <w:rPr>
          <w:rFonts w:ascii="Arial" w:cs="Arial" w:eastAsia="Arial" w:hAnsi="Arial"/>
          <w:sz w:val="17"/>
          <w:szCs w:val="17"/>
          <w:color w:val="auto"/>
        </w:rPr>
        <w:t>”), and any unauthorized Transfer, shall subject such shares to an Adjustment Action. As of the end of the Vesting Period, the Incentive Shares may be freely Transferred, subject to the general terms and conditions applicable to all shares of the Company as may be set in the Articles of Association of the Company. Employee specifically acknowledges and agrees that the Inventive Shares shall be subject to any and all “Bring Along” or “Tag Along” arrangements which may be set in the Articles of Association of the Company to the extent imposed on all or substantially all of the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384175</wp:posOffset>
            </wp:positionV>
            <wp:extent cx="7257415"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21"/>
          <w:szCs w:val="21"/>
          <w:color w:val="auto"/>
        </w:rPr>
        <w:t>- 16 -</w:t>
      </w:r>
    </w:p>
    <w:p>
      <w:pPr>
        <w:spacing w:after="0" w:line="230" w:lineRule="exact"/>
        <w:rPr>
          <w:sz w:val="20"/>
          <w:szCs w:val="20"/>
          <w:color w:val="auto"/>
        </w:rPr>
      </w:pPr>
    </w:p>
    <w:p>
      <w:pPr>
        <w:jc w:val="both"/>
        <w:ind w:left="620" w:hanging="617"/>
        <w:spacing w:after="0" w:line="277" w:lineRule="auto"/>
        <w:tabs>
          <w:tab w:leader="none" w:pos="62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Taxation</w:t>
      </w:r>
      <w:r>
        <w:rPr>
          <w:rFonts w:ascii="Arial" w:cs="Arial" w:eastAsia="Arial" w:hAnsi="Arial"/>
          <w:sz w:val="16"/>
          <w:szCs w:val="16"/>
          <w:color w:val="auto"/>
        </w:rPr>
        <w:t>. All tax consequences arising from the grant and vesting of the Incentive Shares, or the exercise of any Adjustment Actions or from any other event or act of the Company or Employee hereunder, shall be borne solely by Employee, and Employee will indemnify the Company and hold it harmless against and from any and all liability for any such tax or interest or penalty thereon, including without limitation, liabilities relating to the necessity to withhold, or to have withheld, any such tax. Employee hereby irrevocably authorizes the Company to deduct from any payment, which may be due to Employee from the Company any amount Employee may owe in accordance with the above provisions of this Section 11. Notwithstanding the above, the Company shall be liable for any failure to lawfully prepare, file and administer the Plan in accordance with applicable law.</w:t>
      </w:r>
    </w:p>
    <w:p>
      <w:pPr>
        <w:spacing w:after="0" w:line="192" w:lineRule="exact"/>
        <w:rPr>
          <w:rFonts w:ascii="Arial" w:cs="Arial" w:eastAsia="Arial" w:hAnsi="Arial"/>
          <w:sz w:val="16"/>
          <w:szCs w:val="16"/>
          <w:color w:val="auto"/>
        </w:rPr>
      </w:pPr>
    </w:p>
    <w:p>
      <w:pPr>
        <w:ind w:left="620" w:hanging="617"/>
        <w:spacing w:after="0" w:line="278" w:lineRule="auto"/>
        <w:tabs>
          <w:tab w:leader="none" w:pos="62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Equity in Spin-Offs</w:t>
      </w:r>
      <w:r>
        <w:rPr>
          <w:rFonts w:ascii="Arial" w:cs="Arial" w:eastAsia="Arial" w:hAnsi="Arial"/>
          <w:sz w:val="17"/>
          <w:szCs w:val="17"/>
          <w:color w:val="auto"/>
        </w:rPr>
        <w:t>. To the extent that the Company shall spin-off any subsidiary or division of the Company, so that it shall be held, in whole or in part, by the Company’s shareholders (a “</w:t>
      </w:r>
      <w:r>
        <w:rPr>
          <w:rFonts w:ascii="Arial" w:cs="Arial" w:eastAsia="Arial" w:hAnsi="Arial"/>
          <w:sz w:val="17"/>
          <w:szCs w:val="17"/>
          <w:b w:val="1"/>
          <w:bCs w:val="1"/>
          <w:color w:val="auto"/>
        </w:rPr>
        <w:t>Spin-Off</w:t>
      </w:r>
      <w:r>
        <w:rPr>
          <w:rFonts w:ascii="Arial" w:cs="Arial" w:eastAsia="Arial" w:hAnsi="Arial"/>
          <w:sz w:val="17"/>
          <w:szCs w:val="17"/>
          <w:color w:val="auto"/>
        </w:rPr>
        <w:t>”), the following provisions shall apply:</w:t>
      </w:r>
    </w:p>
    <w:p>
      <w:pPr>
        <w:spacing w:after="0" w:line="190" w:lineRule="exact"/>
        <w:rPr>
          <w:rFonts w:ascii="Arial" w:cs="Arial" w:eastAsia="Arial" w:hAnsi="Arial"/>
          <w:sz w:val="17"/>
          <w:szCs w:val="17"/>
          <w:color w:val="auto"/>
        </w:rPr>
      </w:pPr>
    </w:p>
    <w:p>
      <w:pPr>
        <w:ind w:left="1240" w:hanging="617"/>
        <w:spacing w:after="0" w:line="289" w:lineRule="auto"/>
        <w:rPr>
          <w:rFonts w:ascii="Arial" w:cs="Arial" w:eastAsia="Arial" w:hAnsi="Arial"/>
          <w:sz w:val="17"/>
          <w:szCs w:val="17"/>
          <w:color w:val="auto"/>
        </w:rPr>
      </w:pPr>
      <w:r>
        <w:rPr>
          <w:rFonts w:ascii="Arial" w:cs="Arial" w:eastAsia="Arial" w:hAnsi="Arial"/>
          <w:sz w:val="17"/>
          <w:szCs w:val="17"/>
          <w:color w:val="auto"/>
        </w:rPr>
        <w:t>12.1</w:t>
      </w:r>
      <w:r>
        <w:rPr>
          <w:rFonts w:ascii="Arial" w:cs="Arial" w:eastAsia="Arial" w:hAnsi="Arial"/>
          <w:sz w:val="16"/>
          <w:szCs w:val="16"/>
          <w:color w:val="auto"/>
        </w:rPr>
        <w:t>Upon the incorporation of any Spin-Off, Employee shall be entitled and issued securities of the Spin-Off with substantially similar terms as those of the Incentive Shares (or securities with better terms, at the discretion of the founders of the Spin-Off or its Board of Directors) (the “</w:t>
      </w:r>
      <w:r>
        <w:rPr>
          <w:rFonts w:ascii="Arial" w:cs="Arial" w:eastAsia="Arial" w:hAnsi="Arial"/>
          <w:sz w:val="16"/>
          <w:szCs w:val="16"/>
          <w:b w:val="1"/>
          <w:bCs w:val="1"/>
          <w:color w:val="auto"/>
        </w:rPr>
        <w:t>Spin-Off</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in an amount equal to the proportionate holdings of Employee in the Company at the time of incorporation of the Spin-Off.</w:t>
      </w:r>
    </w:p>
    <w:p>
      <w:pPr>
        <w:spacing w:after="0" w:line="184" w:lineRule="exact"/>
        <w:rPr>
          <w:rFonts w:ascii="Arial" w:cs="Arial" w:eastAsia="Arial" w:hAnsi="Arial"/>
          <w:sz w:val="17"/>
          <w:szCs w:val="17"/>
          <w:color w:val="auto"/>
        </w:rPr>
      </w:pPr>
    </w:p>
    <w:p>
      <w:pPr>
        <w:ind w:left="1240" w:hanging="617"/>
        <w:spacing w:after="0" w:line="278" w:lineRule="auto"/>
        <w:rPr>
          <w:rFonts w:ascii="Arial" w:cs="Arial" w:eastAsia="Arial" w:hAnsi="Arial"/>
          <w:sz w:val="17"/>
          <w:szCs w:val="17"/>
          <w:color w:val="auto"/>
        </w:rPr>
      </w:pPr>
      <w:r>
        <w:rPr>
          <w:rFonts w:ascii="Arial" w:cs="Arial" w:eastAsia="Arial" w:hAnsi="Arial"/>
          <w:sz w:val="17"/>
          <w:szCs w:val="17"/>
          <w:color w:val="auto"/>
        </w:rPr>
        <w:t>12.2To the extent that at a later stage, any Incentive Shares shall be subject to an Adjustment Action, then an applicable portion of the Spin-Off Shares shall be similarly adjusted as set forth with respect to the Incentive Shares.</w:t>
      </w:r>
    </w:p>
    <w:p>
      <w:pPr>
        <w:spacing w:after="0" w:line="19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12.3</w:t>
      </w:r>
      <w:r>
        <w:rPr>
          <w:rFonts w:ascii="Arial" w:cs="Arial" w:eastAsia="Arial" w:hAnsi="Arial"/>
          <w:sz w:val="15"/>
          <w:szCs w:val="15"/>
          <w:color w:val="auto"/>
        </w:rPr>
        <w:t xml:space="preserve">The provisions of Sections 3 and 7-11 (inclusive)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with respect to any and all Spin-Offs as well.</w:t>
      </w:r>
    </w:p>
    <w:p>
      <w:pPr>
        <w:spacing w:after="0" w:line="241" w:lineRule="exact"/>
        <w:rPr>
          <w:rFonts w:ascii="Arial" w:cs="Arial" w:eastAsia="Arial" w:hAnsi="Arial"/>
          <w:sz w:val="17"/>
          <w:szCs w:val="17"/>
          <w:color w:val="auto"/>
        </w:rPr>
      </w:pPr>
    </w:p>
    <w:p>
      <w:pPr>
        <w:ind w:left="1240" w:hanging="617"/>
        <w:spacing w:after="0" w:line="278" w:lineRule="auto"/>
        <w:rPr>
          <w:rFonts w:ascii="Arial" w:cs="Arial" w:eastAsia="Arial" w:hAnsi="Arial"/>
          <w:sz w:val="17"/>
          <w:szCs w:val="17"/>
          <w:color w:val="auto"/>
        </w:rPr>
      </w:pPr>
      <w:r>
        <w:rPr>
          <w:rFonts w:ascii="Arial" w:cs="Arial" w:eastAsia="Arial" w:hAnsi="Arial"/>
          <w:sz w:val="17"/>
          <w:szCs w:val="17"/>
          <w:color w:val="auto"/>
        </w:rPr>
        <w:t>12.4The corporate documents and/or shareholders agreement(s) of each Spin-Off may further elaborate on the above matters, as may be required in order to fully implement the above agreements.</w:t>
      </w:r>
    </w:p>
    <w:p>
      <w:pPr>
        <w:spacing w:after="0" w:line="190" w:lineRule="exact"/>
        <w:rPr>
          <w:rFonts w:ascii="Arial" w:cs="Arial" w:eastAsia="Arial" w:hAnsi="Arial"/>
          <w:sz w:val="17"/>
          <w:szCs w:val="17"/>
          <w:color w:val="auto"/>
        </w:rPr>
      </w:pPr>
    </w:p>
    <w:p>
      <w:pPr>
        <w:jc w:val="both"/>
        <w:ind w:left="620" w:hanging="617"/>
        <w:spacing w:after="0" w:line="275" w:lineRule="auto"/>
        <w:tabs>
          <w:tab w:leader="none" w:pos="62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Minimum Equity Holding</w:t>
      </w:r>
      <w:r>
        <w:rPr>
          <w:rFonts w:ascii="Arial" w:cs="Arial" w:eastAsia="Arial" w:hAnsi="Arial"/>
          <w:sz w:val="16"/>
          <w:szCs w:val="16"/>
          <w:color w:val="auto"/>
        </w:rPr>
        <w:t>. The amount of the Incentive Shares set forth in Section 1 of this Stock Incentive Scheme reflects 8% (eight percent) of the issued and outstanding share capital of the Company based on the securities issued hereunder to the Employee plus the securities issued to, or for the benefit of, the founders investing in the Company in consideration for a contemplated aggregate equity investment of US$11,000,000 (eleven million U.S. Dollars) (the “</w:t>
      </w:r>
      <w:r>
        <w:rPr>
          <w:rFonts w:ascii="Arial" w:cs="Arial" w:eastAsia="Arial" w:hAnsi="Arial"/>
          <w:sz w:val="16"/>
          <w:szCs w:val="16"/>
          <w:b w:val="1"/>
          <w:bCs w:val="1"/>
          <w:color w:val="auto"/>
        </w:rPr>
        <w:t>$11 Million Investment Amount</w:t>
      </w:r>
      <w:r>
        <w:rPr>
          <w:rFonts w:ascii="Arial" w:cs="Arial" w:eastAsia="Arial" w:hAnsi="Arial"/>
          <w:sz w:val="16"/>
          <w:szCs w:val="16"/>
          <w:color w:val="auto"/>
        </w:rPr>
        <w:t>”). In the event that raising $11 Million Investment Amount, whether from the founders or from any additional third parties, shall require the issuance by the Company of any additional Financing Securities (as defined below), the Employee’s shall be entitled to additional Incentive Shares so to prevent dilution of his holdings as a result of the issuance of such additional securities. For the avoidance of any doubt, such increased amount of Incentive Shares shall also be taken into account with respect to the Employee’s rights under Section 12 above.</w:t>
      </w:r>
    </w:p>
    <w:p>
      <w:pPr>
        <w:spacing w:after="0" w:line="196" w:lineRule="exact"/>
        <w:rPr>
          <w:rFonts w:ascii="Arial" w:cs="Arial" w:eastAsia="Arial" w:hAnsi="Arial"/>
          <w:sz w:val="16"/>
          <w:szCs w:val="16"/>
          <w:color w:val="auto"/>
        </w:rPr>
      </w:pPr>
    </w:p>
    <w:p>
      <w:pPr>
        <w:jc w:val="both"/>
        <w:ind w:left="620"/>
        <w:spacing w:after="0" w:line="272" w:lineRule="auto"/>
        <w:rPr>
          <w:rFonts w:ascii="Arial" w:cs="Arial" w:eastAsia="Arial" w:hAnsi="Arial"/>
          <w:sz w:val="16"/>
          <w:szCs w:val="16"/>
          <w:color w:val="auto"/>
        </w:rPr>
      </w:pPr>
      <w:r>
        <w:rPr>
          <w:rFonts w:ascii="Arial" w:cs="Arial" w:eastAsia="Arial" w:hAnsi="Arial"/>
          <w:sz w:val="16"/>
          <w:szCs w:val="16"/>
          <w:color w:val="auto"/>
        </w:rPr>
        <w:t>For purposes hereof, the term “Financing Securities” means any securities issued to a person or another legal entity making an equity investment in the Company, the principal purpose of which issuance is the raising of capital by the Company through the sale of securities of the Company. Without derogating from the aforesaid definition, the following securities are specifically excluded from the above definition of “Financing Securities”: (a) loans, debentures convertible notes, and the like so long as they have not yet been actually exercised, exchanged, or converted into shares of the Company (“</w:t>
      </w:r>
      <w:r>
        <w:rPr>
          <w:rFonts w:ascii="Arial" w:cs="Arial" w:eastAsia="Arial" w:hAnsi="Arial"/>
          <w:sz w:val="16"/>
          <w:szCs w:val="16"/>
          <w:b w:val="1"/>
          <w:bCs w:val="1"/>
          <w:color w:val="auto"/>
        </w:rPr>
        <w:t>Loans</w:t>
      </w:r>
      <w:r>
        <w:rPr>
          <w:rFonts w:ascii="Arial" w:cs="Arial" w:eastAsia="Arial" w:hAnsi="Arial"/>
          <w:sz w:val="16"/>
          <w:szCs w:val="16"/>
          <w:color w:val="auto"/>
        </w:rPr>
        <w:t>”); notwithstanding the aforesaid, it is agreed that any convertible notes which may be issued to Teva under the Founders Agreement shall not be deemed as a Loan for purpose of this provision, but rather shall be deemed Financing Securities; (b) securities issued pursuant to or under various incentive arrangements (e.g., employees and service providers stock incentive plans, stock grants to directors and officers, etc.); (c) securities issued in consideration for goods or services provided and the like issuances (such as and specifically including issuances to banks and the like financial institutions granting loans or credit lines or the like facilities, issuances to equipment lessors, acquisition of other corporations, etc.); (d) securities issued upon exercise or conversion of shares, options, warrants, convertible notes and the like securities (the “</w:t>
      </w:r>
      <w:r>
        <w:rPr>
          <w:rFonts w:ascii="Arial" w:cs="Arial" w:eastAsia="Arial" w:hAnsi="Arial"/>
          <w:sz w:val="16"/>
          <w:szCs w:val="16"/>
          <w:b w:val="1"/>
          <w:bCs w:val="1"/>
          <w:color w:val="auto"/>
        </w:rPr>
        <w:t>Underlying Securities</w:t>
      </w:r>
      <w:r>
        <w:rPr>
          <w:rFonts w:ascii="Arial" w:cs="Arial" w:eastAsia="Arial" w:hAnsi="Arial"/>
          <w:sz w:val="16"/>
          <w:szCs w:val="16"/>
          <w:color w:val="auto"/>
        </w:rPr>
        <w:t>”), if the Underlying Securities were already included in the definition of Financing Securities or if they were exempt from the definition of Underlying Securities; (e) securities issued to all shareholders of the Company in connection with any stock combination or subdivision or split, issue of bonus shares or stock dividends, or any other similar recapitalization of the share capital of the Company; (f) securities issued in an M&amp;A Transaction; or (g) securities issued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257415"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1"/>
          <w:szCs w:val="21"/>
          <w:color w:val="auto"/>
        </w:rPr>
        <w:t>- 17 -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Annex 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Irrevocable Power of Attorney Form</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Until the consummation of an initial public offering (an “</w:t>
      </w:r>
      <w:r>
        <w:rPr>
          <w:rFonts w:ascii="Arial" w:cs="Arial" w:eastAsia="Arial" w:hAnsi="Arial"/>
          <w:sz w:val="16"/>
          <w:szCs w:val="16"/>
          <w:b w:val="1"/>
          <w:bCs w:val="1"/>
          <w:color w:val="auto"/>
        </w:rPr>
        <w:t>IPO</w:t>
      </w:r>
      <w:r>
        <w:rPr>
          <w:rFonts w:ascii="Arial" w:cs="Arial" w:eastAsia="Arial" w:hAnsi="Arial"/>
          <w:sz w:val="16"/>
          <w:szCs w:val="16"/>
          <w:color w:val="auto"/>
        </w:rPr>
        <w:t>”) of the securities of BioLineRx Ltd. (the “</w:t>
      </w:r>
      <w:r>
        <w:rPr>
          <w:rFonts w:ascii="Arial" w:cs="Arial" w:eastAsia="Arial" w:hAnsi="Arial"/>
          <w:sz w:val="16"/>
          <w:szCs w:val="16"/>
          <w:b w:val="1"/>
          <w:bCs w:val="1"/>
          <w:color w:val="auto"/>
        </w:rPr>
        <w:t>Company</w:t>
      </w:r>
      <w:r>
        <w:rPr>
          <w:rFonts w:ascii="Arial" w:cs="Arial" w:eastAsia="Arial" w:hAnsi="Arial"/>
          <w:sz w:val="16"/>
          <w:szCs w:val="16"/>
          <w:color w:val="auto"/>
        </w:rPr>
        <w:t>”), I, the undersigned, do hereby grant to the person or entity designated by the Company’s Board of Directors or by a committee thereof, with full powers of substitution of the Company’s Board of Directors (the “</w:t>
      </w:r>
      <w:r>
        <w:rPr>
          <w:rFonts w:ascii="Arial" w:cs="Arial" w:eastAsia="Arial" w:hAnsi="Arial"/>
          <w:sz w:val="16"/>
          <w:szCs w:val="16"/>
          <w:b w:val="1"/>
          <w:bCs w:val="1"/>
          <w:color w:val="auto"/>
        </w:rPr>
        <w:t>Representative</w:t>
      </w:r>
      <w:r>
        <w:rPr>
          <w:rFonts w:ascii="Arial" w:cs="Arial" w:eastAsia="Arial" w:hAnsi="Arial"/>
          <w:sz w:val="16"/>
          <w:szCs w:val="16"/>
          <w:color w:val="auto"/>
        </w:rPr>
        <w:t>”), complete and unlimited authority to act on my behalf, and I hereby appoint the Representative as my agent and attorney-in-fact, with respect to any matter whatsoever related to voting all shares in the Company that I hold now or may hold in the future (the “</w:t>
      </w:r>
      <w:r>
        <w:rPr>
          <w:rFonts w:ascii="Arial" w:cs="Arial" w:eastAsia="Arial" w:hAnsi="Arial"/>
          <w:sz w:val="16"/>
          <w:szCs w:val="16"/>
          <w:b w:val="1"/>
          <w:bCs w:val="1"/>
          <w:color w:val="auto"/>
        </w:rPr>
        <w:t>Shares</w:t>
      </w:r>
      <w:r>
        <w:rPr>
          <w:rFonts w:ascii="Arial" w:cs="Arial" w:eastAsia="Arial" w:hAnsi="Arial"/>
          <w:sz w:val="16"/>
          <w:szCs w:val="16"/>
          <w:color w:val="auto"/>
        </w:rPr>
        <w:t>”) and executing any waivers, consents and agreements, relating to any transaction which the Company may choose to enter into, and I irrevocably instruct the Representative to refrain from any vote of the Shares. To the extent that any waiver or the like consent shall be required from the shareholders of the Company with respect to the convening of any shareholders meetings, minimum notice of meetings and votes, and the like procedural aspects of shareholders meetings or votes, the Representative shall be authorized to sign any waiver or the like consent as may be signed by all or substantially all of the shareholders of the Company. I hereby authorize the Representative to take any further action which the Representative shall consider necessary or advisable in connection with any of the foregoing, hereby giving the Representative full power and authority to do and perform each and every act or thing whatsoever requisite or advisable to be done in and about the foregoing as fully as the undersigned might or could do if personally present, and hereby ratifying and confirming all that the Representative shall lawfully do or cause to be done by virtue hereof. I will hold the Representative harmless against any cost or expense reasonably incurred by him arising out of any act or omission to act in connection with the aforesaid, unless arising out of the Representative’s own fraud or bad faith.</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 acknowledge and agree that this power of attorney: (i) is a special power of attorney coupled with an interest and is irrevocable; (ii) shall survive any event of bankruptcy, death, adjudication of incompetence or the like, and (iii) shall survive the transfer of my shares in the Company, until duly replaced by a similar power of attorney executed by the transferee. Notwithstanding anything herein to the contrary, the power of attorney granted hereunder shall become null and void upon the consummation of an IPO.</w:t>
      </w:r>
    </w:p>
    <w:p>
      <w:pPr>
        <w:spacing w:after="0" w:line="20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Morris Laster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14605</wp:posOffset>
            </wp:positionV>
            <wp:extent cx="2883535" cy="165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883535" cy="1651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14605</wp:posOffset>
            </wp:positionV>
            <wp:extent cx="2883535" cy="165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83535"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7257415"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46" w:name="page247"/>
    <w:bookmarkEnd w:id="2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235585</wp:posOffset>
            </wp:positionV>
            <wp:extent cx="3937000" cy="9226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January 8, 2004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Dr. Moshe Phillip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51 Shimon Ben Tsvi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Givataim,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Engagement Offer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We would like to congratulate you on your offer to join the BioLineRx family and wish you a fulfilling and productive work experience.</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Below please find our offer for your employment with us. By signing this letter you indicate your acceptance to the offer and thus turn this letter into a binding employment contract between you and us (this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convenience, BioLineRx Ltd. will be called in this letter the "Company" or "we" and you will be called the "Employee" or "you".</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7" w:lineRule="exact"/>
        <w:rPr>
          <w:sz w:val="20"/>
          <w:szCs w:val="20"/>
          <w:color w:val="auto"/>
        </w:rPr>
      </w:pPr>
    </w:p>
    <w:p>
      <w:pPr>
        <w:jc w:val="both"/>
        <w:ind w:firstLine="3"/>
        <w:spacing w:after="0" w:line="254" w:lineRule="auto"/>
        <w:tabs>
          <w:tab w:leader="none" w:pos="668"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xml:space="preserve">. You shall serve in the position described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In such position you shall report regularly to, and be subject to the direction and control of, the Company's CEO. You shall perform your duties diligently, conscientiously and in furtherance of the Company's best interests. You agree and undertake to inform the Company, immediately after you become aware of it, of any matter that may in any way raise a conflict of interest between yourself and the Company. You shall not receive during your employment by the Company any payment, compensation or benefit from any third party in connection, directly or indirectly, with the execution of your position in the Company. The Company hereby declares its knowledge and acceptance of your employment by third parties and your involvement in research and the academic world (as listed in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attached and as amended from time to time in consultation with the Company). The Company is aware that your other employment and activities may impose limitations on your time in the Company's Jerusalem office, subject to specifics outlined below and reflected in Exhibit A attached.</w:t>
      </w:r>
    </w:p>
    <w:p>
      <w:pPr>
        <w:spacing w:after="0" w:line="211" w:lineRule="exact"/>
        <w:rPr>
          <w:rFonts w:ascii="Arial" w:cs="Arial" w:eastAsia="Arial" w:hAnsi="Arial"/>
          <w:sz w:val="17"/>
          <w:szCs w:val="17"/>
          <w:color w:val="auto"/>
        </w:rPr>
      </w:pPr>
    </w:p>
    <w:p>
      <w:pPr>
        <w:jc w:val="both"/>
        <w:ind w:firstLine="3"/>
        <w:spacing w:after="0" w:line="274" w:lineRule="auto"/>
        <w:tabs>
          <w:tab w:leader="none" w:pos="66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You will be function as an employee of the Company and a member of its management team. You shall devote substantial time and attention to the business of the Company taking into consideration the Company's interests and your commitments to other parties and or activities as listed in Exhibit C and as amended from time to time in consultation with the Company. Recognizing your other commitments, it has been agreed that while you will make best efforts to be available to the Company as needed, your minimum time on site at the Company's facilities in Jerusalem will be as listed in Exhibit A, unless otherwise agreed by the Company or dictated by work requirements (e.g., out of office meetings, travel, etc.). The Company confirms that except as required by specific high level meetings (e.g., Board of Directors) you will be unavailable to the Company on Wednesdays.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 law.</w:t>
      </w:r>
    </w:p>
    <w:p>
      <w:pPr>
        <w:spacing w:after="0" w:line="197" w:lineRule="exact"/>
        <w:rPr>
          <w:rFonts w:ascii="Arial" w:cs="Arial" w:eastAsia="Arial" w:hAnsi="Arial"/>
          <w:sz w:val="16"/>
          <w:szCs w:val="16"/>
          <w:color w:val="auto"/>
        </w:rPr>
      </w:pPr>
    </w:p>
    <w:p>
      <w:pPr>
        <w:jc w:val="both"/>
        <w:ind w:firstLine="3"/>
        <w:spacing w:after="0" w:line="265" w:lineRule="auto"/>
        <w:tabs>
          <w:tab w:leader="none" w:pos="72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You shall perform your duties hereunder at the Company's facilities in Israel agreed above and as detailed in Exhibit A, but you understand and agree that your position may involve significant domestic and international travel. In light of your commitments to other parties and or activities, such travel shall require your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7" w:name="page248"/>
    <w:bookmarkEnd w:id="247"/>
    <w:p>
      <w:pPr>
        <w:ind w:left="660" w:hanging="657"/>
        <w:spacing w:after="0"/>
        <w:tabs>
          <w:tab w:leader="none" w:pos="660"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Employee's Representations and Warranties</w:t>
      </w:r>
      <w:r>
        <w:rPr>
          <w:rFonts w:ascii="Arial" w:cs="Arial" w:eastAsia="Arial" w:hAnsi="Arial"/>
          <w:sz w:val="15"/>
          <w:szCs w:val="15"/>
          <w:color w:val="auto"/>
        </w:rPr>
        <w:t>. You represent and warrant that the execution and delivery of this Agreement and the fulfillment of all its terms:</w:t>
      </w:r>
    </w:p>
    <w:p>
      <w:pPr>
        <w:spacing w:after="0" w:line="44" w:lineRule="exact"/>
        <w:rPr>
          <w:rFonts w:ascii="Arial" w:cs="Arial" w:eastAsia="Arial" w:hAnsi="Arial"/>
          <w:sz w:val="15"/>
          <w:szCs w:val="15"/>
          <w:color w:val="auto"/>
        </w:rPr>
      </w:pPr>
    </w:p>
    <w:p>
      <w:pPr>
        <w:jc w:val="both"/>
        <w:spacing w:after="0" w:line="254" w:lineRule="auto"/>
        <w:rPr>
          <w:rFonts w:ascii="Arial" w:cs="Arial" w:eastAsia="Arial" w:hAnsi="Arial"/>
          <w:sz w:val="15"/>
          <w:szCs w:val="15"/>
          <w:color w:val="auto"/>
        </w:rPr>
      </w:pPr>
      <w:r>
        <w:rPr>
          <w:rFonts w:ascii="Arial" w:cs="Arial" w:eastAsia="Arial" w:hAnsi="Arial"/>
          <w:sz w:val="17"/>
          <w:szCs w:val="17"/>
          <w:color w:val="auto"/>
        </w:rPr>
        <w:t>(i) will not constitute a default under or conflict with any agreement or other instrument to which you are a party to or by which you are bound; and (ii) to the best of your knowledge do not require the consent of any person or entity. Where approvals are required, you hereby warrant that such approvals shall be received in writing and shared with the Company. Further, with respect to any past engagement you may have had with third parties and with respect to any engagement you may have with any third party during the term of your engagement with the Company (for purposes hereof, such third parties shall be referred to as "</w:t>
      </w:r>
      <w:r>
        <w:rPr>
          <w:rFonts w:ascii="Arial" w:cs="Arial" w:eastAsia="Arial" w:hAnsi="Arial"/>
          <w:sz w:val="17"/>
          <w:szCs w:val="17"/>
          <w:b w:val="1"/>
          <w:bCs w:val="1"/>
          <w:color w:val="auto"/>
        </w:rPr>
        <w:t>Other Employers</w:t>
      </w:r>
      <w:r>
        <w:rPr>
          <w:rFonts w:ascii="Arial" w:cs="Arial" w:eastAsia="Arial" w:hAnsi="Arial"/>
          <w:sz w:val="17"/>
          <w:szCs w:val="17"/>
          <w:color w:val="auto"/>
        </w:rPr>
        <w:t>"), you represent, warrant and undertake that: (a) your engagement with the Company is and/or will not be in breach of your undertakings towards Other Employers, and (b) you will not disclose to the Company, or use, in provision of any services to the Company, any proprietary or confidential information belonging to any Other Employers.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 of Employment</w:t>
      </w:r>
    </w:p>
    <w:p>
      <w:pPr>
        <w:spacing w:after="0" w:line="27" w:lineRule="exact"/>
        <w:rPr>
          <w:sz w:val="20"/>
          <w:szCs w:val="20"/>
          <w:color w:val="auto"/>
        </w:rPr>
      </w:pPr>
    </w:p>
    <w:p>
      <w:pPr>
        <w:ind w:firstLine="3"/>
        <w:spacing w:after="0" w:line="265" w:lineRule="auto"/>
        <w:tabs>
          <w:tab w:leader="none" w:pos="72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Your employment by the Company shall be deemed to have commenced on the date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shall continue until it is terminated pursuant to the terms set forth herein.</w:t>
      </w:r>
    </w:p>
    <w:p>
      <w:pPr>
        <w:spacing w:after="0" w:line="194" w:lineRule="exact"/>
        <w:rPr>
          <w:rFonts w:ascii="Arial" w:cs="Arial" w:eastAsia="Arial" w:hAnsi="Arial"/>
          <w:sz w:val="17"/>
          <w:szCs w:val="17"/>
          <w:color w:val="auto"/>
        </w:rPr>
      </w:pPr>
    </w:p>
    <w:p>
      <w:pPr>
        <w:ind w:firstLine="3"/>
        <w:spacing w:after="0" w:line="286" w:lineRule="auto"/>
        <w:tabs>
          <w:tab w:leader="none" w:pos="72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Termination at Will</w:t>
      </w:r>
      <w:r>
        <w:rPr>
          <w:rFonts w:ascii="Arial" w:cs="Arial" w:eastAsia="Arial" w:hAnsi="Arial"/>
          <w:sz w:val="17"/>
          <w:szCs w:val="17"/>
          <w:color w:val="auto"/>
        </w:rPr>
        <w:t>. Either party may terminate the employment relationship hereunder at any time by giving the other party a written notice (the “</w:t>
      </w:r>
      <w:r>
        <w:rPr>
          <w:rFonts w:ascii="Arial" w:cs="Arial" w:eastAsia="Arial" w:hAnsi="Arial"/>
          <w:sz w:val="17"/>
          <w:szCs w:val="17"/>
          <w:b w:val="1"/>
          <w:b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employment relations shall be terminated immediately upon receiving such notice</w:t>
      </w:r>
    </w:p>
    <w:p>
      <w:pPr>
        <w:spacing w:after="0" w:line="183" w:lineRule="exact"/>
        <w:rPr>
          <w:rFonts w:ascii="Arial" w:cs="Arial" w:eastAsia="Arial" w:hAnsi="Arial"/>
          <w:sz w:val="17"/>
          <w:szCs w:val="17"/>
          <w:color w:val="auto"/>
        </w:rPr>
      </w:pPr>
    </w:p>
    <w:p>
      <w:pPr>
        <w:jc w:val="both"/>
        <w:ind w:firstLine="3"/>
        <w:spacing w:after="0" w:line="257" w:lineRule="auto"/>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In the event of a termination for Cause by the Company (as defined below), the Company may immediately terminate the employment relationship effective as of the time of the notice of same. </w:t>
      </w:r>
      <w:r>
        <w:rPr>
          <w:rFonts w:ascii="Arial" w:cs="Arial" w:eastAsia="Arial" w:hAnsi="Arial"/>
          <w:sz w:val="17"/>
          <w:szCs w:val="17"/>
          <w:b w:val="1"/>
          <w:bCs w:val="1"/>
          <w:color w:val="auto"/>
        </w:rPr>
        <w:t>“Cause by Company”</w:t>
      </w:r>
      <w:r>
        <w:rPr>
          <w:rFonts w:ascii="Arial" w:cs="Arial" w:eastAsia="Arial" w:hAnsi="Arial"/>
          <w:sz w:val="17"/>
          <w:szCs w:val="17"/>
          <w:color w:val="auto"/>
        </w:rPr>
        <w:t>, means (a) a serious breach of trust including but not limited to theft, embezzlement, self-dealing, prohibited disclosure to unauthorized persons or entities of confidential or proprietary information of or relating to Company and the engaging by yourself in any prohibited business competitive to the business of the Company; or (b) any willful failure to perform any of your fundamental functions or duties hereunder, which was not cured within thirty (30) days after receipt by you of written notice thereof, or (c) other cause justifying termination or dismissal without severance payment under applicable law.</w:t>
      </w:r>
    </w:p>
    <w:p>
      <w:pPr>
        <w:spacing w:after="0" w:line="210" w:lineRule="exact"/>
        <w:rPr>
          <w:rFonts w:ascii="Arial" w:cs="Arial" w:eastAsia="Arial" w:hAnsi="Arial"/>
          <w:sz w:val="17"/>
          <w:szCs w:val="17"/>
          <w:color w:val="auto"/>
        </w:rPr>
      </w:pPr>
    </w:p>
    <w:p>
      <w:pPr>
        <w:ind w:left="640" w:hanging="637"/>
        <w:spacing w:after="0"/>
        <w:tabs>
          <w:tab w:leader="none" w:pos="640"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Notice Period; End of Relations</w:t>
      </w:r>
      <w:r>
        <w:rPr>
          <w:rFonts w:ascii="Arial" w:cs="Arial" w:eastAsia="Arial" w:hAnsi="Arial"/>
          <w:sz w:val="16"/>
          <w:szCs w:val="16"/>
          <w:color w:val="auto"/>
        </w:rPr>
        <w:t>. You shall assist the Company with the integration into the Company of the person who will assume your responsibilities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Covenants</w:t>
      </w:r>
    </w:p>
    <w:p>
      <w:pPr>
        <w:spacing w:after="0" w:line="27" w:lineRule="exact"/>
        <w:rPr>
          <w:sz w:val="20"/>
          <w:szCs w:val="20"/>
          <w:color w:val="auto"/>
        </w:rPr>
      </w:pPr>
    </w:p>
    <w:p>
      <w:pPr>
        <w:ind w:firstLine="3"/>
        <w:spacing w:after="0" w:line="265" w:lineRule="auto"/>
        <w:tabs>
          <w:tab w:leader="none" w:pos="951"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Proprietary Information; Confidentiality and Non-Competition</w:t>
      </w:r>
      <w:r>
        <w:rPr>
          <w:rFonts w:ascii="Arial" w:cs="Arial" w:eastAsia="Arial" w:hAnsi="Arial"/>
          <w:sz w:val="17"/>
          <w:szCs w:val="17"/>
          <w:color w:val="auto"/>
        </w:rPr>
        <w:t xml:space="preserve">. By executing this letter you confirm and agree to the provisions of the Company's Proprietary Information, Confidentiality and Non-Competition Agreement attached in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hereto.</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Salary; Insurance; Advanced Study Fund</w:t>
      </w:r>
    </w:p>
    <w:p>
      <w:pPr>
        <w:spacing w:after="0" w:line="27" w:lineRule="exact"/>
        <w:rPr>
          <w:sz w:val="20"/>
          <w:szCs w:val="20"/>
          <w:color w:val="auto"/>
        </w:rPr>
      </w:pPr>
    </w:p>
    <w:p>
      <w:pPr>
        <w:jc w:val="both"/>
        <w:ind w:firstLine="3"/>
        <w:spacing w:after="0" w:line="302" w:lineRule="auto"/>
        <w:tabs>
          <w:tab w:leader="none" w:pos="626"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Salary</w:t>
      </w:r>
      <w:r>
        <w:rPr>
          <w:rFonts w:ascii="Arial" w:cs="Arial" w:eastAsia="Arial" w:hAnsi="Arial"/>
          <w:sz w:val="15"/>
          <w:szCs w:val="15"/>
          <w:color w:val="auto"/>
        </w:rPr>
        <w:t xml:space="preserve">. The Company shall pay to you as compensation for the employment services, an aggregate monthly compensation in the amount set forth in </w:t>
      </w:r>
      <w:r>
        <w:rPr>
          <w:rFonts w:ascii="Arial" w:cs="Arial" w:eastAsia="Arial" w:hAnsi="Arial"/>
          <w:sz w:val="15"/>
          <w:szCs w:val="15"/>
          <w:b w:val="1"/>
          <w:bCs w:val="1"/>
          <w:u w:val="single" w:color="auto"/>
          <w:color w:val="auto"/>
        </w:rPr>
        <w:t>Exhibit</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color w:val="auto"/>
        </w:rPr>
        <w:t>Salary</w:t>
      </w:r>
      <w:r>
        <w:rPr>
          <w:rFonts w:ascii="Arial" w:cs="Arial" w:eastAsia="Arial" w:hAnsi="Arial"/>
          <w:sz w:val="15"/>
          <w:szCs w:val="15"/>
          <w:color w:val="auto"/>
        </w:rPr>
        <w:t>"). Except as specifically set forth herein, the Salary includes any and all payments to which you are entitled from the Company hereunder and under</w:t>
      </w:r>
      <w:r>
        <w:rPr>
          <w:rFonts w:ascii="Arial" w:cs="Arial" w:eastAsia="Arial" w:hAnsi="Arial"/>
          <w:sz w:val="15"/>
          <w:szCs w:val="15"/>
          <w:b w:val="1"/>
          <w:bCs w:val="1"/>
          <w:color w:val="auto"/>
        </w:rPr>
        <w:t xml:space="preserve"> </w:t>
      </w:r>
      <w:r>
        <w:rPr>
          <w:rFonts w:ascii="Arial" w:cs="Arial" w:eastAsia="Arial" w:hAnsi="Arial"/>
          <w:sz w:val="15"/>
          <w:szCs w:val="15"/>
          <w:color w:val="auto"/>
        </w:rPr>
        <w:t>any applicable law, regulation or agreement. The Salary includes any and all reimbursement of daily travel costs to which you are entitled under applicable law, and any and all other payments to which you are entitled from the Company hereunder and under any applicable law, regulation or agreement. Your Salary and other terms of employment may be reviewed and updated, from time to time by the Company's management, at its discretion. The Salary is to be paid to you no later then the 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of each calendar month after the month for which the Salary is paid after deduction of applicable taxes and the like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57415"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48" w:name="page249"/>
    <w:bookmarkEnd w:id="248"/>
    <w:p>
      <w:pPr>
        <w:jc w:val="both"/>
        <w:ind w:firstLine="3"/>
        <w:spacing w:after="0" w:line="270" w:lineRule="auto"/>
        <w:tabs>
          <w:tab w:leader="none" w:pos="688"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Insurance and Social Benefits</w:t>
      </w:r>
      <w:r>
        <w:rPr>
          <w:rFonts w:ascii="Arial" w:cs="Arial" w:eastAsia="Arial" w:hAnsi="Arial"/>
          <w:sz w:val="16"/>
          <w:szCs w:val="16"/>
          <w:color w:val="auto"/>
        </w:rPr>
        <w:t>. The Company will insure you under an "Manager's Insurance Scheme" to be selected by the Company in coordination with you; or if so requested by you under your existing "Manager's Insurance Scheme" (the "</w:t>
      </w:r>
      <w:r>
        <w:rPr>
          <w:rFonts w:ascii="Arial" w:cs="Arial" w:eastAsia="Arial" w:hAnsi="Arial"/>
          <w:sz w:val="16"/>
          <w:szCs w:val="16"/>
          <w:b w:val="1"/>
          <w:bCs w:val="1"/>
          <w:color w:val="auto"/>
        </w:rPr>
        <w:t>Insurance Scheme</w:t>
      </w:r>
      <w:r>
        <w:rPr>
          <w:rFonts w:ascii="Arial" w:cs="Arial" w:eastAsia="Arial" w:hAnsi="Arial"/>
          <w:sz w:val="16"/>
          <w:szCs w:val="16"/>
          <w:color w:val="auto"/>
        </w:rPr>
        <w:t>") as follows: (i) the Company will pay an amount equal to 5% of the Salary towards a fund for life insurance and pension, and shall deduct 5% from the Salary and pay such amount towards the Insurance Scheme for your benefit; (ii) the Company will pay an amount of up to 2.5% of the Salary towards a fund for the event of loss of working ability (Ovdan Kosher Avoda); and (iii) the Company will pay an amount equal to 8 1/3% of the Salary towards a fund for severance compensation. It is agreed that in case of termination of your employment under any circumstances other than For Cause by law, the Company shall have released to you the Insurance scheme including that portion of the Insurance Scheme paid towards a fund for severance compensation (sub-clause (iii) above), and the same shall constitute as part of the severance compensation to which you are entitled. The Company shall sign an automatic transfer deed waiving any right to withhold or prevent the transfer of the ownership of the Insurance Scheme to you other than for cause by law.</w:t>
      </w:r>
    </w:p>
    <w:p>
      <w:pPr>
        <w:jc w:val="both"/>
        <w:spacing w:after="0" w:line="286" w:lineRule="auto"/>
        <w:rPr>
          <w:rFonts w:ascii="Arial" w:cs="Arial" w:eastAsia="Arial" w:hAnsi="Arial"/>
          <w:sz w:val="16"/>
          <w:szCs w:val="16"/>
          <w:color w:val="auto"/>
        </w:rPr>
      </w:pPr>
      <w:r>
        <w:rPr>
          <w:rFonts w:ascii="Arial" w:cs="Arial" w:eastAsia="Arial" w:hAnsi="Arial"/>
          <w:sz w:val="15"/>
          <w:szCs w:val="15"/>
          <w:color w:val="auto"/>
        </w:rPr>
        <w:t>The Company together with you will maintain an advanced study fund (Keren Hishtalmut Fund) such that you and the Company shall contribute to such fund an amount equal to 2.5% and 7.5%, respectively. Your aforementioned contribution is to be transferred to such fund by the Company from each monthly Salary payment.</w:t>
      </w:r>
    </w:p>
    <w:p>
      <w:pPr>
        <w:spacing w:after="0"/>
        <w:rPr>
          <w:rFonts w:ascii="Arial" w:cs="Arial" w:eastAsia="Arial" w:hAnsi="Arial"/>
          <w:sz w:val="16"/>
          <w:szCs w:val="16"/>
          <w:color w:val="auto"/>
        </w:rPr>
      </w:pP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Additional Benefits</w:t>
      </w:r>
    </w:p>
    <w:p>
      <w:pPr>
        <w:spacing w:after="0" w:line="27" w:lineRule="exact"/>
        <w:rPr>
          <w:sz w:val="20"/>
          <w:szCs w:val="20"/>
          <w:color w:val="auto"/>
        </w:rPr>
      </w:pPr>
    </w:p>
    <w:p>
      <w:pPr>
        <w:jc w:val="both"/>
        <w:ind w:firstLine="3"/>
        <w:spacing w:after="0" w:line="259" w:lineRule="auto"/>
        <w:tabs>
          <w:tab w:leader="none" w:pos="65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will reimburse you for pre approved by your superior, business expenses borne by you, in accordance with the Company’s policies as determined by the Company from time to time. As a condition to reimbursement, you shall be required to provide the Company with all invoices, receipts and other evidence of expenditure as may be reasonably required by the Company from time to time.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12.1 Professional Literature, Conferences. You shall be entitled to participate in professional conferences and to purchase professional literature on the Company's expense at with prior approval of Company management.</w:t>
      </w:r>
    </w:p>
    <w:p>
      <w:pPr>
        <w:spacing w:after="0" w:line="1" w:lineRule="exact"/>
        <w:rPr>
          <w:sz w:val="20"/>
          <w:szCs w:val="20"/>
          <w:color w:val="auto"/>
        </w:rPr>
      </w:pPr>
    </w:p>
    <w:p>
      <w:pPr>
        <w:jc w:val="both"/>
        <w:ind w:firstLine="3"/>
        <w:spacing w:after="0" w:line="256" w:lineRule="auto"/>
        <w:tabs>
          <w:tab w:leader="none" w:pos="65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xml:space="preserve">. You shall be entitled to that number of vacation days per year as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and the use of said vacation days will be coordinated with the Company. In the event that the demands of your activities preclude or limit your ability to actually use such vacation days in any year, you shall be entitled to the balance of the unused vacation only in the next succeeding year or, if unable to take the balance in that next succeeding year, to receive an amount equal to the rate of Salary then applicable to the vacation time not taken during such year.</w:t>
      </w:r>
    </w:p>
    <w:p>
      <w:pPr>
        <w:spacing w:after="0" w:line="209" w:lineRule="exact"/>
        <w:rPr>
          <w:rFonts w:ascii="Arial" w:cs="Arial" w:eastAsia="Arial" w:hAnsi="Arial"/>
          <w:sz w:val="17"/>
          <w:szCs w:val="17"/>
          <w:color w:val="auto"/>
        </w:rPr>
      </w:pPr>
    </w:p>
    <w:p>
      <w:pPr>
        <w:ind w:left="640" w:hanging="637"/>
        <w:spacing w:after="0"/>
        <w:tabs>
          <w:tab w:leader="none" w:pos="64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Sick Leave; Recreation Pay</w:t>
      </w:r>
      <w:r>
        <w:rPr>
          <w:rFonts w:ascii="Arial" w:cs="Arial" w:eastAsia="Arial" w:hAnsi="Arial"/>
          <w:sz w:val="17"/>
          <w:szCs w:val="17"/>
          <w:color w:val="auto"/>
        </w:rPr>
        <w:t>. You shall be entitled to sick leave and Recreation Pay (Dmei Havra'a) pursuant to applicable law.</w:t>
      </w:r>
    </w:p>
    <w:p>
      <w:pPr>
        <w:spacing w:after="0" w:line="241" w:lineRule="exact"/>
        <w:rPr>
          <w:rFonts w:ascii="Arial" w:cs="Arial" w:eastAsia="Arial" w:hAnsi="Arial"/>
          <w:sz w:val="17"/>
          <w:szCs w:val="17"/>
          <w:color w:val="auto"/>
        </w:rPr>
      </w:pPr>
    </w:p>
    <w:p>
      <w:pPr>
        <w:jc w:val="both"/>
        <w:ind w:firstLine="3"/>
        <w:spacing w:after="0" w:line="295" w:lineRule="auto"/>
        <w:tabs>
          <w:tab w:leader="none" w:pos="771"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Options</w:t>
      </w:r>
      <w:r>
        <w:rPr>
          <w:rFonts w:ascii="Arial" w:cs="Arial" w:eastAsia="Arial" w:hAnsi="Arial"/>
          <w:sz w:val="15"/>
          <w:szCs w:val="15"/>
          <w:color w:val="auto"/>
        </w:rPr>
        <w:t>., you shall be granted options to purchase 160,000 Ordinary Shares par value NIS 0.01 each of the Company to be granted pursuant to, and in accordance with, the terms and conditions of a share option plan adopted by the Company (the "Options").The options shall be purchased in an exercise price of $0.01 per share (</w:t>
      </w:r>
      <w:r>
        <w:rPr>
          <w:rFonts w:ascii="Arial" w:cs="Arial" w:eastAsia="Arial" w:hAnsi="Arial"/>
          <w:sz w:val="15"/>
          <w:szCs w:val="15"/>
          <w:b w:val="1"/>
          <w:bCs w:val="1"/>
          <w:color w:val="auto"/>
        </w:rPr>
        <w:t>Exercise Price</w:t>
      </w:r>
      <w:r>
        <w:rPr>
          <w:rFonts w:ascii="Arial" w:cs="Arial" w:eastAsia="Arial" w:hAnsi="Arial"/>
          <w:sz w:val="15"/>
          <w:szCs w:val="15"/>
          <w:color w:val="auto"/>
        </w:rPr>
        <w:t>) The Options shall be subject to vesting over a period of 4 (four) years as follows: 25% (twenty five percent) of the Options shall be deemed vested at the end of 12 (twelve) months from the Commencement Date, and the remaining 75% (seventy five percent) of the Options shall vest in twelve (12) equal quarterly installments, with eight percent and one third of a percent (8.333%) of such amount of the remaining Options vesting at the end of every three months for a period of three years (the entire four-year period shall be referred to as the "</w:t>
      </w:r>
      <w:r>
        <w:rPr>
          <w:rFonts w:ascii="Arial" w:cs="Arial" w:eastAsia="Arial" w:hAnsi="Arial"/>
          <w:sz w:val="15"/>
          <w:szCs w:val="15"/>
          <w:b w:val="1"/>
          <w:bCs w:val="1"/>
          <w:color w:val="auto"/>
        </w:rPr>
        <w:t>Vesting Period</w:t>
      </w:r>
      <w:r>
        <w:rPr>
          <w:rFonts w:ascii="Arial" w:cs="Arial" w:eastAsia="Arial" w:hAnsi="Arial"/>
          <w:sz w:val="15"/>
          <w:szCs w:val="15"/>
          <w:color w:val="auto"/>
        </w:rPr>
        <w:t>"). Upon termination of this Agreement for any reason all of the then unvested Options shall expire immediately and/or may than be re-granted by the Company to any person or entity at its discretion. For avoidance of doubt, it is clarified that nothing in this Agreement shall be deemed as an undertaking of the Company to retain your services for any minimum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480695</wp:posOffset>
            </wp:positionV>
            <wp:extent cx="725741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49" w:name="page250"/>
    <w:bookmarkEnd w:id="249"/>
    <w:p>
      <w:pPr>
        <w:jc w:val="both"/>
        <w:spacing w:after="0" w:line="265" w:lineRule="auto"/>
        <w:rPr>
          <w:sz w:val="20"/>
          <w:szCs w:val="20"/>
          <w:color w:val="auto"/>
        </w:rPr>
      </w:pPr>
      <w:r>
        <w:rPr>
          <w:rFonts w:ascii="Arial" w:cs="Arial" w:eastAsia="Arial" w:hAnsi="Arial"/>
          <w:sz w:val="17"/>
          <w:szCs w:val="17"/>
          <w:color w:val="auto"/>
        </w:rPr>
        <w:t>Notwithstanding the aforesaid, it is agreed that in the event of death of or permanent severe disability that no longer enables you to reasonably work, 50% (fifty percent) all the Options then still subject to vesting shall be deemed fully vested. The above referred to number of shares assumes completion of a 1:20 split of the share capital of the Company.</w:t>
      </w:r>
    </w:p>
    <w:p>
      <w:pPr>
        <w:spacing w:after="0" w:line="201" w:lineRule="exact"/>
        <w:rPr>
          <w:sz w:val="20"/>
          <w:szCs w:val="20"/>
          <w:color w:val="auto"/>
        </w:rPr>
      </w:pPr>
    </w:p>
    <w:p>
      <w:pPr>
        <w:jc w:val="both"/>
        <w:ind w:firstLine="3"/>
        <w:spacing w:after="0" w:line="275" w:lineRule="auto"/>
        <w:tabs>
          <w:tab w:leader="none" w:pos="656"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Automobile</w:t>
      </w:r>
      <w:r>
        <w:rPr>
          <w:rFonts w:ascii="Arial" w:cs="Arial" w:eastAsia="Arial" w:hAnsi="Arial"/>
          <w:sz w:val="16"/>
          <w:szCs w:val="16"/>
          <w:color w:val="auto"/>
        </w:rPr>
        <w:t>. For purposes of performance of your duties and tasks, the Company shall make available to you a leased automobile, of a type 3 (e.g., Mazda 6 2.0 liter) (the “</w:t>
      </w:r>
      <w:r>
        <w:rPr>
          <w:rFonts w:ascii="Arial" w:cs="Arial" w:eastAsia="Arial" w:hAnsi="Arial"/>
          <w:sz w:val="16"/>
          <w:szCs w:val="16"/>
          <w:b w:val="1"/>
          <w:bCs w:val="1"/>
          <w:color w:val="auto"/>
        </w:rPr>
        <w:t>Leased Car</w:t>
      </w:r>
      <w:r>
        <w:rPr>
          <w:rFonts w:ascii="Arial" w:cs="Arial" w:eastAsia="Arial" w:hAnsi="Arial"/>
          <w:sz w:val="16"/>
          <w:szCs w:val="16"/>
          <w:color w:val="auto"/>
        </w:rPr>
        <w:t>”). The Company shall bear and pay for the cost of fuel, maintenance and repairs, and any insurance deductibles for the Leased Car. You shall be liable for paying any parking and/or traffic fines received in connection herewith, and for indemnification of the Company in case of negligent use of the Leased Car and/or use of the Leased Car not in accordance with the Company's applicable policies. For the avoidance of doubt, you agree and confirm that the cost of the leasing and/or the cost of the use of the Leased Car shall not constitute a component of your Salary, including with regard to social benefits and/or any other right to which you are entitled by virtue of this Agreement or under law. The Leased Car will remain in the Company's ownership, and will be returned to the Company by you upon termination of your employment with the Company for any reason at the end of the Notice Period.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7" w:lineRule="exact"/>
        <w:rPr>
          <w:sz w:val="20"/>
          <w:szCs w:val="20"/>
          <w:color w:val="auto"/>
        </w:rPr>
      </w:pPr>
    </w:p>
    <w:p>
      <w:pPr>
        <w:jc w:val="both"/>
        <w:ind w:firstLine="3"/>
        <w:spacing w:after="0" w:line="286" w:lineRule="auto"/>
        <w:tabs>
          <w:tab w:leader="none" w:pos="728"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laws of the State of Israel shall apply to this Agreement and the sole and exclusive place of jurisdiction in any matter arising out of or in connection with this Agreement shall be the Tel-Aviv Regional Labor Court; the provisions of this letter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you acknowledge and confirm that all terms of your employment are personal and confidential, and undertake to keep such term in confidence and refrain from disclosing such terms to any third party.</w:t>
      </w:r>
    </w:p>
    <w:p>
      <w:pPr>
        <w:spacing w:after="0" w:line="2" w:lineRule="exact"/>
        <w:rPr>
          <w:rFonts w:ascii="Arial" w:cs="Arial" w:eastAsia="Arial" w:hAnsi="Arial"/>
          <w:sz w:val="15"/>
          <w:szCs w:val="15"/>
          <w:color w:val="auto"/>
        </w:rPr>
      </w:pPr>
    </w:p>
    <w:p>
      <w:pPr>
        <w:jc w:val="both"/>
        <w:ind w:firstLine="3"/>
        <w:spacing w:after="0" w:line="259" w:lineRule="auto"/>
        <w:tabs>
          <w:tab w:leader="none" w:pos="75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Advertisement. The company is aware to the importance of your reputation and status. The company shall use your name responsibly in the Company's official or unofficial publication or prints consulting with you in advance. Not derogating from the above, you hereby confirm that your title as listed in Exhibit A has been reviewed and approved by you, and will be reflected on your business card and Company literature and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257415"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0" w:name="page251"/>
    <w:bookmarkEnd w:id="250"/>
    <w:p>
      <w:pPr>
        <w:spacing w:after="0" w:line="278" w:lineRule="auto"/>
        <w:rPr>
          <w:sz w:val="20"/>
          <w:szCs w:val="20"/>
          <w:color w:val="auto"/>
        </w:rPr>
      </w:pPr>
      <w:r>
        <w:rPr>
          <w:rFonts w:ascii="Arial" w:cs="Arial" w:eastAsia="Arial" w:hAnsi="Arial"/>
          <w:sz w:val="17"/>
          <w:szCs w:val="17"/>
          <w:color w:val="auto"/>
        </w:rPr>
        <w:t>Please indicate your acceptance to the terms of this letter by signing and dating them and returning a counterpart hereof to us. The Company’s signature on this letter will bind the Company only if coupled with your signature.</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Sincerely yours,</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Morris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805305" cy="165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805305" cy="1651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Morris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7620</wp:posOffset>
            </wp:positionV>
            <wp:extent cx="1805305" cy="165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805305" cy="1651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the undersigned, Moshe Phillip, hereby agree to all terms of this letter, and in witness hereof have signed this letter on this date of January 13, 2004.</w:t>
      </w:r>
    </w:p>
    <w:p>
      <w:pPr>
        <w:spacing w:after="0" w:line="24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 Moshe Phillip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14605</wp:posOffset>
            </wp:positionV>
            <wp:extent cx="1397000" cy="165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9700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7257415" cy="209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60" w:type="dxa"/>
            <w:vAlign w:val="bottom"/>
          </w:tcPr>
          <w:p>
            <w:pPr>
              <w:jc w:val="center"/>
              <w:ind w:right="2874"/>
              <w:spacing w:after="0"/>
              <w:rPr>
                <w:sz w:val="20"/>
                <w:szCs w:val="20"/>
                <w:color w:val="auto"/>
              </w:rPr>
            </w:pPr>
            <w:r>
              <w:rPr>
                <w:rFonts w:ascii="Arial" w:cs="Arial" w:eastAsia="Arial" w:hAnsi="Arial"/>
                <w:sz w:val="17"/>
                <w:szCs w:val="17"/>
                <w:b w:val="1"/>
                <w:bCs w:val="1"/>
                <w:color w:val="auto"/>
                <w:w w:val="94"/>
              </w:rPr>
              <w:t>Exhibit A</w:t>
            </w:r>
          </w:p>
        </w:tc>
      </w:tr>
      <w:tr>
        <w:trPr>
          <w:trHeight w:val="206"/>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460" w:type="dxa"/>
            <w:vAlign w:val="bottom"/>
          </w:tcPr>
          <w:p>
            <w:pPr>
              <w:jc w:val="center"/>
              <w:ind w:right="2874"/>
              <w:spacing w:after="0"/>
              <w:rPr>
                <w:sz w:val="20"/>
                <w:szCs w:val="20"/>
                <w:color w:val="auto"/>
              </w:rPr>
            </w:pPr>
            <w:r>
              <w:rPr>
                <w:rFonts w:ascii="Arial" w:cs="Arial" w:eastAsia="Arial" w:hAnsi="Arial"/>
                <w:sz w:val="17"/>
                <w:szCs w:val="17"/>
                <w:b w:val="1"/>
                <w:bCs w:val="1"/>
                <w:color w:val="auto"/>
                <w:w w:val="91"/>
              </w:rPr>
              <w:t>To Personal Employment Agreement by and between BioLineRx Ltd.</w:t>
            </w:r>
          </w:p>
        </w:tc>
      </w:tr>
      <w:tr>
        <w:trPr>
          <w:trHeight w:val="223"/>
        </w:trPr>
        <w:tc>
          <w:tcPr>
            <w:tcW w:w="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460" w:type="dxa"/>
            <w:vAlign w:val="bottom"/>
          </w:tcPr>
          <w:p>
            <w:pPr>
              <w:jc w:val="center"/>
              <w:ind w:right="2874"/>
              <w:spacing w:after="0"/>
              <w:rPr>
                <w:sz w:val="20"/>
                <w:szCs w:val="20"/>
                <w:color w:val="auto"/>
              </w:rPr>
            </w:pPr>
            <w:r>
              <w:rPr>
                <w:rFonts w:ascii="Arial" w:cs="Arial" w:eastAsia="Arial" w:hAnsi="Arial"/>
                <w:sz w:val="17"/>
                <w:szCs w:val="17"/>
                <w:b w:val="1"/>
                <w:bCs w:val="1"/>
                <w:color w:val="auto"/>
                <w:w w:val="89"/>
              </w:rPr>
              <w:t>and the Employee whose name is set forth herein</w:t>
            </w:r>
          </w:p>
        </w:tc>
      </w:tr>
      <w:tr>
        <w:trPr>
          <w:trHeight w:val="437"/>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1.</w:t>
            </w:r>
          </w:p>
        </w:tc>
        <w:tc>
          <w:tcPr>
            <w:tcW w:w="2540" w:type="dxa"/>
            <w:vAlign w:val="bottom"/>
          </w:tcPr>
          <w:p>
            <w:pPr>
              <w:ind w:left="280"/>
              <w:spacing w:after="0"/>
              <w:rPr>
                <w:sz w:val="20"/>
                <w:szCs w:val="20"/>
                <w:color w:val="auto"/>
              </w:rPr>
            </w:pPr>
            <w:r>
              <w:rPr>
                <w:rFonts w:ascii="Arial" w:cs="Arial" w:eastAsia="Arial" w:hAnsi="Arial"/>
                <w:sz w:val="17"/>
                <w:szCs w:val="17"/>
                <w:color w:val="auto"/>
              </w:rPr>
              <w:t>Name of Employee:</w:t>
            </w:r>
          </w:p>
        </w:tc>
        <w:tc>
          <w:tcPr>
            <w:tcW w:w="8460" w:type="dxa"/>
            <w:vAlign w:val="bottom"/>
          </w:tcPr>
          <w:p>
            <w:pPr>
              <w:ind w:left="1740"/>
              <w:spacing w:after="0"/>
              <w:rPr>
                <w:sz w:val="20"/>
                <w:szCs w:val="20"/>
                <w:color w:val="auto"/>
              </w:rPr>
            </w:pPr>
            <w:r>
              <w:rPr>
                <w:rFonts w:ascii="Arial" w:cs="Arial" w:eastAsia="Arial" w:hAnsi="Arial"/>
                <w:sz w:val="17"/>
                <w:szCs w:val="17"/>
                <w:color w:val="auto"/>
              </w:rPr>
              <w:t>Dr. Moshe Phillip</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2.</w:t>
            </w:r>
          </w:p>
        </w:tc>
        <w:tc>
          <w:tcPr>
            <w:tcW w:w="2540" w:type="dxa"/>
            <w:vAlign w:val="bottom"/>
          </w:tcPr>
          <w:p>
            <w:pPr>
              <w:ind w:left="280"/>
              <w:spacing w:after="0"/>
              <w:rPr>
                <w:sz w:val="20"/>
                <w:szCs w:val="20"/>
                <w:color w:val="auto"/>
              </w:rPr>
            </w:pPr>
            <w:r>
              <w:rPr>
                <w:rFonts w:ascii="Arial" w:cs="Arial" w:eastAsia="Arial" w:hAnsi="Arial"/>
                <w:sz w:val="17"/>
                <w:szCs w:val="17"/>
                <w:color w:val="auto"/>
              </w:rPr>
              <w:t>ID No. of Employee:</w:t>
            </w:r>
          </w:p>
        </w:tc>
        <w:tc>
          <w:tcPr>
            <w:tcW w:w="8460" w:type="dxa"/>
            <w:vAlign w:val="bottom"/>
          </w:tcPr>
          <w:p>
            <w:pPr>
              <w:ind w:left="1740"/>
              <w:spacing w:after="0"/>
              <w:rPr>
                <w:sz w:val="20"/>
                <w:szCs w:val="20"/>
                <w:color w:val="auto"/>
              </w:rPr>
            </w:pPr>
            <w:r>
              <w:rPr>
                <w:rFonts w:ascii="Arial" w:cs="Arial" w:eastAsia="Arial" w:hAnsi="Arial"/>
                <w:sz w:val="17"/>
                <w:szCs w:val="17"/>
                <w:color w:val="auto"/>
              </w:rPr>
              <w:t>52590908</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3.</w:t>
            </w:r>
          </w:p>
        </w:tc>
        <w:tc>
          <w:tcPr>
            <w:tcW w:w="2540" w:type="dxa"/>
            <w:vAlign w:val="bottom"/>
          </w:tcPr>
          <w:p>
            <w:pPr>
              <w:ind w:left="280"/>
              <w:spacing w:after="0"/>
              <w:rPr>
                <w:sz w:val="20"/>
                <w:szCs w:val="20"/>
                <w:color w:val="auto"/>
              </w:rPr>
            </w:pPr>
            <w:r>
              <w:rPr>
                <w:rFonts w:ascii="Arial" w:cs="Arial" w:eastAsia="Arial" w:hAnsi="Arial"/>
                <w:sz w:val="17"/>
                <w:szCs w:val="17"/>
                <w:color w:val="auto"/>
              </w:rPr>
              <w:t>Address of Employee:</w:t>
            </w:r>
          </w:p>
        </w:tc>
        <w:tc>
          <w:tcPr>
            <w:tcW w:w="8460" w:type="dxa"/>
            <w:vAlign w:val="bottom"/>
          </w:tcPr>
          <w:p>
            <w:pPr>
              <w:ind w:left="1740"/>
              <w:spacing w:after="0"/>
              <w:rPr>
                <w:sz w:val="20"/>
                <w:szCs w:val="20"/>
                <w:color w:val="auto"/>
              </w:rPr>
            </w:pPr>
            <w:r>
              <w:rPr>
                <w:rFonts w:ascii="Arial" w:cs="Arial" w:eastAsia="Arial" w:hAnsi="Arial"/>
                <w:sz w:val="17"/>
                <w:szCs w:val="17"/>
                <w:color w:val="auto"/>
              </w:rPr>
              <w:t>51 Shimon Ben Tsvi Street, Givataim, Israel</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4.</w:t>
            </w:r>
          </w:p>
        </w:tc>
        <w:tc>
          <w:tcPr>
            <w:tcW w:w="2540" w:type="dxa"/>
            <w:vAlign w:val="bottom"/>
          </w:tcPr>
          <w:p>
            <w:pPr>
              <w:ind w:left="280"/>
              <w:spacing w:after="0"/>
              <w:rPr>
                <w:sz w:val="20"/>
                <w:szCs w:val="20"/>
                <w:color w:val="auto"/>
              </w:rPr>
            </w:pPr>
            <w:r>
              <w:rPr>
                <w:rFonts w:ascii="Arial" w:cs="Arial" w:eastAsia="Arial" w:hAnsi="Arial"/>
                <w:sz w:val="17"/>
                <w:szCs w:val="17"/>
                <w:color w:val="auto"/>
              </w:rPr>
              <w:t>Position in the Company:</w:t>
            </w:r>
          </w:p>
        </w:tc>
        <w:tc>
          <w:tcPr>
            <w:tcW w:w="8460" w:type="dxa"/>
            <w:vAlign w:val="bottom"/>
          </w:tcPr>
          <w:p>
            <w:pPr>
              <w:ind w:left="1740"/>
              <w:spacing w:after="0"/>
              <w:rPr>
                <w:sz w:val="20"/>
                <w:szCs w:val="20"/>
                <w:color w:val="auto"/>
              </w:rPr>
            </w:pPr>
            <w:r>
              <w:rPr>
                <w:rFonts w:ascii="Arial" w:cs="Arial" w:eastAsia="Arial" w:hAnsi="Arial"/>
                <w:sz w:val="17"/>
                <w:szCs w:val="17"/>
                <w:color w:val="auto"/>
              </w:rPr>
              <w:t>Vice President of Medical Affairs, Senior Medical Advisor</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5.</w:t>
            </w:r>
          </w:p>
        </w:tc>
        <w:tc>
          <w:tcPr>
            <w:tcW w:w="2540" w:type="dxa"/>
            <w:vAlign w:val="bottom"/>
          </w:tcPr>
          <w:p>
            <w:pPr>
              <w:ind w:left="280"/>
              <w:spacing w:after="0"/>
              <w:rPr>
                <w:sz w:val="20"/>
                <w:szCs w:val="20"/>
                <w:color w:val="auto"/>
              </w:rPr>
            </w:pPr>
            <w:r>
              <w:rPr>
                <w:rFonts w:ascii="Arial" w:cs="Arial" w:eastAsia="Arial" w:hAnsi="Arial"/>
                <w:sz w:val="17"/>
                <w:szCs w:val="17"/>
                <w:color w:val="auto"/>
              </w:rPr>
              <w:t>Commencement Date:</w:t>
            </w:r>
          </w:p>
        </w:tc>
        <w:tc>
          <w:tcPr>
            <w:tcW w:w="8460" w:type="dxa"/>
            <w:vAlign w:val="bottom"/>
          </w:tcPr>
          <w:p>
            <w:pPr>
              <w:ind w:left="1740"/>
              <w:spacing w:after="0"/>
              <w:rPr>
                <w:sz w:val="20"/>
                <w:szCs w:val="20"/>
                <w:color w:val="auto"/>
              </w:rPr>
            </w:pPr>
            <w:r>
              <w:rPr>
                <w:rFonts w:ascii="Arial" w:cs="Arial" w:eastAsia="Arial" w:hAnsi="Arial"/>
                <w:sz w:val="17"/>
                <w:szCs w:val="17"/>
                <w:color w:val="auto"/>
              </w:rPr>
              <w:t>7.1.04</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6.</w:t>
            </w:r>
          </w:p>
        </w:tc>
        <w:tc>
          <w:tcPr>
            <w:tcW w:w="2540" w:type="dxa"/>
            <w:vAlign w:val="bottom"/>
          </w:tcPr>
          <w:p>
            <w:pPr>
              <w:ind w:left="280"/>
              <w:spacing w:after="0"/>
              <w:rPr>
                <w:sz w:val="20"/>
                <w:szCs w:val="20"/>
                <w:color w:val="auto"/>
              </w:rPr>
            </w:pPr>
            <w:r>
              <w:rPr>
                <w:rFonts w:ascii="Arial" w:cs="Arial" w:eastAsia="Arial" w:hAnsi="Arial"/>
                <w:sz w:val="17"/>
                <w:szCs w:val="17"/>
                <w:color w:val="auto"/>
              </w:rPr>
              <w:t>Salary:</w:t>
            </w:r>
          </w:p>
        </w:tc>
        <w:tc>
          <w:tcPr>
            <w:tcW w:w="8460" w:type="dxa"/>
            <w:vAlign w:val="bottom"/>
          </w:tcPr>
          <w:p>
            <w:pPr>
              <w:ind w:left="1740"/>
              <w:spacing w:after="0"/>
              <w:rPr>
                <w:sz w:val="20"/>
                <w:szCs w:val="20"/>
                <w:color w:val="auto"/>
              </w:rPr>
            </w:pPr>
            <w:r>
              <w:rPr>
                <w:rFonts w:ascii="Arial" w:cs="Arial" w:eastAsia="Arial" w:hAnsi="Arial"/>
                <w:sz w:val="17"/>
                <w:szCs w:val="17"/>
                <w:color w:val="auto"/>
              </w:rPr>
              <w:t>USD 10,000 (Gross) paid in NIS</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7.</w:t>
            </w:r>
          </w:p>
        </w:tc>
        <w:tc>
          <w:tcPr>
            <w:tcW w:w="2540" w:type="dxa"/>
            <w:vAlign w:val="bottom"/>
          </w:tcPr>
          <w:p>
            <w:pPr>
              <w:ind w:left="280"/>
              <w:spacing w:after="0"/>
              <w:rPr>
                <w:sz w:val="20"/>
                <w:szCs w:val="20"/>
                <w:color w:val="auto"/>
              </w:rPr>
            </w:pPr>
            <w:r>
              <w:rPr>
                <w:rFonts w:ascii="Arial" w:cs="Arial" w:eastAsia="Arial" w:hAnsi="Arial"/>
                <w:sz w:val="17"/>
                <w:szCs w:val="17"/>
                <w:color w:val="auto"/>
              </w:rPr>
              <w:t>Vacation Days Per Year:</w:t>
            </w:r>
          </w:p>
        </w:tc>
        <w:tc>
          <w:tcPr>
            <w:tcW w:w="8460" w:type="dxa"/>
            <w:vAlign w:val="bottom"/>
          </w:tcPr>
          <w:p>
            <w:pPr>
              <w:ind w:left="1740"/>
              <w:spacing w:after="0"/>
              <w:rPr>
                <w:sz w:val="20"/>
                <w:szCs w:val="20"/>
                <w:color w:val="auto"/>
              </w:rPr>
            </w:pPr>
            <w:r>
              <w:rPr>
                <w:rFonts w:ascii="Arial" w:cs="Arial" w:eastAsia="Arial" w:hAnsi="Arial"/>
                <w:sz w:val="17"/>
                <w:szCs w:val="17"/>
                <w:color w:val="auto"/>
              </w:rPr>
              <w:t>20 days</w:t>
            </w:r>
          </w:p>
        </w:tc>
      </w:tr>
      <w:tr>
        <w:trPr>
          <w:trHeight w:val="401"/>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8.</w:t>
            </w:r>
          </w:p>
        </w:tc>
        <w:tc>
          <w:tcPr>
            <w:tcW w:w="2540" w:type="dxa"/>
            <w:vAlign w:val="bottom"/>
          </w:tcPr>
          <w:p>
            <w:pPr>
              <w:ind w:left="280"/>
              <w:spacing w:after="0"/>
              <w:rPr>
                <w:sz w:val="20"/>
                <w:szCs w:val="20"/>
                <w:color w:val="auto"/>
              </w:rPr>
            </w:pPr>
            <w:r>
              <w:rPr>
                <w:rFonts w:ascii="Arial" w:cs="Arial" w:eastAsia="Arial" w:hAnsi="Arial"/>
                <w:sz w:val="17"/>
                <w:szCs w:val="17"/>
                <w:color w:val="auto"/>
                <w:w w:val="99"/>
              </w:rPr>
              <w:t>Working Days in Jerusalem at</w:t>
            </w:r>
          </w:p>
        </w:tc>
        <w:tc>
          <w:tcPr>
            <w:tcW w:w="8460" w:type="dxa"/>
            <w:vAlign w:val="bottom"/>
          </w:tcPr>
          <w:p>
            <w:pPr>
              <w:ind w:left="1740"/>
              <w:spacing w:after="0"/>
              <w:rPr>
                <w:sz w:val="20"/>
                <w:szCs w:val="20"/>
                <w:color w:val="auto"/>
              </w:rPr>
            </w:pPr>
            <w:r>
              <w:rPr>
                <w:rFonts w:ascii="Arial" w:cs="Arial" w:eastAsia="Arial" w:hAnsi="Arial"/>
                <w:sz w:val="17"/>
                <w:szCs w:val="17"/>
                <w:color w:val="auto"/>
                <w:w w:val="91"/>
              </w:rPr>
              <w:t>Sunday afternoon, all day Tuesday (except for miluim service requirements), Thursday afternoon,</w:t>
            </w:r>
          </w:p>
        </w:tc>
      </w:tr>
      <w:tr>
        <w:trPr>
          <w:trHeight w:val="217"/>
        </w:trPr>
        <w:tc>
          <w:tcPr>
            <w:tcW w:w="420" w:type="dxa"/>
            <w:vAlign w:val="bottom"/>
          </w:tcPr>
          <w:p>
            <w:pPr>
              <w:spacing w:after="0"/>
              <w:rPr>
                <w:sz w:val="18"/>
                <w:szCs w:val="18"/>
                <w:color w:val="auto"/>
              </w:rPr>
            </w:pPr>
          </w:p>
        </w:tc>
        <w:tc>
          <w:tcPr>
            <w:tcW w:w="2540" w:type="dxa"/>
            <w:vAlign w:val="bottom"/>
          </w:tcPr>
          <w:p>
            <w:pPr>
              <w:ind w:left="280"/>
              <w:spacing w:after="0"/>
              <w:rPr>
                <w:sz w:val="20"/>
                <w:szCs w:val="20"/>
                <w:color w:val="auto"/>
              </w:rPr>
            </w:pPr>
            <w:r>
              <w:rPr>
                <w:rFonts w:ascii="Arial" w:cs="Arial" w:eastAsia="Arial" w:hAnsi="Arial"/>
                <w:sz w:val="17"/>
                <w:szCs w:val="17"/>
                <w:color w:val="auto"/>
              </w:rPr>
              <w:t>BioLineRx Offices</w:t>
            </w:r>
          </w:p>
        </w:tc>
        <w:tc>
          <w:tcPr>
            <w:tcW w:w="8460" w:type="dxa"/>
            <w:vAlign w:val="bottom"/>
          </w:tcPr>
          <w:p>
            <w:pPr>
              <w:ind w:left="1740"/>
              <w:spacing w:after="0"/>
              <w:rPr>
                <w:sz w:val="20"/>
                <w:szCs w:val="20"/>
                <w:color w:val="auto"/>
              </w:rPr>
            </w:pPr>
            <w:r>
              <w:rPr>
                <w:rFonts w:ascii="Arial" w:cs="Arial" w:eastAsia="Arial" w:hAnsi="Arial"/>
                <w:sz w:val="17"/>
                <w:szCs w:val="17"/>
                <w:color w:val="auto"/>
              </w:rPr>
              <w:t>and as required Monday afternoon.</w:t>
            </w:r>
          </w:p>
        </w:tc>
      </w:tr>
      <w:tr>
        <w:trPr>
          <w:trHeight w:val="628"/>
        </w:trPr>
        <w:tc>
          <w:tcPr>
            <w:tcW w:w="4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52" w:name="page253"/>
    <w:bookmarkEnd w:id="252"/>
    <w:p>
      <w:pPr>
        <w:ind w:left="5360"/>
        <w:spacing w:after="0"/>
        <w:rPr>
          <w:sz w:val="20"/>
          <w:szCs w:val="20"/>
          <w:color w:val="auto"/>
        </w:rPr>
      </w:pPr>
      <w:r>
        <w:rPr>
          <w:rFonts w:ascii="Arial" w:cs="Arial" w:eastAsia="Arial" w:hAnsi="Arial"/>
          <w:sz w:val="17"/>
          <w:szCs w:val="17"/>
          <w:b w:val="1"/>
          <w:bCs w:val="1"/>
          <w:color w:val="auto"/>
        </w:rPr>
        <w:t>Exhibit B</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To Personal Employment Agreement by and between BioLineRx Ltd.</w:t>
      </w:r>
    </w:p>
    <w:p>
      <w:pPr>
        <w:spacing w:after="0" w:line="3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and the Employee whose name is set forth herein</w:t>
      </w:r>
    </w:p>
    <w:p>
      <w:pPr>
        <w:sectPr>
          <w:pgSz w:w="11900" w:h="16838" w:orient="portrait"/>
          <w:cols w:equalWidth="0" w:num="1">
            <w:col w:w="11420"/>
          </w:cols>
          <w:pgMar w:left="240" w:top="494"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Name of Employee: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Dr. Moshe Phillip</w:t>
      </w:r>
    </w:p>
    <w:p>
      <w:pPr>
        <w:spacing w:after="0" w:line="200" w:lineRule="exact"/>
        <w:rPr>
          <w:sz w:val="20"/>
          <w:szCs w:val="20"/>
          <w:color w:val="auto"/>
        </w:rPr>
      </w:pPr>
    </w:p>
    <w:p>
      <w:pPr>
        <w:sectPr>
          <w:pgSz w:w="11900" w:h="16838" w:orient="portrait"/>
          <w:cols w:equalWidth="0" w:num="2">
            <w:col w:w="3280" w:space="720"/>
            <w:col w:w="7420"/>
          </w:cols>
          <w:pgMar w:left="240" w:top="494"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ID No. of Employee: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52590908</w:t>
      </w:r>
    </w:p>
    <w:p>
      <w:pPr>
        <w:spacing w:after="0" w:line="211" w:lineRule="exact"/>
        <w:rPr>
          <w:sz w:val="20"/>
          <w:szCs w:val="20"/>
          <w:color w:val="auto"/>
        </w:rPr>
      </w:pPr>
    </w:p>
    <w:p>
      <w:pPr>
        <w:sectPr>
          <w:pgSz w:w="11900" w:h="16838" w:orient="portrait"/>
          <w:cols w:equalWidth="0" w:num="2">
            <w:col w:w="3280" w:space="720"/>
            <w:col w:w="7420"/>
          </w:cols>
          <w:pgMar w:left="240" w:top="494" w:right="239" w:bottom="1440" w:gutter="0" w:footer="0" w:header="0"/>
          <w:type w:val="continuous"/>
        </w:sectPr>
      </w:pPr>
    </w:p>
    <w:p>
      <w:pPr>
        <w:spacing w:after="0" w:line="47" w:lineRule="exact"/>
        <w:rPr>
          <w:sz w:val="20"/>
          <w:szCs w:val="20"/>
          <w:color w:val="auto"/>
        </w:rPr>
      </w:pPr>
    </w:p>
    <w:p>
      <w:pPr>
        <w:ind w:left="640" w:hanging="637"/>
        <w:spacing w:after="0"/>
        <w:tabs>
          <w:tab w:leader="none" w:pos="640" w:val="left"/>
        </w:tabs>
        <w:numPr>
          <w:ilvl w:val="0"/>
          <w:numId w:val="176"/>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the capitalized terms herein shall have the meanings ascribed to them in the Letter of Agreement to which this Exhibit is attached (the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any undertaking of the Employee toward the Company, the term Company shall include all subsidiaries and affiliates of the Company that the employee had been exposed to their activities.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Employee's obligations and representations and the Company's rights under this Exhibit shall apply as of the Commencement Date of the employment relationship between the Company and the Employee, and as of the first time the Employee became engaged with Company, regardless of the date of execution of the Agreement.</w:t>
      </w:r>
    </w:p>
    <w:p>
      <w:pPr>
        <w:spacing w:after="0" w:line="195" w:lineRule="exact"/>
        <w:rPr>
          <w:sz w:val="20"/>
          <w:szCs w:val="20"/>
          <w:color w:val="auto"/>
        </w:rPr>
      </w:pPr>
    </w:p>
    <w:p>
      <w:pPr>
        <w:ind w:left="640" w:hanging="637"/>
        <w:spacing w:after="0"/>
        <w:tabs>
          <w:tab w:leader="none" w:pos="640" w:val="left"/>
        </w:tabs>
        <w:numPr>
          <w:ilvl w:val="0"/>
          <w:numId w:val="177"/>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Proprietary Information</w:t>
      </w:r>
    </w:p>
    <w:p>
      <w:pPr>
        <w:spacing w:after="0" w:line="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color w:val="auto"/>
        </w:rPr>
        <w:t>Proprietary Information</w:t>
      </w:r>
      <w:r>
        <w:rPr>
          <w:rFonts w:ascii="Arial" w:cs="Arial" w:eastAsia="Arial" w:hAnsi="Arial"/>
          <w:sz w:val="16"/>
          <w:szCs w:val="16"/>
          <w:color w:val="auto"/>
        </w:rPr>
        <w:t>" means confidential and proprietary information concerning the business and financial activities of the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the Company may obtain or receive from third parties.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2.2. Proprietary Information shall be deemed to include any and all proprietary information disclosed by or on behalf of the Company and irrespective of form but excluding information that (i) was known to Employee prior to Employee's association with the Company and can be so proven; (ii) is or shall become part of the public knowledge except as a result of the breach of the Agreement or this Exhibit by the Employee; (iii) reflects general skills and experience gained during Employee's engagement by the Company; or (iv) reflects information and data generally known in the industries or trades in which the Company operates (v) reflects information and data that shall become part of the employee's knowledge as a result of the employee's other employers, academic status and/or employees individual research without breach of this Exhibit or Agreement .</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2.3. Employee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253" w:name="page254"/>
    <w:bookmarkEnd w:id="253"/>
    <w:p>
      <w:pPr>
        <w:jc w:val="both"/>
        <w:spacing w:after="0" w:line="277" w:lineRule="auto"/>
        <w:rPr>
          <w:sz w:val="20"/>
          <w:szCs w:val="20"/>
          <w:color w:val="auto"/>
        </w:rPr>
      </w:pPr>
      <w:r>
        <w:rPr>
          <w:rFonts w:ascii="Arial" w:cs="Arial" w:eastAsia="Arial" w:hAnsi="Arial"/>
          <w:sz w:val="16"/>
          <w:szCs w:val="16"/>
          <w:color w:val="auto"/>
        </w:rPr>
        <w:t>2.4 Employee agrees that all Proprietary Information, and patents, trademarks, copyrights and other intellectual property and ownership rights in connection therewith shall be the sole property of the Company and its assigns. At all times, both during Employee's engagement by the Company and after Employee's termination, Employee will keep in confidence and trust all Proprietary Information, and the Employee will not use or disclose any Proprietary Information or anything relating to it without the written consent of the Company, except as may be necessary in the ordinary course of performing Employee's duties under the Agreement. For the avoidance of all doubts, the employee shall be the sole owner of any Proprietary Information, and patents, trademarks, copyrights and other intellectual property that were created or invented by him not as a result of his employment with the Company and without breach of this Exhibit or Agreement.</w:t>
      </w:r>
    </w:p>
    <w:p>
      <w:pPr>
        <w:spacing w:after="0" w:line="192"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2.5. Upon termination of Employee's employment with the Company, Employee will promptly deliver to the Company all documents and materials of any nature pertaining to Employee's work with the Company, and will not take with Employee any documents or materials or copies thereof containing any Proprietary Information.</w:t>
      </w:r>
    </w:p>
    <w:p>
      <w:pPr>
        <w:spacing w:after="0" w:line="20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Employee's undertakings set forth in this Section 2 shall remain in full force and effect after termination of this Agreement or any renewal thereof.</w:t>
      </w:r>
    </w:p>
    <w:p>
      <w:pPr>
        <w:spacing w:after="0" w:line="236" w:lineRule="exact"/>
        <w:rPr>
          <w:sz w:val="20"/>
          <w:szCs w:val="20"/>
          <w:color w:val="auto"/>
        </w:rPr>
      </w:pPr>
    </w:p>
    <w:p>
      <w:pPr>
        <w:ind w:left="600" w:hanging="597"/>
        <w:spacing w:after="0"/>
        <w:tabs>
          <w:tab w:leader="none" w:pos="600" w:val="left"/>
        </w:tabs>
        <w:numPr>
          <w:ilvl w:val="0"/>
          <w:numId w:val="178"/>
        </w:numPr>
        <w:rPr>
          <w:rFonts w:ascii="Arial" w:cs="Arial" w:eastAsia="Arial" w:hAnsi="Arial"/>
          <w:sz w:val="17"/>
          <w:szCs w:val="17"/>
          <w:color w:val="auto"/>
        </w:rPr>
      </w:pPr>
      <w:r>
        <w:rPr>
          <w:rFonts w:ascii="Arial" w:cs="Arial" w:eastAsia="Arial" w:hAnsi="Arial"/>
          <w:sz w:val="17"/>
          <w:szCs w:val="17"/>
          <w:b w:val="1"/>
          <w:bCs w:val="1"/>
          <w:u w:val="single" w:color="auto"/>
          <w:color w:val="auto"/>
        </w:rPr>
        <w:t>Disclosure and Assignment of Inventions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3.1. "</w:t>
      </w:r>
      <w:r>
        <w:rPr>
          <w:rFonts w:ascii="Arial" w:cs="Arial" w:eastAsia="Arial" w:hAnsi="Arial"/>
          <w:sz w:val="17"/>
          <w:szCs w:val="17"/>
          <w:b w:val="1"/>
          <w:bCs w:val="1"/>
          <w:color w:val="auto"/>
        </w:rPr>
        <w:t>Inventions</w:t>
      </w:r>
      <w:r>
        <w:rPr>
          <w:rFonts w:ascii="Arial" w:cs="Arial" w:eastAsia="Arial" w:hAnsi="Arial"/>
          <w:sz w:val="17"/>
          <w:szCs w:val="17"/>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7"/>
          <w:szCs w:val="17"/>
          <w:b w:val="1"/>
          <w:bCs w:val="1"/>
          <w:color w:val="auto"/>
        </w:rPr>
        <w:t>Company Inventions</w:t>
      </w:r>
      <w:r>
        <w:rPr>
          <w:rFonts w:ascii="Arial" w:cs="Arial" w:eastAsia="Arial" w:hAnsi="Arial"/>
          <w:sz w:val="17"/>
          <w:szCs w:val="17"/>
          <w:color w:val="auto"/>
        </w:rPr>
        <w:t>" means any Inventions that are made or conceived or first reduced to practice or created by Employee, whether alone or jointly with others, during the period of Employee's employment with the Company, and which: (i) are developed using equipment, supplies, facilities or Proprietary Information of the Company, (ii) result from work performed by Employee for the Company,</w:t>
      </w:r>
    </w:p>
    <w:p>
      <w:pPr>
        <w:spacing w:after="0" w:line="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Employee undertakes and covenants that Employee will promptly disclose in confidence to the Company all Inventions deemed as Company Inventions.</w:t>
      </w:r>
    </w:p>
    <w:p>
      <w:pPr>
        <w:spacing w:after="0" w:line="2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3.3. Employee hereby irrevocably transfers and assigns to the Company all worldwide patents, patent applications, copyrights, mask works, trade secrets and other intellectual property rights in any Company Invention, and any and all moral rights that Employee may have in or with respect to any Company Invention.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3.4. Employee agrees to assist the Company, at the Company's expense, in every proper way to obtain for the Company and enforce patents, copyrights, mask work rights, and other legal protections for the Company Inventions in any and all countries. Employee will execute any documents that the Company may reasonably request for use in obtaining or enforcing such patents, copyrights, mask work rights, trade secrets and other legal protections. Such obligation shall continue beyond the termination of Employee's employment with the Company. Employee hereby irrevocably designates and appoints the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5741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4" w:name="page255"/>
    <w:bookmarkEnd w:id="254"/>
    <w:p>
      <w:pPr>
        <w:ind w:left="600" w:hanging="597"/>
        <w:spacing w:after="0"/>
        <w:tabs>
          <w:tab w:leader="none" w:pos="600" w:val="left"/>
        </w:tabs>
        <w:numPr>
          <w:ilvl w:val="0"/>
          <w:numId w:val="179"/>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4.1. In consideration of Employee's terms of employment, which include special compensation for Employee's undertakings under this Section 4, and in order to enable the Company to effectively protect its Proprietary Information, Employee agrees and undertakes that unless expressly approved in writing by the Company, he will not, so long as he is employed by the Company and for a period of twelve (9) months following termination of his employment for whatever reason, directly or indirectly, be engaged in, or employed by, any business or venture that is engaged in activities competing directly with the Company and its business activities in which Employee was involved,;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may own securities of any corporation which is engaged in such business and is publicly owned and traded but in an amount not to exceed at any one time one percent (1%) of any class of stock or securities of such corporation, and so long as Employee has no active role in such corporation as director, employee, consultant or otherwise, unless expressly approved in writing by the Company. For avoidance of doubts, the Employee shall be permited and able to be engaged in the drug development field as long as it doesn't compete directly with the drugs the Company has been involved in at the time of the termination of the employment.</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4.2. Employee agrees and undertakes that during the period of Employee's employment and for a period of twelve (12) months following termination of his employment for whatever reason, Employee will not, directly or indirectly, including personally or in any business in which Employee may be an officer, director or shareholder, solicit for employment any person who is employed by the Company, or retained by the Company as a consultant, advisor or the like service provider (collectively, "</w:t>
      </w:r>
      <w:r>
        <w:rPr>
          <w:rFonts w:ascii="Arial" w:cs="Arial" w:eastAsia="Arial" w:hAnsi="Arial"/>
          <w:sz w:val="17"/>
          <w:szCs w:val="17"/>
          <w:b w:val="1"/>
          <w:bCs w:val="1"/>
          <w:color w:val="auto"/>
        </w:rPr>
        <w:t>Consultant</w:t>
      </w:r>
      <w:r>
        <w:rPr>
          <w:rFonts w:ascii="Arial" w:cs="Arial" w:eastAsia="Arial" w:hAnsi="Arial"/>
          <w:sz w:val="17"/>
          <w:szCs w:val="17"/>
          <w:color w:val="auto"/>
        </w:rPr>
        <w:t>"), if such Consultant is prevented thereby from continuing to render its services to the Company, on the date of such termination or during the preceding twelve (12) months.</w:t>
      </w:r>
    </w:p>
    <w:p>
      <w:pPr>
        <w:spacing w:after="0" w:line="205" w:lineRule="exact"/>
        <w:rPr>
          <w:sz w:val="20"/>
          <w:szCs w:val="20"/>
          <w:color w:val="auto"/>
        </w:rPr>
      </w:pPr>
    </w:p>
    <w:p>
      <w:pPr>
        <w:ind w:left="600" w:hanging="597"/>
        <w:spacing w:after="0"/>
        <w:tabs>
          <w:tab w:leader="none" w:pos="600" w:val="left"/>
        </w:tabs>
        <w:numPr>
          <w:ilvl w:val="0"/>
          <w:numId w:val="180"/>
        </w:numPr>
        <w:rPr>
          <w:rFonts w:ascii="Arial" w:cs="Arial" w:eastAsia="Arial" w:hAnsi="Arial"/>
          <w:sz w:val="17"/>
          <w:szCs w:val="17"/>
          <w:color w:val="auto"/>
        </w:rPr>
      </w:pPr>
      <w:r>
        <w:rPr>
          <w:rFonts w:ascii="Arial" w:cs="Arial" w:eastAsia="Arial" w:hAnsi="Arial"/>
          <w:sz w:val="17"/>
          <w:szCs w:val="17"/>
          <w:b w:val="1"/>
          <w:bCs w:val="1"/>
          <w:u w:val="single" w:color="auto"/>
          <w:color w:val="auto"/>
        </w:rPr>
        <w:t>Reasonableness of Protective Covenants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the Company, and the operations and business of Company; and (ii) the time duration of the protective covenants is reasonable and necessary to protect the goodwill and the operations and business of Company, and does not impose a greater restrain than is necessary to protect the goodwill or other business interests of Company. Nevertheless, if any of the restrictions set forth in this Exhibit is found by a court having jurisdiction to be unreasonable or overly-broad as to geographic area, scope or time or to be otherwise unenforceable, the parties intend for the restrictions set forth in this Exhibit to be reformed, modified and redefined by such court so as to be reasonable and enforceable and, as so modified by such court, to be fully enforced.</w:t>
      </w:r>
    </w:p>
    <w:p>
      <w:pPr>
        <w:spacing w:after="0" w:line="207" w:lineRule="exact"/>
        <w:rPr>
          <w:sz w:val="20"/>
          <w:szCs w:val="20"/>
          <w:color w:val="auto"/>
        </w:rPr>
      </w:pPr>
    </w:p>
    <w:p>
      <w:pPr>
        <w:ind w:left="600" w:hanging="597"/>
        <w:spacing w:after="0"/>
        <w:tabs>
          <w:tab w:leader="none" w:pos="600" w:val="left"/>
        </w:tabs>
        <w:numPr>
          <w:ilvl w:val="0"/>
          <w:numId w:val="181"/>
        </w:numPr>
        <w:rPr>
          <w:rFonts w:ascii="Arial" w:cs="Arial" w:eastAsia="Arial" w:hAnsi="Arial"/>
          <w:sz w:val="17"/>
          <w:szCs w:val="17"/>
          <w:color w:val="auto"/>
        </w:rPr>
      </w:pPr>
      <w:r>
        <w:rPr>
          <w:rFonts w:ascii="Arial" w:cs="Arial" w:eastAsia="Arial" w:hAnsi="Arial"/>
          <w:sz w:val="17"/>
          <w:szCs w:val="17"/>
          <w:b w:val="1"/>
          <w:bCs w:val="1"/>
          <w:u w:val="single" w:color="auto"/>
          <w:color w:val="auto"/>
        </w:rPr>
        <w:t>Intent of Parties</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Employee recognizes and agrees that: (i) this Exhibit is necessary and essential to protect the business of Company and to realize and derive all the benefits, rights and expectations of conducting Company’s business; (ii) the area and duration of the protective covenants contained herein are in all things reasonable; and (iii) good and valuable consideration exists under the Agreement, for Employee's agreement to be bound by the provisions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57415"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580" w:type="dxa"/>
            <w:vAlign w:val="bottom"/>
          </w:tcPr>
          <w:p>
            <w:pPr>
              <w:jc w:val="center"/>
              <w:ind w:left="434"/>
              <w:spacing w:after="0"/>
              <w:rPr>
                <w:sz w:val="20"/>
                <w:szCs w:val="20"/>
                <w:color w:val="auto"/>
              </w:rPr>
            </w:pPr>
            <w:r>
              <w:rPr>
                <w:rFonts w:ascii="Arial" w:cs="Arial" w:eastAsia="Arial" w:hAnsi="Arial"/>
                <w:sz w:val="17"/>
                <w:szCs w:val="17"/>
                <w:b w:val="1"/>
                <w:bCs w:val="1"/>
                <w:color w:val="auto"/>
                <w:w w:val="94"/>
              </w:rPr>
              <w:t>Exhibit A</w:t>
            </w:r>
          </w:p>
        </w:tc>
      </w:tr>
      <w:tr>
        <w:trPr>
          <w:trHeight w:val="206"/>
        </w:trPr>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580" w:type="dxa"/>
            <w:vAlign w:val="bottom"/>
          </w:tcPr>
          <w:p>
            <w:pPr>
              <w:jc w:val="center"/>
              <w:ind w:left="434"/>
              <w:spacing w:after="0"/>
              <w:rPr>
                <w:sz w:val="20"/>
                <w:szCs w:val="20"/>
                <w:color w:val="auto"/>
              </w:rPr>
            </w:pPr>
            <w:r>
              <w:rPr>
                <w:rFonts w:ascii="Arial" w:cs="Arial" w:eastAsia="Arial" w:hAnsi="Arial"/>
                <w:sz w:val="17"/>
                <w:szCs w:val="17"/>
                <w:b w:val="1"/>
                <w:bCs w:val="1"/>
                <w:color w:val="auto"/>
                <w:w w:val="91"/>
              </w:rPr>
              <w:t>To Personal Employment Agreement by and between BioLineRx Ltd.</w:t>
            </w:r>
          </w:p>
        </w:tc>
      </w:tr>
      <w:tr>
        <w:trPr>
          <w:trHeight w:val="223"/>
        </w:trPr>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580" w:type="dxa"/>
            <w:vAlign w:val="bottom"/>
          </w:tcPr>
          <w:p>
            <w:pPr>
              <w:jc w:val="center"/>
              <w:ind w:left="434"/>
              <w:spacing w:after="0"/>
              <w:rPr>
                <w:sz w:val="20"/>
                <w:szCs w:val="20"/>
                <w:color w:val="auto"/>
              </w:rPr>
            </w:pPr>
            <w:r>
              <w:rPr>
                <w:rFonts w:ascii="Arial" w:cs="Arial" w:eastAsia="Arial" w:hAnsi="Arial"/>
                <w:sz w:val="17"/>
                <w:szCs w:val="17"/>
                <w:b w:val="1"/>
                <w:bCs w:val="1"/>
                <w:color w:val="auto"/>
                <w:w w:val="89"/>
              </w:rPr>
              <w:t>and the Employee whose name is set forth herein</w:t>
            </w:r>
          </w:p>
        </w:tc>
      </w:tr>
      <w:tr>
        <w:trPr>
          <w:trHeight w:val="437"/>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1.</w:t>
            </w:r>
          </w:p>
        </w:tc>
        <w:tc>
          <w:tcPr>
            <w:tcW w:w="2240" w:type="dxa"/>
            <w:vAlign w:val="bottom"/>
          </w:tcPr>
          <w:p>
            <w:pPr>
              <w:ind w:left="280"/>
              <w:spacing w:after="0"/>
              <w:rPr>
                <w:sz w:val="20"/>
                <w:szCs w:val="20"/>
                <w:color w:val="auto"/>
              </w:rPr>
            </w:pPr>
            <w:r>
              <w:rPr>
                <w:rFonts w:ascii="Arial" w:cs="Arial" w:eastAsia="Arial" w:hAnsi="Arial"/>
                <w:sz w:val="17"/>
                <w:szCs w:val="17"/>
                <w:color w:val="auto"/>
              </w:rPr>
              <w:t>Name of Employee:</w:t>
            </w:r>
          </w:p>
        </w:tc>
        <w:tc>
          <w:tcPr>
            <w:tcW w:w="5580" w:type="dxa"/>
            <w:vAlign w:val="bottom"/>
          </w:tcPr>
          <w:p>
            <w:pPr>
              <w:ind w:left="2040"/>
              <w:spacing w:after="0"/>
              <w:rPr>
                <w:sz w:val="20"/>
                <w:szCs w:val="20"/>
                <w:color w:val="auto"/>
              </w:rPr>
            </w:pPr>
            <w:r>
              <w:rPr>
                <w:rFonts w:ascii="Arial" w:cs="Arial" w:eastAsia="Arial" w:hAnsi="Arial"/>
                <w:sz w:val="17"/>
                <w:szCs w:val="17"/>
                <w:color w:val="auto"/>
              </w:rPr>
              <w:t>Dr. Moshe Phillip</w:t>
            </w:r>
          </w:p>
        </w:tc>
      </w:tr>
      <w:tr>
        <w:trPr>
          <w:trHeight w:val="412"/>
        </w:trPr>
        <w:tc>
          <w:tcPr>
            <w:tcW w:w="420" w:type="dxa"/>
            <w:vAlign w:val="bottom"/>
          </w:tcPr>
          <w:p>
            <w:pPr>
              <w:jc w:val="right"/>
              <w:ind w:right="194"/>
              <w:spacing w:after="0"/>
              <w:rPr>
                <w:sz w:val="20"/>
                <w:szCs w:val="20"/>
                <w:color w:val="auto"/>
              </w:rPr>
            </w:pPr>
            <w:r>
              <w:rPr>
                <w:rFonts w:ascii="Arial" w:cs="Arial" w:eastAsia="Arial" w:hAnsi="Arial"/>
                <w:sz w:val="17"/>
                <w:szCs w:val="17"/>
                <w:color w:val="auto"/>
                <w:w w:val="84"/>
              </w:rPr>
              <w:t>2.</w:t>
            </w:r>
          </w:p>
        </w:tc>
        <w:tc>
          <w:tcPr>
            <w:tcW w:w="2240" w:type="dxa"/>
            <w:vAlign w:val="bottom"/>
          </w:tcPr>
          <w:p>
            <w:pPr>
              <w:ind w:left="280"/>
              <w:spacing w:after="0"/>
              <w:rPr>
                <w:sz w:val="20"/>
                <w:szCs w:val="20"/>
                <w:color w:val="auto"/>
              </w:rPr>
            </w:pPr>
            <w:r>
              <w:rPr>
                <w:rFonts w:ascii="Arial" w:cs="Arial" w:eastAsia="Arial" w:hAnsi="Arial"/>
                <w:sz w:val="17"/>
                <w:szCs w:val="17"/>
                <w:color w:val="auto"/>
              </w:rPr>
              <w:t>ID No. of Employee:</w:t>
            </w:r>
          </w:p>
        </w:tc>
        <w:tc>
          <w:tcPr>
            <w:tcW w:w="5580" w:type="dxa"/>
            <w:vAlign w:val="bottom"/>
          </w:tcPr>
          <w:p>
            <w:pPr>
              <w:ind w:left="2040"/>
              <w:spacing w:after="0"/>
              <w:rPr>
                <w:sz w:val="20"/>
                <w:szCs w:val="20"/>
                <w:color w:val="auto"/>
              </w:rPr>
            </w:pPr>
            <w:r>
              <w:rPr>
                <w:rFonts w:ascii="Arial" w:cs="Arial" w:eastAsia="Arial" w:hAnsi="Arial"/>
                <w:sz w:val="17"/>
                <w:szCs w:val="17"/>
                <w:color w:val="auto"/>
              </w:rPr>
              <w:t>52590908</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List of current Employement, Consulting, and other Commitements: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*Director institute of pediatric endocrinology and diabetes and vice dean of medical school – head of the school of continuing medical education. Private consultant in Ped. Endocrinology.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*Consultant to Dikla, Reshet Rofim, Mushlam, IMA-(workshops organizing group).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*Consultant to Nilimed – (insulin pump)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*Consultant to Transfarma (transdermal delivery of hormones)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236220</wp:posOffset>
            </wp:positionV>
            <wp:extent cx="3937000" cy="9226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October 13, 2004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Dr. Kinneret Savitsky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 Metudela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Tel Aviv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Re: </w:t>
      </w:r>
      <w:r>
        <w:rPr>
          <w:rFonts w:ascii="Arial" w:cs="Arial" w:eastAsia="Arial" w:hAnsi="Arial"/>
          <w:sz w:val="17"/>
          <w:szCs w:val="17"/>
          <w:b w:val="1"/>
          <w:bCs w:val="1"/>
          <w:u w:val="single" w:color="auto"/>
          <w:color w:val="auto"/>
        </w:rPr>
        <w:t>Engagement Offer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to our discussions, this is to set forth in writing our agreements regarding your engagement as the General Manager of a wholly owned subsidiary company which may be established by us as the management company of a biotechnology incubator in Jerusalem which shall be established by us if and when we shall win a tender of the Office of the Israeli Chief Scientist to establish, operate and manage such an incubator. For purposes of this letter agreement, we shall be referred to as "</w:t>
      </w:r>
      <w:r>
        <w:rPr>
          <w:rFonts w:ascii="Arial" w:cs="Arial" w:eastAsia="Arial" w:hAnsi="Arial"/>
          <w:sz w:val="17"/>
          <w:szCs w:val="17"/>
          <w:b w:val="1"/>
          <w:bCs w:val="1"/>
          <w:color w:val="auto"/>
        </w:rPr>
        <w:t>BioLine</w:t>
      </w:r>
      <w:r>
        <w:rPr>
          <w:rFonts w:ascii="Arial" w:cs="Arial" w:eastAsia="Arial" w:hAnsi="Arial"/>
          <w:sz w:val="17"/>
          <w:szCs w:val="17"/>
          <w:color w:val="auto"/>
        </w:rPr>
        <w:t>", the biotechnology incubator shall be referred to as the "</w:t>
      </w:r>
      <w:r>
        <w:rPr>
          <w:rFonts w:ascii="Arial" w:cs="Arial" w:eastAsia="Arial" w:hAnsi="Arial"/>
          <w:sz w:val="17"/>
          <w:szCs w:val="17"/>
          <w:b w:val="1"/>
          <w:bCs w:val="1"/>
          <w:color w:val="auto"/>
        </w:rPr>
        <w:t>Incubator</w:t>
      </w:r>
      <w:r>
        <w:rPr>
          <w:rFonts w:ascii="Arial" w:cs="Arial" w:eastAsia="Arial" w:hAnsi="Arial"/>
          <w:sz w:val="17"/>
          <w:szCs w:val="17"/>
          <w:color w:val="auto"/>
        </w:rPr>
        <w:t>", and the Incubator's management company shall be referred to as the "</w:t>
      </w:r>
      <w:r>
        <w:rPr>
          <w:rFonts w:ascii="Arial" w:cs="Arial" w:eastAsia="Arial" w:hAnsi="Arial"/>
          <w:sz w:val="17"/>
          <w:szCs w:val="17"/>
          <w:b w:val="1"/>
          <w:bCs w:val="1"/>
          <w:color w:val="auto"/>
        </w:rPr>
        <w:t>Management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Should you accept the terms of this letter agreement, it shall constitute a binding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you and the Management Company, if and when BioLine shall win the tender to establish, operate and manage the Incubator and upon actual incorporation of the Management Company. In such case, immediately following the incorporation of the Management Company, the Management Company shall automatically and without the need to take any action, be deemed to have assumed all of the rights and obligations under this Agreement, and BioLine shall be fully released from any and all liabilities and responsibilities, as of the date of execution of this Agreement, and at such time, BioLine and you shall terminate your engagement as an employee of BioLine.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terms of your employment with the Management Company shall be as follows: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48" w:lineRule="exact"/>
        <w:rPr>
          <w:sz w:val="20"/>
          <w:szCs w:val="20"/>
          <w:color w:val="auto"/>
        </w:rPr>
      </w:pPr>
    </w:p>
    <w:p>
      <w:pPr>
        <w:jc w:val="both"/>
        <w:ind w:left="700" w:hanging="466"/>
        <w:spacing w:after="0" w:line="257" w:lineRule="auto"/>
        <w:tabs>
          <w:tab w:leader="none" w:pos="70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You shall serve as the General Manager of the Management Company. In such position you shall report regularly to, and be subject to the direction and control of, the Board of Directors of the Management Company. You shall perform your duties diligently, conscientiously and in furtherance of the best interests of the Management Company. You agree and undertake to inform the Management Company, immediately after you become aware of it, of any matter that may in any way raise a conflict of interest between yourself and the Management Company. You shall not receive during your employment by the Management Company any payment, compensation or benefit from any third party in connection, directly or indirectly, with the execution of your position in the Management Company.</w:t>
      </w:r>
    </w:p>
    <w:p>
      <w:pPr>
        <w:spacing w:after="0" w:line="210" w:lineRule="exact"/>
        <w:rPr>
          <w:rFonts w:ascii="Arial" w:cs="Arial" w:eastAsia="Arial" w:hAnsi="Arial"/>
          <w:sz w:val="17"/>
          <w:szCs w:val="17"/>
          <w:color w:val="auto"/>
        </w:rPr>
      </w:pPr>
    </w:p>
    <w:p>
      <w:pPr>
        <w:jc w:val="both"/>
        <w:ind w:left="700" w:hanging="466"/>
        <w:spacing w:after="0" w:line="257" w:lineRule="auto"/>
        <w:tabs>
          <w:tab w:leader="none" w:pos="70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Full Time Employment</w:t>
      </w:r>
      <w:r>
        <w:rPr>
          <w:rFonts w:ascii="Arial" w:cs="Arial" w:eastAsia="Arial" w:hAnsi="Arial"/>
          <w:sz w:val="17"/>
          <w:szCs w:val="17"/>
          <w:color w:val="auto"/>
        </w:rPr>
        <w:t>. You will be employed on a full time basis. You shall devote your entire business time and attention to the business of the Management Company and you shall not undertake or accept any other paid or unpaid employment or occupation or engage in any other business activity except with the prior written consent of the Management Company, which shall not be unreasonably withheld.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384175</wp:posOffset>
            </wp:positionV>
            <wp:extent cx="7257415"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7" w:name="page258"/>
    <w:bookmarkEnd w:id="257"/>
    <w:p>
      <w:pPr>
        <w:ind w:left="700" w:hanging="466"/>
        <w:spacing w:after="0"/>
        <w:tabs>
          <w:tab w:leader="none" w:pos="700" w:val="left"/>
        </w:tabs>
        <w:numPr>
          <w:ilvl w:val="0"/>
          <w:numId w:val="183"/>
        </w:numPr>
        <w:rPr>
          <w:rFonts w:ascii="Arial" w:cs="Arial" w:eastAsia="Arial" w:hAnsi="Arial"/>
          <w:sz w:val="15"/>
          <w:szCs w:val="15"/>
          <w:color w:val="auto"/>
        </w:rPr>
      </w:pPr>
      <w:r>
        <w:rPr>
          <w:rFonts w:ascii="Arial" w:cs="Arial" w:eastAsia="Arial" w:hAnsi="Arial"/>
          <w:sz w:val="15"/>
          <w:szCs w:val="15"/>
          <w:u w:val="single" w:color="auto"/>
          <w:color w:val="auto"/>
        </w:rPr>
        <w:t>Employee's Representations and Warranties</w:t>
      </w:r>
      <w:r>
        <w:rPr>
          <w:rFonts w:ascii="Arial" w:cs="Arial" w:eastAsia="Arial" w:hAnsi="Arial"/>
          <w:sz w:val="15"/>
          <w:szCs w:val="15"/>
          <w:color w:val="auto"/>
        </w:rPr>
        <w:t>. You represent and warrant that the execution and delivery of this Agreement and the fulfillment of all its terms:</w:t>
      </w:r>
    </w:p>
    <w:p>
      <w:pPr>
        <w:spacing w:after="0" w:line="44" w:lineRule="exact"/>
        <w:rPr>
          <w:rFonts w:ascii="Arial" w:cs="Arial" w:eastAsia="Arial" w:hAnsi="Arial"/>
          <w:sz w:val="15"/>
          <w:szCs w:val="15"/>
          <w:color w:val="auto"/>
        </w:rPr>
      </w:pPr>
    </w:p>
    <w:p>
      <w:pPr>
        <w:jc w:val="both"/>
        <w:ind w:left="700"/>
        <w:spacing w:after="0" w:line="274" w:lineRule="auto"/>
        <w:rPr>
          <w:rFonts w:ascii="Arial" w:cs="Arial" w:eastAsia="Arial" w:hAnsi="Arial"/>
          <w:sz w:val="15"/>
          <w:szCs w:val="15"/>
          <w:color w:val="auto"/>
        </w:rPr>
      </w:pPr>
      <w:r>
        <w:rPr>
          <w:rFonts w:ascii="Arial" w:cs="Arial" w:eastAsia="Arial" w:hAnsi="Arial"/>
          <w:sz w:val="16"/>
          <w:szCs w:val="16"/>
          <w:color w:val="auto"/>
        </w:rPr>
        <w:t>(i) will not constitute a default under or conflict with any agreement or other instrument to which you are a party to or by which you are bound; and (ii) do not require the consent of any person or entity. Further, with respect to any past engagement you may have had with third parties and with respect to any allowed engagement you may have with any third party during the term of your engagement with the Management Company (for purposes hereof, such third parties shall be referred to as "</w:t>
      </w:r>
      <w:r>
        <w:rPr>
          <w:rFonts w:ascii="Arial" w:cs="Arial" w:eastAsia="Arial" w:hAnsi="Arial"/>
          <w:sz w:val="16"/>
          <w:szCs w:val="16"/>
          <w:b w:val="1"/>
          <w:bCs w:val="1"/>
          <w:color w:val="auto"/>
        </w:rPr>
        <w:t>Other Employers</w:t>
      </w:r>
      <w:r>
        <w:rPr>
          <w:rFonts w:ascii="Arial" w:cs="Arial" w:eastAsia="Arial" w:hAnsi="Arial"/>
          <w:sz w:val="16"/>
          <w:szCs w:val="16"/>
          <w:color w:val="auto"/>
        </w:rPr>
        <w:t>"), you represent, warrant and undertake that: (a) your engagement with the Management Company is and/or will not be in breach of your undertakings towards Other Employers, and (b) you will not disclose to the Management Company, or use, in provision of any services to the Management Company, any proprietary or confidential information belonging to any Other Employers.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 of Employment</w:t>
      </w:r>
    </w:p>
    <w:p>
      <w:pPr>
        <w:spacing w:after="0" w:line="248" w:lineRule="exact"/>
        <w:rPr>
          <w:sz w:val="20"/>
          <w:szCs w:val="20"/>
          <w:color w:val="auto"/>
        </w:rPr>
      </w:pPr>
    </w:p>
    <w:p>
      <w:pPr>
        <w:jc w:val="both"/>
        <w:ind w:left="700" w:hanging="466"/>
        <w:spacing w:after="0" w:line="265" w:lineRule="auto"/>
        <w:tabs>
          <w:tab w:leader="none" w:pos="700"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Your employment by the Management Company shall commence upon formal notice which shall be given to you by the Management Company, upon its incorporation (subject to the conditions precedent set forth in the recital to this Agreement)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shall continue until it is terminated pursuant to the terms set forth herein.</w:t>
      </w:r>
    </w:p>
    <w:p>
      <w:pPr>
        <w:spacing w:after="0" w:line="201" w:lineRule="exact"/>
        <w:rPr>
          <w:rFonts w:ascii="Arial" w:cs="Arial" w:eastAsia="Arial" w:hAnsi="Arial"/>
          <w:sz w:val="17"/>
          <w:szCs w:val="17"/>
          <w:color w:val="auto"/>
        </w:rPr>
      </w:pPr>
    </w:p>
    <w:p>
      <w:pPr>
        <w:ind w:left="700" w:hanging="466"/>
        <w:spacing w:after="0" w:line="278" w:lineRule="auto"/>
        <w:tabs>
          <w:tab w:leader="none" w:pos="700"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Termination at Will</w:t>
      </w:r>
      <w:r>
        <w:rPr>
          <w:rFonts w:ascii="Arial" w:cs="Arial" w:eastAsia="Arial" w:hAnsi="Arial"/>
          <w:sz w:val="17"/>
          <w:szCs w:val="17"/>
          <w:color w:val="auto"/>
        </w:rPr>
        <w:t>. Either party may terminate the employment relationship hereunder at any time by giving the other party a prior written notice of at least 30 (thirty) days (the “</w:t>
      </w:r>
      <w:r>
        <w:rPr>
          <w:rFonts w:ascii="Arial" w:cs="Arial" w:eastAsia="Arial" w:hAnsi="Arial"/>
          <w:sz w:val="17"/>
          <w:szCs w:val="17"/>
          <w:b w:val="1"/>
          <w:bCs w:val="1"/>
          <w:color w:val="auto"/>
        </w:rPr>
        <w:t>Notice Period</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jc w:val="both"/>
        <w:ind w:left="700" w:hanging="466"/>
        <w:spacing w:after="0" w:line="298" w:lineRule="auto"/>
        <w:tabs>
          <w:tab w:leader="none" w:pos="700"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In the event of a termination for Cause (as defined below), the Management Company may immediately terminate the employment relationship effective as of the time of notice of the same. "</w:t>
      </w:r>
      <w:r>
        <w:rPr>
          <w:rFonts w:ascii="Arial" w:cs="Arial" w:eastAsia="Arial" w:hAnsi="Arial"/>
          <w:sz w:val="15"/>
          <w:szCs w:val="15"/>
          <w:b w:val="1"/>
          <w:bCs w:val="1"/>
          <w:color w:val="auto"/>
        </w:rPr>
        <w:t>Cause</w:t>
      </w:r>
      <w:r>
        <w:rPr>
          <w:rFonts w:ascii="Arial" w:cs="Arial" w:eastAsia="Arial" w:hAnsi="Arial"/>
          <w:sz w:val="15"/>
          <w:szCs w:val="15"/>
          <w:color w:val="auto"/>
        </w:rPr>
        <w:t>" means (a) a serious breach of trust including but not limited to theft, embezzlement, self-dealing, prohibited disclosure to unauthorized persons or entities of confidential or proprietary information of or relating to the Management Company and the engaging by yourself in any prohibited business competitive to the business of the Management Company; or (b) any willful failure to perform or failure to perform competently any of your fundamental functions or duties hereunder, which was not cured within thirty (30) days after receipt by you of written notice thereof, or (c) other cause justifying termination or dismissal without severance payment under applicable law.</w:t>
      </w:r>
    </w:p>
    <w:p>
      <w:pPr>
        <w:spacing w:after="0" w:line="181" w:lineRule="exact"/>
        <w:rPr>
          <w:rFonts w:ascii="Arial" w:cs="Arial" w:eastAsia="Arial" w:hAnsi="Arial"/>
          <w:sz w:val="15"/>
          <w:szCs w:val="15"/>
          <w:color w:val="auto"/>
        </w:rPr>
      </w:pPr>
    </w:p>
    <w:p>
      <w:pPr>
        <w:jc w:val="both"/>
        <w:ind w:left="700" w:hanging="466"/>
        <w:spacing w:after="0" w:line="298" w:lineRule="auto"/>
        <w:tabs>
          <w:tab w:leader="none" w:pos="700"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Notice Period; End of Relations</w:t>
      </w:r>
      <w:r>
        <w:rPr>
          <w:rFonts w:ascii="Arial" w:cs="Arial" w:eastAsia="Arial" w:hAnsi="Arial"/>
          <w:sz w:val="15"/>
          <w:szCs w:val="15"/>
          <w:color w:val="auto"/>
        </w:rPr>
        <w:t>. During the Notice Period, the employment relationship hereunder shall remain in full force and effect and there shall be no change in your position with the Management Company, in your Salary, or in any other obligations of either party hereunder, unless otherwise determined by the Management Company in a written notice to you, and you shall cooperate with the Management Company and assist the Management Company with the integration into the Management Company of the person who will assume your responsibilities. However, the Management Company, at its own discretion, may terminate this Agreement and the employment relationship at any time immediately upon a written notice and pay you a one time amount equal to the Salary and the benefits referred to in Section 10 below that would have been paid to you during the Notice Period in lieu of the prior notice.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Covenants</w:t>
      </w:r>
    </w:p>
    <w:p>
      <w:pPr>
        <w:spacing w:after="0" w:line="248" w:lineRule="exact"/>
        <w:rPr>
          <w:sz w:val="20"/>
          <w:szCs w:val="20"/>
          <w:color w:val="auto"/>
        </w:rPr>
      </w:pPr>
    </w:p>
    <w:p>
      <w:pPr>
        <w:ind w:left="700" w:hanging="466"/>
        <w:spacing w:after="0" w:line="278" w:lineRule="auto"/>
        <w:tabs>
          <w:tab w:leader="none" w:pos="700"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Proprietary Information; Confidentiality and Non-Competition</w:t>
      </w:r>
      <w:r>
        <w:rPr>
          <w:rFonts w:ascii="Arial" w:cs="Arial" w:eastAsia="Arial" w:hAnsi="Arial"/>
          <w:sz w:val="17"/>
          <w:szCs w:val="17"/>
          <w:color w:val="auto"/>
        </w:rPr>
        <w:t xml:space="preserve">. By executing this Agreement you confirm and agree to the provisions of the Management Company's Proprietary Information, Confidentiality and Non-Competition Agreement attached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hereto.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b w:val="1"/>
          <w:bCs w:val="1"/>
          <w:u w:val="single" w:color="auto"/>
          <w:color w:val="auto"/>
        </w:rPr>
        <w:t>Salary; Insurance; Advanced Study Fund</w:t>
      </w:r>
    </w:p>
    <w:p>
      <w:pPr>
        <w:spacing w:after="0" w:line="248" w:lineRule="exact"/>
        <w:rPr>
          <w:sz w:val="20"/>
          <w:szCs w:val="20"/>
          <w:color w:val="auto"/>
        </w:rPr>
      </w:pPr>
    </w:p>
    <w:p>
      <w:pPr>
        <w:jc w:val="both"/>
        <w:ind w:left="700" w:hanging="466"/>
        <w:spacing w:after="0" w:line="280" w:lineRule="auto"/>
        <w:tabs>
          <w:tab w:leader="none" w:pos="700"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Salary</w:t>
      </w:r>
      <w:r>
        <w:rPr>
          <w:rFonts w:ascii="Arial" w:cs="Arial" w:eastAsia="Arial" w:hAnsi="Arial"/>
          <w:sz w:val="15"/>
          <w:szCs w:val="15"/>
          <w:color w:val="auto"/>
        </w:rPr>
        <w:t>. The Management Company shall pay to you as compensation for the employment services, an aggregate monthly compensation in the amount of NIS 62,000 (sixty two thousand New Israeli Shekels) (Gross) (the "</w:t>
      </w:r>
      <w:r>
        <w:rPr>
          <w:rFonts w:ascii="Arial" w:cs="Arial" w:eastAsia="Arial" w:hAnsi="Arial"/>
          <w:sz w:val="15"/>
          <w:szCs w:val="15"/>
          <w:b w:val="1"/>
          <w:bCs w:val="1"/>
          <w:color w:val="auto"/>
        </w:rPr>
        <w:t>Salary</w:t>
      </w:r>
      <w:r>
        <w:rPr>
          <w:rFonts w:ascii="Arial" w:cs="Arial" w:eastAsia="Arial" w:hAnsi="Arial"/>
          <w:sz w:val="15"/>
          <w:szCs w:val="15"/>
          <w:color w:val="auto"/>
        </w:rPr>
        <w:t>"). Except as specifically set forth herein, the Salary includes any and all payments to which you are entitled from the Management Company hereunder and under any applicable law, regulation or agreement. The Salary includes any and all reimbursement of daily travel costs to which you are entitled under applicable law, and any and all other payments to which you are entitled from the Management Company hereunder and under any applicable law, regulation or agreement. Your Salary and other terms of employment may be reviewed and updated, from time to time by the Management Company's management, at its discretion. The Salary is to be paid to you no later then the 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of each calendar month after the month for which the Salary is paid after deduction of applicable taxes and the like payments.</w:t>
      </w:r>
    </w:p>
    <w:p>
      <w:pPr>
        <w:spacing w:after="0" w:line="157" w:lineRule="exact"/>
        <w:rPr>
          <w:rFonts w:ascii="Arial" w:cs="Arial" w:eastAsia="Arial" w:hAnsi="Arial"/>
          <w:sz w:val="15"/>
          <w:szCs w:val="15"/>
          <w:color w:val="auto"/>
        </w:rPr>
      </w:pPr>
    </w:p>
    <w:p>
      <w:pPr>
        <w:jc w:val="both"/>
        <w:ind w:left="700" w:hanging="466"/>
        <w:spacing w:after="0" w:line="272" w:lineRule="auto"/>
        <w:tabs>
          <w:tab w:leader="none" w:pos="70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Insurance and Social Benefits</w:t>
      </w:r>
      <w:r>
        <w:rPr>
          <w:rFonts w:ascii="Arial" w:cs="Arial" w:eastAsia="Arial" w:hAnsi="Arial"/>
          <w:sz w:val="16"/>
          <w:szCs w:val="16"/>
          <w:color w:val="auto"/>
        </w:rPr>
        <w:t>. The Management Company will insure you under an "Manager's Insurance Scheme" to be selected by the Management Company in coordination with you; or if so requested by you under your existing "Manager's Insurance Scheme" (the "</w:t>
      </w:r>
      <w:r>
        <w:rPr>
          <w:rFonts w:ascii="Arial" w:cs="Arial" w:eastAsia="Arial" w:hAnsi="Arial"/>
          <w:sz w:val="16"/>
          <w:szCs w:val="16"/>
          <w:b w:val="1"/>
          <w:bCs w:val="1"/>
          <w:color w:val="auto"/>
        </w:rPr>
        <w:t>Insurance Scheme</w:t>
      </w:r>
      <w:r>
        <w:rPr>
          <w:rFonts w:ascii="Arial" w:cs="Arial" w:eastAsia="Arial" w:hAnsi="Arial"/>
          <w:sz w:val="16"/>
          <w:szCs w:val="16"/>
          <w:color w:val="auto"/>
        </w:rPr>
        <w:t>") as follows: (i) the Management Company will pay an amount equal to 5% of the Salary towards a fund for life insurance and pension, and shall deduct 5% from the Salary and pay such amount towards the Insurance Scheme for your benefit; (ii) the Management Company will pay an amount of up to 2.5% of the Salary towards a fund for the event of loss of working ability (Ovdan Kosher Avoda); and (iii) the Management Company will pay an amount equal to 8 1/3% of the Salary towards a fund for severance compensation. The Management Company together with you will maintain an advanced study fund (Keren Hishtalmut Fund) such that you and the Management Company shall contribute to such fund an amount equal to 2.5% and 7.5%, respectively, up to the ceiling dictated by applicable laws. Your aforementioned contribution is to be transferred to such fund by the Management Company from each monthly Salary payment. It is agreed that in case of termination of your employment under any circumstances other than For Cause, the Management Company shall have released to you that portion of the Insurance Scheme paid towards a fund for severance compensation (sub-clause (iii) above), and the same shall constitute as part of the severance compensation to which you are entitled.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Additional Benefits</w:t>
      </w:r>
    </w:p>
    <w:p>
      <w:pPr>
        <w:spacing w:after="0" w:line="248" w:lineRule="exact"/>
        <w:rPr>
          <w:sz w:val="20"/>
          <w:szCs w:val="20"/>
          <w:color w:val="auto"/>
        </w:rPr>
      </w:pPr>
    </w:p>
    <w:p>
      <w:pPr>
        <w:jc w:val="both"/>
        <w:ind w:left="780" w:hanging="468"/>
        <w:spacing w:after="0" w:line="261" w:lineRule="auto"/>
        <w:tabs>
          <w:tab w:leader="none" w:pos="78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Management Company will reimburse you for pre approved business expenses borne by you, in accordance with the Management Company’s policies as determined by the Management Company from time to time. As a condition to reimbursement, you shall be required to provide the Management Company with all invoices, receipts and other evidence of expenditure as may be reasonably required by the Management Company from time to time.</w:t>
      </w:r>
    </w:p>
    <w:p>
      <w:pPr>
        <w:spacing w:after="0" w:line="204" w:lineRule="exact"/>
        <w:rPr>
          <w:rFonts w:ascii="Arial" w:cs="Arial" w:eastAsia="Arial" w:hAnsi="Arial"/>
          <w:sz w:val="17"/>
          <w:szCs w:val="17"/>
          <w:color w:val="auto"/>
        </w:rPr>
      </w:pPr>
    </w:p>
    <w:p>
      <w:pPr>
        <w:jc w:val="both"/>
        <w:ind w:left="780" w:hanging="468"/>
        <w:spacing w:after="0" w:line="261" w:lineRule="auto"/>
        <w:tabs>
          <w:tab w:leader="none" w:pos="78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You shall be entitled to 20 (twenty) vacation days per year, and the use of said vacation days will be coordinated with the Management Company. In the event that the demands of your activities preclude or limit your ability to actually use such vacation days in any year, you shall be entitled to the balance of the unused vacation only in the next succeeding year or, if unable to take the balance in that next succeeding year, to receive an amount equal to the rate of Salary then applicable to the vacation time not taken during such year.</w:t>
      </w:r>
    </w:p>
    <w:p>
      <w:pPr>
        <w:spacing w:after="0" w:line="204" w:lineRule="exact"/>
        <w:rPr>
          <w:rFonts w:ascii="Arial" w:cs="Arial" w:eastAsia="Arial" w:hAnsi="Arial"/>
          <w:sz w:val="17"/>
          <w:szCs w:val="17"/>
          <w:color w:val="auto"/>
        </w:rPr>
      </w:pPr>
    </w:p>
    <w:p>
      <w:pPr>
        <w:ind w:left="780" w:hanging="468"/>
        <w:spacing w:after="0"/>
        <w:tabs>
          <w:tab w:leader="none" w:pos="78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Sick Leave; Recreation Pay</w:t>
      </w:r>
      <w:r>
        <w:rPr>
          <w:rFonts w:ascii="Arial" w:cs="Arial" w:eastAsia="Arial" w:hAnsi="Arial"/>
          <w:sz w:val="17"/>
          <w:szCs w:val="17"/>
          <w:color w:val="auto"/>
        </w:rPr>
        <w:t>. You shall be entitled to sick leave and Recreation Pay (Dmei Havra'a) pursuant to applicable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59" w:name="page260"/>
    <w:bookmarkEnd w:id="259"/>
    <w:p>
      <w:pPr>
        <w:jc w:val="both"/>
        <w:ind w:left="780" w:hanging="468"/>
        <w:spacing w:after="0" w:line="272" w:lineRule="auto"/>
        <w:tabs>
          <w:tab w:leader="none" w:pos="7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 BioLine has granted you options to purchase 200,000 (two hundred thousand) Ordinary Shares par value NIS 0.01 each of BioLine, which options will be granted pursuant to, and in accordance with, the terms and conditions of a share option plan adopted by BioLine (the "</w:t>
      </w:r>
      <w:r>
        <w:rPr>
          <w:rFonts w:ascii="Arial" w:cs="Arial" w:eastAsia="Arial" w:hAnsi="Arial"/>
          <w:sz w:val="16"/>
          <w:szCs w:val="16"/>
          <w:b w:val="1"/>
          <w:bCs w:val="1"/>
          <w:color w:val="auto"/>
        </w:rPr>
        <w:t>Options</w:t>
      </w:r>
      <w:r>
        <w:rPr>
          <w:rFonts w:ascii="Arial" w:cs="Arial" w:eastAsia="Arial" w:hAnsi="Arial"/>
          <w:sz w:val="16"/>
          <w:szCs w:val="16"/>
          <w:color w:val="auto"/>
        </w:rPr>
        <w:t>"). The Options are subject to vesting over a period of 4 (four) years as follows: 25% (twenty five percent) of the Options shall be deemed vested at the end of 12 (twelve) months from August 15, 2004, and the remaining 75% (seventy five percent) of the Options shall vest in twelve (12) equal quarterly installments, with eight percent and one third of a percent (8.333%) of such amount of the remaining Options vesting at the end of every three months for a period of three years (the entire four-year period shall be referred to as the "</w:t>
      </w:r>
      <w:r>
        <w:rPr>
          <w:rFonts w:ascii="Arial" w:cs="Arial" w:eastAsia="Arial" w:hAnsi="Arial"/>
          <w:sz w:val="16"/>
          <w:szCs w:val="16"/>
          <w:b w:val="1"/>
          <w:bCs w:val="1"/>
          <w:color w:val="auto"/>
        </w:rPr>
        <w:t>Vesting Period</w:t>
      </w:r>
      <w:r>
        <w:rPr>
          <w:rFonts w:ascii="Arial" w:cs="Arial" w:eastAsia="Arial" w:hAnsi="Arial"/>
          <w:sz w:val="16"/>
          <w:szCs w:val="16"/>
          <w:color w:val="auto"/>
        </w:rPr>
        <w:t>"). The above referred to grant of Options shall remain in force and effect as of the initial date of August 15, 2004. Upon termination of this Agreement for any reason all the then unvested Options shall expire immediately and/or may then be re-granted by BioLine to any person or entity at its discretion. For avoidance of doubt, it is clarified that nothing in this Agreement shall be deemed as an undertaking of either of the Management Company or BioLine to retain your services for any minimum period. Notwithstanding the aforesaid, it is agreed that in the event of death of or permanent severe disability that no longer enables you to reasonably work, 50% (fifty percent) all the Options then still subject to vesting shall be deemed fully vested.</w:t>
      </w:r>
    </w:p>
    <w:p>
      <w:pPr>
        <w:spacing w:after="0" w:line="201" w:lineRule="exact"/>
        <w:rPr>
          <w:rFonts w:ascii="Arial" w:cs="Arial" w:eastAsia="Arial" w:hAnsi="Arial"/>
          <w:sz w:val="16"/>
          <w:szCs w:val="16"/>
          <w:color w:val="auto"/>
        </w:rPr>
      </w:pPr>
    </w:p>
    <w:p>
      <w:pPr>
        <w:jc w:val="both"/>
        <w:ind w:left="780" w:hanging="468"/>
        <w:spacing w:after="0" w:line="273" w:lineRule="auto"/>
        <w:tabs>
          <w:tab w:leader="none" w:pos="78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Automobile</w:t>
      </w:r>
      <w:r>
        <w:rPr>
          <w:rFonts w:ascii="Arial" w:cs="Arial" w:eastAsia="Arial" w:hAnsi="Arial"/>
          <w:sz w:val="16"/>
          <w:szCs w:val="16"/>
          <w:color w:val="auto"/>
        </w:rPr>
        <w:t>. For purposes of performance of your duties and tasks, the Management Company shall make available to you a leased automobile, of a type 3 (e.g., Mazda 6 2.0 liter), in accordance with its policies (the “</w:t>
      </w:r>
      <w:r>
        <w:rPr>
          <w:rFonts w:ascii="Arial" w:cs="Arial" w:eastAsia="Arial" w:hAnsi="Arial"/>
          <w:sz w:val="16"/>
          <w:szCs w:val="16"/>
          <w:b w:val="1"/>
          <w:bCs w:val="1"/>
          <w:color w:val="auto"/>
        </w:rPr>
        <w:t>Leased Car</w:t>
      </w:r>
      <w:r>
        <w:rPr>
          <w:rFonts w:ascii="Arial" w:cs="Arial" w:eastAsia="Arial" w:hAnsi="Arial"/>
          <w:sz w:val="16"/>
          <w:szCs w:val="16"/>
          <w:color w:val="auto"/>
        </w:rPr>
        <w:t>”). The Management Company shall bear and pay for the cost of fuel, maintenance and repairs, and any insurance deductibles for the Leased Car. You shall be liable for paying any parking and/or traffic fines received in connection herewith, and for indemnification of the Management Company in case of negligent use of the Leased Car and/or use of the Leased Car not in accordance with the Management Company's applicable policies. For the avoidance of doubt, you agree and confirm that the cost of the leasing and/or the cost of the use of the Leased Car shall not constitute a component of your Salary, including with regard to social benefits and/or any other right to which you are entitled by virtue of this Agreement or under law. The Leased Car will remain in the Management Company's ownership, and will be returned to the Management Company by you immediately upon termination of your employment with the Management Company for any reason or upon notice of termination, if and as of the date on which your services are no longer required by the Management Company.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48" w:lineRule="exact"/>
        <w:rPr>
          <w:sz w:val="20"/>
          <w:szCs w:val="20"/>
          <w:color w:val="auto"/>
        </w:rPr>
      </w:pPr>
    </w:p>
    <w:p>
      <w:pPr>
        <w:jc w:val="both"/>
        <w:ind w:left="780" w:hanging="468"/>
        <w:spacing w:after="0" w:line="292" w:lineRule="auto"/>
        <w:tabs>
          <w:tab w:leader="none" w:pos="78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laws of the State of Israel shall apply to this Agreement and the sole and exclusive place of jurisdiction in any matter arising out of or in connection with this Agreement shall be the Tel-Aviv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you acknowledge and confirm that all terms of your employment are personal and confidential, and undertake to keep such term in confidence and refrain from disclosing such terms to any third party.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60" w:name="page261"/>
    <w:bookmarkEnd w:id="260"/>
    <w:p>
      <w:pPr>
        <w:spacing w:after="0" w:line="311" w:lineRule="auto"/>
        <w:rPr>
          <w:sz w:val="20"/>
          <w:szCs w:val="20"/>
          <w:color w:val="auto"/>
        </w:rPr>
      </w:pPr>
      <w:r>
        <w:rPr>
          <w:rFonts w:ascii="Arial" w:cs="Arial" w:eastAsia="Arial" w:hAnsi="Arial"/>
          <w:sz w:val="16"/>
          <w:szCs w:val="16"/>
          <w:color w:val="auto"/>
        </w:rPr>
        <w:t>Please indicate your acceptance to the terms of this letter agreement by signing and dating them and returning a counterpart hereof to us. Our signature on this letter agreement (on behalf of the Management Company to be established) will bind the Management Company only if coupled with your signature.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/s/Morris C.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58820" cy="165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258820"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BioLineRx Ltd.</w:t>
      </w:r>
      <w:r>
        <w:rPr>
          <w:rFonts w:ascii="Arial" w:cs="Arial" w:eastAsia="Arial" w:hAnsi="Arial"/>
          <w:sz w:val="17"/>
          <w:szCs w:val="17"/>
          <w:color w:val="auto"/>
        </w:rPr>
        <w:t>, on behalf of the Management Company (to be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established)</w:t>
      </w:r>
    </w:p>
    <w:p>
      <w:pPr>
        <w:spacing w:after="0" w:line="20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MORRIS C. LASTER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981325" cy="165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981325" cy="16510"/>
                    </a:xfrm>
                    <a:prstGeom prst="rect">
                      <a:avLst/>
                    </a:prstGeom>
                    <a:noFill/>
                  </pic:spPr>
                </pic:pic>
              </a:graphicData>
            </a:graphic>
          </wp:anchor>
        </w:drawing>
      </w:r>
    </w:p>
    <w:p>
      <w:pPr>
        <w:spacing w:after="0" w:line="248" w:lineRule="exact"/>
        <w:rPr>
          <w:sz w:val="20"/>
          <w:szCs w:val="20"/>
          <w:color w:val="auto"/>
        </w:rPr>
      </w:pPr>
    </w:p>
    <w:p>
      <w:pPr>
        <w:spacing w:after="0"/>
        <w:tabs>
          <w:tab w:leader="none" w:pos="10320" w:val="left"/>
          <w:tab w:leader="none" w:pos="10840" w:val="left"/>
        </w:tabs>
        <w:rPr>
          <w:sz w:val="20"/>
          <w:szCs w:val="20"/>
          <w:color w:val="auto"/>
        </w:rPr>
      </w:pPr>
      <w:r>
        <w:rPr>
          <w:rFonts w:ascii="Arial" w:cs="Arial" w:eastAsia="Arial" w:hAnsi="Arial"/>
          <w:sz w:val="16"/>
          <w:szCs w:val="16"/>
          <w:color w:val="auto"/>
        </w:rPr>
        <w:t>I, the undersigned, Kinneret Savitsky, hereby agree to all terms of this letter agreement, and in witness hereof have signed this letter on this date of [</w:t>
      </w:r>
      <w:r>
        <w:rPr>
          <w:sz w:val="20"/>
          <w:szCs w:val="20"/>
          <w:color w:val="auto"/>
        </w:rPr>
        <w:tab/>
      </w:r>
      <w:r>
        <w:rPr>
          <w:rFonts w:ascii="Arial" w:cs="Arial" w:eastAsia="Arial" w:hAnsi="Arial"/>
          <w:sz w:val="17"/>
          <w:szCs w:val="17"/>
          <w:color w:val="auto"/>
        </w:rPr>
        <w:t>4/10</w:t>
      </w:r>
      <w:r>
        <w:rPr>
          <w:sz w:val="20"/>
          <w:szCs w:val="20"/>
          <w:color w:val="auto"/>
        </w:rPr>
        <w:tab/>
      </w:r>
      <w:r>
        <w:rPr>
          <w:rFonts w:ascii="Arial" w:cs="Arial" w:eastAsia="Arial" w:hAnsi="Arial"/>
          <w:sz w:val="15"/>
          <w:szCs w:val="15"/>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-9525</wp:posOffset>
            </wp:positionV>
            <wp:extent cx="4381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/s/Kinneret Savitsky</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KINNERET SAVITSKY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7"/>
          <w:szCs w:val="17"/>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Proprietary Information, Confidentiality and Non-Competition Agreement</w:t>
      </w:r>
    </w:p>
    <w:p>
      <w:pPr>
        <w:spacing w:after="0" w:line="225" w:lineRule="exact"/>
        <w:rPr>
          <w:sz w:val="20"/>
          <w:szCs w:val="20"/>
          <w:color w:val="auto"/>
        </w:rPr>
      </w:pPr>
    </w:p>
    <w:p>
      <w:pPr>
        <w:ind w:left="600" w:hanging="597"/>
        <w:spacing w:after="0"/>
        <w:tabs>
          <w:tab w:leader="none" w:pos="600" w:val="left"/>
        </w:tabs>
        <w:numPr>
          <w:ilvl w:val="0"/>
          <w:numId w:val="190"/>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All the capitalized terms herein shall have the meanings ascribed to them in the letter agreement to which this Exhibit is attached (the "</w:t>
      </w:r>
      <w:r>
        <w:rPr>
          <w:rFonts w:ascii="Arial" w:cs="Arial" w:eastAsia="Arial" w:hAnsi="Arial"/>
          <w:sz w:val="17"/>
          <w:szCs w:val="17"/>
          <w:b w:val="1"/>
          <w:bCs w:val="1"/>
          <w:color w:val="auto"/>
        </w:rPr>
        <w:t>Agreement</w:t>
      </w:r>
      <w:r>
        <w:rPr>
          <w:rFonts w:ascii="Arial" w:cs="Arial" w:eastAsia="Arial" w:hAnsi="Arial"/>
          <w:sz w:val="17"/>
          <w:szCs w:val="17"/>
          <w:color w:val="auto"/>
        </w:rPr>
        <w:t>"). The employee shall be referred to as the "</w:t>
      </w:r>
      <w:r>
        <w:rPr>
          <w:rFonts w:ascii="Arial" w:cs="Arial" w:eastAsia="Arial" w:hAnsi="Arial"/>
          <w:sz w:val="17"/>
          <w:szCs w:val="17"/>
          <w:b w:val="1"/>
          <w:bCs w:val="1"/>
          <w:color w:val="auto"/>
        </w:rPr>
        <w:t>Employee</w:t>
      </w:r>
      <w:r>
        <w:rPr>
          <w:rFonts w:ascii="Arial" w:cs="Arial" w:eastAsia="Arial" w:hAnsi="Arial"/>
          <w:sz w:val="17"/>
          <w:szCs w:val="17"/>
          <w:color w:val="auto"/>
        </w:rPr>
        <w:t>" and the employer shall be referred to as the "</w:t>
      </w:r>
      <w:r>
        <w:rPr>
          <w:rFonts w:ascii="Arial" w:cs="Arial" w:eastAsia="Arial" w:hAnsi="Arial"/>
          <w:sz w:val="17"/>
          <w:szCs w:val="17"/>
          <w:b w:val="1"/>
          <w:bCs w:val="1"/>
          <w:color w:val="auto"/>
        </w:rPr>
        <w:t>Company</w:t>
      </w:r>
      <w:r>
        <w:rPr>
          <w:rFonts w:ascii="Arial" w:cs="Arial" w:eastAsia="Arial" w:hAnsi="Arial"/>
          <w:sz w:val="17"/>
          <w:szCs w:val="17"/>
          <w:color w:val="auto"/>
        </w:rPr>
        <w:t>". For purposes of any undertaking of the Employee toward the Company herein, the term Company shall also include the Incubator and all companies and other legal entities which may be situated in the Incubator or receive funding or services from the Incubator.</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Employee's obligations and representations and the Company's rights under this Exhibit shall apply as of the Commencement Date of the employment relationship between the Company and the Employee, and as of the first time the Employee became engaged with Company, regardless of the date of execution of the Agreement.</w:t>
      </w:r>
    </w:p>
    <w:p>
      <w:pPr>
        <w:spacing w:after="0" w:line="195" w:lineRule="exact"/>
        <w:rPr>
          <w:sz w:val="20"/>
          <w:szCs w:val="20"/>
          <w:color w:val="auto"/>
        </w:rPr>
      </w:pPr>
    </w:p>
    <w:p>
      <w:pPr>
        <w:ind w:left="600" w:hanging="597"/>
        <w:spacing w:after="0"/>
        <w:tabs>
          <w:tab w:leader="none" w:pos="600" w:val="left"/>
        </w:tabs>
        <w:numPr>
          <w:ilvl w:val="0"/>
          <w:numId w:val="191"/>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Proprietary Information</w:t>
      </w:r>
    </w:p>
    <w:p>
      <w:pPr>
        <w:spacing w:after="0" w:line="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color w:val="auto"/>
        </w:rPr>
        <w:t>Proprietary Information</w:t>
      </w:r>
      <w:r>
        <w:rPr>
          <w:rFonts w:ascii="Arial" w:cs="Arial" w:eastAsia="Arial" w:hAnsi="Arial"/>
          <w:sz w:val="16"/>
          <w:szCs w:val="16"/>
          <w:color w:val="auto"/>
        </w:rPr>
        <w:t>" means confidential and proprietary information concerning the business and financial activities of the Company, including 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the Company may obtain or receive from third parties.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2.2. Proprietary Information shall be deemed to include any and all proprietary information disclosed by or on behalf of the Company and irrespective of form but excluding information that (i) was known to Employee prior to Employee's association with the Company and can be so proven; (ii) is or shall become part of the public knowledge except as a result of the breach of the Agreement or this Exhibit by the Employee; (iii) reflects general skills and experience gained during Employee's engagement by the Company; or (iv) reflects information and data generally known in the industries or trades in which the Company operates.</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2.3. Employee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2.4 Employee agrees that all Proprietary Information, and patents, trademarks, copyrights and other intellectual property and ownership rights in connection therewith shall be the sole property of the Company and its assigns. At all times, both during Employee's engagement by the Company and after Employee's termination, Employee will keep in confidence and trust all Proprietary Information, and the Employee will not use or disclose any Proprietary Information or anything relating to it without the written consent of the Company, except as may be necessary in the ordinary course of performing Employee's duties under the Agreement.</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2.5. Upon termination of Employee's employment with the Company, Employee will promptly deliver to the Company all documents and materials of any nature pertaining to Employee's work with the Company, and will not take with Employee any documents or materials or copies thereof containing any Proprietary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62" w:name="page263"/>
    <w:bookmarkEnd w:id="262"/>
    <w:p>
      <w:pPr>
        <w:spacing w:after="0"/>
        <w:tabs>
          <w:tab w:leader="none" w:pos="6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Employee's undertakings set forth in this Section 2 shall remain in full force and effect after termination of this Agreement or any renewal thereof.</w:t>
      </w:r>
    </w:p>
    <w:p>
      <w:pPr>
        <w:spacing w:after="0" w:line="236" w:lineRule="exact"/>
        <w:rPr>
          <w:sz w:val="20"/>
          <w:szCs w:val="20"/>
          <w:color w:val="auto"/>
        </w:rPr>
      </w:pPr>
    </w:p>
    <w:p>
      <w:pPr>
        <w:ind w:left="600" w:hanging="597"/>
        <w:spacing w:after="0"/>
        <w:tabs>
          <w:tab w:leader="none" w:pos="600" w:val="left"/>
        </w:tabs>
        <w:numPr>
          <w:ilvl w:val="0"/>
          <w:numId w:val="192"/>
        </w:numPr>
        <w:rPr>
          <w:rFonts w:ascii="Arial" w:cs="Arial" w:eastAsia="Arial" w:hAnsi="Arial"/>
          <w:sz w:val="17"/>
          <w:szCs w:val="17"/>
          <w:color w:val="auto"/>
        </w:rPr>
      </w:pPr>
      <w:r>
        <w:rPr>
          <w:rFonts w:ascii="Arial" w:cs="Arial" w:eastAsia="Arial" w:hAnsi="Arial"/>
          <w:sz w:val="17"/>
          <w:szCs w:val="17"/>
          <w:b w:val="1"/>
          <w:bCs w:val="1"/>
          <w:u w:val="single" w:color="auto"/>
          <w:color w:val="auto"/>
        </w:rPr>
        <w:t>Disclosure and Assignment of Inventions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3.1. "</w:t>
      </w:r>
      <w:r>
        <w:rPr>
          <w:rFonts w:ascii="Arial" w:cs="Arial" w:eastAsia="Arial" w:hAnsi="Arial"/>
          <w:sz w:val="17"/>
          <w:szCs w:val="17"/>
          <w:b w:val="1"/>
          <w:bCs w:val="1"/>
          <w:color w:val="auto"/>
        </w:rPr>
        <w:t>Inventions</w:t>
      </w:r>
      <w:r>
        <w:rPr>
          <w:rFonts w:ascii="Arial" w:cs="Arial" w:eastAsia="Arial" w:hAnsi="Arial"/>
          <w:sz w:val="17"/>
          <w:szCs w:val="17"/>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7"/>
          <w:szCs w:val="17"/>
          <w:b w:val="1"/>
          <w:bCs w:val="1"/>
          <w:color w:val="auto"/>
        </w:rPr>
        <w:t>Company Inventions</w:t>
      </w:r>
      <w:r>
        <w:rPr>
          <w:rFonts w:ascii="Arial" w:cs="Arial" w:eastAsia="Arial" w:hAnsi="Arial"/>
          <w:sz w:val="17"/>
          <w:szCs w:val="17"/>
          <w:color w:val="auto"/>
        </w:rPr>
        <w:t>" means any Inventions that are made or conceived or first reduced to practice or created by Employee, whether alone or jointly with others, during the period of Employee's employment with the Company, and which: (i) are developed using equipment, supplies, facilities or Proprietary Information of the Company, (ii) result from work performed by Employee for the Company, or (iii) related to the field of business of the Company, or to specific fields of research and development undertake by the Company.</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Employee undertakes and covenants that Employee will promptly disclose in confidence to the Company all Inventions deemed as Company Inventions.</w:t>
      </w:r>
    </w:p>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3.3. Employee hereby irrevocably transfers and assigns to the Company all worldwide patents, patent applications, copyrights, mask works, trade secrets and other intellectual property rights in any Company Invention, and any and all moral rights that Employee may have in or with respect to any Company Invention.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3.4. Employee agrees to assist the Company, at the Company's expense, in every proper way to obtain for the Company and enforce patents, copyrights, mask work rights, and other legal protections for the Company Inventions in any and all countries. Employee will execute any documents that the Company may reasonably request for use in obtaining or enforcing such patents, copyrights, mask work rights, trade secrets and other legal protections. Such obligation shall continue beyond the termination of Employee's employment with the Company. Employee hereby irrevocably designates and appoints the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w:t>
      </w:r>
    </w:p>
    <w:p>
      <w:pPr>
        <w:spacing w:after="0" w:line="194" w:lineRule="exact"/>
        <w:rPr>
          <w:sz w:val="20"/>
          <w:szCs w:val="20"/>
          <w:color w:val="auto"/>
        </w:rPr>
      </w:pPr>
    </w:p>
    <w:p>
      <w:pPr>
        <w:ind w:left="600" w:hanging="597"/>
        <w:spacing w:after="0"/>
        <w:tabs>
          <w:tab w:leader="none" w:pos="600" w:val="left"/>
        </w:tabs>
        <w:numPr>
          <w:ilvl w:val="0"/>
          <w:numId w:val="193"/>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4.1. In consideration of Employee's terms of employment, which include special compensation for Employee's undertakings under this Section 4, and in order to enable the Company to effectively protect its Proprietary Information, Employee agrees and undertakes that he will not, so long as he is employed by the Company and for a period of twelve (12) months following termination of his employment for whatever reason, directly or indirectly, be engaged in, or employed by, any business or venture that is engaged in any activities competing with the Company and its business activities in which Employee was involved, or by providing products or services substantially similar to products or services offered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may own securities of any corporation which is engaged in such business and is publicly owned and traded but in an amount not to exceed at any one time one percent (1%) of any class of stock or securities of such corporation, and so long as Employee has no active role in such corporation as director, employee, consultant or otherwise.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63" w:name="page264"/>
    <w:bookmarkEnd w:id="263"/>
    <w:p>
      <w:pPr>
        <w:jc w:val="both"/>
        <w:spacing w:after="0" w:line="259" w:lineRule="auto"/>
        <w:rPr>
          <w:sz w:val="20"/>
          <w:szCs w:val="20"/>
          <w:color w:val="auto"/>
        </w:rPr>
      </w:pPr>
      <w:r>
        <w:rPr>
          <w:rFonts w:ascii="Arial" w:cs="Arial" w:eastAsia="Arial" w:hAnsi="Arial"/>
          <w:sz w:val="17"/>
          <w:szCs w:val="17"/>
          <w:color w:val="auto"/>
        </w:rPr>
        <w:t>4.2. Employee agrees and undertakes that during the period of Employee's employment and for a period of twelve (12) months following termination of his employment for whatever reason, Employee will not, directly or indirectly, including personally or in any business in which Employee may be an officer, director or shareholder, solicit for employment any person who is employed by the Company, or retained by the Company as a consultant, advisor or the like service provider (collectively, "</w:t>
      </w:r>
      <w:r>
        <w:rPr>
          <w:rFonts w:ascii="Arial" w:cs="Arial" w:eastAsia="Arial" w:hAnsi="Arial"/>
          <w:sz w:val="17"/>
          <w:szCs w:val="17"/>
          <w:b w:val="1"/>
          <w:bCs w:val="1"/>
          <w:color w:val="auto"/>
        </w:rPr>
        <w:t>Consultant</w:t>
      </w:r>
      <w:r>
        <w:rPr>
          <w:rFonts w:ascii="Arial" w:cs="Arial" w:eastAsia="Arial" w:hAnsi="Arial"/>
          <w:sz w:val="17"/>
          <w:szCs w:val="17"/>
          <w:color w:val="auto"/>
        </w:rPr>
        <w:t>"), if such Consultant is prevented thereby from continuing to render its services to the Company, on the date of such termination or during the preceding twelve (12) months.</w:t>
      </w:r>
    </w:p>
    <w:p>
      <w:pPr>
        <w:spacing w:after="0" w:line="200" w:lineRule="exact"/>
        <w:rPr>
          <w:sz w:val="20"/>
          <w:szCs w:val="20"/>
          <w:color w:val="auto"/>
        </w:rPr>
      </w:pPr>
    </w:p>
    <w:p>
      <w:pPr>
        <w:ind w:left="600" w:hanging="597"/>
        <w:spacing w:after="0"/>
        <w:tabs>
          <w:tab w:leader="none" w:pos="600" w:val="left"/>
        </w:tabs>
        <w:numPr>
          <w:ilvl w:val="0"/>
          <w:numId w:val="194"/>
        </w:numPr>
        <w:rPr>
          <w:rFonts w:ascii="Arial" w:cs="Arial" w:eastAsia="Arial" w:hAnsi="Arial"/>
          <w:sz w:val="17"/>
          <w:szCs w:val="17"/>
          <w:color w:val="auto"/>
        </w:rPr>
      </w:pPr>
      <w:r>
        <w:rPr>
          <w:rFonts w:ascii="Arial" w:cs="Arial" w:eastAsia="Arial" w:hAnsi="Arial"/>
          <w:sz w:val="17"/>
          <w:szCs w:val="17"/>
          <w:b w:val="1"/>
          <w:bCs w:val="1"/>
          <w:u w:val="single" w:color="auto"/>
          <w:color w:val="auto"/>
        </w:rPr>
        <w:t>Reasonableness of Protective Covenants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the Company, and the operations and business of Company; and (ii) the time duration of the protective covenants is reasonable and necessary to protect the goodwill and the operations and business of Company, and does not impose a greater restrain than is necessary to protect the goodwill or other business interests of Company. Nevertheless, if any of the restrictions set forth in this Exhibit is found by a court having jurisdiction to be unreasonable or overly-broad as to geographic area, scope or time or to be otherwise unenforceable, the parties intend for the restrictions set forth in this Exhibit to be reformed, modified and redefined by such court so as to be reasonable and enforceable and, as so modified by such court, to be fully enforced.</w:t>
      </w:r>
    </w:p>
    <w:p>
      <w:pPr>
        <w:spacing w:after="0" w:line="207" w:lineRule="exact"/>
        <w:rPr>
          <w:sz w:val="20"/>
          <w:szCs w:val="20"/>
          <w:color w:val="auto"/>
        </w:rPr>
      </w:pPr>
    </w:p>
    <w:p>
      <w:pPr>
        <w:ind w:left="600" w:hanging="597"/>
        <w:spacing w:after="0"/>
        <w:tabs>
          <w:tab w:leader="none" w:pos="600" w:val="left"/>
        </w:tabs>
        <w:numPr>
          <w:ilvl w:val="0"/>
          <w:numId w:val="195"/>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for Breach</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Employee acknowledges that the legal remedies for breach of the provisions of this Exhibit may be found inadequate and therefore agrees that, in addition to all of the remedies available to Company in the event of a breach or a threatened breach of any of such provisions, the Company may also, in addition to any other remedies which may be available under applicable law, obtain temporary, preliminary and permanent injunctions against any and all such actions.</w:t>
      </w:r>
    </w:p>
    <w:p>
      <w:pPr>
        <w:spacing w:after="0" w:line="183" w:lineRule="exact"/>
        <w:rPr>
          <w:sz w:val="20"/>
          <w:szCs w:val="20"/>
          <w:color w:val="auto"/>
        </w:rPr>
      </w:pPr>
    </w:p>
    <w:p>
      <w:pPr>
        <w:ind w:left="600" w:hanging="597"/>
        <w:spacing w:after="0"/>
        <w:tabs>
          <w:tab w:leader="none" w:pos="600" w:val="left"/>
        </w:tabs>
        <w:numPr>
          <w:ilvl w:val="0"/>
          <w:numId w:val="196"/>
        </w:numPr>
        <w:rPr>
          <w:rFonts w:ascii="Arial" w:cs="Arial" w:eastAsia="Arial" w:hAnsi="Arial"/>
          <w:sz w:val="17"/>
          <w:szCs w:val="17"/>
          <w:color w:val="auto"/>
        </w:rPr>
      </w:pPr>
      <w:r>
        <w:rPr>
          <w:rFonts w:ascii="Arial" w:cs="Arial" w:eastAsia="Arial" w:hAnsi="Arial"/>
          <w:sz w:val="17"/>
          <w:szCs w:val="17"/>
          <w:b w:val="1"/>
          <w:bCs w:val="1"/>
          <w:u w:val="single" w:color="auto"/>
          <w:color w:val="auto"/>
        </w:rPr>
        <w:t>Intent of Parties</w:t>
      </w:r>
    </w:p>
    <w:p>
      <w:pPr>
        <w:spacing w:after="0" w:line="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Employee recognizes and agrees that: (i) this Exhibit is necessary and essential to protect the business of Company and to realize and derive all the benefits, rights and expectations of conducting Company’s business; (ii) the area and duration of the protective covenants contained herein are in all things reasonable; and (iii) good and valuable consideration exists under the Agreement, for Employee's agreement to be bound by the provisions of this Exhibit.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7"/>
          <w:szCs w:val="17"/>
          <w:color w:val="auto"/>
        </w:rPr>
        <w:t>EXHIBIT 4.4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230505</wp:posOffset>
            </wp:positionV>
            <wp:extent cx="72694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9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This Employment Agreement, dated January 2, 2007, is between B</w:t>
      </w:r>
      <w:r>
        <w:rPr>
          <w:rFonts w:ascii="Arial" w:cs="Arial" w:eastAsia="Arial" w:hAnsi="Arial"/>
          <w:sz w:val="10"/>
          <w:szCs w:val="10"/>
          <w:color w:val="auto"/>
        </w:rPr>
        <w:t>IO</w:t>
      </w:r>
      <w:r>
        <w:rPr>
          <w:rFonts w:ascii="Arial" w:cs="Arial" w:eastAsia="Arial" w:hAnsi="Arial"/>
          <w:sz w:val="16"/>
          <w:szCs w:val="16"/>
          <w:color w:val="auto"/>
        </w:rPr>
        <w:t>L</w:t>
      </w:r>
      <w:r>
        <w:rPr>
          <w:rFonts w:ascii="Arial" w:cs="Arial" w:eastAsia="Arial" w:hAnsi="Arial"/>
          <w:sz w:val="10"/>
          <w:szCs w:val="10"/>
          <w:color w:val="auto"/>
        </w:rPr>
        <w:t>INE</w:t>
      </w:r>
      <w:r>
        <w:rPr>
          <w:rFonts w:ascii="Arial" w:cs="Arial" w:eastAsia="Arial" w:hAnsi="Arial"/>
          <w:sz w:val="16"/>
          <w:szCs w:val="16"/>
          <w:color w:val="auto"/>
        </w:rPr>
        <w:t>R</w:t>
      </w:r>
      <w:r>
        <w:rPr>
          <w:rFonts w:ascii="Arial" w:cs="Arial" w:eastAsia="Arial" w:hAnsi="Arial"/>
          <w:sz w:val="10"/>
          <w:szCs w:val="10"/>
          <w:color w:val="auto"/>
        </w:rPr>
        <w:t>X</w:t>
      </w:r>
      <w:r>
        <w:rPr>
          <w:rFonts w:ascii="Arial" w:cs="Arial" w:eastAsia="Arial" w:hAnsi="Arial"/>
          <w:sz w:val="16"/>
          <w:szCs w:val="16"/>
          <w:color w:val="auto"/>
        </w:rPr>
        <w:t xml:space="preserve"> USA, I</w:t>
      </w:r>
      <w:r>
        <w:rPr>
          <w:rFonts w:ascii="Arial" w:cs="Arial" w:eastAsia="Arial" w:hAnsi="Arial"/>
          <w:sz w:val="10"/>
          <w:szCs w:val="10"/>
          <w:color w:val="auto"/>
        </w:rPr>
        <w:t>NC</w:t>
      </w:r>
      <w:r>
        <w:rPr>
          <w:rFonts w:ascii="Arial" w:cs="Arial" w:eastAsia="Arial" w:hAnsi="Arial"/>
          <w:sz w:val="16"/>
          <w:szCs w:val="16"/>
          <w:color w:val="auto"/>
        </w:rPr>
        <w:t xml:space="preserve"> a Delaware corporation (the “Company”), a wholly-owned subsidiary of BioLineRx, Ltd (“BioLineRx”) and N</w:t>
      </w:r>
      <w:r>
        <w:rPr>
          <w:rFonts w:ascii="Arial" w:cs="Arial" w:eastAsia="Arial" w:hAnsi="Arial"/>
          <w:sz w:val="10"/>
          <w:szCs w:val="10"/>
          <w:color w:val="auto"/>
        </w:rPr>
        <w:t>IR</w:t>
      </w:r>
      <w:r>
        <w:rPr>
          <w:rFonts w:ascii="Arial" w:cs="Arial" w:eastAsia="Arial" w:hAnsi="Arial"/>
          <w:sz w:val="16"/>
          <w:szCs w:val="16"/>
          <w:color w:val="auto"/>
        </w:rPr>
        <w:t xml:space="preserve"> G</w:t>
      </w:r>
      <w:r>
        <w:rPr>
          <w:rFonts w:ascii="Arial" w:cs="Arial" w:eastAsia="Arial" w:hAnsi="Arial"/>
          <w:sz w:val="10"/>
          <w:szCs w:val="10"/>
          <w:color w:val="auto"/>
        </w:rPr>
        <w:t>AMLIEL</w:t>
      </w:r>
      <w:r>
        <w:rPr>
          <w:rFonts w:ascii="Arial" w:cs="Arial" w:eastAsia="Arial" w:hAnsi="Arial"/>
          <w:sz w:val="16"/>
          <w:szCs w:val="16"/>
          <w:color w:val="auto"/>
        </w:rPr>
        <w:t xml:space="preserve"> an individual residing at 16 Treworthy Road, North Potomac, Maryland 20878 (“Executive”).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POSITION AND RESPONSIBILITIES</w:t>
      </w:r>
    </w:p>
    <w:p>
      <w:pPr>
        <w:spacing w:after="0" w:line="242" w:lineRule="exact"/>
        <w:rPr>
          <w:sz w:val="20"/>
          <w:szCs w:val="20"/>
          <w:color w:val="auto"/>
        </w:rPr>
      </w:pPr>
    </w:p>
    <w:p>
      <w:pPr>
        <w:ind w:firstLine="617"/>
        <w:spacing w:after="0" w:line="261" w:lineRule="auto"/>
        <w:rPr>
          <w:sz w:val="20"/>
          <w:szCs w:val="20"/>
          <w:color w:val="auto"/>
        </w:rPr>
      </w:pPr>
      <w:r>
        <w:rPr>
          <w:rFonts w:ascii="Arial" w:cs="Arial" w:eastAsia="Arial" w:hAnsi="Arial"/>
          <w:sz w:val="17"/>
          <w:szCs w:val="17"/>
          <w:b w:val="1"/>
          <w:bCs w:val="1"/>
          <w:color w:val="auto"/>
        </w:rPr>
        <w:t xml:space="preserve">1.1 Position. </w:t>
      </w:r>
      <w:r>
        <w:rPr>
          <w:rFonts w:ascii="Arial" w:cs="Arial" w:eastAsia="Arial" w:hAnsi="Arial"/>
          <w:sz w:val="17"/>
          <w:szCs w:val="17"/>
          <w:color w:val="auto"/>
        </w:rPr>
        <w:t>Executive is employed by the Company to render services to the Company in the position of Corporate Officer and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Development. Executive shall perform such duties and responsibilities as are normally related to such position in accordance with the standards of the industry and any additional duties now or hereafter assigned to Executive by the Company. Executive shall abide by the rules, regulations, and practices as adopted or modified from time to time in the Company’s sole discretion. Executive shall report to the Company President. In the event that there is no President the Executive will report to the Board of Directors of the Company.</w:t>
      </w:r>
    </w:p>
    <w:p>
      <w:pPr>
        <w:spacing w:after="0" w:line="198" w:lineRule="exact"/>
        <w:rPr>
          <w:sz w:val="20"/>
          <w:szCs w:val="20"/>
          <w:color w:val="auto"/>
        </w:rPr>
      </w:pPr>
    </w:p>
    <w:p>
      <w:pPr>
        <w:ind w:right="100" w:firstLine="617"/>
        <w:spacing w:after="0" w:line="261" w:lineRule="auto"/>
        <w:rPr>
          <w:sz w:val="20"/>
          <w:szCs w:val="20"/>
          <w:color w:val="auto"/>
        </w:rPr>
      </w:pPr>
      <w:r>
        <w:rPr>
          <w:rFonts w:ascii="Arial" w:cs="Arial" w:eastAsia="Arial" w:hAnsi="Arial"/>
          <w:sz w:val="17"/>
          <w:szCs w:val="17"/>
          <w:b w:val="1"/>
          <w:bCs w:val="1"/>
          <w:color w:val="auto"/>
        </w:rPr>
        <w:t xml:space="preserve">1.2 Other Activities. </w:t>
      </w:r>
      <w:r>
        <w:rPr>
          <w:rFonts w:ascii="Arial" w:cs="Arial" w:eastAsia="Arial" w:hAnsi="Arial"/>
          <w:sz w:val="17"/>
          <w:szCs w:val="17"/>
          <w:color w:val="auto"/>
        </w:rPr>
        <w:t>Executive shall devote his/her full business time, attention and skill to perform any assigned duties, services and responsibilities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while employed by the Company, for the furtherance of the Company's business, in a diligent, loyal and conscientious manner. Except upon the prior written consent of the Company, Executive will not, during the term of this Agreement, (i) accept any other employment, or (ii) engage, directly or indirectly, in any other business activity (whether or not pursued for pecuniary advantage) that might interfere with Executive’s duties and responsibilities hereunder or create a conflict of interest with the Company.</w:t>
      </w:r>
    </w:p>
    <w:p>
      <w:pPr>
        <w:spacing w:after="0" w:line="198" w:lineRule="exact"/>
        <w:rPr>
          <w:sz w:val="20"/>
          <w:szCs w:val="20"/>
          <w:color w:val="auto"/>
        </w:rPr>
      </w:pPr>
    </w:p>
    <w:p>
      <w:pPr>
        <w:ind w:right="80" w:firstLine="617"/>
        <w:spacing w:after="0" w:line="269" w:lineRule="auto"/>
        <w:rPr>
          <w:sz w:val="20"/>
          <w:szCs w:val="20"/>
          <w:color w:val="auto"/>
        </w:rPr>
      </w:pPr>
      <w:r>
        <w:rPr>
          <w:rFonts w:ascii="Arial" w:cs="Arial" w:eastAsia="Arial" w:hAnsi="Arial"/>
          <w:sz w:val="17"/>
          <w:szCs w:val="17"/>
          <w:b w:val="1"/>
          <w:bCs w:val="1"/>
          <w:color w:val="auto"/>
        </w:rPr>
        <w:t xml:space="preserve">1.3 No Conflict. </w:t>
      </w:r>
      <w:r>
        <w:rPr>
          <w:rFonts w:ascii="Arial" w:cs="Arial" w:eastAsia="Arial" w:hAnsi="Arial"/>
          <w:sz w:val="17"/>
          <w:szCs w:val="17"/>
          <w:color w:val="auto"/>
        </w:rPr>
        <w:t>Executive represents and warrants that Executive’s execution of this Agreement, Executive’s employment with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7415"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65" w:name="page266"/>
    <w:bookmarkEnd w:id="265"/>
    <w:p>
      <w:pPr>
        <w:spacing w:after="0"/>
        <w:rPr>
          <w:sz w:val="20"/>
          <w:szCs w:val="20"/>
          <w:color w:val="auto"/>
        </w:rPr>
      </w:pPr>
      <w:r>
        <w:rPr>
          <w:rFonts w:ascii="Arial" w:cs="Arial" w:eastAsia="Arial" w:hAnsi="Arial"/>
          <w:sz w:val="17"/>
          <w:szCs w:val="17"/>
          <w:b w:val="1"/>
          <w:bCs w:val="1"/>
          <w:color w:val="auto"/>
        </w:rPr>
        <w:t>COMPENSATION AND BENEFITS</w:t>
      </w:r>
    </w:p>
    <w:p>
      <w:pPr>
        <w:spacing w:after="0" w:line="242" w:lineRule="exact"/>
        <w:rPr>
          <w:sz w:val="20"/>
          <w:szCs w:val="20"/>
          <w:color w:val="auto"/>
        </w:rPr>
      </w:pPr>
    </w:p>
    <w:p>
      <w:pPr>
        <w:ind w:right="140" w:firstLine="617"/>
        <w:spacing w:after="0" w:line="261" w:lineRule="auto"/>
        <w:rPr>
          <w:sz w:val="20"/>
          <w:szCs w:val="20"/>
          <w:color w:val="auto"/>
        </w:rPr>
      </w:pPr>
      <w:r>
        <w:rPr>
          <w:rFonts w:ascii="Arial" w:cs="Arial" w:eastAsia="Arial" w:hAnsi="Arial"/>
          <w:sz w:val="17"/>
          <w:szCs w:val="17"/>
          <w:b w:val="1"/>
          <w:bCs w:val="1"/>
          <w:color w:val="auto"/>
        </w:rPr>
        <w:t>2.1 Base Salary</w:t>
      </w:r>
      <w:r>
        <w:rPr>
          <w:rFonts w:ascii="Arial" w:cs="Arial" w:eastAsia="Arial" w:hAnsi="Arial"/>
          <w:sz w:val="17"/>
          <w:szCs w:val="17"/>
          <w:color w:val="auto"/>
        </w:rPr>
        <w:t>. In consideration of the services to be rendered under this Agreement, the Company shall pay Executive a salary equivalent to One</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Seventy Thousand Dollars ($170,000) per year (“Base Salary”). The Base Salary shall be paid in accordance with the Company’s regularly established payroll practice. Executive's Base Salary shall be reduced by withholdings required by law. Executive’s Base Salary will be reviewed from time to time in accordance with the established procedures of the Company for adjusting salaries for similarly situated employees and may be adjusted in the sole discretion of the Company.</w:t>
      </w:r>
    </w:p>
    <w:p>
      <w:pPr>
        <w:spacing w:after="0" w:line="19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Bonus Plan</w:t>
      </w:r>
      <w:r>
        <w:rPr>
          <w:rFonts w:ascii="Arial" w:cs="Arial" w:eastAsia="Arial" w:hAnsi="Arial"/>
          <w:sz w:val="15"/>
          <w:szCs w:val="15"/>
          <w:color w:val="auto"/>
        </w:rPr>
        <w:t>. Executive shall be eligible to receive one or more bonuses determined in accordance with this Section 2.2.</w:t>
      </w: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2.2.1 Signing Bonus. A signing bonus of US$ 5,000, payable on the first payroll.</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2.2.2 Target Bonus. For each year, Executive will be eligible to receive a Target Bonus as defined by Company’s Board of Directors.</w:t>
      </w:r>
    </w:p>
    <w:p>
      <w:pPr>
        <w:spacing w:after="0" w:line="242" w:lineRule="exact"/>
        <w:rPr>
          <w:sz w:val="20"/>
          <w:szCs w:val="20"/>
          <w:color w:val="auto"/>
        </w:rPr>
      </w:pPr>
    </w:p>
    <w:p>
      <w:pPr>
        <w:ind w:right="140" w:firstLine="1852"/>
        <w:spacing w:after="0" w:line="265" w:lineRule="auto"/>
        <w:rPr>
          <w:sz w:val="20"/>
          <w:szCs w:val="20"/>
          <w:color w:val="auto"/>
        </w:rPr>
      </w:pPr>
      <w:r>
        <w:rPr>
          <w:rFonts w:ascii="Arial" w:cs="Arial" w:eastAsia="Arial" w:hAnsi="Arial"/>
          <w:sz w:val="17"/>
          <w:szCs w:val="17"/>
          <w:color w:val="auto"/>
        </w:rPr>
        <w:t>2.2.2.1 For the calendar year ending December 31, 2008, the Executive’s Target Bonus shall be 25% of the Base Salary for that year for meeting the goals that shall be mutually agreed by the Executive and the Company’s Board of Directors within 8 weeks of the date of the execution of this Agreement.</w:t>
      </w:r>
    </w:p>
    <w:p>
      <w:pPr>
        <w:spacing w:after="0" w:line="201" w:lineRule="exact"/>
        <w:rPr>
          <w:sz w:val="20"/>
          <w:szCs w:val="20"/>
          <w:color w:val="auto"/>
        </w:rPr>
      </w:pPr>
    </w:p>
    <w:p>
      <w:pPr>
        <w:ind w:firstLine="1852"/>
        <w:spacing w:after="0" w:line="261" w:lineRule="auto"/>
        <w:rPr>
          <w:sz w:val="20"/>
          <w:szCs w:val="20"/>
          <w:color w:val="auto"/>
        </w:rPr>
      </w:pPr>
      <w:r>
        <w:rPr>
          <w:rFonts w:ascii="Arial" w:cs="Arial" w:eastAsia="Arial" w:hAnsi="Arial"/>
          <w:sz w:val="17"/>
          <w:szCs w:val="17"/>
          <w:color w:val="auto"/>
        </w:rPr>
        <w:t>2.2.2.2 For the calendar year ending December 31, 2009 and thereafter, the Executive’s Target Bonus shall be (i) 25% of the Base Salary for non-deal goals that shall be mutually agreed by the Executive and the Company’s Board of Directors plus (ii) and an additional 35% of the base salary for each “Deal” signed, as such term is defined from time to time by the Company’s Board of Directors, payable on the payroll following the Deal, and in each case subject to review and approval by the Company’s Board of Directors (the “Deal Bonus”).</w:t>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2.2.3 Participation in Management Bonus Pool. Executive shall also be eligible to participate in any additional Deal related bonus pool then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effect.</w:t>
      </w: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494" w:right="319" w:bottom="1440" w:gutter="0" w:footer="0" w:header="0"/>
        </w:sectPr>
      </w:pPr>
    </w:p>
    <w:bookmarkStart w:id="266" w:name="page267"/>
    <w:bookmarkEnd w:id="266"/>
    <w:p>
      <w:pPr>
        <w:ind w:left="620"/>
        <w:spacing w:after="0"/>
        <w:tabs>
          <w:tab w:leader="none" w:pos="120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The Company shall recommend to the Board of Directors of BioLineRx that Executive be provided with an option to purchase</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150,000 ordinary shares of BioLineRx, subject to vesting in accordance with BioLineRx’s standard terms. This recommendation will be considered for approval at the BioLineRx’s next Board of Directors’ meeting. The exercise price per share of any approved options will be the market price of BioLineRx’s ordinary shares at the close of trading on the TASE on the day of the BioLineRx Board of Directors meeting at which such grant is approved. Executive’s entitlement to any stock options that may be approved is conditioned upon Executive’s signing of the Stock Option Agreement, and is subject to its terms and the terms of the Stock Option Plan under which the options are granted, including vesting requirements.</w:t>
      </w:r>
    </w:p>
    <w:p>
      <w:pPr>
        <w:spacing w:after="0" w:line="205" w:lineRule="exact"/>
        <w:rPr>
          <w:sz w:val="20"/>
          <w:szCs w:val="20"/>
          <w:color w:val="auto"/>
        </w:rPr>
      </w:pPr>
    </w:p>
    <w:p>
      <w:pPr>
        <w:ind w:right="260" w:firstLine="617"/>
        <w:spacing w:after="0" w:line="269" w:lineRule="auto"/>
        <w:rPr>
          <w:sz w:val="20"/>
          <w:szCs w:val="20"/>
          <w:color w:val="auto"/>
        </w:rPr>
      </w:pPr>
      <w:r>
        <w:rPr>
          <w:rFonts w:ascii="Arial" w:cs="Arial" w:eastAsia="Arial" w:hAnsi="Arial"/>
          <w:sz w:val="17"/>
          <w:szCs w:val="17"/>
          <w:b w:val="1"/>
          <w:bCs w:val="1"/>
          <w:color w:val="auto"/>
        </w:rPr>
        <w:t xml:space="preserve">2.4 Benefits. </w:t>
      </w:r>
      <w:r>
        <w:rPr>
          <w:rFonts w:ascii="Arial" w:cs="Arial" w:eastAsia="Arial" w:hAnsi="Arial"/>
          <w:sz w:val="17"/>
          <w:szCs w:val="17"/>
          <w:color w:val="auto"/>
        </w:rPr>
        <w:t>Executive shall be eligible to participate in the benefits made generally available by the Company to similarly-situated employees,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benefit plans established by the Company, and as may be amended from time to time in the Company’s sole discretion. Notwithstanding anything to the contrary contained herein, the Executive shall be entitled to receive the following social benefits:</w:t>
      </w:r>
    </w:p>
    <w:p>
      <w:pPr>
        <w:spacing w:after="0" w:line="198"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Standard US medical and dental insurance;</w:t>
      </w:r>
    </w:p>
    <w:p>
      <w:pPr>
        <w:spacing w:after="0" w:line="242"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5"/>
          <w:szCs w:val="15"/>
          <w:color w:val="auto"/>
        </w:rPr>
        <w:t>401K plan, under which the Company shall match up to 50% of Executive’s contribution, and up to a maximum of US$ 15,500 per year;</w:t>
      </w:r>
    </w:p>
    <w:p>
      <w:pPr>
        <w:spacing w:after="0" w:line="242"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17"/>
          <w:szCs w:val="17"/>
          <w:color w:val="auto"/>
        </w:rPr>
        <w:t>2.4.3</w:t>
      </w:r>
      <w:r>
        <w:rPr>
          <w:sz w:val="20"/>
          <w:szCs w:val="20"/>
          <w:color w:val="auto"/>
        </w:rPr>
        <w:tab/>
      </w:r>
      <w:r>
        <w:rPr>
          <w:rFonts w:ascii="Arial" w:cs="Arial" w:eastAsia="Arial" w:hAnsi="Arial"/>
          <w:sz w:val="15"/>
          <w:szCs w:val="15"/>
          <w:color w:val="auto"/>
        </w:rPr>
        <w:t>Standard disability and life insurance; and</w:t>
      </w:r>
    </w:p>
    <w:p>
      <w:pPr>
        <w:spacing w:after="0" w:line="242"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17"/>
          <w:szCs w:val="17"/>
          <w:color w:val="auto"/>
        </w:rPr>
        <w:t>2.4.4</w:t>
      </w:r>
      <w:r>
        <w:rPr>
          <w:sz w:val="20"/>
          <w:szCs w:val="20"/>
          <w:color w:val="auto"/>
        </w:rPr>
        <w:tab/>
      </w:r>
      <w:r>
        <w:rPr>
          <w:rFonts w:ascii="Arial" w:cs="Arial" w:eastAsia="Arial" w:hAnsi="Arial"/>
          <w:sz w:val="15"/>
          <w:szCs w:val="15"/>
          <w:color w:val="auto"/>
        </w:rPr>
        <w:t>20 vacation days per calendar year.</w:t>
      </w:r>
    </w:p>
    <w:p>
      <w:pPr>
        <w:spacing w:after="0" w:line="236" w:lineRule="exact"/>
        <w:rPr>
          <w:sz w:val="20"/>
          <w:szCs w:val="20"/>
          <w:color w:val="auto"/>
        </w:rPr>
      </w:pPr>
    </w:p>
    <w:p>
      <w:pPr>
        <w:ind w:firstLine="617"/>
        <w:spacing w:after="0" w:line="356" w:lineRule="auto"/>
        <w:rPr>
          <w:sz w:val="20"/>
          <w:szCs w:val="20"/>
          <w:color w:val="auto"/>
        </w:rPr>
      </w:pPr>
      <w:r>
        <w:rPr>
          <w:rFonts w:ascii="Arial" w:cs="Arial" w:eastAsia="Arial" w:hAnsi="Arial"/>
          <w:sz w:val="15"/>
          <w:szCs w:val="15"/>
          <w:b w:val="1"/>
          <w:bCs w:val="1"/>
          <w:color w:val="auto"/>
        </w:rPr>
        <w:t xml:space="preserve">2.5 Expenses. </w:t>
      </w:r>
      <w:r>
        <w:rPr>
          <w:rFonts w:ascii="Arial" w:cs="Arial" w:eastAsia="Arial" w:hAnsi="Arial"/>
          <w:sz w:val="15"/>
          <w:szCs w:val="15"/>
          <w:color w:val="auto"/>
        </w:rPr>
        <w:t>The Company shall reimburse Executive for reasonable travel and other business expenses incurred by Executive in the performance of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Executive’s duties hereunder in accordance with the Company’s expense reimbursement guidelines, as they may be amended at the Company’s sole discretion.</w:t>
      </w:r>
    </w:p>
    <w:p>
      <w:pPr>
        <w:spacing w:after="0" w:line="137" w:lineRule="exact"/>
        <w:rPr>
          <w:sz w:val="20"/>
          <w:szCs w:val="20"/>
          <w:color w:val="auto"/>
        </w:rPr>
      </w:pPr>
    </w:p>
    <w:p>
      <w:pPr>
        <w:ind w:right="300" w:firstLine="1235"/>
        <w:spacing w:after="0" w:line="311" w:lineRule="auto"/>
        <w:rPr>
          <w:sz w:val="20"/>
          <w:szCs w:val="20"/>
          <w:color w:val="auto"/>
        </w:rPr>
      </w:pPr>
      <w:r>
        <w:rPr>
          <w:rFonts w:ascii="Arial" w:cs="Arial" w:eastAsia="Arial" w:hAnsi="Arial"/>
          <w:sz w:val="16"/>
          <w:szCs w:val="16"/>
          <w:color w:val="auto"/>
        </w:rPr>
        <w:t>2.5.1 Notwithstanding anything to the contrary contained herein, the Executive shall be entitled to reimbursement of up to $700 per month for documented expenses associated with the leasing and operating of a car, subject to the Company’s standard policies and conditions.</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494" w:right="339" w:bottom="1440" w:gutter="0" w:footer="0" w:header="0"/>
        </w:sectPr>
      </w:pPr>
    </w:p>
    <w:bookmarkStart w:id="267" w:name="page268"/>
    <w:bookmarkEnd w:id="267"/>
    <w:p>
      <w:pPr>
        <w:ind w:right="400" w:firstLine="1235"/>
        <w:spacing w:after="0" w:line="278" w:lineRule="auto"/>
        <w:rPr>
          <w:sz w:val="20"/>
          <w:szCs w:val="20"/>
          <w:color w:val="auto"/>
        </w:rPr>
      </w:pPr>
      <w:r>
        <w:rPr>
          <w:rFonts w:ascii="Arial" w:cs="Arial" w:eastAsia="Arial" w:hAnsi="Arial"/>
          <w:sz w:val="17"/>
          <w:szCs w:val="17"/>
          <w:color w:val="auto"/>
        </w:rPr>
        <w:t>2.5.2 Notwithstanding anything to the contrary contained herein, the Executive shall be entitled to coverage of telecommunication expenses, subject to the Company’s standard policies and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AT-WILL EMPLOYMENT</w:t>
      </w:r>
    </w:p>
    <w:p>
      <w:pPr>
        <w:spacing w:after="0" w:line="242" w:lineRule="exact"/>
        <w:rPr>
          <w:sz w:val="20"/>
          <w:szCs w:val="20"/>
          <w:color w:val="auto"/>
        </w:rPr>
      </w:pPr>
    </w:p>
    <w:p>
      <w:pPr>
        <w:ind w:right="20" w:firstLine="617"/>
        <w:spacing w:after="0" w:line="292"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color w:val="auto"/>
        </w:rPr>
        <w:t>Company shall have the right to terminate Executive’s employment with Company at any time For Cause or Not For Cause, subject to the notice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requirements described in this Section 3. Company shall have the right to terminate Executive’s employment with the Company at any time upon written notice delivered to the Executive, which notice shall specify the date of termination of Executive’s employment, which date shall be no less than thirty (30) days after the date notice is received by Executive. Similarly, Executive shall have the right to terminate his employment at any time upon written notice delivered to the Company, which notice shall specify the date of termination of Executive’s employment which date shall be no less than thirty (30) days after the date notice is received by the Company. Company shall also have the right, in its sole discretion, to pay Executive in lieu of the notice specified above. Notwithstanding anything to the contrary contained in this Agreement, the employment of Executive shall be “at-will” at all times. The Company or Executive may terminate Executive’s employment with the Company at any time, subject to the notice provisions specified herein, for any reason or no reason at all. The at-will relationship may not be modified by anything contrary contained in or arising from any statements, policies or practices of the Company relating to the employment, discipline or termination of its employees. Upon and after such termination, all obligations of the Company under this Agreement shall cease,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Deal entitling Executive to the Deal Bonus, drafts of which have already been prepared prior to termination of Executive’s employment, and which is executed within ninety (90) days of Executive’s termination hereunder shall entitle Executive to receive the Deal Bonus under Section 2.2.2 above.</w:t>
      </w:r>
    </w:p>
    <w:p>
      <w:pPr>
        <w:spacing w:after="0" w:line="183"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Termination For Cause.</w:t>
      </w:r>
    </w:p>
    <w:p>
      <w:pPr>
        <w:spacing w:after="0" w:line="27" w:lineRule="exact"/>
        <w:rPr>
          <w:sz w:val="20"/>
          <w:szCs w:val="20"/>
          <w:color w:val="auto"/>
        </w:rPr>
      </w:pPr>
    </w:p>
    <w:p>
      <w:pPr>
        <w:ind w:right="220" w:firstLine="1235"/>
        <w:spacing w:after="0" w:line="268" w:lineRule="auto"/>
        <w:rPr>
          <w:sz w:val="20"/>
          <w:szCs w:val="20"/>
          <w:color w:val="auto"/>
        </w:rPr>
      </w:pPr>
      <w:r>
        <w:rPr>
          <w:rFonts w:ascii="Arial" w:cs="Arial" w:eastAsia="Arial" w:hAnsi="Arial"/>
          <w:sz w:val="16"/>
          <w:szCs w:val="16"/>
          <w:color w:val="auto"/>
        </w:rPr>
        <w:t>3.2.1. “For Cause” for termination shall mean: if in the sole discretion of the Company: (i) there is a failure by the Executive to follow a lawful direction or order of the Board of Directors of the Company or the Board of Directors of the Company; (ii) there is a serious neglect of duty by the Executive;</w:t>
      </w:r>
    </w:p>
    <w:p>
      <w:pPr>
        <w:spacing w:after="0" w:line="1" w:lineRule="exact"/>
        <w:rPr>
          <w:sz w:val="20"/>
          <w:szCs w:val="20"/>
          <w:color w:val="auto"/>
        </w:rPr>
      </w:pPr>
    </w:p>
    <w:p>
      <w:pPr>
        <w:ind w:firstLine="3"/>
        <w:spacing w:after="0" w:line="255" w:lineRule="auto"/>
        <w:tabs>
          <w:tab w:leader="none" w:pos="3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Executive exhibits unfitness for service (such as being intoxicated at work), dishonesty related to his work, persistent and material deficiencies in performance or gross incompetence; (iv) Executive is convicted of a felony or other crime involving dishonesty, intentional misconduct or breach of trust; (v) Executive becomes mentally or physically incapacitated and cannot carry out his/her duties for a period of more than one hundred twenty (120) days. No termination For Cause under subsections (i), (ii), or (iii) shall be effective unless Company shall have first given Executive written notice specifying in reasonable detail the event or events giving rise to the alleged For Cause, and Executive has failed to fully cure such event or events during the thirty (30) day period following the provision of such written notice.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500" w:right="299" w:bottom="1440" w:gutter="0" w:footer="0" w:header="0"/>
        </w:sectPr>
      </w:pPr>
    </w:p>
    <w:bookmarkStart w:id="268" w:name="page269"/>
    <w:bookmarkEnd w:id="268"/>
    <w:p>
      <w:pPr>
        <w:ind w:right="260" w:firstLine="1235"/>
        <w:spacing w:after="0" w:line="278" w:lineRule="auto"/>
        <w:rPr>
          <w:sz w:val="20"/>
          <w:szCs w:val="20"/>
          <w:color w:val="auto"/>
        </w:rPr>
      </w:pPr>
      <w:r>
        <w:rPr>
          <w:rFonts w:ascii="Arial" w:cs="Arial" w:eastAsia="Arial" w:hAnsi="Arial"/>
          <w:sz w:val="17"/>
          <w:szCs w:val="17"/>
          <w:color w:val="auto"/>
        </w:rPr>
        <w:t>3.2.2. In the event Executive’s employment is terminated at any time For Cause, he will be entitled to Accrued Obligations, but he will not be entitled to pay in lieu of notice, Severance Pay, pro rata bonus, Deal Bonus, or any other such compensation.</w:t>
      </w:r>
    </w:p>
    <w:p>
      <w:pPr>
        <w:spacing w:after="0" w:line="184" w:lineRule="exact"/>
        <w:rPr>
          <w:sz w:val="20"/>
          <w:szCs w:val="20"/>
          <w:color w:val="auto"/>
        </w:rPr>
      </w:pPr>
    </w:p>
    <w:p>
      <w:pPr>
        <w:ind w:right="80" w:firstLine="617"/>
        <w:spacing w:after="0" w:line="269" w:lineRule="auto"/>
        <w:rPr>
          <w:sz w:val="20"/>
          <w:szCs w:val="20"/>
          <w:color w:val="auto"/>
        </w:rPr>
      </w:pPr>
      <w:r>
        <w:rPr>
          <w:rFonts w:ascii="Arial" w:cs="Arial" w:eastAsia="Arial" w:hAnsi="Arial"/>
          <w:sz w:val="17"/>
          <w:szCs w:val="17"/>
          <w:b w:val="1"/>
          <w:bCs w:val="1"/>
          <w:color w:val="auto"/>
        </w:rPr>
        <w:t>3.3. Termination Not For Cause</w:t>
      </w:r>
      <w:r>
        <w:rPr>
          <w:rFonts w:ascii="Arial" w:cs="Arial" w:eastAsia="Arial" w:hAnsi="Arial"/>
          <w:sz w:val="17"/>
          <w:szCs w:val="17"/>
          <w:color w:val="auto"/>
        </w:rPr>
        <w:t>. In the event Executive’s employment is terminated by the Company Not For Cause, then Executive shall be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receive an amount equal to the Executive’s Base Salary during a three (3) month period (and equal to the Base Salary multiplied by one quarter (¼)) (the “Severance Pay”).</w:t>
      </w:r>
    </w:p>
    <w:p>
      <w:pPr>
        <w:spacing w:after="0" w:line="19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6"/>
          <w:szCs w:val="16"/>
          <w:b w:val="1"/>
          <w:bCs w:val="1"/>
          <w:color w:val="auto"/>
        </w:rPr>
        <w:t>Voluntary or Mutual Termination.</w:t>
      </w:r>
    </w:p>
    <w:p>
      <w:pPr>
        <w:spacing w:after="0" w:line="27" w:lineRule="exact"/>
        <w:rPr>
          <w:sz w:val="20"/>
          <w:szCs w:val="20"/>
          <w:color w:val="auto"/>
        </w:rPr>
      </w:pPr>
    </w:p>
    <w:p>
      <w:pPr>
        <w:ind w:firstLine="1235"/>
        <w:spacing w:after="0" w:line="252" w:lineRule="auto"/>
        <w:rPr>
          <w:sz w:val="20"/>
          <w:szCs w:val="20"/>
          <w:color w:val="auto"/>
        </w:rPr>
      </w:pPr>
      <w:r>
        <w:rPr>
          <w:rFonts w:ascii="Arial" w:cs="Arial" w:eastAsia="Arial" w:hAnsi="Arial"/>
          <w:sz w:val="17"/>
          <w:szCs w:val="17"/>
          <w:color w:val="auto"/>
        </w:rPr>
        <w:t>3.4.1. Executive may voluntarily terminate his employment with Company at any time after which, other than the Accrued Obligations, no further compensation will be paid to Executive.</w:t>
      </w:r>
    </w:p>
    <w:p>
      <w:pPr>
        <w:spacing w:after="0" w:line="1" w:lineRule="exact"/>
        <w:rPr>
          <w:sz w:val="20"/>
          <w:szCs w:val="20"/>
          <w:color w:val="auto"/>
        </w:rPr>
      </w:pPr>
    </w:p>
    <w:p>
      <w:pPr>
        <w:ind w:right="100" w:firstLine="1235"/>
        <w:spacing w:after="0" w:line="265" w:lineRule="auto"/>
        <w:rPr>
          <w:sz w:val="20"/>
          <w:szCs w:val="20"/>
          <w:color w:val="auto"/>
        </w:rPr>
      </w:pPr>
      <w:r>
        <w:rPr>
          <w:rFonts w:ascii="Arial" w:cs="Arial" w:eastAsia="Arial" w:hAnsi="Arial"/>
          <w:sz w:val="17"/>
          <w:szCs w:val="17"/>
          <w:color w:val="auto"/>
        </w:rPr>
        <w:t>3.4.2. In the event Executive voluntarily terminates his employment, other than the Accrued Obligations, he will not be entitled to, pay in lieu of notice, Severance Pay, or any other such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OBLIGATIONS</w:t>
      </w:r>
    </w:p>
    <w:p>
      <w:pPr>
        <w:spacing w:after="0" w:line="242" w:lineRule="exact"/>
        <w:rPr>
          <w:sz w:val="20"/>
          <w:szCs w:val="20"/>
          <w:color w:val="auto"/>
        </w:rPr>
      </w:pPr>
    </w:p>
    <w:p>
      <w:pPr>
        <w:ind w:right="120" w:firstLine="617"/>
        <w:spacing w:after="0" w:line="269" w:lineRule="auto"/>
        <w:rPr>
          <w:sz w:val="20"/>
          <w:szCs w:val="20"/>
          <w:color w:val="auto"/>
        </w:rPr>
      </w:pPr>
      <w:r>
        <w:rPr>
          <w:rFonts w:ascii="Arial" w:cs="Arial" w:eastAsia="Arial" w:hAnsi="Arial"/>
          <w:sz w:val="17"/>
          <w:szCs w:val="17"/>
          <w:b w:val="1"/>
          <w:bCs w:val="1"/>
          <w:color w:val="auto"/>
        </w:rPr>
        <w:t xml:space="preserve">4.1 Return of Property. </w:t>
      </w:r>
      <w:r>
        <w:rPr>
          <w:rFonts w:ascii="Arial" w:cs="Arial" w:eastAsia="Arial" w:hAnsi="Arial"/>
          <w:sz w:val="17"/>
          <w:szCs w:val="17"/>
          <w:color w:val="auto"/>
        </w:rPr>
        <w:t>Executive agrees that all property (including without limitation all equipment, tangible proprietary information,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notes, contracts and computer-generated materials) furnished to or created or prepared by Executive incident to Executive’s employment belongs to the Company and shall be promptly returned to the Company upon termination of Executive’s employment.</w:t>
      </w:r>
    </w:p>
    <w:p>
      <w:pPr>
        <w:spacing w:after="0" w:line="192" w:lineRule="exact"/>
        <w:rPr>
          <w:sz w:val="20"/>
          <w:szCs w:val="20"/>
          <w:color w:val="auto"/>
        </w:rPr>
      </w:pPr>
    </w:p>
    <w:p>
      <w:pPr>
        <w:ind w:right="160" w:firstLine="617"/>
        <w:spacing w:after="0" w:line="263" w:lineRule="auto"/>
        <w:rPr>
          <w:sz w:val="20"/>
          <w:szCs w:val="20"/>
          <w:color w:val="auto"/>
        </w:rPr>
      </w:pPr>
      <w:r>
        <w:rPr>
          <w:rFonts w:ascii="Arial" w:cs="Arial" w:eastAsia="Arial" w:hAnsi="Arial"/>
          <w:sz w:val="17"/>
          <w:szCs w:val="17"/>
          <w:b w:val="1"/>
          <w:bCs w:val="1"/>
          <w:color w:val="auto"/>
        </w:rPr>
        <w:t xml:space="preserve">4.2 Resignation and Compensation. </w:t>
      </w:r>
      <w:r>
        <w:rPr>
          <w:rFonts w:ascii="Arial" w:cs="Arial" w:eastAsia="Arial" w:hAnsi="Arial"/>
          <w:sz w:val="17"/>
          <w:szCs w:val="17"/>
          <w:color w:val="auto"/>
        </w:rPr>
        <w:t>Following any termination of employment, Executive shall, upon the Company’s request, cooperate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the winding up of pending work on behalf of the Company and the orderly transfer of work to other employees. Executive shall also cooperate (at the Company’s expense) with the Company in the defense of any action brought by any third party against the Company that relates to Executive’s employment by the Company.</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500" w:right="31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b w:val="1"/>
          <w:bCs w:val="1"/>
          <w:color w:val="auto"/>
        </w:rPr>
        <w:t>INVENTIONS AND PROPRIETARY INFORMATION; PROHIBITION ON THIRD PARTY INFORMATION</w:t>
      </w:r>
    </w:p>
    <w:p>
      <w:pPr>
        <w:spacing w:after="0" w:line="242" w:lineRule="exact"/>
        <w:rPr>
          <w:sz w:val="20"/>
          <w:szCs w:val="20"/>
          <w:color w:val="auto"/>
        </w:rPr>
      </w:pPr>
    </w:p>
    <w:p>
      <w:pPr>
        <w:ind w:right="60" w:firstLine="617"/>
        <w:spacing w:after="0" w:line="285" w:lineRule="auto"/>
        <w:rPr>
          <w:sz w:val="20"/>
          <w:szCs w:val="20"/>
          <w:color w:val="auto"/>
        </w:rPr>
      </w:pPr>
      <w:r>
        <w:rPr>
          <w:rFonts w:ascii="Arial" w:cs="Arial" w:eastAsia="Arial" w:hAnsi="Arial"/>
          <w:sz w:val="16"/>
          <w:szCs w:val="16"/>
          <w:b w:val="1"/>
          <w:bCs w:val="1"/>
          <w:color w:val="auto"/>
        </w:rPr>
        <w:t xml:space="preserve">5.1 Proprietary Information and Non Competition Agreement. </w:t>
      </w:r>
      <w:r>
        <w:rPr>
          <w:rFonts w:ascii="Arial" w:cs="Arial" w:eastAsia="Arial" w:hAnsi="Arial"/>
          <w:sz w:val="16"/>
          <w:szCs w:val="16"/>
          <w:color w:val="auto"/>
        </w:rPr>
        <w:t>Executive has executed BioLineRx’s standard assignment of IP, confidentiality, non</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and non competition agreement, dated November __, 2007, which is attached as Exhibit B (“Proprietary Information Agreement”). Executive acknowledges and agrees that the Proprietary Information Agreement shall apply during the entire term of this Employment Agreement and thereafter. For purposes of this Agreement the Company is current engaged in the business of drug development in multiple therapeutic areas.</w:t>
      </w:r>
    </w:p>
    <w:p>
      <w:pPr>
        <w:spacing w:after="0" w:line="181" w:lineRule="exact"/>
        <w:rPr>
          <w:sz w:val="20"/>
          <w:szCs w:val="20"/>
          <w:color w:val="auto"/>
        </w:rPr>
      </w:pPr>
    </w:p>
    <w:p>
      <w:pPr>
        <w:ind w:right="120" w:firstLine="617"/>
        <w:spacing w:after="0" w:line="259" w:lineRule="auto"/>
        <w:rPr>
          <w:sz w:val="20"/>
          <w:szCs w:val="20"/>
          <w:color w:val="auto"/>
        </w:rPr>
      </w:pPr>
      <w:r>
        <w:rPr>
          <w:rFonts w:ascii="Arial" w:cs="Arial" w:eastAsia="Arial" w:hAnsi="Arial"/>
          <w:sz w:val="17"/>
          <w:szCs w:val="17"/>
          <w:b w:val="1"/>
          <w:bCs w:val="1"/>
          <w:color w:val="auto"/>
        </w:rPr>
        <w:t xml:space="preserve">5.2 Non-Disclosure of Third Party Information. </w:t>
      </w:r>
      <w:r>
        <w:rPr>
          <w:rFonts w:ascii="Arial" w:cs="Arial" w:eastAsia="Arial" w:hAnsi="Arial"/>
          <w:sz w:val="17"/>
          <w:szCs w:val="17"/>
          <w:color w:val="auto"/>
        </w:rPr>
        <w:t>Executive represents and warrants and covenants that Executive shall not disclose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or use, or induce the Company to use, any proprietary information or trade secrets of others at any time, including but not limited to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ARBITRATION; VENUE</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Executive hereby agrees and acknowledges that any disputes between the parties shall be finally settled under the procedure and rules of the Rules of Conciliation and Arbitration of the International Chamber of Commerce in the English language by one (1) arbitrator appointed in accordance with these rules. If such attempt at arbitration shall fail within a period of six (6) months, the matter shall be subject to the jurisdiction of the competent courts of the State of Delaware. The parties agree that the competent courts of the State of Delaware shall have exclusive jurisdiction to settle any dispute which may arise in connection with this Agreement, and the employment relationship established by this Agreement..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color w:val="auto"/>
        </w:rPr>
        <w:t>AMENDMENTS; WAIVERS; REMEDIES</w:t>
      </w:r>
    </w:p>
    <w:p>
      <w:pPr>
        <w:spacing w:after="0" w:line="2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This Agreement may not be amended or waived except by a writing signed by Executive and by a duly authorized representative of the Company.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BINDING EFFECT</w:t>
      </w:r>
    </w:p>
    <w:p>
      <w:pPr>
        <w:spacing w:after="0" w:line="242" w:lineRule="exact"/>
        <w:rPr>
          <w:sz w:val="20"/>
          <w:szCs w:val="20"/>
          <w:color w:val="auto"/>
        </w:rPr>
      </w:pPr>
    </w:p>
    <w:p>
      <w:pPr>
        <w:ind w:right="140" w:firstLine="617"/>
        <w:spacing w:after="0" w:line="309" w:lineRule="auto"/>
        <w:rPr>
          <w:sz w:val="20"/>
          <w:szCs w:val="20"/>
          <w:color w:val="auto"/>
        </w:rPr>
      </w:pPr>
      <w:r>
        <w:rPr>
          <w:rFonts w:ascii="Arial" w:cs="Arial" w:eastAsia="Arial" w:hAnsi="Arial"/>
          <w:sz w:val="15"/>
          <w:szCs w:val="15"/>
          <w:b w:val="1"/>
          <w:bCs w:val="1"/>
          <w:color w:val="auto"/>
        </w:rPr>
        <w:t xml:space="preserve">9.1 Assignment. </w:t>
      </w:r>
      <w:r>
        <w:rPr>
          <w:rFonts w:ascii="Arial" w:cs="Arial" w:eastAsia="Arial" w:hAnsi="Arial"/>
          <w:sz w:val="15"/>
          <w:szCs w:val="15"/>
          <w:color w:val="auto"/>
        </w:rPr>
        <w:t>The performance of Executive is personal hereunder, and Executive agrees that Executive shall have no right to assign and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assign or purport to assign any rights or obligations under this Agreement. This Agreement may be assigned or transferred by the Company; and nothing in this Agreement shall prevent the consolidation, merger or sale of the Company or a sale of any or all or substantially all of its assets. Notwithstanding the generality of the foregoing, the Company, in its sole discretion, may assign this Agreement to BioLineRx at any time, without the need to obtain Executive’s consent.</w:t>
      </w:r>
    </w:p>
    <w:p>
      <w:pPr>
        <w:spacing w:after="0" w:line="166" w:lineRule="exact"/>
        <w:rPr>
          <w:sz w:val="20"/>
          <w:szCs w:val="20"/>
          <w:color w:val="auto"/>
        </w:rPr>
      </w:pPr>
    </w:p>
    <w:p>
      <w:pPr>
        <w:ind w:right="120" w:firstLine="617"/>
        <w:spacing w:after="0" w:line="269" w:lineRule="auto"/>
        <w:rPr>
          <w:sz w:val="20"/>
          <w:szCs w:val="20"/>
          <w:color w:val="auto"/>
        </w:rPr>
      </w:pPr>
      <w:r>
        <w:rPr>
          <w:rFonts w:ascii="Arial" w:cs="Arial" w:eastAsia="Arial" w:hAnsi="Arial"/>
          <w:sz w:val="17"/>
          <w:szCs w:val="17"/>
          <w:b w:val="1"/>
          <w:bCs w:val="1"/>
          <w:color w:val="auto"/>
        </w:rPr>
        <w:t xml:space="preserve">9.2 Binding Effect. </w:t>
      </w:r>
      <w:r>
        <w:rPr>
          <w:rFonts w:ascii="Arial" w:cs="Arial" w:eastAsia="Arial" w:hAnsi="Arial"/>
          <w:sz w:val="17"/>
          <w:szCs w:val="17"/>
          <w:color w:val="auto"/>
        </w:rPr>
        <w:t>Subject to the foregoing restriction on assignment by Executive, this Agreement shall inure to the benefit of and be binding upon</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the affiliates, officers, directors, agents, successors and assigns of the Company; and the heirs, devisees, spouses, legal representatives and successors of Executive.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NOTICES</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Any notice under this Agreement must be in writing and addressed to the Company or to Executive at the corresponding address below. Notices under this Agreement shall be effective upon (a) hand delivery, when personally delivered; (b) written verification of receipt, when delivered by overnight courier or certified or registered mail; or (c) acknowledgment of receipt of electronic transmission, when delivered via electronic mail or facsimile. Executive shall be obligated to notify the Company in writing of any change in Executive's address. Notice of change of address shall be effective only when done in accordance with this paragraph.</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color w:val="auto"/>
        </w:rPr>
        <w:t>Company’s Notice Address: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BioLineRx USA,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15400 Calhoun Drive, Suite #125</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Rockville, Maryland 20855</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Executive’s Notice Address: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Nir Gamliel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 Treworthy Road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North Potomac, Maryland 20878</w:t>
      </w:r>
    </w:p>
    <w:p>
      <w:pPr>
        <w:spacing w:after="0" w:line="372"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272" w:name="page273"/>
    <w:bookmarkEnd w:id="272"/>
    <w:p>
      <w:pPr>
        <w:spacing w:after="0"/>
        <w:rPr>
          <w:sz w:val="20"/>
          <w:szCs w:val="20"/>
          <w:color w:val="auto"/>
        </w:rPr>
      </w:pPr>
      <w:r>
        <w:rPr>
          <w:rFonts w:ascii="Arial" w:cs="Arial" w:eastAsia="Arial" w:hAnsi="Arial"/>
          <w:sz w:val="17"/>
          <w:szCs w:val="17"/>
          <w:b w:val="1"/>
          <w:bCs w:val="1"/>
          <w:color w:val="auto"/>
        </w:rPr>
        <w:t>SEVERABILITY</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w:t>
      </w:r>
    </w:p>
    <w:p>
      <w:pPr>
        <w:spacing w:after="0" w:line="24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All amounts paid under this Agreement (including without limitation Base Salary) shall be reduced by all applicable state and federal tax withholdings and any other withholdings required by any applicable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GOVERNING LAW</w:t>
      </w:r>
    </w:p>
    <w:p>
      <w:pPr>
        <w:spacing w:after="0" w:line="248" w:lineRule="exact"/>
        <w:rPr>
          <w:sz w:val="20"/>
          <w:szCs w:val="20"/>
          <w:color w:val="auto"/>
        </w:rPr>
      </w:pPr>
    </w:p>
    <w:p>
      <w:pPr>
        <w:ind w:right="560"/>
        <w:spacing w:after="0" w:line="278" w:lineRule="auto"/>
        <w:rPr>
          <w:sz w:val="20"/>
          <w:szCs w:val="20"/>
          <w:color w:val="auto"/>
        </w:rPr>
      </w:pPr>
      <w:r>
        <w:rPr>
          <w:rFonts w:ascii="Arial" w:cs="Arial" w:eastAsia="Arial" w:hAnsi="Arial"/>
          <w:sz w:val="17"/>
          <w:szCs w:val="17"/>
          <w:color w:val="auto"/>
        </w:rPr>
        <w:t>The validity, interpretation, enforceability, and performance of this Agreement shall be governed by and construed in accordance with the laws of the State of Delaware, without regard to Delaware conflict of laws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INTERPRETATION</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SURVIVE TERMINATION OF EMPLOYMENT</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Executive agrees that Executive’s obligations under Section 5 of this Agreement, including Exhibit B referenced therein, shall survive the termination of employment and the termination of this Agreement.</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494" w:right="29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b w:val="1"/>
          <w:bCs w:val="1"/>
          <w:color w:val="auto"/>
        </w:rPr>
        <w:t>COUNTERPARTS</w:t>
      </w:r>
    </w:p>
    <w:p>
      <w:pPr>
        <w:spacing w:after="0" w:line="248" w:lineRule="exact"/>
        <w:rPr>
          <w:sz w:val="20"/>
          <w:szCs w:val="20"/>
          <w:color w:val="auto"/>
        </w:rPr>
      </w:pPr>
    </w:p>
    <w:p>
      <w:pPr>
        <w:ind w:right="600"/>
        <w:spacing w:after="0" w:line="278" w:lineRule="auto"/>
        <w:rPr>
          <w:sz w:val="20"/>
          <w:szCs w:val="20"/>
          <w:color w:val="auto"/>
        </w:rPr>
      </w:pPr>
      <w:r>
        <w:rPr>
          <w:rFonts w:ascii="Arial" w:cs="Arial" w:eastAsia="Arial" w:hAnsi="Arial"/>
          <w:sz w:val="17"/>
          <w:szCs w:val="17"/>
          <w:color w:val="auto"/>
        </w:rPr>
        <w:t>This Agreement may be executed in any number of counterparts, each of which shall be deemed an original of this Agreement, but all of which together shall constitute one and the same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AUTHORITY</w:t>
      </w:r>
    </w:p>
    <w:p>
      <w:pPr>
        <w:spacing w:after="0" w:line="248"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ENTIRE AGREEMENT</w:t>
      </w:r>
    </w:p>
    <w:p>
      <w:pPr>
        <w:spacing w:after="0" w:line="248"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This Agreement (including the Exhibits attached hereto, which are incorporated herein by reference) is the final, complete and exclusive agreement of the parties with respect to the subject matter hereof and supersedes and merges all prior or contemporaneous representations, discussions, proposals, negotiations, conditions, communications and agreements, whether written or oral, between the parties relating to the subject matter hereof and all past courses of dealing or industry custom.</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94" w:right="259" w:bottom="1440" w:gutter="0" w:footer="0" w:header="0"/>
        </w:sectPr>
      </w:pPr>
    </w:p>
    <w:bookmarkStart w:id="274" w:name="page275"/>
    <w:bookmarkEnd w:id="274"/>
    <w:p>
      <w:pPr>
        <w:ind w:right="60"/>
        <w:spacing w:after="0" w:line="269" w:lineRule="auto"/>
        <w:rPr>
          <w:sz w:val="20"/>
          <w:szCs w:val="20"/>
          <w:color w:val="auto"/>
        </w:rPr>
      </w:pPr>
      <w:r>
        <w:rPr>
          <w:rFonts w:ascii="Arial" w:cs="Arial" w:eastAsia="Arial" w:hAnsi="Arial"/>
          <w:sz w:val="17"/>
          <w:szCs w:val="17"/>
          <w:b w:val="1"/>
          <w:bCs w:val="1"/>
          <w:color w:val="auto"/>
        </w:rPr>
        <w:t>Executive acknowledges Executive has had the opportunity to consult legal counsel concerning this agreement, that Executive has read and understands the agreement, that Executive is fully aware of its legal effect, and that Executive has entered into it freely based on Executive’s own judgment and not on any representations or promises other than those contained in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7"/>
          <w:szCs w:val="17"/>
          <w:color w:val="auto"/>
        </w:rPr>
        <w:t>, the parties have duly executed this Agreement as of the date first written above.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gridSpan w:val="2"/>
          </w:tcPr>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IO</w:t>
            </w:r>
            <w:r>
              <w:rPr>
                <w:rFonts w:ascii="Arial" w:cs="Arial" w:eastAsia="Arial" w:hAnsi="Arial"/>
                <w:sz w:val="17"/>
                <w:szCs w:val="17"/>
                <w:b w:val="1"/>
                <w:bCs w:val="1"/>
                <w:color w:val="auto"/>
              </w:rPr>
              <w:t>L</w:t>
            </w:r>
            <w:r>
              <w:rPr>
                <w:rFonts w:ascii="Arial" w:cs="Arial" w:eastAsia="Arial" w:hAnsi="Arial"/>
                <w:sz w:val="11"/>
                <w:szCs w:val="11"/>
                <w:b w:val="1"/>
                <w:bCs w:val="1"/>
                <w:color w:val="auto"/>
              </w:rPr>
              <w:t>INE</w:t>
            </w:r>
            <w:r>
              <w:rPr>
                <w:rFonts w:ascii="Arial" w:cs="Arial" w:eastAsia="Arial" w:hAnsi="Arial"/>
                <w:sz w:val="17"/>
                <w:szCs w:val="17"/>
                <w:b w:val="1"/>
                <w:bCs w:val="1"/>
                <w:color w:val="auto"/>
              </w:rPr>
              <w:t>R</w:t>
            </w:r>
            <w:r>
              <w:rPr>
                <w:rFonts w:ascii="Arial" w:cs="Arial" w:eastAsia="Arial" w:hAnsi="Arial"/>
                <w:sz w:val="11"/>
                <w:szCs w:val="11"/>
                <w:b w:val="1"/>
                <w:bCs w:val="1"/>
                <w:color w:val="auto"/>
              </w:rPr>
              <w:t>X</w:t>
            </w:r>
            <w:r>
              <w:rPr>
                <w:rFonts w:ascii="Arial" w:cs="Arial" w:eastAsia="Arial" w:hAnsi="Arial"/>
                <w:sz w:val="17"/>
                <w:szCs w:val="17"/>
                <w:b w:val="1"/>
                <w:bCs w:val="1"/>
                <w:color w:val="auto"/>
              </w:rPr>
              <w:t xml:space="preserve"> USA,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c>
          <w:tcPr>
            <w:tcW w:w="5920" w:type="dxa"/>
            <w:vAlign w:val="bottom"/>
          </w:tcPr>
          <w:p>
            <w:pPr>
              <w:ind w:left="44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XECUTIVE</w:t>
            </w:r>
            <w:r>
              <w:rPr>
                <w:rFonts w:ascii="Arial" w:cs="Arial" w:eastAsia="Arial" w:hAnsi="Arial"/>
                <w:sz w:val="17"/>
                <w:szCs w:val="17"/>
                <w:b w:val="1"/>
                <w:bCs w:val="1"/>
                <w:color w:val="auto"/>
              </w:rPr>
              <w:t>:</w:t>
            </w:r>
          </w:p>
        </w:tc>
      </w:tr>
      <w:tr>
        <w:trPr>
          <w:trHeight w:val="419"/>
        </w:trPr>
        <w:tc>
          <w:tcPr>
            <w:tcW w:w="38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Morris Laster</w:t>
            </w:r>
          </w:p>
        </w:tc>
        <w:tc>
          <w:tcPr>
            <w:tcW w:w="5920" w:type="dxa"/>
            <w:vAlign w:val="bottom"/>
          </w:tcPr>
          <w:p>
            <w:pPr>
              <w:ind w:left="440"/>
              <w:spacing w:after="0"/>
              <w:rPr>
                <w:sz w:val="20"/>
                <w:szCs w:val="20"/>
                <w:color w:val="auto"/>
              </w:rPr>
            </w:pPr>
            <w:r>
              <w:rPr>
                <w:rFonts w:ascii="Arial" w:cs="Arial" w:eastAsia="Arial" w:hAnsi="Arial"/>
                <w:sz w:val="17"/>
                <w:szCs w:val="17"/>
                <w:color w:val="auto"/>
              </w:rPr>
              <w:t>By: /s/ Nir Gamliel</w:t>
            </w:r>
          </w:p>
        </w:tc>
      </w:tr>
      <w:tr>
        <w:trPr>
          <w:trHeight w:val="417"/>
        </w:trPr>
        <w:tc>
          <w:tcPr>
            <w:tcW w:w="380" w:type="dxa"/>
            <w:vAlign w:val="bottom"/>
          </w:tcPr>
          <w:p>
            <w:pPr>
              <w:spacing w:after="0"/>
              <w:rPr>
                <w:sz w:val="20"/>
                <w:szCs w:val="20"/>
                <w:color w:val="auto"/>
              </w:rPr>
            </w:pPr>
            <w:r>
              <w:rPr>
                <w:rFonts w:ascii="Arial" w:cs="Arial" w:eastAsia="Arial" w:hAnsi="Arial"/>
                <w:sz w:val="17"/>
                <w:szCs w:val="17"/>
                <w:color w:val="auto"/>
                <w:w w:val="97"/>
              </w:rPr>
              <w:t>Title:</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Director</w:t>
            </w:r>
          </w:p>
        </w:tc>
        <w:tc>
          <w:tcPr>
            <w:tcW w:w="5920" w:type="dxa"/>
            <w:vAlign w:val="bottom"/>
          </w:tcPr>
          <w:p>
            <w:pPr>
              <w:spacing w:after="0"/>
              <w:rPr>
                <w:sz w:val="24"/>
                <w:szCs w:val="24"/>
                <w:color w:val="auto"/>
              </w:rPr>
            </w:pPr>
          </w:p>
        </w:tc>
      </w:tr>
      <w:tr>
        <w:trPr>
          <w:trHeight w:val="577"/>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920" w:type="dxa"/>
            <w:vAlign w:val="bottom"/>
          </w:tcPr>
          <w:p>
            <w:pPr>
              <w:jc w:val="right"/>
              <w:ind w:right="5534"/>
              <w:spacing w:after="0"/>
              <w:rPr>
                <w:sz w:val="20"/>
                <w:szCs w:val="20"/>
                <w:color w:val="auto"/>
              </w:rPr>
            </w:pPr>
            <w:r>
              <w:rPr>
                <w:rFonts w:ascii="Arial" w:cs="Arial" w:eastAsia="Arial" w:hAnsi="Arial"/>
                <w:sz w:val="17"/>
                <w:szCs w:val="17"/>
                <w:color w:val="auto"/>
              </w:rPr>
              <w:t>11</w:t>
            </w:r>
          </w:p>
        </w:tc>
      </w:tr>
      <w:tr>
        <w:trPr>
          <w:trHeight w:val="114"/>
        </w:trPr>
        <w:tc>
          <w:tcPr>
            <w:tcW w:w="38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5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75" w:name="page276"/>
    <w:bookmarkEnd w:id="275"/>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88900</wp:posOffset>
            </wp:positionV>
            <wp:extent cx="3937000" cy="9226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EXHIBIT 4.5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Employment Agreement</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on this 24 day of May, 2009 by and between </w:t>
      </w:r>
      <w:r>
        <w:rPr>
          <w:rFonts w:ascii="Arial" w:cs="Arial" w:eastAsia="Arial" w:hAnsi="Arial"/>
          <w:sz w:val="17"/>
          <w:szCs w:val="17"/>
          <w:b w:val="1"/>
          <w:bCs w:val="1"/>
          <w:color w:val="auto"/>
        </w:rPr>
        <w:t>BioLineRx Ltd.</w:t>
      </w:r>
      <w:r>
        <w:rPr>
          <w:rFonts w:ascii="Arial" w:cs="Arial" w:eastAsia="Arial" w:hAnsi="Arial"/>
          <w:sz w:val="17"/>
          <w:szCs w:val="17"/>
          <w:color w:val="auto"/>
        </w:rPr>
        <w:t>, a company organized under the laws of the State of Israel, with its offices at 19 Hartum Street, P.O. Box 45158, Jerusalem 91450, Israel (“</w:t>
      </w:r>
      <w:r>
        <w:rPr>
          <w:rFonts w:ascii="Arial" w:cs="Arial" w:eastAsia="Arial" w:hAnsi="Arial"/>
          <w:sz w:val="17"/>
          <w:szCs w:val="17"/>
          <w:b w:val="1"/>
          <w:bCs w:val="1"/>
          <w:color w:val="auto"/>
        </w:rPr>
        <w:t>BioLine</w:t>
      </w:r>
      <w:r>
        <w:rPr>
          <w:rFonts w:ascii="Arial" w:cs="Arial" w:eastAsia="Arial" w:hAnsi="Arial"/>
          <w:sz w:val="17"/>
          <w:szCs w:val="17"/>
          <w:color w:val="auto"/>
        </w:rPr>
        <w:t xml:space="preserve">”), and </w:t>
      </w:r>
      <w:r>
        <w:rPr>
          <w:rFonts w:ascii="Arial" w:cs="Arial" w:eastAsia="Arial" w:hAnsi="Arial"/>
          <w:sz w:val="17"/>
          <w:szCs w:val="17"/>
          <w:b w:val="1"/>
          <w:bCs w:val="1"/>
          <w:color w:val="auto"/>
        </w:rPr>
        <w:t>Phillip Serlin</w:t>
      </w:r>
      <w:r>
        <w:rPr>
          <w:rFonts w:ascii="Arial" w:cs="Arial" w:eastAsia="Arial" w:hAnsi="Arial"/>
          <w:sz w:val="17"/>
          <w:szCs w:val="17"/>
          <w:color w:val="auto"/>
        </w:rPr>
        <w:t>, I.D. Number 310550157 with an address at 11 Hachazav Street, Bet Shemesh (the “</w:t>
      </w:r>
      <w:r>
        <w:rPr>
          <w:rFonts w:ascii="Arial" w:cs="Arial" w:eastAsia="Arial" w:hAnsi="Arial"/>
          <w:sz w:val="17"/>
          <w:szCs w:val="17"/>
          <w:b w:val="1"/>
          <w:bCs w:val="1"/>
          <w:color w:val="auto"/>
        </w:rPr>
        <w:t>Employee</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WHEREAS, BioLine desires to employ the Employee and the Employee desires to enter into such employment, on the terms and conditions hereinafter set forth.</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covenants and conditions hereinafter set forth, the parties agree as follows:</w:t>
      </w:r>
    </w:p>
    <w:p>
      <w:pPr>
        <w:spacing w:after="0" w:line="236" w:lineRule="exact"/>
        <w:rPr>
          <w:sz w:val="20"/>
          <w:szCs w:val="20"/>
          <w:color w:val="auto"/>
        </w:rPr>
      </w:pPr>
    </w:p>
    <w:p>
      <w:pPr>
        <w:ind w:left="320" w:hanging="317"/>
        <w:spacing w:after="0"/>
        <w:tabs>
          <w:tab w:leader="none" w:pos="320" w:val="left"/>
        </w:tabs>
        <w:numPr>
          <w:ilvl w:val="0"/>
          <w:numId w:val="198"/>
        </w:numPr>
        <w:rPr>
          <w:rFonts w:ascii="Arial" w:cs="Arial" w:eastAsia="Arial" w:hAnsi="Arial"/>
          <w:sz w:val="17"/>
          <w:szCs w:val="17"/>
          <w:color w:val="auto"/>
        </w:rPr>
      </w:pPr>
      <w:r>
        <w:rPr>
          <w:rFonts w:ascii="Arial" w:cs="Arial" w:eastAsia="Arial" w:hAnsi="Arial"/>
          <w:sz w:val="17"/>
          <w:szCs w:val="17"/>
          <w:b w:val="1"/>
          <w:bCs w:val="1"/>
          <w:color w:val="auto"/>
        </w:rPr>
        <w:t>Employment</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620" w:hanging="309"/>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1.1. The Employee shall serve in the position described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commencing on May 24, 2009 (the “</w:t>
      </w:r>
      <w:r>
        <w:rPr>
          <w:rFonts w:ascii="Arial" w:cs="Arial" w:eastAsia="Arial" w:hAnsi="Arial"/>
          <w:sz w:val="17"/>
          <w:szCs w:val="17"/>
          <w:b w:val="1"/>
          <w:bCs w:val="1"/>
          <w:color w:val="auto"/>
        </w:rPr>
        <w:t>Commencement Date</w:t>
      </w:r>
      <w:r>
        <w:rPr>
          <w:rFonts w:ascii="Arial" w:cs="Arial" w:eastAsia="Arial" w:hAnsi="Arial"/>
          <w:sz w:val="17"/>
          <w:szCs w:val="17"/>
          <w:color w:val="auto"/>
        </w:rPr>
        <w:t>”). The Employee shall be under the direct supervision of and comply with the directives of the CEO of BioLine and/or any such individual designated by BioLine at its sole discretion (the “</w:t>
      </w:r>
      <w:r>
        <w:rPr>
          <w:rFonts w:ascii="Arial" w:cs="Arial" w:eastAsia="Arial" w:hAnsi="Arial"/>
          <w:sz w:val="17"/>
          <w:szCs w:val="17"/>
          <w:b w:val="1"/>
          <w:bCs w:val="1"/>
          <w:color w:val="auto"/>
        </w:rPr>
        <w:t>Supervisor</w:t>
      </w:r>
      <w:r>
        <w:rPr>
          <w:rFonts w:ascii="Arial" w:cs="Arial" w:eastAsia="Arial" w:hAnsi="Arial"/>
          <w:sz w:val="17"/>
          <w:szCs w:val="17"/>
          <w:color w:val="auto"/>
        </w:rPr>
        <w:t>”). The Employee shall perform the duties, undertake the responsibilities and exerciese the authority as determined from time to time by the Superviser diligently, conscientiously and in furtherance of BioLine’s best interests. Employee’s duties and responsibilities hereunder may also include other services performed for affiliates of BioLine.</w:t>
      </w:r>
    </w:p>
    <w:p>
      <w:pPr>
        <w:spacing w:after="0" w:line="203" w:lineRule="exact"/>
        <w:rPr>
          <w:rFonts w:ascii="Arial" w:cs="Arial" w:eastAsia="Arial" w:hAnsi="Arial"/>
          <w:sz w:val="17"/>
          <w:szCs w:val="17"/>
          <w:color w:val="auto"/>
        </w:rPr>
      </w:pPr>
    </w:p>
    <w:p>
      <w:pPr>
        <w:ind w:left="620" w:hanging="309"/>
        <w:spacing w:after="0" w:line="265" w:lineRule="auto"/>
        <w:rPr>
          <w:rFonts w:ascii="Arial" w:cs="Arial" w:eastAsia="Arial" w:hAnsi="Arial"/>
          <w:sz w:val="17"/>
          <w:szCs w:val="17"/>
          <w:color w:val="auto"/>
        </w:rPr>
      </w:pPr>
      <w:r>
        <w:rPr>
          <w:rFonts w:ascii="Arial" w:cs="Arial" w:eastAsia="Arial" w:hAnsi="Arial"/>
          <w:sz w:val="17"/>
          <w:szCs w:val="17"/>
          <w:color w:val="auto"/>
        </w:rPr>
        <w:t>1.2. During the Employment Period, Employee shall honestly, diligently, skillfully and faithfully serve BioLine, and undertakes to devote all of Employee’s efforts and the best of his/her qualifications and skills to promoting the business and affairs of BioLine, and shall at all times act in a manner suitable of his position and status in BioLine.</w:t>
      </w:r>
    </w:p>
    <w:p>
      <w:pPr>
        <w:spacing w:after="0" w:line="201" w:lineRule="exact"/>
        <w:rPr>
          <w:rFonts w:ascii="Arial" w:cs="Arial" w:eastAsia="Arial" w:hAnsi="Arial"/>
          <w:sz w:val="17"/>
          <w:szCs w:val="17"/>
          <w:color w:val="auto"/>
        </w:rPr>
      </w:pPr>
    </w:p>
    <w:p>
      <w:pPr>
        <w:ind w:left="620" w:hanging="309"/>
        <w:spacing w:after="0" w:line="265" w:lineRule="auto"/>
        <w:rPr>
          <w:rFonts w:ascii="Arial" w:cs="Arial" w:eastAsia="Arial" w:hAnsi="Arial"/>
          <w:sz w:val="17"/>
          <w:szCs w:val="17"/>
          <w:color w:val="auto"/>
        </w:rPr>
      </w:pPr>
      <w:r>
        <w:rPr>
          <w:rFonts w:ascii="Arial" w:cs="Arial" w:eastAsia="Arial" w:hAnsi="Arial"/>
          <w:sz w:val="17"/>
          <w:szCs w:val="17"/>
          <w:color w:val="auto"/>
        </w:rPr>
        <w:t>1.3. The Employee agrees and undertakes to inform BioLine, immediately after becoming aware of any matter that may in any way raise a conflict of interest between Employee and BioLine. Employee shall not receive during any payment, compensation or benefit from any third party in connection, directly or indirectly, with the execution of Employee’s position in BioLine.</w:t>
      </w:r>
    </w:p>
    <w:p>
      <w:pPr>
        <w:spacing w:after="0" w:line="201" w:lineRule="exact"/>
        <w:rPr>
          <w:rFonts w:ascii="Arial" w:cs="Arial" w:eastAsia="Arial" w:hAnsi="Arial"/>
          <w:sz w:val="17"/>
          <w:szCs w:val="17"/>
          <w:color w:val="auto"/>
        </w:rPr>
      </w:pPr>
    </w:p>
    <w:p>
      <w:pPr>
        <w:ind w:left="620" w:hanging="309"/>
        <w:spacing w:after="0" w:line="278" w:lineRule="auto"/>
        <w:rPr>
          <w:rFonts w:ascii="Arial" w:cs="Arial" w:eastAsia="Arial" w:hAnsi="Arial"/>
          <w:sz w:val="17"/>
          <w:szCs w:val="17"/>
          <w:color w:val="auto"/>
        </w:rPr>
      </w:pPr>
      <w:r>
        <w:rPr>
          <w:rFonts w:ascii="Arial" w:cs="Arial" w:eastAsia="Arial" w:hAnsi="Arial"/>
          <w:sz w:val="17"/>
          <w:szCs w:val="17"/>
          <w:color w:val="auto"/>
        </w:rPr>
        <w:t>1.4. Employee will be employed on a full time basis. Employee shall not undertake or accept any other paid or unpaid employment or occupation or engage in any other business activity except with the prior written consent of BioLine, which shall not be unreasonably withheld.</w:t>
      </w:r>
    </w:p>
    <w:p>
      <w:pPr>
        <w:spacing w:after="0" w:line="190" w:lineRule="exact"/>
        <w:rPr>
          <w:rFonts w:ascii="Arial" w:cs="Arial" w:eastAsia="Arial" w:hAnsi="Arial"/>
          <w:sz w:val="17"/>
          <w:szCs w:val="17"/>
          <w:color w:val="auto"/>
        </w:rPr>
      </w:pPr>
    </w:p>
    <w:p>
      <w:pPr>
        <w:ind w:left="620" w:hanging="309"/>
        <w:spacing w:after="0" w:line="265" w:lineRule="auto"/>
        <w:rPr>
          <w:rFonts w:ascii="Arial" w:cs="Arial" w:eastAsia="Arial" w:hAnsi="Arial"/>
          <w:sz w:val="17"/>
          <w:szCs w:val="17"/>
          <w:color w:val="auto"/>
        </w:rPr>
      </w:pPr>
      <w:r>
        <w:rPr>
          <w:rFonts w:ascii="Arial" w:cs="Arial" w:eastAsia="Arial" w:hAnsi="Arial"/>
          <w:sz w:val="17"/>
          <w:szCs w:val="17"/>
          <w:color w:val="auto"/>
        </w:rPr>
        <w:t>1.5. Employee hereby confirms and declares that his/her position is one that requires a special measure of personal trust and loyalty. Accordingly, the provisions of the Hours of Work and Rest Law-1951 shall not apply to Employee, and Employee shall not be entitled to any compensation for working more than the maximum number of hours per week set forth in said law or any other applicable law.</w:t>
      </w:r>
    </w:p>
    <w:p>
      <w:pPr>
        <w:spacing w:after="0" w:line="201" w:lineRule="exact"/>
        <w:rPr>
          <w:rFonts w:ascii="Arial" w:cs="Arial" w:eastAsia="Arial" w:hAnsi="Arial"/>
          <w:sz w:val="17"/>
          <w:szCs w:val="17"/>
          <w:color w:val="auto"/>
        </w:rPr>
      </w:pPr>
    </w:p>
    <w:p>
      <w:pPr>
        <w:ind w:left="620" w:hanging="309"/>
        <w:spacing w:after="0" w:line="265" w:lineRule="auto"/>
        <w:rPr>
          <w:rFonts w:ascii="Arial" w:cs="Arial" w:eastAsia="Arial" w:hAnsi="Arial"/>
          <w:sz w:val="17"/>
          <w:szCs w:val="17"/>
          <w:color w:val="auto"/>
        </w:rPr>
      </w:pPr>
      <w:r>
        <w:rPr>
          <w:rFonts w:ascii="Arial" w:cs="Arial" w:eastAsia="Arial" w:hAnsi="Arial"/>
          <w:sz w:val="17"/>
          <w:szCs w:val="17"/>
          <w:color w:val="auto"/>
        </w:rPr>
        <w:t>1.6. The Employee may also work outside of regular working hours and outside of regular working days, as may be required by BioLine from time to time. The Employee must obtain Supervisor’s prior approval for work in excess of the quota of overtime work hours per month set forth in Section 6 below and notify BioLine in the event that this average quota is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266700</wp:posOffset>
            </wp:positionV>
            <wp:extent cx="1723390" cy="165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620" w:hanging="308"/>
        <w:spacing w:after="0" w:line="311" w:lineRule="auto"/>
        <w:rPr>
          <w:sz w:val="20"/>
          <w:szCs w:val="20"/>
          <w:color w:val="auto"/>
        </w:rPr>
      </w:pPr>
      <w:r>
        <w:rPr>
          <w:rFonts w:ascii="Arial" w:cs="Arial" w:eastAsia="Arial" w:hAnsi="Arial"/>
          <w:sz w:val="16"/>
          <w:szCs w:val="16"/>
          <w:color w:val="auto"/>
        </w:rPr>
        <w:t>1.7. The parties hereby confirm that this is a personal services agreement and that the relationship between the parties hereto shall not be subject to any general or special collective employment agreement or any custom or practice of BioLine with respect to any of its other employees or contractors.</w:t>
      </w:r>
    </w:p>
    <w:p>
      <w:pPr>
        <w:spacing w:after="0" w:line="160" w:lineRule="exact"/>
        <w:rPr>
          <w:sz w:val="20"/>
          <w:szCs w:val="20"/>
          <w:color w:val="auto"/>
        </w:rPr>
      </w:pPr>
    </w:p>
    <w:p>
      <w:pPr>
        <w:ind w:left="320" w:hanging="317"/>
        <w:spacing w:after="0" w:line="286" w:lineRule="auto"/>
        <w:tabs>
          <w:tab w:leader="none" w:pos="32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Place of Performance</w:t>
      </w:r>
      <w:r>
        <w:rPr>
          <w:rFonts w:ascii="Arial" w:cs="Arial" w:eastAsia="Arial" w:hAnsi="Arial"/>
          <w:sz w:val="17"/>
          <w:szCs w:val="17"/>
          <w:color w:val="auto"/>
        </w:rPr>
        <w:t>. Employee shall be based at BioLine’s facilities in Israel or at such other place as is otherwise appropriate to the functions being</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by BioLine. Employee acknowledges and agrees that his/her position may involve significant domestic and international travel.</w:t>
      </w:r>
    </w:p>
    <w:p>
      <w:pPr>
        <w:spacing w:after="0" w:line="177" w:lineRule="exact"/>
        <w:rPr>
          <w:rFonts w:ascii="Arial" w:cs="Arial" w:eastAsia="Arial" w:hAnsi="Arial"/>
          <w:sz w:val="17"/>
          <w:szCs w:val="17"/>
          <w:color w:val="auto"/>
        </w:rPr>
      </w:pPr>
    </w:p>
    <w:p>
      <w:pPr>
        <w:jc w:val="both"/>
        <w:ind w:left="320" w:hanging="317"/>
        <w:spacing w:after="0" w:line="274" w:lineRule="auto"/>
        <w:tabs>
          <w:tab w:leader="none" w:pos="320"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Employee’s Representations and Warranties</w:t>
      </w:r>
      <w:r>
        <w:rPr>
          <w:rFonts w:ascii="Arial" w:cs="Arial" w:eastAsia="Arial" w:hAnsi="Arial"/>
          <w:sz w:val="16"/>
          <w:szCs w:val="16"/>
          <w:color w:val="auto"/>
        </w:rPr>
        <w:t>. Employee represents and warrants that the execution and delivery of this Agreement and the fulfillment of all its</w:t>
      </w:r>
      <w:r>
        <w:rPr>
          <w:rFonts w:ascii="Arial" w:cs="Arial" w:eastAsia="Arial" w:hAnsi="Arial"/>
          <w:sz w:val="16"/>
          <w:szCs w:val="16"/>
          <w:b w:val="1"/>
          <w:bCs w:val="1"/>
          <w:color w:val="auto"/>
        </w:rPr>
        <w:t xml:space="preserve"> </w:t>
      </w:r>
      <w:r>
        <w:rPr>
          <w:rFonts w:ascii="Arial" w:cs="Arial" w:eastAsia="Arial" w:hAnsi="Arial"/>
          <w:sz w:val="16"/>
          <w:szCs w:val="16"/>
          <w:color w:val="auto"/>
        </w:rPr>
        <w:t>terms: (i) will not constitute a default under or conflict with any agreement or other instrument to which Employee is a party or by which Employee is bound; and (ii) do not require the consent of any person or entity. Further, with respect to any past engagement Employee may have had with third parties and with respect to any allowed engagement Employee may have with any third party during the term of his/her engagement with BioLine (for purposes hereof, such third parties shall be referred to as “</w:t>
      </w:r>
      <w:r>
        <w:rPr>
          <w:rFonts w:ascii="Arial" w:cs="Arial" w:eastAsia="Arial" w:hAnsi="Arial"/>
          <w:sz w:val="16"/>
          <w:szCs w:val="16"/>
          <w:b w:val="1"/>
          <w:bCs w:val="1"/>
          <w:color w:val="auto"/>
        </w:rPr>
        <w:t>Other Employers</w:t>
      </w:r>
      <w:r>
        <w:rPr>
          <w:rFonts w:ascii="Arial" w:cs="Arial" w:eastAsia="Arial" w:hAnsi="Arial"/>
          <w:sz w:val="16"/>
          <w:szCs w:val="16"/>
          <w:color w:val="auto"/>
        </w:rPr>
        <w:t>”), Employee represents, warrants and undertakes that: (a) Employee’s engagement with BioLine is and/or will not be in breach of Employee’s undertakings towards Other Employers, and (b) Employee will not disclose to BioLine, or use, in provision of any services to BioLine, any proprietary or confidential information belonging to any Other Employers. Employee further represents and warrants that: (y) he/she does not suffer from any medical condition that may prevent from complying with duties and obligations under this Agreement; (z) to Employee’s best knowledge, the employment by BioLine will not cause any hazard to Employee’s health.</w:t>
      </w:r>
    </w:p>
    <w:p>
      <w:pPr>
        <w:spacing w:after="0" w:line="193" w:lineRule="exact"/>
        <w:rPr>
          <w:rFonts w:ascii="Arial" w:cs="Arial" w:eastAsia="Arial" w:hAnsi="Arial"/>
          <w:sz w:val="16"/>
          <w:szCs w:val="16"/>
          <w:color w:val="auto"/>
        </w:rPr>
      </w:pPr>
    </w:p>
    <w:p>
      <w:pPr>
        <w:jc w:val="both"/>
        <w:ind w:left="320" w:hanging="317"/>
        <w:spacing w:after="0" w:line="285" w:lineRule="auto"/>
        <w:tabs>
          <w:tab w:leader="none" w:pos="320"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Proprietary Information; Confidentiality and Non-Competition</w:t>
      </w:r>
      <w:r>
        <w:rPr>
          <w:rFonts w:ascii="Arial" w:cs="Arial" w:eastAsia="Arial" w:hAnsi="Arial"/>
          <w:sz w:val="16"/>
          <w:szCs w:val="16"/>
          <w:color w:val="auto"/>
        </w:rPr>
        <w:t>. The Employee is obligated to keep all the terms and covenants of this Agreement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strict confidentiality. By executing this Agreement Employee confirms and agrees to the provisions of BioLine’s Proprietary Information, Confidentiality and Non-Competition Agreement attached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Employee acknowledges and confirms that all terms of his/her employment are personal and confidential, and undertakes to keep such term in confidence and refrain from disclosing such terms to any third party.</w:t>
      </w:r>
    </w:p>
    <w:p>
      <w:pPr>
        <w:spacing w:after="0" w:line="180" w:lineRule="exact"/>
        <w:rPr>
          <w:rFonts w:ascii="Arial" w:cs="Arial" w:eastAsia="Arial" w:hAnsi="Arial"/>
          <w:sz w:val="16"/>
          <w:szCs w:val="16"/>
          <w:color w:val="auto"/>
        </w:rPr>
      </w:pPr>
    </w:p>
    <w:p>
      <w:pPr>
        <w:ind w:left="320" w:hanging="317"/>
        <w:spacing w:after="0" w:line="319" w:lineRule="auto"/>
        <w:tabs>
          <w:tab w:leader="none" w:pos="320"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Period of Employment</w:t>
      </w:r>
      <w:r>
        <w:rPr>
          <w:rFonts w:ascii="Arial" w:cs="Arial" w:eastAsia="Arial" w:hAnsi="Arial"/>
          <w:sz w:val="16"/>
          <w:szCs w:val="16"/>
          <w:color w:val="auto"/>
        </w:rPr>
        <w:t>. Employee’s employment by BioLine commence on the Commencement Date and shall continue for an initial period of three (3) months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Initial Period</w:t>
      </w:r>
      <w:r>
        <w:rPr>
          <w:rFonts w:ascii="Arial" w:cs="Arial" w:eastAsia="Arial" w:hAnsi="Arial"/>
          <w:sz w:val="16"/>
          <w:szCs w:val="16"/>
          <w:color w:val="auto"/>
        </w:rPr>
        <w:t>”) and shall then continue, unless terminated in accordance with the provisions of this Agreement (the “</w:t>
      </w:r>
      <w:r>
        <w:rPr>
          <w:rFonts w:ascii="Arial" w:cs="Arial" w:eastAsia="Arial" w:hAnsi="Arial"/>
          <w:sz w:val="16"/>
          <w:szCs w:val="16"/>
          <w:b w:val="1"/>
          <w:bCs w:val="1"/>
          <w:color w:val="auto"/>
        </w:rPr>
        <w:t>Employment Period</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620" w:hanging="309"/>
        <w:spacing w:after="0" w:line="282" w:lineRule="auto"/>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The Employee’s employment will terminate upon the death of the Employee, and BioLine may terminate the Employee’s employment after having established the Employee’s disability. For purposes of this Agreement, “disability” means a physical or mental infirmity which impairs the Employee’s ability to substantially perform Employee’s duties under this Agreement which continues for a period of at least ninety (90) consecutive days. Upon termination for disability, the Employee shall be entitled to severance pay required by law, in accordance with the terms of this Agreement.</w:t>
      </w:r>
    </w:p>
    <w:p>
      <w:pPr>
        <w:spacing w:after="0" w:line="190" w:lineRule="exact"/>
        <w:rPr>
          <w:rFonts w:ascii="Arial" w:cs="Arial" w:eastAsia="Arial" w:hAnsi="Arial"/>
          <w:sz w:val="16"/>
          <w:szCs w:val="16"/>
          <w:color w:val="auto"/>
        </w:rPr>
      </w:pPr>
    </w:p>
    <w:p>
      <w:pPr>
        <w:ind w:left="620" w:hanging="309"/>
        <w:spacing w:after="0" w:line="278" w:lineRule="auto"/>
        <w:rPr>
          <w:rFonts w:ascii="Arial" w:cs="Arial" w:eastAsia="Arial" w:hAnsi="Arial"/>
          <w:sz w:val="16"/>
          <w:szCs w:val="16"/>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Termination at Will</w:t>
      </w:r>
      <w:r>
        <w:rPr>
          <w:rFonts w:ascii="Arial" w:cs="Arial" w:eastAsia="Arial" w:hAnsi="Arial"/>
          <w:sz w:val="17"/>
          <w:szCs w:val="17"/>
          <w:color w:val="auto"/>
        </w:rPr>
        <w:t>. Either party may terminate the employment relationship hereunder at any time by giving the other party prior written notice as set forth in Exhibit A (the “</w:t>
      </w:r>
      <w:r>
        <w:rPr>
          <w:rFonts w:ascii="Arial" w:cs="Arial" w:eastAsia="Arial" w:hAnsi="Arial"/>
          <w:sz w:val="17"/>
          <w:szCs w:val="17"/>
          <w:b w:val="1"/>
          <w:bCs w:val="1"/>
          <w:color w:val="auto"/>
        </w:rPr>
        <w:t>Notice Period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259715</wp:posOffset>
            </wp:positionV>
            <wp:extent cx="1723390" cy="165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620" w:hanging="308"/>
        <w:spacing w:after="0" w:line="25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 In the event of a termination for Cause (as defined below), BioLine may immediately terminate the employment relationship effective as of the time of notice of the same, and without payment in lieu of prior notice. “</w:t>
      </w:r>
      <w:r>
        <w:rPr>
          <w:rFonts w:ascii="Arial" w:cs="Arial" w:eastAsia="Arial" w:hAnsi="Arial"/>
          <w:sz w:val="17"/>
          <w:szCs w:val="17"/>
          <w:b w:val="1"/>
          <w:bCs w:val="1"/>
          <w:color w:val="auto"/>
        </w:rPr>
        <w:t>Cause</w:t>
      </w:r>
      <w:r>
        <w:rPr>
          <w:rFonts w:ascii="Arial" w:cs="Arial" w:eastAsia="Arial" w:hAnsi="Arial"/>
          <w:sz w:val="17"/>
          <w:szCs w:val="17"/>
          <w:color w:val="auto"/>
        </w:rPr>
        <w:t>” means (i) a serious breach of trust including but not limited to theft, embezzlement, self-dealing, prohibited disclosure to unauthorized persons or entities of confidential or proprietary information of or relating to BioLine or its affiliates, and the engaging by Employee in any prohibited business competitive to the business of BioLine; (ii) any willful failure to perform or failure to perform competently any of Employee’s fundamental functions or duties hereunder, which was not cured within thirty (30) days after receipt by Employee of written notice thereof; (iii) any breach of this Agreement by the Employee; and (iv) any other cause justifying termination or dismissal without severance payment under applicable law.</w:t>
      </w:r>
    </w:p>
    <w:p>
      <w:pPr>
        <w:spacing w:after="0" w:line="207" w:lineRule="exact"/>
        <w:rPr>
          <w:sz w:val="20"/>
          <w:szCs w:val="20"/>
          <w:color w:val="auto"/>
        </w:rPr>
      </w:pPr>
    </w:p>
    <w:p>
      <w:pPr>
        <w:jc w:val="both"/>
        <w:ind w:left="620" w:hanging="308"/>
        <w:spacing w:after="0" w:line="25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Notice Period; End of Relations</w:t>
      </w:r>
      <w:r>
        <w:rPr>
          <w:rFonts w:ascii="Arial" w:cs="Arial" w:eastAsia="Arial" w:hAnsi="Arial"/>
          <w:sz w:val="17"/>
          <w:szCs w:val="17"/>
          <w:color w:val="auto"/>
        </w:rPr>
        <w:t>. During the Notice Period, the employment relationship hereunder shall remain in full force and effect and there shall be no change in Employee’s position with BioLine, the Salary, or in any other obligations of either party hereunder, unless otherwise determined by BioLine in a written notice to Employee, and Employee shall cooperate with BioLine and assist BioLine with the integration into BioLine of the person who will assume Employee’s responsibilities. At the option of BioLine, the Employee shall during such period either continue with Employee’s duties or remain absent from BioLine’s premises. However, BioLine, at its own discretion, may terminate this Agreement and the employment relationship at any time immediately upon a written notice and pay Employee an amount equal to the Salary referred to in Section 6 below that would have been paid to Employee during the Notice Period in lieu of the prior notice.</w:t>
      </w:r>
    </w:p>
    <w:p>
      <w:pPr>
        <w:spacing w:after="0" w:line="207" w:lineRule="exact"/>
        <w:rPr>
          <w:sz w:val="20"/>
          <w:szCs w:val="20"/>
          <w:color w:val="auto"/>
        </w:rPr>
      </w:pPr>
    </w:p>
    <w:p>
      <w:pPr>
        <w:jc w:val="both"/>
        <w:ind w:left="620" w:hanging="308"/>
        <w:spacing w:after="0" w:line="278" w:lineRule="auto"/>
        <w:rPr>
          <w:sz w:val="20"/>
          <w:szCs w:val="20"/>
          <w:color w:val="auto"/>
        </w:rPr>
      </w:pPr>
      <w:r>
        <w:rPr>
          <w:rFonts w:ascii="Arial" w:cs="Arial" w:eastAsia="Arial" w:hAnsi="Arial"/>
          <w:sz w:val="17"/>
          <w:szCs w:val="17"/>
          <w:color w:val="auto"/>
        </w:rPr>
        <w:t>5.5. Without derogating from all of BioLine’s rights according to the provisions of this Agreement and the law, upon the termination of this Agreement, BioLine shall have the right to deduct from any payment to be paid to the Employee any sum owed by the Employee to BioLine.</w:t>
      </w:r>
    </w:p>
    <w:p>
      <w:pPr>
        <w:spacing w:after="0" w:line="184" w:lineRule="exact"/>
        <w:rPr>
          <w:sz w:val="20"/>
          <w:szCs w:val="20"/>
          <w:color w:val="auto"/>
        </w:rPr>
      </w:pPr>
    </w:p>
    <w:p>
      <w:pPr>
        <w:ind w:left="320" w:hanging="317"/>
        <w:spacing w:after="0"/>
        <w:tabs>
          <w:tab w:leader="none" w:pos="32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Salary</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620" w:hanging="309"/>
        <w:spacing w:after="0" w:line="257" w:lineRule="auto"/>
        <w:rPr>
          <w:rFonts w:ascii="Arial" w:cs="Arial" w:eastAsia="Arial" w:hAnsi="Arial"/>
          <w:sz w:val="17"/>
          <w:szCs w:val="17"/>
          <w:color w:val="auto"/>
        </w:rPr>
      </w:pPr>
      <w:r>
        <w:rPr>
          <w:rFonts w:ascii="Arial" w:cs="Arial" w:eastAsia="Arial" w:hAnsi="Arial"/>
          <w:sz w:val="17"/>
          <w:szCs w:val="17"/>
          <w:color w:val="auto"/>
        </w:rPr>
        <w:t>6.1. BioLine shall pay or cause to be paid to the Employee during the term of this Agreement a gross salary in the amount set forth in Exhibit A per month (the “</w:t>
      </w:r>
      <w:r>
        <w:rPr>
          <w:rFonts w:ascii="Arial" w:cs="Arial" w:eastAsia="Arial" w:hAnsi="Arial"/>
          <w:sz w:val="17"/>
          <w:szCs w:val="17"/>
          <w:b w:val="1"/>
          <w:bCs w:val="1"/>
          <w:color w:val="auto"/>
        </w:rPr>
        <w:t>Base Salary</w:t>
      </w:r>
      <w:r>
        <w:rPr>
          <w:rFonts w:ascii="Arial" w:cs="Arial" w:eastAsia="Arial" w:hAnsi="Arial"/>
          <w:sz w:val="17"/>
          <w:szCs w:val="17"/>
          <w:color w:val="auto"/>
        </w:rPr>
        <w:t>”). Since the nature of the work precludes supervision of the Employee’s work hours and due to BioLine’s anticipation that the Employee may be required to work outside of regular working hours and outside of regular working days as stated in Section 1.5 above, BioLine agrees to pay to the Employee during the term of this Agreement a gross payment in the amount set forth in Exhibit A per month (the “</w:t>
      </w:r>
      <w:r>
        <w:rPr>
          <w:rFonts w:ascii="Arial" w:cs="Arial" w:eastAsia="Arial" w:hAnsi="Arial"/>
          <w:sz w:val="17"/>
          <w:szCs w:val="17"/>
          <w:b w:val="1"/>
          <w:bCs w:val="1"/>
          <w:color w:val="auto"/>
        </w:rPr>
        <w:t>Overtime Payment</w:t>
      </w:r>
      <w:r>
        <w:rPr>
          <w:rFonts w:ascii="Arial" w:cs="Arial" w:eastAsia="Arial" w:hAnsi="Arial"/>
          <w:sz w:val="17"/>
          <w:szCs w:val="17"/>
          <w:color w:val="auto"/>
        </w:rPr>
        <w:t>”) on account of forty five (45) global overtime work hours per month. The Base Salary and the Overtime Payment together shall constitute the “</w:t>
      </w:r>
      <w:r>
        <w:rPr>
          <w:rFonts w:ascii="Arial" w:cs="Arial" w:eastAsia="Arial" w:hAnsi="Arial"/>
          <w:sz w:val="17"/>
          <w:szCs w:val="17"/>
          <w:b w:val="1"/>
          <w:bCs w:val="1"/>
          <w:color w:val="auto"/>
        </w:rPr>
        <w:t>Salary</w:t>
      </w:r>
      <w:r>
        <w:rPr>
          <w:rFonts w:ascii="Arial" w:cs="Arial" w:eastAsia="Arial" w:hAnsi="Arial"/>
          <w:sz w:val="17"/>
          <w:szCs w:val="17"/>
          <w:color w:val="auto"/>
        </w:rPr>
        <w:t>” for purposes of this Agreement.</w:t>
      </w:r>
    </w:p>
    <w:p>
      <w:pPr>
        <w:spacing w:after="0" w:line="208" w:lineRule="exact"/>
        <w:rPr>
          <w:rFonts w:ascii="Arial" w:cs="Arial" w:eastAsia="Arial" w:hAnsi="Arial"/>
          <w:sz w:val="17"/>
          <w:szCs w:val="17"/>
          <w:color w:val="auto"/>
        </w:rPr>
      </w:pPr>
    </w:p>
    <w:p>
      <w:pPr>
        <w:ind w:left="620" w:hanging="309"/>
        <w:spacing w:after="0" w:line="226" w:lineRule="auto"/>
        <w:rPr>
          <w:rFonts w:ascii="Arial" w:cs="Arial" w:eastAsia="Arial" w:hAnsi="Arial"/>
          <w:sz w:val="17"/>
          <w:szCs w:val="17"/>
          <w:color w:val="auto"/>
        </w:rPr>
      </w:pPr>
      <w:r>
        <w:rPr>
          <w:rFonts w:ascii="Arial" w:cs="Arial" w:eastAsia="Arial" w:hAnsi="Arial"/>
          <w:sz w:val="17"/>
          <w:szCs w:val="17"/>
          <w:color w:val="auto"/>
        </w:rPr>
        <w:t>6.2. The Salary will be paid no later then the 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p>
    <w:p>
      <w:pPr>
        <w:spacing w:after="0" w:line="216" w:lineRule="exact"/>
        <w:rPr>
          <w:rFonts w:ascii="Arial" w:cs="Arial" w:eastAsia="Arial" w:hAnsi="Arial"/>
          <w:sz w:val="17"/>
          <w:szCs w:val="17"/>
          <w:color w:val="auto"/>
        </w:rPr>
      </w:pPr>
    </w:p>
    <w:p>
      <w:pPr>
        <w:ind w:left="320" w:hanging="317"/>
        <w:spacing w:after="0"/>
        <w:tabs>
          <w:tab w:leader="none" w:pos="32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Insurance and Social Benefits</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Employee shall be entitled to the following benefits:</w:t>
      </w:r>
    </w:p>
    <w:p>
      <w:pPr>
        <w:spacing w:after="0" w:line="241" w:lineRule="exact"/>
        <w:rPr>
          <w:rFonts w:ascii="Arial" w:cs="Arial" w:eastAsia="Arial" w:hAnsi="Arial"/>
          <w:sz w:val="17"/>
          <w:szCs w:val="17"/>
          <w:color w:val="auto"/>
        </w:rPr>
      </w:pPr>
    </w:p>
    <w:p>
      <w:pPr>
        <w:ind w:left="620" w:hanging="309"/>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Manager’s insurance; Pension Fund</w:t>
      </w:r>
      <w:r>
        <w:rPr>
          <w:rFonts w:ascii="Arial" w:cs="Arial" w:eastAsia="Arial" w:hAnsi="Arial"/>
          <w:sz w:val="17"/>
          <w:szCs w:val="17"/>
          <w:color w:val="auto"/>
        </w:rPr>
        <w:t>. At the end of the Initial Period, and subject to the continued employment of Employee following the Initial Period, BioLine will insure Employee, retroactive to the Commencement Date, under a “Manager’s Insurance Scheme” or pension fund to be selected by BioLine in coordination with Employee (unless otherwise agreed to by the parties) (collectively the “</w:t>
      </w:r>
      <w:r>
        <w:rPr>
          <w:rFonts w:ascii="Arial" w:cs="Arial" w:eastAsia="Arial" w:hAnsi="Arial"/>
          <w:sz w:val="17"/>
          <w:szCs w:val="17"/>
          <w:b w:val="1"/>
          <w:bCs w:val="1"/>
          <w:color w:val="auto"/>
        </w:rPr>
        <w:t>Policy</w:t>
      </w:r>
      <w:r>
        <w:rPr>
          <w:rFonts w:ascii="Arial" w:cs="Arial" w:eastAsia="Arial" w:hAnsi="Arial"/>
          <w:sz w:val="17"/>
          <w:szCs w:val="17"/>
          <w:color w:val="auto"/>
        </w:rPr>
        <w:t>”), such that BioLine will pay an amount equal to 13⅓% of the Salary towards a such Policy, of which 5% shall be for pension fund payments and 8⅓% shall serve to cover severance compensation. In addition, BioLine shall deduct from the Salary an amount equal to 5% of the Salary, and forward the same to the Policy. Any tax payable in respect of such contributions to the Policy shall be borne and paid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272415</wp:posOffset>
            </wp:positionV>
            <wp:extent cx="1723390" cy="165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8" w:name="page279"/>
    <w:bookmarkEnd w:id="2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300" w:hanging="308"/>
        <w:spacing w:after="0" w:line="274" w:lineRule="auto"/>
        <w:rPr>
          <w:sz w:val="20"/>
          <w:szCs w:val="20"/>
          <w:color w:val="auto"/>
        </w:rPr>
      </w:pPr>
      <w:r>
        <w:rPr>
          <w:rFonts w:ascii="Arial" w:cs="Arial" w:eastAsia="Arial" w:hAnsi="Arial"/>
          <w:sz w:val="16"/>
          <w:szCs w:val="16"/>
          <w:color w:val="auto"/>
        </w:rPr>
        <w:t>7.2. The Employee hereby agrees and acknowledges that all of the payments that BioLine shall make to the abovementioned Policy shall be instead of any severance pay to which the Employee or Employee’s successors shall be entitled to receive from BioLine with respect to the salary from which these payments were made and the period during which they were made, in accordance with Section 14 of the Severance Pay Law 5723-1963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BioLine hereby waives in advance any claim it has or may have to be refunded any of the payments made to the manager’s insurance policy, unless (i) the Employee’s right to severance pay is invalidated by a court ruling on the basis of Sections 16 or 17 of the Law (and in such case only to the extent it is invalidated), or (ii) the Employee withdrew funds from the manager’s insurance policy for reasons other than an “Entitling Event”. An “Entitling Event” means death, disability or retirement at the age of sixty (60) or more.</w:t>
      </w:r>
    </w:p>
    <w:p>
      <w:pPr>
        <w:spacing w:after="0" w:line="198"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Disability Insurance</w:t>
      </w:r>
      <w:r>
        <w:rPr>
          <w:rFonts w:ascii="Arial" w:cs="Arial" w:eastAsia="Arial" w:hAnsi="Arial"/>
          <w:sz w:val="16"/>
          <w:szCs w:val="16"/>
          <w:color w:val="auto"/>
        </w:rPr>
        <w:t>. In addition to the foregoing, during the Employment Period BioLine will bear the cost of disability insurance with an insurance company (</w:t>
      </w:r>
      <w:r>
        <w:rPr>
          <w:rFonts w:ascii="Arial" w:cs="Arial" w:eastAsia="Arial" w:hAnsi="Arial"/>
          <w:sz w:val="16"/>
          <w:szCs w:val="16"/>
          <w:i w:val="1"/>
          <w:iCs w:val="1"/>
          <w:color w:val="auto"/>
        </w:rPr>
        <w:t>Ovdan Kosher Avoda</w:t>
      </w:r>
      <w:r>
        <w:rPr>
          <w:rFonts w:ascii="Arial" w:cs="Arial" w:eastAsia="Arial" w:hAnsi="Arial"/>
          <w:sz w:val="16"/>
          <w:szCs w:val="16"/>
          <w:color w:val="auto"/>
        </w:rPr>
        <w:t>). The amount paid by BioLine for such insurance shall be as generally accepted, but shall not exceed 2.5% of the Salary.</w:t>
      </w:r>
    </w:p>
    <w:p>
      <w:pPr>
        <w:spacing w:after="0" w:line="166" w:lineRule="exact"/>
        <w:rPr>
          <w:sz w:val="20"/>
          <w:szCs w:val="20"/>
          <w:color w:val="auto"/>
        </w:rPr>
      </w:pPr>
    </w:p>
    <w:p>
      <w:pPr>
        <w:jc w:val="both"/>
        <w:ind w:left="300" w:hanging="308"/>
        <w:spacing w:after="0" w:line="261"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Advanced Study Fund</w:t>
      </w:r>
      <w:r>
        <w:rPr>
          <w:rFonts w:ascii="Arial" w:cs="Arial" w:eastAsia="Arial" w:hAnsi="Arial"/>
          <w:sz w:val="17"/>
          <w:szCs w:val="17"/>
          <w:color w:val="auto"/>
        </w:rPr>
        <w:t>. At the end of the Initial Period, and subject to the continued employment of Employee following the Initial Period, BioLine will maintain an advanced study fund (</w:t>
      </w:r>
      <w:r>
        <w:rPr>
          <w:rFonts w:ascii="Arial" w:cs="Arial" w:eastAsia="Arial" w:hAnsi="Arial"/>
          <w:sz w:val="17"/>
          <w:szCs w:val="17"/>
          <w:i w:val="1"/>
          <w:iCs w:val="1"/>
          <w:color w:val="auto"/>
        </w:rPr>
        <w:t>Keren Hishtalmut</w:t>
      </w:r>
      <w:r>
        <w:rPr>
          <w:rFonts w:ascii="Arial" w:cs="Arial" w:eastAsia="Arial" w:hAnsi="Arial"/>
          <w:sz w:val="17"/>
          <w:szCs w:val="17"/>
          <w:color w:val="auto"/>
        </w:rPr>
        <w:t>) recognized by the Israeli Income Tax Authorities, retroactive to the Commencement Date, such that BioLine and Employee shall contribute to such fund an amount equal to 7.5% of the Salary and 2.5% of the Salary, respectively. Any tax payable in respect of such contributions to such fund shall be borne and paid by the Employee.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Convalescence</w:t>
      </w:r>
      <w:r>
        <w:rPr>
          <w:rFonts w:ascii="Arial" w:cs="Arial" w:eastAsia="Arial" w:hAnsi="Arial"/>
          <w:sz w:val="15"/>
          <w:szCs w:val="15"/>
          <w:color w:val="auto"/>
        </w:rPr>
        <w:t>. During the Employment Period, Employee shall be entitled to receive convalescence allowance (</w:t>
      </w:r>
      <w:r>
        <w:rPr>
          <w:rFonts w:ascii="Arial" w:cs="Arial" w:eastAsia="Arial" w:hAnsi="Arial"/>
          <w:sz w:val="15"/>
          <w:szCs w:val="15"/>
          <w:i w:val="1"/>
          <w:iCs w:val="1"/>
          <w:color w:val="auto"/>
        </w:rPr>
        <w:t>Dmei Havra’a</w:t>
      </w:r>
      <w:r>
        <w:rPr>
          <w:rFonts w:ascii="Arial" w:cs="Arial" w:eastAsia="Arial" w:hAnsi="Arial"/>
          <w:sz w:val="15"/>
          <w:szCs w:val="15"/>
          <w:color w:val="auto"/>
        </w:rPr>
        <w:t>) pursuant to applicable law.</w:t>
      </w:r>
    </w:p>
    <w:p>
      <w:pPr>
        <w:spacing w:after="0" w:line="291" w:lineRule="exact"/>
        <w:rPr>
          <w:sz w:val="20"/>
          <w:szCs w:val="20"/>
          <w:color w:val="auto"/>
        </w:rPr>
      </w:pPr>
    </w:p>
    <w:p>
      <w:pPr>
        <w:jc w:val="both"/>
        <w:ind w:left="300" w:hanging="308"/>
        <w:spacing w:after="0" w:line="289"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Sick Leave</w:t>
      </w:r>
      <w:r>
        <w:rPr>
          <w:rFonts w:ascii="Arial" w:cs="Arial" w:eastAsia="Arial" w:hAnsi="Arial"/>
          <w:sz w:val="16"/>
          <w:szCs w:val="16"/>
          <w:color w:val="auto"/>
        </w:rPr>
        <w:t>. The Employee shall be entitled to be absent from work each year due to illness for the number of days allowed pursuant to the Sick Pay Law 5736 - 1976, and shall be entitled to fully paid sick leave upon presentation of appropriate medical documentation regarding said illness. Any amounts paid to the Employee on account of the disability insurance indicated in subsection 7.3 above, will be on account of Sick Leave payment.</w:t>
      </w:r>
    </w:p>
    <w:p>
      <w:pPr>
        <w:spacing w:after="0" w:line="184" w:lineRule="exact"/>
        <w:rPr>
          <w:sz w:val="20"/>
          <w:szCs w:val="20"/>
          <w:color w:val="auto"/>
        </w:rPr>
      </w:pPr>
    </w:p>
    <w:p>
      <w:pPr>
        <w:jc w:val="both"/>
        <w:ind w:left="300" w:hanging="308"/>
        <w:spacing w:after="0" w:line="27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Reserve Service</w:t>
      </w:r>
      <w:r>
        <w:rPr>
          <w:rFonts w:ascii="Arial" w:cs="Arial" w:eastAsia="Arial" w:hAnsi="Arial"/>
          <w:sz w:val="17"/>
          <w:szCs w:val="17"/>
          <w:color w:val="auto"/>
        </w:rPr>
        <w:t>. During the Employment Period, BioLine shall pay the full salary of the Employee during the period of the Employee’s military reserve service. National Insurance Institute transfers in connection with such military reserved duty shall be retained by BioLine.</w:t>
      </w:r>
    </w:p>
    <w:p>
      <w:pPr>
        <w:spacing w:after="0" w:line="190" w:lineRule="exact"/>
        <w:rPr>
          <w:sz w:val="20"/>
          <w:szCs w:val="20"/>
          <w:color w:val="auto"/>
        </w:rPr>
      </w:pPr>
    </w:p>
    <w:p>
      <w:pPr>
        <w:jc w:val="both"/>
        <w:ind w:left="300" w:hanging="308"/>
        <w:spacing w:after="0" w:line="261"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Vacation</w:t>
      </w:r>
      <w:r>
        <w:rPr>
          <w:rFonts w:ascii="Arial" w:cs="Arial" w:eastAsia="Arial" w:hAnsi="Arial"/>
          <w:sz w:val="17"/>
          <w:szCs w:val="17"/>
          <w:color w:val="auto"/>
        </w:rPr>
        <w:t>. During the Employment Period, Employee shall be entitled to vacation in the number of working days per year as set forth in Exhibit A, as adjusted in accordance with applicable law. A “working day” shall mean Sunday to Thursday inclusive, and the use of said vacation days will be coordinated with BioLine. Employee shall be entitled to accumulation and redemption of vacation days in accordance with BioLine’s employees’ handbook, which may be amended from time to time in BioLine’s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268605</wp:posOffset>
            </wp:positionV>
            <wp:extent cx="1723390" cy="165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80"/>
        <w:spacing w:after="0"/>
        <w:tabs>
          <w:tab w:leader="none" w:pos="602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77470</wp:posOffset>
            </wp:positionV>
            <wp:extent cx="7257415" cy="2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00"/>
          </w:cols>
          <w:pgMar w:left="560" w:top="1440" w:right="239" w:bottom="1440" w:gutter="0" w:footer="0" w:header="0"/>
        </w:sectPr>
      </w:pPr>
    </w:p>
    <w:bookmarkStart w:id="279" w:name="page280"/>
    <w:bookmarkEnd w:id="2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620" w:hanging="308"/>
        <w:spacing w:after="0" w:line="278"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Mobile Phone</w:t>
      </w:r>
      <w:r>
        <w:rPr>
          <w:rFonts w:ascii="Arial" w:cs="Arial" w:eastAsia="Arial" w:hAnsi="Arial"/>
          <w:sz w:val="17"/>
          <w:szCs w:val="17"/>
          <w:color w:val="auto"/>
        </w:rPr>
        <w:t>. During the Employment Period, the Employee shall be entitled to receive a mobile phone. Employee shall use the mobile phone in a standard and reasonable manner, and in accordance with BioLine’s policies.</w:t>
      </w:r>
    </w:p>
    <w:p>
      <w:pPr>
        <w:spacing w:after="0" w:line="190" w:lineRule="exact"/>
        <w:rPr>
          <w:sz w:val="20"/>
          <w:szCs w:val="20"/>
          <w:color w:val="auto"/>
        </w:rPr>
      </w:pPr>
    </w:p>
    <w:p>
      <w:pPr>
        <w:jc w:val="both"/>
        <w:ind w:left="660" w:hanging="346"/>
        <w:spacing w:after="0" w:line="271" w:lineRule="auto"/>
        <w:tabs>
          <w:tab w:leader="none" w:pos="640"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6"/>
          <w:szCs w:val="16"/>
          <w:u w:val="single" w:color="auto"/>
          <w:color w:val="auto"/>
        </w:rPr>
        <w:t xml:space="preserve">Automobile. </w:t>
      </w:r>
      <w:r>
        <w:rPr>
          <w:rFonts w:ascii="Arial" w:cs="Arial" w:eastAsia="Arial" w:hAnsi="Arial"/>
          <w:sz w:val="16"/>
          <w:szCs w:val="16"/>
          <w:color w:val="auto"/>
        </w:rPr>
        <w:t>For purposes of performance of Employee’s duties and tasks, and during the Employment Period, BioLine shall make available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Employee a company vehicle, leased or owned by BioLine of a type to be elected by BioLine, in accordance with its policies which may be amended from time to time (the “</w:t>
      </w:r>
      <w:r>
        <w:rPr>
          <w:rFonts w:ascii="Arial" w:cs="Arial" w:eastAsia="Arial" w:hAnsi="Arial"/>
          <w:sz w:val="16"/>
          <w:szCs w:val="16"/>
          <w:b w:val="1"/>
          <w:bCs w:val="1"/>
          <w:color w:val="auto"/>
        </w:rPr>
        <w:t>Company Car</w:t>
      </w:r>
      <w:r>
        <w:rPr>
          <w:rFonts w:ascii="Arial" w:cs="Arial" w:eastAsia="Arial" w:hAnsi="Arial"/>
          <w:sz w:val="16"/>
          <w:szCs w:val="16"/>
          <w:color w:val="auto"/>
        </w:rPr>
        <w:t>”). Employee shall use the Company Car in accordance with BioLine’s car policy then in effect, as well as the requirements of the leasing company and the insurance company. BioLine shall bear the cost of maintenance and repairs, and any insurance deductibles for the Company Car, in accordance with its policies and the Car Agreement which will be signed between Employee and BioLine. Employee shall be liable for paying for fuel, as well as any parking and/or traffic fines received in connection herewith, and for any damages and expenses in case of negligent use of the Company Car and/or use of the Company Car not in accordance with BioLine’s applicable policies. All taxes arising out of the use of the Company Car shall be borne by Employee, and Employee acknowledges that such taxes will be withheld from Employee’s salary as required by law. Employee further acknowledges that the tax treatment of the benefit through use of the Company Car is subject to change, and any economic impact resulting from such changes will be in Employee’s sole responsibility .For the avoidance of doubt, Employee agrees and confirms that the cost of the leasing and/or the cost of the use of the Company Car shall not constitute a component of Employee’s Salary, including with regard to social benefits and/or any other right to which Employee is entitled by virtue of this Agreement or under law. The Employee shall be required to follow rules and regulations as to the usage of the Company Car as described in the “Company Car Lease Agreement” or “Car Addendum” provided to the Employee prior to receipt of the Company Car. The Company Car will remain in BioLine’s ownership, and will be returned to BioLine immediately upon termination of Employee’s employment with BioLine for any reason, as of the date of termination. The Employee shall not be entitled to use a Company Car during unpaid leaves or absences, unless specifically approved by BioLine in writing.</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7.11.</w:t>
      </w:r>
    </w:p>
    <w:p>
      <w:pPr>
        <w:spacing w:after="0" w:line="242" w:lineRule="exact"/>
        <w:rPr>
          <w:sz w:val="20"/>
          <w:szCs w:val="20"/>
          <w:color w:val="auto"/>
        </w:rPr>
      </w:pPr>
    </w:p>
    <w:p>
      <w:pPr>
        <w:jc w:val="both"/>
        <w:ind w:left="320"/>
        <w:spacing w:after="0" w:line="278" w:lineRule="auto"/>
        <w:rPr>
          <w:sz w:val="20"/>
          <w:szCs w:val="20"/>
          <w:color w:val="auto"/>
        </w:rPr>
      </w:pPr>
      <w:r>
        <w:rPr>
          <w:rFonts w:ascii="Arial" w:cs="Arial" w:eastAsia="Arial" w:hAnsi="Arial"/>
          <w:sz w:val="17"/>
          <w:szCs w:val="17"/>
          <w:color w:val="auto"/>
        </w:rPr>
        <w:t>Notwithstanding anything to the contrary herein, all payments and contributions of BioLine under this Agreement shall be limited to the applicable deductible amount required by the tax authorities.</w:t>
      </w:r>
    </w:p>
    <w:p>
      <w:pPr>
        <w:spacing w:after="0" w:line="184" w:lineRule="exact"/>
        <w:rPr>
          <w:sz w:val="20"/>
          <w:szCs w:val="20"/>
          <w:color w:val="auto"/>
        </w:rPr>
      </w:pPr>
    </w:p>
    <w:p>
      <w:pPr>
        <w:jc w:val="both"/>
        <w:ind w:left="320" w:hanging="317"/>
        <w:spacing w:after="0" w:line="263" w:lineRule="auto"/>
        <w:tabs>
          <w:tab w:leader="none" w:pos="32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BioLine Property</w:t>
      </w:r>
      <w:r>
        <w:rPr>
          <w:rFonts w:ascii="Arial" w:cs="Arial" w:eastAsia="Arial" w:hAnsi="Arial"/>
          <w:sz w:val="17"/>
          <w:szCs w:val="17"/>
          <w:color w:val="auto"/>
        </w:rPr>
        <w:t>. Employee acknowledges and agrees that the computer, telephone, email account and any other device providing for transmittal and storage of</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which are placed at Employee’s disposal by BioLine during the Employment Period are and shall remain the property of BioLine. Employee confirms its understanding that BioLine regularly reviews email correspondence and other information transmitted and stored by using the equipment stated above, and Bioline reserves the right to copy, store, present to others, and use such information.</w:t>
      </w:r>
    </w:p>
    <w:p>
      <w:pPr>
        <w:spacing w:after="0" w:line="197" w:lineRule="exact"/>
        <w:rPr>
          <w:rFonts w:ascii="Arial" w:cs="Arial" w:eastAsia="Arial" w:hAnsi="Arial"/>
          <w:sz w:val="17"/>
          <w:szCs w:val="17"/>
          <w:color w:val="auto"/>
        </w:rPr>
      </w:pPr>
    </w:p>
    <w:p>
      <w:pPr>
        <w:jc w:val="both"/>
        <w:ind w:left="320" w:hanging="317"/>
        <w:spacing w:after="0" w:line="293" w:lineRule="auto"/>
        <w:tabs>
          <w:tab w:leader="none" w:pos="320" w:val="left"/>
        </w:tabs>
        <w:numPr>
          <w:ilvl w:val="0"/>
          <w:numId w:val="201"/>
        </w:numPr>
        <w:rPr>
          <w:rFonts w:ascii="Arial" w:cs="Arial" w:eastAsia="Arial" w:hAnsi="Arial"/>
          <w:sz w:val="16"/>
          <w:szCs w:val="16"/>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Employee shall be reimbursed for all direct business expenses borne by Employee, in accordance with BioLine’s policies as determined by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provided that such expenses were approved by Employee’s Superior in advance. As a condition to reimbursement, Emploee shall be required to provide BioLine with all invoices, receipts and other evidence of expenditure as may be reasonably required by BioLine from time to time.</w:t>
      </w:r>
    </w:p>
    <w:p>
      <w:pPr>
        <w:spacing w:after="0" w:line="175" w:lineRule="exact"/>
        <w:rPr>
          <w:rFonts w:ascii="Arial" w:cs="Arial" w:eastAsia="Arial" w:hAnsi="Arial"/>
          <w:sz w:val="16"/>
          <w:szCs w:val="16"/>
          <w:color w:val="auto"/>
        </w:rPr>
      </w:pPr>
    </w:p>
    <w:p>
      <w:pPr>
        <w:jc w:val="both"/>
        <w:ind w:left="320" w:hanging="317"/>
        <w:spacing w:after="0" w:line="269" w:lineRule="auto"/>
        <w:tabs>
          <w:tab w:leader="none" w:pos="32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Options</w:t>
      </w:r>
      <w:r>
        <w:rPr>
          <w:rFonts w:ascii="Arial" w:cs="Arial" w:eastAsia="Arial" w:hAnsi="Arial"/>
          <w:sz w:val="17"/>
          <w:szCs w:val="17"/>
          <w:color w:val="auto"/>
        </w:rPr>
        <w:t>. Subject to the approval of the BioLine Board of Directors, Employee shall be granted options to purchase Ordinary Shares par value NIS 0.01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BioLine, in the amount set forth in Exhibit A, to be granted pursuant to, and in accordance with, the terms and conditions of the share option plan adopted by BioLine (the “</w:t>
      </w:r>
      <w:r>
        <w:rPr>
          <w:rFonts w:ascii="Arial" w:cs="Arial" w:eastAsia="Arial" w:hAnsi="Arial"/>
          <w:sz w:val="17"/>
          <w:szCs w:val="17"/>
          <w:b w:val="1"/>
          <w:bCs w:val="1"/>
          <w:color w:val="auto"/>
        </w:rPr>
        <w:t>Options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264160</wp:posOffset>
            </wp:positionV>
            <wp:extent cx="1723390" cy="165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0" w:name="page281"/>
    <w:bookmarkEnd w:id="2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20" w:hanging="317"/>
        <w:spacing w:after="0"/>
        <w:tabs>
          <w:tab w:leader="none" w:pos="32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660" w:hanging="347"/>
        <w:spacing w:after="0" w:line="261" w:lineRule="auto"/>
        <w:rPr>
          <w:rFonts w:ascii="Arial" w:cs="Arial" w:eastAsia="Arial" w:hAnsi="Arial"/>
          <w:sz w:val="17"/>
          <w:szCs w:val="17"/>
          <w:color w:val="auto"/>
        </w:rPr>
      </w:pPr>
      <w:r>
        <w:rPr>
          <w:rFonts w:ascii="Arial" w:cs="Arial" w:eastAsia="Arial" w:hAnsi="Arial"/>
          <w:sz w:val="17"/>
          <w:szCs w:val="17"/>
          <w:color w:val="auto"/>
        </w:rPr>
        <w:t>11.1.The laws of the State of Israel shall apply to this Agreement and the sole and exclusive place of jurisdiction in any matter arising out of or in connection with this Agreement shall be the Jerusalem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w:t>
      </w:r>
    </w:p>
    <w:p>
      <w:pPr>
        <w:spacing w:after="0" w:line="204" w:lineRule="exact"/>
        <w:rPr>
          <w:rFonts w:ascii="Arial" w:cs="Arial" w:eastAsia="Arial" w:hAnsi="Arial"/>
          <w:sz w:val="17"/>
          <w:szCs w:val="17"/>
          <w:color w:val="auto"/>
        </w:rPr>
      </w:pPr>
    </w:p>
    <w:p>
      <w:pPr>
        <w:ind w:left="660" w:hanging="347"/>
        <w:spacing w:after="0" w:line="277" w:lineRule="auto"/>
        <w:rPr>
          <w:rFonts w:ascii="Arial" w:cs="Arial" w:eastAsia="Arial" w:hAnsi="Arial"/>
          <w:sz w:val="17"/>
          <w:szCs w:val="17"/>
          <w:color w:val="auto"/>
        </w:rPr>
      </w:pPr>
      <w:r>
        <w:rPr>
          <w:rFonts w:ascii="Arial" w:cs="Arial" w:eastAsia="Arial" w:hAnsi="Arial"/>
          <w:sz w:val="17"/>
          <w:szCs w:val="17"/>
          <w:color w:val="auto"/>
        </w:rPr>
        <w:t>11.2.</w:t>
      </w:r>
      <w:r>
        <w:rPr>
          <w:rFonts w:ascii="Arial" w:cs="Arial" w:eastAsia="Arial" w:hAnsi="Arial"/>
          <w:sz w:val="16"/>
          <w:szCs w:val="16"/>
          <w:color w:val="auto"/>
        </w:rPr>
        <w:t>This Agreement constitutes the entire agreement and understanding between the parties with respect to the subject matter hereof, and supersedes all prior written or oral agreements with respect thereto. This Agreement may not be modified except by written instrument signed by a duly authorized representative of each party hereto.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that it shall be determined under any applicable law that a certain provision set forth in this Agreement is invalid or unenforceable, such determination shall not affect the remaining provisions of this Agreement.</w:t>
      </w:r>
    </w:p>
    <w:p>
      <w:pPr>
        <w:spacing w:after="0" w:line="192" w:lineRule="exact"/>
        <w:rPr>
          <w:rFonts w:ascii="Arial" w:cs="Arial" w:eastAsia="Arial" w:hAnsi="Arial"/>
          <w:sz w:val="17"/>
          <w:szCs w:val="17"/>
          <w:color w:val="auto"/>
        </w:rPr>
      </w:pPr>
    </w:p>
    <w:p>
      <w:pPr>
        <w:ind w:left="660" w:hanging="347"/>
        <w:spacing w:after="0" w:line="317" w:lineRule="auto"/>
        <w:rPr>
          <w:rFonts w:ascii="Arial" w:cs="Arial" w:eastAsia="Arial" w:hAnsi="Arial"/>
          <w:sz w:val="17"/>
          <w:szCs w:val="17"/>
          <w:color w:val="auto"/>
        </w:rPr>
      </w:pPr>
      <w:r>
        <w:rPr>
          <w:rFonts w:ascii="Arial" w:cs="Arial" w:eastAsia="Arial" w:hAnsi="Arial"/>
          <w:sz w:val="17"/>
          <w:szCs w:val="17"/>
          <w:color w:val="auto"/>
        </w:rPr>
        <w:t>11.3.</w:t>
      </w:r>
      <w:r>
        <w:rPr>
          <w:rFonts w:ascii="Arial" w:cs="Arial" w:eastAsia="Arial" w:hAnsi="Arial"/>
          <w:sz w:val="15"/>
          <w:szCs w:val="15"/>
          <w:color w:val="auto"/>
        </w:rPr>
        <w:t>This Agreement may be assigned by BioLine. Employee may not assign or delegate his/her duties under this Agreement without the prior written consent of BioLine. This agreement shall be binding upon the heirs, successors and permitted assignees of Employee. The provisions of this Agreement shall survive the termination of the Employment Period and the assignment of this Agreement by BioLine to any successor or other assignee.</w:t>
      </w:r>
    </w:p>
    <w:p>
      <w:pPr>
        <w:spacing w:after="0" w:line="39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WITNESS WHEREOF, the parties have executed this Agreement as of the date first set forth above.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/s/ Morris Laster</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color w:val="auto"/>
              </w:rPr>
              <w:t>/s/ Philip Serlin</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20" w:type="dxa"/>
            <w:vAlign w:val="bottom"/>
          </w:tcPr>
          <w:p>
            <w:pPr>
              <w:spacing w:after="0"/>
              <w:rPr>
                <w:sz w:val="19"/>
                <w:szCs w:val="19"/>
                <w:color w:val="auto"/>
              </w:rPr>
            </w:pPr>
          </w:p>
        </w:tc>
      </w:tr>
      <w:tr>
        <w:trPr>
          <w:trHeight w:val="219"/>
        </w:trPr>
        <w:tc>
          <w:tcPr>
            <w:tcW w:w="3760" w:type="dxa"/>
            <w:vAlign w:val="bottom"/>
            <w:gridSpan w:val="3"/>
          </w:tcPr>
          <w:p>
            <w:pPr>
              <w:spacing w:after="0"/>
              <w:rPr>
                <w:sz w:val="20"/>
                <w:szCs w:val="20"/>
                <w:color w:val="auto"/>
              </w:rPr>
            </w:pPr>
            <w:r>
              <w:rPr>
                <w:rFonts w:ascii="Arial" w:cs="Arial" w:eastAsia="Arial" w:hAnsi="Arial"/>
                <w:sz w:val="17"/>
                <w:szCs w:val="17"/>
                <w:b w:val="1"/>
                <w:bCs w:val="1"/>
                <w:color w:val="auto"/>
              </w:rPr>
              <w:t>BioLineRx Ltd.</w:t>
            </w:r>
          </w:p>
        </w:tc>
        <w:tc>
          <w:tcPr>
            <w:tcW w:w="480" w:type="dxa"/>
            <w:vAlign w:val="bottom"/>
          </w:tcPr>
          <w:p>
            <w:pPr>
              <w:spacing w:after="0"/>
              <w:rPr>
                <w:sz w:val="19"/>
                <w:szCs w:val="19"/>
                <w:color w:val="auto"/>
              </w:rPr>
            </w:pPr>
          </w:p>
        </w:tc>
        <w:tc>
          <w:tcPr>
            <w:tcW w:w="1840" w:type="dxa"/>
            <w:vAlign w:val="bottom"/>
            <w:gridSpan w:val="5"/>
          </w:tcPr>
          <w:p>
            <w:pPr>
              <w:spacing w:after="0"/>
              <w:rPr>
                <w:sz w:val="20"/>
                <w:szCs w:val="20"/>
                <w:color w:val="auto"/>
              </w:rPr>
            </w:pPr>
            <w:r>
              <w:rPr>
                <w:rFonts w:ascii="Arial" w:cs="Arial" w:eastAsia="Arial" w:hAnsi="Arial"/>
                <w:sz w:val="17"/>
                <w:szCs w:val="17"/>
                <w:b w:val="1"/>
                <w:bCs w:val="1"/>
                <w:color w:val="auto"/>
              </w:rPr>
              <w:t>Employee</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180"/>
        </w:trPr>
        <w:tc>
          <w:tcPr>
            <w:tcW w:w="3760" w:type="dxa"/>
            <w:vAlign w:val="bottom"/>
            <w:gridSpan w:val="3"/>
          </w:tcPr>
          <w:p>
            <w:pPr>
              <w:spacing w:after="0" w:line="180" w:lineRule="exact"/>
              <w:rPr>
                <w:sz w:val="20"/>
                <w:szCs w:val="20"/>
                <w:color w:val="auto"/>
              </w:rPr>
            </w:pPr>
            <w:r>
              <w:rPr>
                <w:rFonts w:ascii="Arial" w:cs="Arial" w:eastAsia="Arial" w:hAnsi="Arial"/>
                <w:sz w:val="17"/>
                <w:szCs w:val="17"/>
                <w:color w:val="auto"/>
              </w:rPr>
              <w:t>By: MORRIS LASTER</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12"/>
        </w:trPr>
        <w:tc>
          <w:tcPr>
            <w:tcW w:w="3760" w:type="dxa"/>
            <w:vAlign w:val="bottom"/>
            <w:gridSpan w:val="3"/>
          </w:tcPr>
          <w:p>
            <w:pPr>
              <w:spacing w:after="0"/>
              <w:rPr>
                <w:sz w:val="20"/>
                <w:szCs w:val="20"/>
                <w:color w:val="auto"/>
              </w:rPr>
            </w:pPr>
            <w:r>
              <w:rPr>
                <w:rFonts w:ascii="Arial" w:cs="Arial" w:eastAsia="Arial" w:hAnsi="Arial"/>
                <w:sz w:val="17"/>
                <w:szCs w:val="17"/>
                <w:color w:val="auto"/>
              </w:rPr>
              <w:t>Title: CEO</w:t>
            </w:r>
          </w:p>
        </w:tc>
        <w:tc>
          <w:tcPr>
            <w:tcW w:w="2320" w:type="dxa"/>
            <w:vAlign w:val="bottom"/>
            <w:gridSpan w:val="6"/>
          </w:tcPr>
          <w:p>
            <w:pPr>
              <w:ind w:left="480"/>
              <w:spacing w:after="0"/>
              <w:rPr>
                <w:sz w:val="20"/>
                <w:szCs w:val="20"/>
                <w:color w:val="auto"/>
              </w:rPr>
            </w:pPr>
            <w:r>
              <w:rPr>
                <w:rFonts w:ascii="Arial" w:cs="Arial" w:eastAsia="Arial" w:hAnsi="Arial"/>
                <w:sz w:val="17"/>
                <w:szCs w:val="17"/>
                <w:color w:val="auto"/>
              </w:rPr>
              <w:t>Name: PHILIP SERLIN</w:t>
            </w: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462"/>
        </w:trPr>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7"/>
        </w:trPr>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74"/>
              <w:spacing w:after="0"/>
              <w:rPr>
                <w:sz w:val="20"/>
                <w:szCs w:val="20"/>
                <w:color w:val="auto"/>
              </w:rPr>
            </w:pPr>
            <w:r>
              <w:rPr>
                <w:rFonts w:ascii="Arial" w:cs="Arial" w:eastAsia="Arial" w:hAnsi="Arial"/>
                <w:sz w:val="17"/>
                <w:szCs w:val="17"/>
                <w:color w:val="auto"/>
              </w:rPr>
              <w:t>BioLine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7"/>
                <w:szCs w:val="17"/>
                <w:color w:val="auto"/>
              </w:rPr>
              <w:t>Employee</w:t>
            </w:r>
          </w:p>
        </w:tc>
        <w:tc>
          <w:tcPr>
            <w:tcW w:w="6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566"/>
        </w:trPr>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60" w:type="dxa"/>
            <w:vAlign w:val="bottom"/>
            <w:gridSpan w:val="4"/>
          </w:tcPr>
          <w:p>
            <w:pPr>
              <w:jc w:val="right"/>
              <w:ind w:right="74"/>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14"/>
        </w:trPr>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40" w:type="dxa"/>
            <w:vAlign w:val="bottom"/>
            <w:gridSpan w:val="3"/>
          </w:tcPr>
          <w:p>
            <w:pPr>
              <w:jc w:val="center"/>
              <w:ind w:left="414"/>
              <w:spacing w:after="0"/>
              <w:rPr>
                <w:sz w:val="20"/>
                <w:szCs w:val="20"/>
                <w:color w:val="auto"/>
              </w:rPr>
            </w:pPr>
            <w:r>
              <w:rPr>
                <w:rFonts w:ascii="Arial" w:cs="Arial" w:eastAsia="Arial" w:hAnsi="Arial"/>
                <w:sz w:val="17"/>
                <w:szCs w:val="17"/>
                <w:b w:val="1"/>
                <w:bCs w:val="1"/>
                <w:color w:val="auto"/>
                <w:w w:val="94"/>
              </w:rPr>
              <w:t>Exhibit A</w:t>
            </w:r>
          </w:p>
        </w:tc>
        <w:tc>
          <w:tcPr>
            <w:tcW w:w="106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437"/>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00" w:type="dxa"/>
            <w:vAlign w:val="bottom"/>
            <w:gridSpan w:val="4"/>
          </w:tcPr>
          <w:p>
            <w:pPr>
              <w:jc w:val="center"/>
              <w:ind w:right="474"/>
              <w:spacing w:after="0"/>
              <w:rPr>
                <w:sz w:val="20"/>
                <w:szCs w:val="20"/>
                <w:color w:val="auto"/>
              </w:rPr>
            </w:pPr>
            <w:r>
              <w:rPr>
                <w:rFonts w:ascii="Arial" w:cs="Arial" w:eastAsia="Arial" w:hAnsi="Arial"/>
                <w:sz w:val="17"/>
                <w:szCs w:val="17"/>
                <w:b w:val="1"/>
                <w:bCs w:val="1"/>
                <w:color w:val="auto"/>
                <w:w w:val="91"/>
              </w:rPr>
              <w:t>Particulars of Employment</w:t>
            </w:r>
          </w:p>
        </w:tc>
        <w:tc>
          <w:tcPr>
            <w:tcW w:w="4080" w:type="dxa"/>
            <w:vAlign w:val="bottom"/>
          </w:tcPr>
          <w:p>
            <w:pPr>
              <w:spacing w:after="0"/>
              <w:rPr>
                <w:sz w:val="24"/>
                <w:szCs w:val="24"/>
                <w:color w:val="auto"/>
              </w:rPr>
            </w:pPr>
          </w:p>
        </w:tc>
      </w:tr>
      <w:tr>
        <w:trPr>
          <w:trHeight w:val="437"/>
        </w:trPr>
        <w:tc>
          <w:tcPr>
            <w:tcW w:w="840" w:type="dxa"/>
            <w:vAlign w:val="bottom"/>
          </w:tcPr>
          <w:p>
            <w:pPr>
              <w:ind w:left="320"/>
              <w:spacing w:after="0"/>
              <w:rPr>
                <w:sz w:val="20"/>
                <w:szCs w:val="20"/>
                <w:color w:val="auto"/>
              </w:rPr>
            </w:pPr>
            <w:r>
              <w:rPr>
                <w:rFonts w:ascii="Arial" w:cs="Arial" w:eastAsia="Arial" w:hAnsi="Arial"/>
                <w:sz w:val="17"/>
                <w:szCs w:val="17"/>
                <w:color w:val="auto"/>
              </w:rPr>
              <w:t>1.</w:t>
            </w:r>
          </w:p>
        </w:tc>
        <w:tc>
          <w:tcPr>
            <w:tcW w:w="2960" w:type="dxa"/>
            <w:vAlign w:val="bottom"/>
          </w:tcPr>
          <w:p>
            <w:pPr>
              <w:ind w:left="300"/>
              <w:spacing w:after="0"/>
              <w:rPr>
                <w:sz w:val="20"/>
                <w:szCs w:val="20"/>
                <w:color w:val="auto"/>
              </w:rPr>
            </w:pPr>
            <w:r>
              <w:rPr>
                <w:rFonts w:ascii="Arial" w:cs="Arial" w:eastAsia="Arial" w:hAnsi="Arial"/>
                <w:sz w:val="17"/>
                <w:szCs w:val="17"/>
                <w:color w:val="auto"/>
              </w:rPr>
              <w:t>Name of Employee:</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Philip Serlin</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2.</w:t>
            </w:r>
          </w:p>
        </w:tc>
        <w:tc>
          <w:tcPr>
            <w:tcW w:w="2960" w:type="dxa"/>
            <w:vAlign w:val="bottom"/>
          </w:tcPr>
          <w:p>
            <w:pPr>
              <w:ind w:left="300"/>
              <w:spacing w:after="0"/>
              <w:rPr>
                <w:sz w:val="20"/>
                <w:szCs w:val="20"/>
                <w:color w:val="auto"/>
              </w:rPr>
            </w:pPr>
            <w:r>
              <w:rPr>
                <w:rFonts w:ascii="Arial" w:cs="Arial" w:eastAsia="Arial" w:hAnsi="Arial"/>
                <w:sz w:val="17"/>
                <w:szCs w:val="17"/>
                <w:color w:val="auto"/>
              </w:rPr>
              <w:t>ID No. of Employee:</w:t>
            </w:r>
          </w:p>
        </w:tc>
        <w:tc>
          <w:tcPr>
            <w:tcW w:w="2120" w:type="dxa"/>
            <w:vAlign w:val="bottom"/>
            <w:gridSpan w:val="2"/>
          </w:tcPr>
          <w:p>
            <w:pPr>
              <w:ind w:left="780"/>
              <w:spacing w:after="0"/>
              <w:rPr>
                <w:sz w:val="20"/>
                <w:szCs w:val="20"/>
                <w:color w:val="auto"/>
              </w:rPr>
            </w:pPr>
            <w:r>
              <w:rPr>
                <w:rFonts w:ascii="Arial" w:cs="Arial" w:eastAsia="Arial" w:hAnsi="Arial"/>
                <w:sz w:val="17"/>
                <w:szCs w:val="17"/>
                <w:color w:val="auto"/>
              </w:rPr>
              <w:t>310550157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3.</w:t>
            </w:r>
          </w:p>
        </w:tc>
        <w:tc>
          <w:tcPr>
            <w:tcW w:w="2960" w:type="dxa"/>
            <w:vAlign w:val="bottom"/>
          </w:tcPr>
          <w:p>
            <w:pPr>
              <w:ind w:left="300"/>
              <w:spacing w:after="0"/>
              <w:rPr>
                <w:sz w:val="20"/>
                <w:szCs w:val="20"/>
                <w:color w:val="auto"/>
              </w:rPr>
            </w:pPr>
            <w:r>
              <w:rPr>
                <w:rFonts w:ascii="Arial" w:cs="Arial" w:eastAsia="Arial" w:hAnsi="Arial"/>
                <w:sz w:val="17"/>
                <w:szCs w:val="17"/>
                <w:color w:val="auto"/>
              </w:rPr>
              <w:t>Address of Employee:</w:t>
            </w:r>
          </w:p>
        </w:tc>
        <w:tc>
          <w:tcPr>
            <w:tcW w:w="3540" w:type="dxa"/>
            <w:vAlign w:val="bottom"/>
            <w:gridSpan w:val="5"/>
          </w:tcPr>
          <w:p>
            <w:pPr>
              <w:ind w:left="780"/>
              <w:spacing w:after="0"/>
              <w:rPr>
                <w:sz w:val="20"/>
                <w:szCs w:val="20"/>
                <w:color w:val="auto"/>
              </w:rPr>
            </w:pPr>
            <w:r>
              <w:rPr>
                <w:rFonts w:ascii="Arial" w:cs="Arial" w:eastAsia="Arial" w:hAnsi="Arial"/>
                <w:sz w:val="17"/>
                <w:szCs w:val="17"/>
                <w:color w:val="auto"/>
              </w:rPr>
              <w:t>11 Hachazav Street, Bet Shemesh</w:t>
            </w: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4.</w:t>
            </w:r>
          </w:p>
        </w:tc>
        <w:tc>
          <w:tcPr>
            <w:tcW w:w="2960" w:type="dxa"/>
            <w:vAlign w:val="bottom"/>
          </w:tcPr>
          <w:p>
            <w:pPr>
              <w:ind w:left="300"/>
              <w:spacing w:after="0"/>
              <w:rPr>
                <w:sz w:val="20"/>
                <w:szCs w:val="20"/>
                <w:color w:val="auto"/>
              </w:rPr>
            </w:pPr>
            <w:r>
              <w:rPr>
                <w:rFonts w:ascii="Arial" w:cs="Arial" w:eastAsia="Arial" w:hAnsi="Arial"/>
                <w:sz w:val="17"/>
                <w:szCs w:val="17"/>
                <w:color w:val="auto"/>
              </w:rPr>
              <w:t>Position in BioLine:</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Chief Financial Officer</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5.</w:t>
            </w:r>
          </w:p>
        </w:tc>
        <w:tc>
          <w:tcPr>
            <w:tcW w:w="2960" w:type="dxa"/>
            <w:vAlign w:val="bottom"/>
          </w:tcPr>
          <w:p>
            <w:pPr>
              <w:ind w:left="300"/>
              <w:spacing w:after="0"/>
              <w:rPr>
                <w:sz w:val="20"/>
                <w:szCs w:val="20"/>
                <w:color w:val="auto"/>
              </w:rPr>
            </w:pPr>
            <w:r>
              <w:rPr>
                <w:rFonts w:ascii="Arial" w:cs="Arial" w:eastAsia="Arial" w:hAnsi="Arial"/>
                <w:sz w:val="17"/>
                <w:szCs w:val="17"/>
                <w:color w:val="auto"/>
              </w:rPr>
              <w:t>Commencement Date:</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May 24, 2009</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6.</w:t>
            </w:r>
          </w:p>
        </w:tc>
        <w:tc>
          <w:tcPr>
            <w:tcW w:w="2960" w:type="dxa"/>
            <w:vAlign w:val="bottom"/>
          </w:tcPr>
          <w:p>
            <w:pPr>
              <w:ind w:left="300"/>
              <w:spacing w:after="0"/>
              <w:rPr>
                <w:sz w:val="20"/>
                <w:szCs w:val="20"/>
                <w:color w:val="auto"/>
              </w:rPr>
            </w:pPr>
            <w:r>
              <w:rPr>
                <w:rFonts w:ascii="Arial" w:cs="Arial" w:eastAsia="Arial" w:hAnsi="Arial"/>
                <w:sz w:val="17"/>
                <w:szCs w:val="17"/>
                <w:color w:val="auto"/>
              </w:rPr>
              <w:t>Notice Period:</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60 days</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7.</w:t>
            </w:r>
          </w:p>
        </w:tc>
        <w:tc>
          <w:tcPr>
            <w:tcW w:w="2960" w:type="dxa"/>
            <w:vAlign w:val="bottom"/>
          </w:tcPr>
          <w:p>
            <w:pPr>
              <w:ind w:left="300"/>
              <w:spacing w:after="0"/>
              <w:rPr>
                <w:sz w:val="20"/>
                <w:szCs w:val="20"/>
                <w:color w:val="auto"/>
              </w:rPr>
            </w:pPr>
            <w:r>
              <w:rPr>
                <w:rFonts w:ascii="Arial" w:cs="Arial" w:eastAsia="Arial" w:hAnsi="Arial"/>
                <w:sz w:val="17"/>
                <w:szCs w:val="17"/>
                <w:color w:val="auto"/>
              </w:rPr>
              <w:t>Base Salary:</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NIS 31,500</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8.</w:t>
            </w:r>
          </w:p>
        </w:tc>
        <w:tc>
          <w:tcPr>
            <w:tcW w:w="2960" w:type="dxa"/>
            <w:vAlign w:val="bottom"/>
          </w:tcPr>
          <w:p>
            <w:pPr>
              <w:ind w:left="300"/>
              <w:spacing w:after="0"/>
              <w:rPr>
                <w:sz w:val="20"/>
                <w:szCs w:val="20"/>
                <w:color w:val="auto"/>
              </w:rPr>
            </w:pPr>
            <w:r>
              <w:rPr>
                <w:rFonts w:ascii="Arial" w:cs="Arial" w:eastAsia="Arial" w:hAnsi="Arial"/>
                <w:sz w:val="17"/>
                <w:szCs w:val="17"/>
                <w:color w:val="auto"/>
              </w:rPr>
              <w:t>Overtime Payment:</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NIS 10,500</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9.</w:t>
            </w:r>
          </w:p>
        </w:tc>
        <w:tc>
          <w:tcPr>
            <w:tcW w:w="2960" w:type="dxa"/>
            <w:vAlign w:val="bottom"/>
          </w:tcPr>
          <w:p>
            <w:pPr>
              <w:ind w:left="300"/>
              <w:spacing w:after="0"/>
              <w:rPr>
                <w:sz w:val="20"/>
                <w:szCs w:val="20"/>
                <w:color w:val="auto"/>
              </w:rPr>
            </w:pPr>
            <w:r>
              <w:rPr>
                <w:rFonts w:ascii="Arial" w:cs="Arial" w:eastAsia="Arial" w:hAnsi="Arial"/>
                <w:sz w:val="17"/>
                <w:szCs w:val="17"/>
                <w:color w:val="auto"/>
              </w:rPr>
              <w:t>Car Maintenance Expenses</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NIS 4,097</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10.</w:t>
            </w:r>
          </w:p>
        </w:tc>
        <w:tc>
          <w:tcPr>
            <w:tcW w:w="2960" w:type="dxa"/>
            <w:vAlign w:val="bottom"/>
          </w:tcPr>
          <w:p>
            <w:pPr>
              <w:ind w:left="300"/>
              <w:spacing w:after="0"/>
              <w:rPr>
                <w:sz w:val="20"/>
                <w:szCs w:val="20"/>
                <w:color w:val="auto"/>
              </w:rPr>
            </w:pPr>
            <w:r>
              <w:rPr>
                <w:rFonts w:ascii="Arial" w:cs="Arial" w:eastAsia="Arial" w:hAnsi="Arial"/>
                <w:sz w:val="17"/>
                <w:szCs w:val="17"/>
                <w:color w:val="auto"/>
              </w:rPr>
              <w:t>Vacation Days Per Year:</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21 days</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12"/>
        </w:trPr>
        <w:tc>
          <w:tcPr>
            <w:tcW w:w="840" w:type="dxa"/>
            <w:vAlign w:val="bottom"/>
          </w:tcPr>
          <w:p>
            <w:pPr>
              <w:ind w:left="320"/>
              <w:spacing w:after="0"/>
              <w:rPr>
                <w:sz w:val="20"/>
                <w:szCs w:val="20"/>
                <w:color w:val="auto"/>
              </w:rPr>
            </w:pPr>
            <w:r>
              <w:rPr>
                <w:rFonts w:ascii="Arial" w:cs="Arial" w:eastAsia="Arial" w:hAnsi="Arial"/>
                <w:sz w:val="17"/>
                <w:szCs w:val="17"/>
                <w:color w:val="auto"/>
              </w:rPr>
              <w:t>11.</w:t>
            </w:r>
          </w:p>
        </w:tc>
        <w:tc>
          <w:tcPr>
            <w:tcW w:w="2960" w:type="dxa"/>
            <w:vAlign w:val="bottom"/>
          </w:tcPr>
          <w:p>
            <w:pPr>
              <w:ind w:left="300"/>
              <w:spacing w:after="0"/>
              <w:rPr>
                <w:sz w:val="20"/>
                <w:szCs w:val="20"/>
                <w:color w:val="auto"/>
              </w:rPr>
            </w:pPr>
            <w:r>
              <w:rPr>
                <w:rFonts w:ascii="Arial" w:cs="Arial" w:eastAsia="Arial" w:hAnsi="Arial"/>
                <w:sz w:val="17"/>
                <w:szCs w:val="17"/>
                <w:color w:val="auto"/>
              </w:rPr>
              <w:t>Options</w:t>
            </w:r>
          </w:p>
        </w:tc>
        <w:tc>
          <w:tcPr>
            <w:tcW w:w="2480" w:type="dxa"/>
            <w:vAlign w:val="bottom"/>
            <w:gridSpan w:val="4"/>
          </w:tcPr>
          <w:p>
            <w:pPr>
              <w:ind w:left="780"/>
              <w:spacing w:after="0"/>
              <w:rPr>
                <w:sz w:val="20"/>
                <w:szCs w:val="20"/>
                <w:color w:val="auto"/>
              </w:rPr>
            </w:pPr>
            <w:r>
              <w:rPr>
                <w:rFonts w:ascii="Arial" w:cs="Arial" w:eastAsia="Arial" w:hAnsi="Arial"/>
                <w:sz w:val="17"/>
                <w:szCs w:val="17"/>
                <w:color w:val="auto"/>
              </w:rPr>
              <w:t>130,000 Options</w:t>
            </w: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45"/>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17"/>
        </w:trPr>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top w:val="single" w:sz="8" w:color="auto"/>
            </w:tcBorders>
          </w:tcPr>
          <w:p>
            <w:pPr>
              <w:ind w:left="360"/>
              <w:spacing w:after="0"/>
              <w:rPr>
                <w:sz w:val="20"/>
                <w:szCs w:val="20"/>
                <w:color w:val="auto"/>
              </w:rPr>
            </w:pPr>
            <w:r>
              <w:rPr>
                <w:rFonts w:ascii="Arial" w:cs="Arial" w:eastAsia="Arial" w:hAnsi="Arial"/>
                <w:sz w:val="17"/>
                <w:szCs w:val="17"/>
                <w:color w:val="auto"/>
              </w:rPr>
              <w:t>BioLine</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Employee</w:t>
            </w:r>
          </w:p>
        </w:tc>
        <w:tc>
          <w:tcPr>
            <w:tcW w:w="4080" w:type="dxa"/>
            <w:vAlign w:val="bottom"/>
          </w:tcPr>
          <w:p>
            <w:pPr>
              <w:spacing w:after="0"/>
              <w:rPr>
                <w:sz w:val="18"/>
                <w:szCs w:val="18"/>
                <w:color w:val="auto"/>
              </w:rPr>
            </w:pPr>
          </w:p>
        </w:tc>
      </w:tr>
      <w:tr>
        <w:trPr>
          <w:trHeight w:val="566"/>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20" w:type="dxa"/>
            <w:vAlign w:val="bottom"/>
            <w:gridSpan w:val="2"/>
          </w:tcPr>
          <w:p>
            <w:pPr>
              <w:jc w:val="center"/>
              <w:ind w:left="1634"/>
              <w:spacing w:after="0"/>
              <w:rPr>
                <w:sz w:val="20"/>
                <w:szCs w:val="20"/>
                <w:color w:val="auto"/>
              </w:rPr>
            </w:pPr>
            <w:r>
              <w:rPr>
                <w:rFonts w:ascii="Arial" w:cs="Arial" w:eastAsia="Arial" w:hAnsi="Arial"/>
                <w:sz w:val="17"/>
                <w:szCs w:val="17"/>
                <w:color w:val="auto"/>
                <w:w w:val="84"/>
              </w:rPr>
              <w:t>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14"/>
        </w:trPr>
        <w:tc>
          <w:tcPr>
            <w:tcW w:w="84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2" w:name="page283"/>
    <w:bookmarkEnd w:id="2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 Confidentiality and Non-Competition Agreement</w:t>
      </w:r>
    </w:p>
    <w:p>
      <w:pPr>
        <w:spacing w:after="0" w:line="242" w:lineRule="exact"/>
        <w:rPr>
          <w:sz w:val="20"/>
          <w:szCs w:val="20"/>
          <w:color w:val="auto"/>
        </w:rPr>
      </w:pPr>
    </w:p>
    <w:p>
      <w:pPr>
        <w:ind w:left="320" w:hanging="317"/>
        <w:spacing w:after="0"/>
        <w:tabs>
          <w:tab w:leader="none" w:pos="320"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620" w:hanging="309"/>
        <w:spacing w:after="0" w:line="269" w:lineRule="auto"/>
        <w:rPr>
          <w:rFonts w:ascii="Arial" w:cs="Arial" w:eastAsia="Arial" w:hAnsi="Arial"/>
          <w:sz w:val="17"/>
          <w:szCs w:val="17"/>
          <w:color w:val="auto"/>
        </w:rPr>
      </w:pPr>
      <w:r>
        <w:rPr>
          <w:rFonts w:ascii="Arial" w:cs="Arial" w:eastAsia="Arial" w:hAnsi="Arial"/>
          <w:sz w:val="17"/>
          <w:szCs w:val="17"/>
          <w:color w:val="auto"/>
        </w:rPr>
        <w:t>1.1. All capitalized terms herein shall have the meanings ascribed to them in the Employment Agreement to which this Exhibit B is attached (the “</w:t>
      </w:r>
      <w:r>
        <w:rPr>
          <w:rFonts w:ascii="Arial" w:cs="Arial" w:eastAsia="Arial" w:hAnsi="Arial"/>
          <w:sz w:val="17"/>
          <w:szCs w:val="17"/>
          <w:b w:val="1"/>
          <w:bCs w:val="1"/>
          <w:color w:val="auto"/>
        </w:rPr>
        <w:t>Employment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any undertaking of the Employee toward BioLine, the term BioLine shall include all subsidiaries and affiliates of BioLine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its General and Limited Partners</w:t>
      </w:r>
    </w:p>
    <w:p>
      <w:pPr>
        <w:spacing w:after="0" w:line="191" w:lineRule="exact"/>
        <w:rPr>
          <w:rFonts w:ascii="Arial" w:cs="Arial" w:eastAsia="Arial" w:hAnsi="Arial"/>
          <w:sz w:val="17"/>
          <w:szCs w:val="17"/>
          <w:color w:val="auto"/>
        </w:rPr>
      </w:pPr>
    </w:p>
    <w:p>
      <w:pPr>
        <w:ind w:left="620" w:hanging="309"/>
        <w:spacing w:after="0" w:line="269" w:lineRule="auto"/>
        <w:rPr>
          <w:rFonts w:ascii="Arial" w:cs="Arial" w:eastAsia="Arial" w:hAnsi="Arial"/>
          <w:sz w:val="17"/>
          <w:szCs w:val="17"/>
          <w:color w:val="auto"/>
        </w:rPr>
      </w:pPr>
      <w:r>
        <w:rPr>
          <w:rFonts w:ascii="Arial" w:cs="Arial" w:eastAsia="Arial" w:hAnsi="Arial"/>
          <w:sz w:val="17"/>
          <w:szCs w:val="17"/>
          <w:color w:val="auto"/>
        </w:rPr>
        <w:t>1.2. The Employee’s obligations and representations and BioLine’s rights under this Exhibit B (this “</w:t>
      </w:r>
      <w:r>
        <w:rPr>
          <w:rFonts w:ascii="Arial" w:cs="Arial" w:eastAsia="Arial" w:hAnsi="Arial"/>
          <w:sz w:val="17"/>
          <w:szCs w:val="17"/>
          <w:b w:val="1"/>
          <w:bCs w:val="1"/>
          <w:color w:val="auto"/>
        </w:rPr>
        <w:t>Agreement</w:t>
      </w:r>
      <w:r>
        <w:rPr>
          <w:rFonts w:ascii="Arial" w:cs="Arial" w:eastAsia="Arial" w:hAnsi="Arial"/>
          <w:sz w:val="17"/>
          <w:szCs w:val="17"/>
          <w:color w:val="auto"/>
        </w:rPr>
        <w:t>”) shall apply as of the Commencement Date of the employment relationship between BioLine and the Employee, and as of the first time in which Employee became engaged with BioLine, regardless of the date of execution of the Employment Agreement.</w:t>
      </w:r>
    </w:p>
    <w:p>
      <w:pPr>
        <w:spacing w:after="0" w:line="197" w:lineRule="exact"/>
        <w:rPr>
          <w:rFonts w:ascii="Arial" w:cs="Arial" w:eastAsia="Arial" w:hAnsi="Arial"/>
          <w:sz w:val="17"/>
          <w:szCs w:val="17"/>
          <w:color w:val="auto"/>
        </w:rPr>
      </w:pPr>
    </w:p>
    <w:p>
      <w:pPr>
        <w:ind w:left="620" w:hanging="309"/>
        <w:spacing w:after="0" w:line="278" w:lineRule="auto"/>
        <w:rPr>
          <w:rFonts w:ascii="Arial" w:cs="Arial" w:eastAsia="Arial" w:hAnsi="Arial"/>
          <w:sz w:val="17"/>
          <w:szCs w:val="17"/>
          <w:color w:val="auto"/>
        </w:rPr>
      </w:pPr>
      <w:r>
        <w:rPr>
          <w:rFonts w:ascii="Arial" w:cs="Arial" w:eastAsia="Arial" w:hAnsi="Arial"/>
          <w:sz w:val="17"/>
          <w:szCs w:val="17"/>
          <w:color w:val="auto"/>
        </w:rPr>
        <w:t>1.3. Employees undertakings hereunder shall remain in full force and effect after termination of this Agreement or the Employment Agreement, or any renewal thereof.</w:t>
      </w:r>
    </w:p>
    <w:p>
      <w:pPr>
        <w:spacing w:after="0" w:line="190" w:lineRule="exact"/>
        <w:rPr>
          <w:rFonts w:ascii="Arial" w:cs="Arial" w:eastAsia="Arial" w:hAnsi="Arial"/>
          <w:sz w:val="17"/>
          <w:szCs w:val="17"/>
          <w:color w:val="auto"/>
        </w:rPr>
      </w:pPr>
    </w:p>
    <w:p>
      <w:pPr>
        <w:jc w:val="both"/>
        <w:ind w:left="320" w:hanging="317"/>
        <w:spacing w:after="0" w:line="271" w:lineRule="auto"/>
        <w:tabs>
          <w:tab w:leader="none" w:pos="3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Employee acknowledges that he/she has received and/or may receive information of a confidential and proprietary nature regarding the activities and business of BioLine, its parent companies, subsidiaries and/or affiliates, all whether in oral, written, graphic, or machine-readable form, or in any other form, including, but not limited to, (i) patents and patent applications and related information, (ii) trade secrets and industrial secrets, and (iii) drugs, compounds, molecules, building blocks, chemical libraries, reaction protocols for chemical libraries, chemical structures, chemical design and model relationship data, chemical databases, assays, samples, media and other biological materials, procedures and formulations for producing any such materials, products, processes, ideas, know-how, trade secrets, drawings, inventions, improvements, formulas, equations, methods, developmental or experimental work, research or clinical data, discoveries, developments, designs, techniques, instruments, devices, computer software and hardware related to the current, future and/or proposed products and services, and including, without limitation, information regarding research, development, new service offerings or products, marketing and selling, business plans, forecasts, business methods, budgets, finances, licensing, collaboration and development arrangements, prices and costs, buying habits and practices, contact and mailing lists and databases, vendors, customers and clients, and potential business opportunities, and personnel (collectively,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Confidential Information may also include information furnished to BioLine by third parties, which, for purposes of this Agreement, shall all be deemed Confidential Information of BioLine. Notwithstanding the aforesaid, information that is in the public domain, through no act or omission of the Employee shall not be deemed Confidential Information. The Confidential Information and all right, title and interest therein will remain at all times the exclusive property of BioLine (or any third party entrusting its own Confidential Information to BioLine).</w:t>
      </w:r>
    </w:p>
    <w:p>
      <w:pPr>
        <w:spacing w:after="0" w:line="204" w:lineRule="exact"/>
        <w:rPr>
          <w:rFonts w:ascii="Arial" w:cs="Arial" w:eastAsia="Arial" w:hAnsi="Arial"/>
          <w:sz w:val="16"/>
          <w:szCs w:val="16"/>
          <w:color w:val="auto"/>
        </w:rPr>
      </w:pPr>
    </w:p>
    <w:p>
      <w:pPr>
        <w:jc w:val="both"/>
        <w:ind w:left="320" w:hanging="317"/>
        <w:spacing w:after="0" w:line="289" w:lineRule="auto"/>
        <w:tabs>
          <w:tab w:leader="none" w:pos="3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At all times during the Employment Period and thereafter, Employee will hold all Confidential Information in strictest confidence and will not disclose, use, or make any copies thereof. Employee hereby assigns to BioLine any rights that the Employee may have or acquire in such Confidential Information and recognize that all Confidential Information shall be the sole property of BioLine and its assigns or licensors,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255905</wp:posOffset>
            </wp:positionV>
            <wp:extent cx="1723390" cy="165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396"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320" w:hanging="317"/>
        <w:spacing w:after="0" w:line="261" w:lineRule="auto"/>
        <w:tabs>
          <w:tab w:leader="none" w:pos="3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Employee represents that he/she has assigned to BioLine all inventions, original works of authorship, developments, improvements, and trade secrets which were conceived, developed, made or reduced to practice by Employee prior to the date of the this Agreement or the Commencement Date, whichever is earlier (collectively referred to as “</w:t>
      </w:r>
      <w:r>
        <w:rPr>
          <w:rFonts w:ascii="Arial" w:cs="Arial" w:eastAsia="Arial" w:hAnsi="Arial"/>
          <w:sz w:val="17"/>
          <w:szCs w:val="17"/>
          <w:b w:val="1"/>
          <w:bCs w:val="1"/>
          <w:color w:val="auto"/>
        </w:rPr>
        <w:t>Prior Inventions</w:t>
      </w:r>
      <w:r>
        <w:rPr>
          <w:rFonts w:ascii="Arial" w:cs="Arial" w:eastAsia="Arial" w:hAnsi="Arial"/>
          <w:sz w:val="17"/>
          <w:szCs w:val="17"/>
          <w:color w:val="auto"/>
        </w:rPr>
        <w:t>”), in which Employee has or purports to have any ownership interest in or a license to use, and which relate to BioLine’s current or proposed business, products or research and development.</w:t>
      </w:r>
    </w:p>
    <w:p>
      <w:pPr>
        <w:spacing w:after="0" w:line="204" w:lineRule="exact"/>
        <w:rPr>
          <w:rFonts w:ascii="Arial" w:cs="Arial" w:eastAsia="Arial" w:hAnsi="Arial"/>
          <w:sz w:val="17"/>
          <w:szCs w:val="17"/>
          <w:color w:val="auto"/>
        </w:rPr>
      </w:pPr>
    </w:p>
    <w:p>
      <w:pPr>
        <w:jc w:val="both"/>
        <w:ind w:left="320" w:hanging="317"/>
        <w:spacing w:after="0" w:line="257" w:lineRule="auto"/>
        <w:tabs>
          <w:tab w:leader="none" w:pos="3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Employee will promptly disclose and describe to BioLine all inventions, improvements, designs, concepts, techniques, methods, processes, know how, and trade secrets, whether or not patentable, copyrightable or protectible as trade secrets that are made, developed, conceived or first reduced to practice or created by Employee, whether alone or jointly with others, during the provision of Consulting Services (i) which relate to BioLine’s business or actual or demonstrably anticipated research or development, (ii) which are developed in whole or in part on BioLine’s time or with the use of any of BioLine’s Confidential Information or other information, equipment, supplies, facilities or trade secret information, or (iii) which result directly or indirectly from any work performed by Employee for BioLine (the “</w:t>
      </w:r>
      <w:r>
        <w:rPr>
          <w:rFonts w:ascii="Arial" w:cs="Arial" w:eastAsia="Arial" w:hAnsi="Arial"/>
          <w:sz w:val="17"/>
          <w:szCs w:val="17"/>
          <w:b w:val="1"/>
          <w:bCs w:val="1"/>
          <w:color w:val="auto"/>
        </w:rPr>
        <w:t>Inventions</w:t>
      </w:r>
      <w:r>
        <w:rPr>
          <w:rFonts w:ascii="Arial" w:cs="Arial" w:eastAsia="Arial" w:hAnsi="Arial"/>
          <w:sz w:val="17"/>
          <w:szCs w:val="17"/>
          <w:color w:val="auto"/>
        </w:rPr>
        <w:t>”, and each an “</w:t>
      </w:r>
      <w:r>
        <w:rPr>
          <w:rFonts w:ascii="Arial" w:cs="Arial" w:eastAsia="Arial" w:hAnsi="Arial"/>
          <w:sz w:val="17"/>
          <w:szCs w:val="17"/>
          <w:b w:val="1"/>
          <w:bCs w:val="1"/>
          <w:color w:val="auto"/>
        </w:rPr>
        <w:t>Invention</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jc w:val="both"/>
        <w:ind w:left="320" w:hanging="317"/>
        <w:spacing w:after="0" w:line="277" w:lineRule="auto"/>
        <w:tabs>
          <w:tab w:leader="none" w:pos="3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Employee hereby assigns and agrees to assign in the future (when any such Inventions or Proprietary Rights (defined below) are first reduced to practice or first fixed in a tangible medium, as applicable) to BioLine or its designee(s) all of Employee’s right, title and interest in and to any and all Inventions (and all Proprietary Rights with respect thereto) whether or not patentable or registrable under copyright or similar statutes. Employee further specifically assigns to BioLine all original works of authorship, including any related moral rights, which are made by the Employee (solely or jointly with others) during the Employment Period which are protectable by copyright pursuant to applicable copyright law. Employee also agrees to assign all of his/her right, title and interest in and to any particular Invention to any third party, including without limitation government agency, as directed by BioLine.</w:t>
      </w:r>
    </w:p>
    <w:p>
      <w:pPr>
        <w:spacing w:after="0" w:line="186" w:lineRule="exact"/>
        <w:rPr>
          <w:rFonts w:ascii="Arial" w:cs="Arial" w:eastAsia="Arial" w:hAnsi="Arial"/>
          <w:sz w:val="16"/>
          <w:szCs w:val="16"/>
          <w:color w:val="auto"/>
        </w:rPr>
      </w:pPr>
    </w:p>
    <w:p>
      <w:pPr>
        <w:jc w:val="both"/>
        <w:ind w:left="320"/>
        <w:spacing w:after="0" w:line="285" w:lineRule="auto"/>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Proprietary Rights</w:t>
      </w:r>
      <w:r>
        <w:rPr>
          <w:rFonts w:ascii="Arial" w:cs="Arial" w:eastAsia="Arial" w:hAnsi="Arial"/>
          <w:sz w:val="16"/>
          <w:szCs w:val="16"/>
          <w:color w:val="auto"/>
        </w:rPr>
        <w:t>” shall mean: (i) patents, whether in the form of utility patents or design patents and all pending applications for such patents; (ii) trademarks, trade names, service marks, designs, logos, trade dress, and trade styles, whether or not registered, and all pending applications for registration of the same; (iii) copyrights or copyrightable material, including moral rights, including but not limited to books, articles and publications, whether or not registered, and all pending applications for registration of the same; and (iv) all other intellectual property rights throughout the world.</w:t>
      </w:r>
    </w:p>
    <w:p>
      <w:pPr>
        <w:spacing w:after="0" w:line="186" w:lineRule="exact"/>
        <w:rPr>
          <w:rFonts w:ascii="Arial" w:cs="Arial" w:eastAsia="Arial" w:hAnsi="Arial"/>
          <w:sz w:val="16"/>
          <w:szCs w:val="16"/>
          <w:color w:val="auto"/>
        </w:rPr>
      </w:pPr>
    </w:p>
    <w:p>
      <w:pPr>
        <w:jc w:val="both"/>
        <w:ind w:left="320" w:hanging="317"/>
        <w:spacing w:after="0" w:line="257" w:lineRule="auto"/>
        <w:tabs>
          <w:tab w:leader="none" w:pos="3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Employee will assist BioLine in every proper way to obtain, and from time to time enforce, any Proprietary Rights relating to any Inventions in any and all countries. To that end Employee will execute, verify and deliver such documents and perform such other acts (including appearances as a witness) as BioLine may reasonably request for use in applying for, obtaining, perfecting, evidencing, sustaining and enforcing such Proprietary Rights and the assignment thereof. In addition, Employee will execute, verify and deliver assignments of such Proprietary Rights to BioLine or its designee. Employee’s obligation to assist BioLine with respect to Proprietary Rights relating to any such Inventions in any and all countries shall continue indefinitely beyond termination of the Employment Period for any reason (the “</w:t>
      </w:r>
      <w:r>
        <w:rPr>
          <w:rFonts w:ascii="Arial" w:cs="Arial" w:eastAsia="Arial" w:hAnsi="Arial"/>
          <w:sz w:val="17"/>
          <w:szCs w:val="17"/>
          <w:b w:val="1"/>
          <w:bCs w:val="1"/>
          <w:color w:val="auto"/>
        </w:rPr>
        <w:t>Termination Date</w:t>
      </w:r>
      <w:r>
        <w:rPr>
          <w:rFonts w:ascii="Arial" w:cs="Arial" w:eastAsia="Arial" w:hAnsi="Arial"/>
          <w:sz w:val="17"/>
          <w:szCs w:val="17"/>
          <w:color w:val="auto"/>
        </w:rPr>
        <w:t>”), but BioLine shall compensate Employee at a reasonable rate after the Termination Date for the time actually spent by Employee at BioLine’s request on such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269875</wp:posOffset>
            </wp:positionV>
            <wp:extent cx="1723390" cy="165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4" w:name="page285"/>
    <w:bookmarkEnd w:id="2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320" w:hanging="317"/>
        <w:spacing w:after="0" w:line="257" w:lineRule="auto"/>
        <w:tabs>
          <w:tab w:leader="none" w:pos="3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 the event that BioLine is unable for any reason, after reasonable effort, to secure Employee’s signature on any document needed in connection with the actions specified in the preceding paragraph, Employee hereby irrevocably designates and appoints BioLine and its duly authorized officers and agents as Employee’s agent and attorney in fact, which appointment is coupled with an interest, to act for and in Employee’s behalf to execute, verify and file any such documents and to do all other lawfully permitted acts to further the purposes of the preceding paragraph with the same legal force and effect as if executed by the Employee. Employee hereby waives and holds BioLine harmless from any and all claims, of any nature whatsoever, which Employee now or may hereafter have for infringement of any Proprietary Rights assigned hereunder to BioLine.</w:t>
      </w:r>
    </w:p>
    <w:p>
      <w:pPr>
        <w:spacing w:after="0" w:line="210" w:lineRule="exact"/>
        <w:rPr>
          <w:rFonts w:ascii="Arial" w:cs="Arial" w:eastAsia="Arial" w:hAnsi="Arial"/>
          <w:sz w:val="17"/>
          <w:szCs w:val="17"/>
          <w:color w:val="auto"/>
        </w:rPr>
      </w:pPr>
    </w:p>
    <w:p>
      <w:pPr>
        <w:jc w:val="both"/>
        <w:ind w:left="320" w:hanging="317"/>
        <w:spacing w:after="0" w:line="265" w:lineRule="auto"/>
        <w:tabs>
          <w:tab w:leader="none" w:pos="3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Employee agrees to keep and maintain adequate and current records (in the form of notes, sketches, drawings and in any other form that may be required by BioLine) of all Confidential Information developed by the Employee and all Inventions made by the Employee during the Employment Period to BioLine, which records shall be available to and remain the sole property of BioLine at all times.</w:t>
      </w:r>
    </w:p>
    <w:p>
      <w:pPr>
        <w:spacing w:after="0" w:line="201" w:lineRule="exact"/>
        <w:rPr>
          <w:rFonts w:ascii="Arial" w:cs="Arial" w:eastAsia="Arial" w:hAnsi="Arial"/>
          <w:sz w:val="17"/>
          <w:szCs w:val="17"/>
          <w:color w:val="auto"/>
        </w:rPr>
      </w:pPr>
    </w:p>
    <w:p>
      <w:pPr>
        <w:jc w:val="both"/>
        <w:ind w:left="320" w:hanging="317"/>
        <w:spacing w:after="0" w:line="261" w:lineRule="auto"/>
        <w:tabs>
          <w:tab w:leader="none" w:pos="3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During the Employment Period, Employee will not improperly use or disclose any confidential information or trade secrets, if any, of any former employer or any other person to whom Employee has an obligation of confidentiality, and Employee will not bring onto the premises of BioLine any unpublished documents or any property belonging to any former employer or any other person to whom Employee has an obligation of confidentiality unless consented to in writing by that former employer or person.</w:t>
      </w:r>
    </w:p>
    <w:p>
      <w:pPr>
        <w:spacing w:after="0" w:line="204" w:lineRule="exact"/>
        <w:rPr>
          <w:rFonts w:ascii="Arial" w:cs="Arial" w:eastAsia="Arial" w:hAnsi="Arial"/>
          <w:sz w:val="17"/>
          <w:szCs w:val="17"/>
          <w:color w:val="auto"/>
        </w:rPr>
      </w:pPr>
    </w:p>
    <w:p>
      <w:pPr>
        <w:jc w:val="both"/>
        <w:ind w:left="320" w:hanging="317"/>
        <w:spacing w:after="0" w:line="289" w:lineRule="auto"/>
        <w:tabs>
          <w:tab w:leader="none" w:pos="3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Upon the earlier of (i) a written request by BioLine; or (ii) the expiration or termination of the employment, Employee shall promptly return to BioLine all Confidential Information, together with any and all copies or excerpts thereof and any and all other information directly or indirectly derived therefrom. Return or destruction of the Confidential Information as required hereunder shall not affect Employee’s remaining obligations pursuant to this Agreement.</w:t>
      </w:r>
    </w:p>
    <w:p>
      <w:pPr>
        <w:spacing w:after="0" w:line="178" w:lineRule="exact"/>
        <w:rPr>
          <w:rFonts w:ascii="Arial" w:cs="Arial" w:eastAsia="Arial" w:hAnsi="Arial"/>
          <w:sz w:val="16"/>
          <w:szCs w:val="16"/>
          <w:color w:val="auto"/>
        </w:rPr>
      </w:pPr>
    </w:p>
    <w:p>
      <w:pPr>
        <w:ind w:left="320" w:hanging="317"/>
        <w:spacing w:after="0"/>
        <w:tabs>
          <w:tab w:leader="none" w:pos="32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Non Competition; Non Solicitation</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660" w:hanging="347"/>
        <w:spacing w:after="0" w:line="272" w:lineRule="auto"/>
        <w:rPr>
          <w:rFonts w:ascii="Arial" w:cs="Arial" w:eastAsia="Arial" w:hAnsi="Arial"/>
          <w:sz w:val="17"/>
          <w:szCs w:val="17"/>
          <w:color w:val="auto"/>
        </w:rPr>
      </w:pPr>
      <w:r>
        <w:rPr>
          <w:rFonts w:ascii="Arial" w:cs="Arial" w:eastAsia="Arial" w:hAnsi="Arial"/>
          <w:sz w:val="17"/>
          <w:szCs w:val="17"/>
          <w:color w:val="auto"/>
        </w:rPr>
        <w:t>12.1.</w:t>
      </w:r>
      <w:r>
        <w:rPr>
          <w:rFonts w:ascii="Arial" w:cs="Arial" w:eastAsia="Arial" w:hAnsi="Arial"/>
          <w:sz w:val="16"/>
          <w:szCs w:val="16"/>
          <w:color w:val="auto"/>
        </w:rPr>
        <w:t>In consideration of Employee’s terms of employment, which include special compensation for Employee’s undertakings under this Section 12, and in order to enable BioLine to effectively protect its Proprietary Information, Employee undertakes that during the Employment Period and for a period of twelve (12) months from the Termination Date, Employee will not directly or indirectly: (i) carry on or hold an interest in any company, venture, entity or other business (other than a minority interest in a publicly traded company) which directly competes with the products or services of BioLine, (a “</w:t>
      </w:r>
      <w:r>
        <w:rPr>
          <w:rFonts w:ascii="Arial" w:cs="Arial" w:eastAsia="Arial" w:hAnsi="Arial"/>
          <w:sz w:val="16"/>
          <w:szCs w:val="16"/>
          <w:b w:val="1"/>
          <w:bCs w:val="1"/>
          <w:color w:val="auto"/>
        </w:rPr>
        <w:t>Competing Business</w:t>
      </w:r>
      <w:r>
        <w:rPr>
          <w:rFonts w:ascii="Arial" w:cs="Arial" w:eastAsia="Arial" w:hAnsi="Arial"/>
          <w:sz w:val="16"/>
          <w:szCs w:val="16"/>
          <w:color w:val="auto"/>
        </w:rPr>
        <w:t>”) (including, without limitation, as a shareholder); (ii) act as a consultant or employee or officer or in any managerial capacity in a Competing Business, or supply in direct competition with BioLine services to any person who, to Employee’s knowledge, was provided with services by BioLine any time during the twelve (12) months immediately prior to the Termination Date; (iii) solicit, canvass or approach or endeavor to solicit, canvass or approach any person who, to Employee’s knowledge, was provided with services by BioLine at any time during the twelve (12) months immediately prior to the Termination Date, for the purpose of offering services or products which directly compete with the services or products supplied by BioLine at the Termination Date; or (iv) employ, solicit or entice away or endeavor to solicit or entice away from BioLine any person employed by BioLine any time during the twelve (12) months immediately prior the Termination Date with a view to inducing that person to leave such employment and to act for another employer in the same or a similar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264795</wp:posOffset>
            </wp:positionV>
            <wp:extent cx="1723390" cy="165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325755</wp:posOffset>
            </wp:positionV>
            <wp:extent cx="3937000" cy="9226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660" w:hanging="346"/>
        <w:spacing w:after="0" w:line="275" w:lineRule="auto"/>
        <w:tabs>
          <w:tab w:leader="none" w:pos="6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BioLine, and the operations and business of BioLine; and (ii) the time duration of the protective covenants is reasonable and necessary to protect the goodwill and the operations and business of BioLine, and does not impose a greater restrain than is necessary to protect the goodwill or other business interests of BioLine. Nevertheless, if any of the restrictions set forth in this Agreement is found by a court having jurisdiction to be unreasonable or overly-broad as to geographic area, scope or time or to be otherwise unenforceable, the parties intend for the restrictions set forth in this Agreement to be reformed, modified and redefined by such court so as to be reasonable and enforceable and, as so modified by such court, to be fully enforced.</w:t>
      </w:r>
    </w:p>
    <w:p>
      <w:pPr>
        <w:spacing w:after="0" w:line="196" w:lineRule="exact"/>
        <w:rPr>
          <w:sz w:val="20"/>
          <w:szCs w:val="20"/>
          <w:color w:val="auto"/>
        </w:rPr>
      </w:pPr>
    </w:p>
    <w:p>
      <w:pPr>
        <w:jc w:val="both"/>
        <w:ind w:left="320" w:hanging="317"/>
        <w:spacing w:after="0" w:line="265" w:lineRule="auto"/>
        <w:tabs>
          <w:tab w:leader="none" w:pos="3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Employee represents that Employee’s performance of all the terms of the Employment Agreement and this Agreement does not and will not breach any agreement to keep in confidence information acquired by Employee in confidence or in trust prior to Employee’s relationship with BioLine. Employee has not entered into, and agrees that he/she will not enter into, any agreement either written or oral in conflict herewith.</w:t>
      </w:r>
    </w:p>
    <w:p>
      <w:pPr>
        <w:spacing w:after="0" w:line="201" w:lineRule="exact"/>
        <w:rPr>
          <w:rFonts w:ascii="Arial" w:cs="Arial" w:eastAsia="Arial" w:hAnsi="Arial"/>
          <w:sz w:val="17"/>
          <w:szCs w:val="17"/>
          <w:color w:val="auto"/>
        </w:rPr>
      </w:pPr>
    </w:p>
    <w:p>
      <w:pPr>
        <w:ind w:left="320" w:hanging="317"/>
        <w:spacing w:after="0" w:line="278" w:lineRule="auto"/>
        <w:tabs>
          <w:tab w:leader="none" w:pos="3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Employee hereby consents that in the event that the Employee leaves the employ of BioLine. Employee shall notify any new employer of Employee’s rights and obligations under this Agreement.</w:t>
      </w:r>
    </w:p>
    <w:p>
      <w:pPr>
        <w:spacing w:after="0" w:line="190" w:lineRule="exact"/>
        <w:rPr>
          <w:rFonts w:ascii="Arial" w:cs="Arial" w:eastAsia="Arial" w:hAnsi="Arial"/>
          <w:sz w:val="17"/>
          <w:szCs w:val="17"/>
          <w:color w:val="auto"/>
        </w:rPr>
      </w:pPr>
    </w:p>
    <w:p>
      <w:pPr>
        <w:ind w:left="320" w:hanging="317"/>
        <w:spacing w:after="0" w:line="278" w:lineRule="auto"/>
        <w:tabs>
          <w:tab w:leader="none" w:pos="3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Employee acknowledges that any violation or threatened violation of this Agreement may cause irreparable injury to BioLine, entitling BioLine to seek injunctive relief in addition to all other legal remedies.</w:t>
      </w:r>
    </w:p>
    <w:p>
      <w:pPr>
        <w:spacing w:after="0" w:line="190" w:lineRule="exact"/>
        <w:rPr>
          <w:rFonts w:ascii="Arial" w:cs="Arial" w:eastAsia="Arial" w:hAnsi="Arial"/>
          <w:sz w:val="17"/>
          <w:szCs w:val="17"/>
          <w:color w:val="auto"/>
        </w:rPr>
      </w:pPr>
    </w:p>
    <w:p>
      <w:pPr>
        <w:jc w:val="both"/>
        <w:ind w:left="320" w:hanging="317"/>
        <w:spacing w:after="0" w:line="317" w:lineRule="auto"/>
        <w:tabs>
          <w:tab w:leader="none" w:pos="32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Employee recognizes and agrees that: (i) this Agreement is necessary and essential to protect the business of BioLine and to realize and derive all the benefits, rights and expectations of conducting BioLine’s business; (ii) the area and duration of the protective covenants contained herein are in all things reasonable; and (iii) good and valuable consideration exists under the Employment Agreement, for Employee’s agreement to be bound by the provisions of this Agreement.</w:t>
      </w:r>
    </w:p>
    <w:p>
      <w:pPr>
        <w:spacing w:after="0" w:line="165" w:lineRule="exact"/>
        <w:rPr>
          <w:rFonts w:ascii="Arial" w:cs="Arial" w:eastAsia="Arial" w:hAnsi="Arial"/>
          <w:sz w:val="15"/>
          <w:szCs w:val="15"/>
          <w:color w:val="auto"/>
        </w:rPr>
      </w:pPr>
    </w:p>
    <w:p>
      <w:pPr>
        <w:ind w:left="320" w:hanging="317"/>
        <w:spacing w:after="0"/>
        <w:tabs>
          <w:tab w:leader="none" w:pos="3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General terms of the Employment Agreement (Section 11) shall apply to this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320" w:hanging="317"/>
        <w:spacing w:after="0" w:line="278" w:lineRule="auto"/>
        <w:tabs>
          <w:tab w:leader="none" w:pos="3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EMPLOYEE ACKNOWLEDGES THAT HE/SHE HAS READ THIS AGREEMENT CAREFULLY, UNDERSTANDS ITS TERMS, AND HAS BEEN GIVEN THE OPPORTUNITY TO DISCUSS IT WITH INDEPENDENT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259715</wp:posOffset>
            </wp:positionV>
            <wp:extent cx="1723390" cy="165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6" w:name="page287"/>
    <w:bookmarkEnd w:id="2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1812290</wp:posOffset>
            </wp:positionH>
            <wp:positionV relativeFrom="page">
              <wp:posOffset>326390</wp:posOffset>
            </wp:positionV>
            <wp:extent cx="3937000" cy="9226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3937000" cy="9226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TRANSLATION FROM HEBREW</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Approval Regarding Payments by Employers to a Pension Fund and Insurance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Fund in lieu of Severance Pay under the Severance Pay Law 5723-1963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By virtue of my power under Section 14 of the Severance Pay Law, 5723-1963 (hereinafter: the “</w:t>
      </w:r>
      <w:r>
        <w:rPr>
          <w:rFonts w:ascii="Arial" w:cs="Arial" w:eastAsia="Arial" w:hAnsi="Arial"/>
          <w:sz w:val="16"/>
          <w:szCs w:val="16"/>
          <w:b w:val="1"/>
          <w:bCs w:val="1"/>
          <w:color w:val="auto"/>
        </w:rPr>
        <w:t>Law</w:t>
      </w:r>
      <w:r>
        <w:rPr>
          <w:rFonts w:ascii="Arial" w:cs="Arial" w:eastAsia="Arial" w:hAnsi="Arial"/>
          <w:sz w:val="16"/>
          <w:szCs w:val="16"/>
          <w:color w:val="auto"/>
        </w:rPr>
        <w:t>”),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6"/>
          <w:szCs w:val="16"/>
          <w:b w:val="1"/>
          <w:bCs w:val="1"/>
          <w:color w:val="auto"/>
        </w:rPr>
        <w:t>Pension Fund</w:t>
      </w:r>
      <w:r>
        <w:rPr>
          <w:rFonts w:ascii="Arial" w:cs="Arial" w:eastAsia="Arial" w:hAnsi="Arial"/>
          <w:sz w:val="16"/>
          <w:szCs w:val="16"/>
          <w:color w:val="auto"/>
        </w:rPr>
        <w:t>”) or to managers’ insurance which includes the possibility to receive annuity payments under an insurance fund as aforesaid, (hereinafter: the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made by the employer by a combination of payments to a Pension Fund and an Insurance Fund (hereinafter: “</w:t>
      </w:r>
      <w:r>
        <w:rPr>
          <w:rFonts w:ascii="Arial" w:cs="Arial" w:eastAsia="Arial" w:hAnsi="Arial"/>
          <w:sz w:val="16"/>
          <w:szCs w:val="16"/>
          <w:b w:val="1"/>
          <w:bCs w:val="1"/>
          <w:color w:val="auto"/>
        </w:rPr>
        <w:t>Employer’s Payments</w:t>
      </w:r>
      <w:r>
        <w:rPr>
          <w:rFonts w:ascii="Arial" w:cs="Arial" w:eastAsia="Arial" w:hAnsi="Arial"/>
          <w:sz w:val="16"/>
          <w:szCs w:val="16"/>
          <w:color w:val="auto"/>
        </w:rPr>
        <w:t>”), shall be made in lieu of severance pay due to said employee with respect to the salary from which said payments were made and for the period they were paid (hereinafter: the “</w:t>
      </w:r>
      <w:r>
        <w:rPr>
          <w:rFonts w:ascii="Arial" w:cs="Arial" w:eastAsia="Arial" w:hAnsi="Arial"/>
          <w:sz w:val="16"/>
          <w:szCs w:val="16"/>
          <w:b w:val="1"/>
          <w:bCs w:val="1"/>
          <w:color w:val="auto"/>
        </w:rPr>
        <w:t>Exempt Salary</w:t>
      </w:r>
      <w:r>
        <w:rPr>
          <w:rFonts w:ascii="Arial" w:cs="Arial" w:eastAsia="Arial" w:hAnsi="Arial"/>
          <w:sz w:val="16"/>
          <w:szCs w:val="16"/>
          <w:color w:val="auto"/>
        </w:rPr>
        <w:t>”), provided that all the following conditions are fulfilled: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(1)  The Employer’s Payments –</w:t>
      </w:r>
    </w:p>
    <w:p>
      <w:pPr>
        <w:spacing w:after="0" w:line="210" w:lineRule="exact"/>
        <w:rPr>
          <w:sz w:val="20"/>
          <w:szCs w:val="20"/>
          <w:color w:val="auto"/>
        </w:rPr>
      </w:pPr>
    </w:p>
    <w:p>
      <w:pPr>
        <w:jc w:val="both"/>
        <w:ind w:firstLine="3"/>
        <w:spacing w:after="0" w:line="274" w:lineRule="auto"/>
        <w:tabs>
          <w:tab w:leader="none" w:pos="3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194" w:lineRule="exact"/>
        <w:rPr>
          <w:rFonts w:ascii="Arial" w:cs="Arial" w:eastAsia="Arial" w:hAnsi="Arial"/>
          <w:sz w:val="17"/>
          <w:szCs w:val="17"/>
          <w:color w:val="auto"/>
        </w:rPr>
      </w:pPr>
    </w:p>
    <w:p>
      <w:pPr>
        <w:ind w:left="340" w:hanging="337"/>
        <w:spacing w:after="0"/>
        <w:tabs>
          <w:tab w:leader="none" w:pos="3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the Insurance Fund are not less than one of the following:</w:t>
      </w:r>
    </w:p>
    <w:p>
      <w:pPr>
        <w:spacing w:after="0" w:line="210" w:lineRule="exact"/>
        <w:rPr>
          <w:sz w:val="20"/>
          <w:szCs w:val="20"/>
          <w:color w:val="auto"/>
        </w:rPr>
      </w:pPr>
    </w:p>
    <w:p>
      <w:pPr>
        <w:jc w:val="both"/>
        <w:ind w:firstLine="3"/>
        <w:spacing w:after="0" w:line="274" w:lineRule="auto"/>
        <w:tabs>
          <w:tab w:leader="none" w:pos="29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194" w:lineRule="exact"/>
        <w:rPr>
          <w:rFonts w:ascii="Arial" w:cs="Arial" w:eastAsia="Arial" w:hAnsi="Arial"/>
          <w:sz w:val="17"/>
          <w:szCs w:val="17"/>
          <w:color w:val="auto"/>
        </w:rPr>
      </w:pPr>
    </w:p>
    <w:p>
      <w:pPr>
        <w:jc w:val="both"/>
        <w:ind w:firstLine="3"/>
        <w:spacing w:after="0" w:line="261" w:lineRule="auto"/>
        <w:tabs>
          <w:tab w:leader="none" w:pos="35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204" w:lineRule="exact"/>
        <w:rPr>
          <w:sz w:val="20"/>
          <w:szCs w:val="20"/>
          <w:color w:val="auto"/>
        </w:rPr>
      </w:pPr>
    </w:p>
    <w:p>
      <w:pPr>
        <w:ind w:firstLine="3"/>
        <w:spacing w:after="0" w:line="278" w:lineRule="auto"/>
        <w:tabs>
          <w:tab w:leader="none" w:pos="367" w:val="left"/>
        </w:tabs>
        <w:numPr>
          <w:ilvl w:val="0"/>
          <w:numId w:val="209"/>
        </w:numPr>
        <w:rPr>
          <w:rFonts w:ascii="Arial" w:cs="Arial" w:eastAsia="Arial" w:hAnsi="Arial"/>
          <w:sz w:val="17"/>
          <w:szCs w:val="17"/>
          <w:color w:val="auto"/>
        </w:rPr>
      </w:pPr>
      <w:r>
        <w:rPr>
          <w:rFonts w:ascii="Arial" w:cs="Arial" w:eastAsia="Arial" w:hAnsi="Arial"/>
          <w:sz w:val="17"/>
          <w:szCs w:val="17"/>
          <w:color w:val="auto"/>
        </w:rPr>
        <w:t>No later than three months from the commencement of the Employer’s Payment, a written agreement was executed between the employer and the employee, which includes:</w:t>
      </w:r>
    </w:p>
    <w:p>
      <w:pPr>
        <w:spacing w:after="0" w:line="190" w:lineRule="exact"/>
        <w:rPr>
          <w:sz w:val="20"/>
          <w:szCs w:val="20"/>
          <w:color w:val="auto"/>
        </w:rPr>
      </w:pPr>
    </w:p>
    <w:p>
      <w:pPr>
        <w:ind w:firstLine="3"/>
        <w:spacing w:after="0" w:line="278" w:lineRule="auto"/>
        <w:tabs>
          <w:tab w:leader="none" w:pos="33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0" w:lineRule="exact"/>
        <w:rPr>
          <w:rFonts w:ascii="Arial" w:cs="Arial" w:eastAsia="Arial" w:hAnsi="Arial"/>
          <w:sz w:val="17"/>
          <w:szCs w:val="17"/>
          <w:color w:val="auto"/>
        </w:rPr>
      </w:pPr>
    </w:p>
    <w:p>
      <w:pPr>
        <w:jc w:val="both"/>
        <w:ind w:firstLine="3"/>
        <w:spacing w:after="0" w:line="261" w:lineRule="auto"/>
        <w:tabs>
          <w:tab w:leader="none" w:pos="35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204" w:lineRule="exact"/>
        <w:rPr>
          <w:sz w:val="20"/>
          <w:szCs w:val="20"/>
          <w:color w:val="auto"/>
        </w:rPr>
      </w:pPr>
    </w:p>
    <w:p>
      <w:pPr>
        <w:ind w:firstLine="3"/>
        <w:spacing w:after="0" w:line="278" w:lineRule="auto"/>
        <w:tabs>
          <w:tab w:leader="none" w:pos="32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This approval shall not derogate from the employee’s right to severance pay pursuant to any law, collective agreement, extension order or employment agreement with respect to compensation in excess of the Exempt Salary.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292100</wp:posOffset>
            </wp:positionV>
            <wp:extent cx="1723390" cy="165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23390" cy="165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000"/>
        <w:spacing w:after="0"/>
        <w:tabs>
          <w:tab w:leader="none" w:pos="6340" w:val="left"/>
        </w:tabs>
        <w:rPr>
          <w:sz w:val="20"/>
          <w:szCs w:val="20"/>
          <w:color w:val="auto"/>
        </w:rPr>
      </w:pPr>
      <w:r>
        <w:rPr>
          <w:rFonts w:ascii="Arial" w:cs="Arial" w:eastAsia="Arial" w:hAnsi="Arial"/>
          <w:sz w:val="17"/>
          <w:szCs w:val="17"/>
          <w:color w:val="auto"/>
        </w:rPr>
        <w:t>BioLine</w:t>
      </w:r>
      <w:r>
        <w:rPr>
          <w:sz w:val="20"/>
          <w:szCs w:val="20"/>
          <w:color w:val="auto"/>
        </w:rPr>
        <w:tab/>
      </w:r>
      <w:r>
        <w:rPr>
          <w:rFonts w:ascii="Arial" w:cs="Arial" w:eastAsia="Arial" w:hAnsi="Arial"/>
          <w:sz w:val="17"/>
          <w:szCs w:val="17"/>
          <w:color w:val="auto"/>
        </w:rPr>
        <w:t>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LICENSE AGREEMENT</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This License Agreement is entered into as of this 10th day of January, 2005 </w:t>
      </w:r>
      <w:r>
        <w:rPr>
          <w:rFonts w:ascii="Arial" w:cs="Arial" w:eastAsia="Arial" w:hAnsi="Arial"/>
          <w:sz w:val="17"/>
          <w:szCs w:val="17"/>
          <w:b w:val="1"/>
          <w:bCs w:val="1"/>
          <w:color w:val="auto"/>
        </w:rPr>
        <w:t>(the "Effective Date</w:t>
      </w:r>
      <w:r>
        <w:rPr>
          <w:rFonts w:ascii="Arial" w:cs="Arial" w:eastAsia="Arial" w:hAnsi="Arial"/>
          <w:sz w:val="17"/>
          <w:szCs w:val="17"/>
          <w:color w:val="auto"/>
        </w:rPr>
        <w:t>"), by and among BioLine Innovations Jerusalem L.P., an Israeli limited partnership, having a place of business at 19 Hartum Street, P.O. Box 45158, Jerusalem , 91450, Israel ("</w:t>
      </w:r>
      <w:r>
        <w:rPr>
          <w:rFonts w:ascii="Arial" w:cs="Arial" w:eastAsia="Arial" w:hAnsi="Arial"/>
          <w:sz w:val="17"/>
          <w:szCs w:val="17"/>
          <w:b w:val="1"/>
          <w:bCs w:val="1"/>
          <w:color w:val="auto"/>
        </w:rPr>
        <w:t>BioLine</w:t>
      </w:r>
      <w:r>
        <w:rPr>
          <w:rFonts w:ascii="Arial" w:cs="Arial" w:eastAsia="Arial" w:hAnsi="Arial"/>
          <w:sz w:val="17"/>
          <w:szCs w:val="17"/>
          <w:color w:val="auto"/>
        </w:rPr>
        <w:t>"); and B.G. Negev Technologies and Applications Ltd., a company formed under the laws of Israel, having a place of business at I Henrietta Szold St., Beer Sheva, 84105 ("BGN") on behalf of Ben Gurion University ("</w:t>
      </w:r>
      <w:r>
        <w:rPr>
          <w:rFonts w:ascii="Arial" w:cs="Arial" w:eastAsia="Arial" w:hAnsi="Arial"/>
          <w:sz w:val="17"/>
          <w:szCs w:val="17"/>
          <w:b w:val="1"/>
          <w:bCs w:val="1"/>
          <w:color w:val="auto"/>
        </w:rPr>
        <w:t>BGU").</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WHEREAS, BGN is the owner of rights in the Licensed Technology (as hereinafter defined) relating to Injectible Alginate Biomaterial</w:t>
      </w:r>
      <w:r>
        <w:rPr>
          <w:rFonts w:ascii="Arial" w:cs="Arial" w:eastAsia="Arial" w:hAnsi="Arial"/>
          <w:sz w:val="15"/>
          <w:szCs w:val="15"/>
          <w:b w:val="1"/>
          <w:bCs w:val="1"/>
          <w:color w:val="auto"/>
        </w:rPr>
        <w:t>s</w:t>
      </w:r>
      <w:r>
        <w:rPr>
          <w:rFonts w:ascii="Arial" w:cs="Arial" w:eastAsia="Arial" w:hAnsi="Arial"/>
          <w:sz w:val="15"/>
          <w:szCs w:val="15"/>
          <w:color w:val="auto"/>
        </w:rPr>
        <w:t xml:space="preserve"> and the uses thereof;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31"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WHEREAS, BioLine wishes to obtain an exclusive license with respect to such Licensed Technology, in order to develop, obtain regulatory approval for and commercialize products based on the Licensed Technology, and BGN wishes to grant BioLinc a license with respect to such Licensed Technology, all in accordance with the terms and conditions of this Agreement.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the parties hereto, intending to be legally bound, hereby agree as follows: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Definitions</w:t>
      </w:r>
    </w:p>
    <w:p>
      <w:pPr>
        <w:spacing w:after="0" w:line="242" w:lineRule="exact"/>
        <w:rPr>
          <w:sz w:val="20"/>
          <w:szCs w:val="20"/>
          <w:color w:val="auto"/>
        </w:rPr>
      </w:pPr>
    </w:p>
    <w:p>
      <w:pPr>
        <w:jc w:val="both"/>
        <w:ind w:firstLine="617"/>
        <w:spacing w:after="0" w:line="321" w:lineRule="auto"/>
        <w:rPr>
          <w:sz w:val="20"/>
          <w:szCs w:val="20"/>
          <w:color w:val="auto"/>
        </w:rPr>
      </w:pPr>
      <w:r>
        <w:rPr>
          <w:rFonts w:ascii="Arial" w:cs="Arial" w:eastAsia="Arial" w:hAnsi="Arial"/>
          <w:sz w:val="15"/>
          <w:szCs w:val="15"/>
          <w:color w:val="auto"/>
        </w:rPr>
        <w:t xml:space="preserve">The capitalized terms defined in this Section 1, whether used in the singular or the plural, shall have the meanings specified below: </w:t>
      </w:r>
      <w:r>
        <w:rPr>
          <w:rFonts w:ascii="Arial" w:cs="Arial" w:eastAsia="Arial" w:hAnsi="Arial"/>
          <w:sz w:val="15"/>
          <w:szCs w:val="15"/>
          <w:b w:val="1"/>
          <w:bCs w:val="1"/>
          <w:color w:val="auto"/>
        </w:rPr>
        <w:t>"Additional Ingredient</w:t>
      </w:r>
      <w:r>
        <w:rPr>
          <w:rFonts w:ascii="Arial" w:cs="Arial" w:eastAsia="Arial" w:hAnsi="Arial"/>
          <w:sz w:val="15"/>
          <w:szCs w:val="15"/>
          <w:color w:val="auto"/>
        </w:rPr>
        <w:t>" shall mean any compound or substance which (i) is contained in a Licensed Product, and (ii) when administered to a patient has a therapeutic or prophylactic clinical effect, either directly or by acting synergistically with or otherwise enhancing the effect of other compounds or substances contained in such product.</w:t>
      </w:r>
    </w:p>
    <w:p>
      <w:pPr>
        <w:spacing w:after="0" w:line="157"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 party, any person, organization or entity controlling, controlled by or under common control with, such party.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this definition only, "control" of another person ,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(i) owns or directly controls fifty percent (50%) or more of the outstanding voting stock or other ownership interest of the other organization or entity, or (ii) possesses , directly or indirectly, the power to elect or appoint fifty percent (50%) or more of the members of the governing body of the organization or other entity.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88" w:name="page289"/>
    <w:bookmarkEnd w:id="288"/>
    <w:p>
      <w:pPr>
        <w:jc w:val="both"/>
        <w:ind w:firstLine="617"/>
        <w:spacing w:after="0" w:line="286" w:lineRule="auto"/>
        <w:rPr>
          <w:sz w:val="20"/>
          <w:szCs w:val="20"/>
          <w:color w:val="auto"/>
        </w:rPr>
      </w:pPr>
      <w:r>
        <w:rPr>
          <w:rFonts w:ascii="Arial" w:cs="Arial" w:eastAsia="Arial" w:hAnsi="Arial"/>
          <w:sz w:val="17"/>
          <w:szCs w:val="17"/>
          <w:b w:val="1"/>
          <w:bCs w:val="1"/>
          <w:color w:val="auto"/>
        </w:rPr>
        <w:t>"BioLine Royalty Payments</w:t>
      </w:r>
      <w:r>
        <w:rPr>
          <w:rFonts w:ascii="Arial" w:cs="Arial" w:eastAsia="Arial" w:hAnsi="Arial"/>
          <w:sz w:val="17"/>
          <w:szCs w:val="17"/>
          <w:color w:val="auto"/>
        </w:rPr>
        <w:t>" shall mean payments payable by BioLine to BGN with respect to Net Sales of Products by an Invoicing Entity, as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7.5 below.</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"Calendar Quarter</w:t>
      </w:r>
      <w:r>
        <w:rPr>
          <w:rFonts w:ascii="Arial" w:cs="Arial" w:eastAsia="Arial" w:hAnsi="Arial"/>
          <w:sz w:val="17"/>
          <w:szCs w:val="17"/>
          <w:color w:val="auto"/>
        </w:rPr>
        <w:t>" shall mean the respective periods of three (3) consecutive calendar months ending on March 31, June 30, September 30 or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for so long as this Agreement is in effect.</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"Combination Product</w:t>
      </w:r>
      <w:r>
        <w:rPr>
          <w:rFonts w:ascii="Arial" w:cs="Arial" w:eastAsia="Arial" w:hAnsi="Arial"/>
          <w:sz w:val="17"/>
          <w:szCs w:val="17"/>
          <w:color w:val="auto"/>
        </w:rPr>
        <w:t>" shall mean a product, substance or devise which comprises a Licensed Product and at least one other essential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Ingredient.</w:t>
      </w:r>
    </w:p>
    <w:p>
      <w:pPr>
        <w:spacing w:after="0" w:line="177"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"Commercially Reasonable Efforts" shall mean </w:t>
      </w:r>
      <w:r>
        <w:rPr>
          <w:rFonts w:ascii="Arial" w:cs="Arial" w:eastAsia="Arial" w:hAnsi="Arial"/>
          <w:sz w:val="17"/>
          <w:szCs w:val="17"/>
          <w:color w:val="auto"/>
        </w:rPr>
        <w:t>(i) with respect to any objective by an entity, reasonable, diligent, good faith efforts to accomplish such</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 as such entity (together with its Affiliates as a group) would normally use in the ordinary course of business and research to accomplish a similar objective under similar circumstances; and (ii) with respect to research, development and commercialization of any Licensed Product hereunder, shall mean those efforts and resources normally used by such entity (together with its Affiliates as a group) for a product owned by it or to which it has rights, which is of similar market potential at a similar stage in its development or product life as such Licensed Product.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"Current Invention</w:t>
      </w:r>
      <w:r>
        <w:rPr>
          <w:rFonts w:ascii="Arial" w:cs="Arial" w:eastAsia="Arial" w:hAnsi="Arial"/>
          <w:sz w:val="17"/>
          <w:szCs w:val="17"/>
          <w:color w:val="auto"/>
        </w:rPr>
        <w:t>" the invention disclosed in the patent application described in Exhibit A.</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"Development Plan" </w:t>
      </w:r>
      <w:r>
        <w:rPr>
          <w:rFonts w:ascii="Arial" w:cs="Arial" w:eastAsia="Arial" w:hAnsi="Arial"/>
          <w:sz w:val="17"/>
          <w:szCs w:val="17"/>
          <w:color w:val="auto"/>
        </w:rPr>
        <w:t>shall mean the non-binding plan for the development of Licensed Products attached hereto as Exhibit B, as such plan may be amended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pursuant to Section 6.2 below. The Development Plan shall include an estimated budget setting forth BioLine's anticipated development costs as of the date hereof. To avoid doubt, the Development Plan may be subject to change from time to time as determined by BioLine, in light of business, financial, scientific and/or technical considerations.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shall mean the United States Food and Drug Administration and/or the corresponding licensing authorities in Europe, and/or Japan.</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"Government Programs</w:t>
      </w:r>
      <w:r>
        <w:rPr>
          <w:rFonts w:ascii="Arial" w:cs="Arial" w:eastAsia="Arial" w:hAnsi="Arial"/>
          <w:sz w:val="17"/>
          <w:szCs w:val="17"/>
          <w:color w:val="auto"/>
        </w:rPr>
        <w:t>" shall mean the Biotech Incubators Program of the Office of the Chief Scientist of the Israeli Ministry of Industry and Trade,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funding programs sponsored by the Israeli or other governments.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"Grants" shall </w:t>
      </w:r>
      <w:r>
        <w:rPr>
          <w:rFonts w:ascii="Arial" w:cs="Arial" w:eastAsia="Arial" w:hAnsi="Arial"/>
          <w:sz w:val="17"/>
          <w:szCs w:val="17"/>
          <w:color w:val="auto"/>
        </w:rPr>
        <w:t>mean any funds or benefits received by BioLine from governmental, quasi-governmental or other non-profit sources for the development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Technology or other benefits, including but not limited to grants provided within the context of Government Programs.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w:t>
      </w:r>
      <w:r>
        <w:rPr>
          <w:rFonts w:ascii="Arial" w:cs="Arial" w:eastAsia="Arial" w:hAnsi="Arial"/>
          <w:sz w:val="17"/>
          <w:szCs w:val="17"/>
          <w:color w:val="auto"/>
        </w:rPr>
        <w:t>" shall mean the license granted pursuant to Section 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89" w:name="page290"/>
    <w:bookmarkEnd w:id="289"/>
    <w:p>
      <w:pPr>
        <w:jc w:val="both"/>
        <w:spacing w:after="0" w:line="286" w:lineRule="auto"/>
        <w:rPr>
          <w:sz w:val="20"/>
          <w:szCs w:val="20"/>
          <w:color w:val="auto"/>
        </w:rPr>
      </w:pPr>
      <w:r>
        <w:rPr>
          <w:rFonts w:ascii="Arial" w:cs="Arial" w:eastAsia="Arial" w:hAnsi="Arial"/>
          <w:sz w:val="17"/>
          <w:szCs w:val="17"/>
          <w:b w:val="1"/>
          <w:bCs w:val="1"/>
          <w:color w:val="auto"/>
        </w:rPr>
        <w:t>"Licensed Patent Rights</w:t>
      </w:r>
      <w:r>
        <w:rPr>
          <w:rFonts w:ascii="Arial" w:cs="Arial" w:eastAsia="Arial" w:hAnsi="Arial"/>
          <w:sz w:val="17"/>
          <w:szCs w:val="17"/>
          <w:color w:val="auto"/>
        </w:rPr>
        <w:t>" shall mean the Patent Rights described in Exhibit C attached hereto. Exhibit C shall include and shall be updated from time to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reflect inclusion of new Licensed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"Licensed Product" </w:t>
      </w:r>
      <w:r>
        <w:rPr>
          <w:rFonts w:ascii="Arial" w:cs="Arial" w:eastAsia="Arial" w:hAnsi="Arial"/>
          <w:sz w:val="17"/>
          <w:szCs w:val="17"/>
          <w:color w:val="auto"/>
        </w:rPr>
        <w:t>shall mean any therapeutic product that comprises, contains or incorporates Licensed Technology as a component.</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"Licensed Technology</w:t>
      </w:r>
      <w:r>
        <w:rPr>
          <w:rFonts w:ascii="Arial" w:cs="Arial" w:eastAsia="Arial" w:hAnsi="Arial"/>
          <w:sz w:val="17"/>
          <w:szCs w:val="17"/>
          <w:color w:val="auto"/>
        </w:rPr>
        <w:t>" shall mean the Current Invention and the Licensed Patent Rights; all improvements, updates, modifications and enhancements thereto made</w:t>
      </w:r>
      <w:r>
        <w:rPr>
          <w:rFonts w:ascii="Arial" w:cs="Arial" w:eastAsia="Arial" w:hAnsi="Arial"/>
          <w:sz w:val="17"/>
          <w:szCs w:val="17"/>
          <w:b w:val="1"/>
          <w:bCs w:val="1"/>
          <w:color w:val="auto"/>
        </w:rPr>
        <w:t xml:space="preserve"> </w:t>
      </w:r>
      <w:r>
        <w:rPr>
          <w:rFonts w:ascii="Arial" w:cs="Arial" w:eastAsia="Arial" w:hAnsi="Arial"/>
          <w:sz w:val="17"/>
          <w:szCs w:val="17"/>
          <w:color w:val="auto"/>
        </w:rPr>
        <w:t>by BGN by the Effective Date (if any); and all inventions, know-how and other intellectual property owned or licensed by BGN and covered thereby or related thereto.</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"Milestones</w:t>
      </w:r>
      <w:r>
        <w:rPr>
          <w:rFonts w:ascii="Arial" w:cs="Arial" w:eastAsia="Arial" w:hAnsi="Arial"/>
          <w:sz w:val="17"/>
          <w:szCs w:val="17"/>
          <w:color w:val="auto"/>
        </w:rPr>
        <w:t>" shall mean the milestones and performance dates for development and commercialization of Licensed Products set forth in</w:t>
      </w:r>
      <w:r>
        <w:rPr>
          <w:rFonts w:ascii="Arial" w:cs="Arial" w:eastAsia="Arial" w:hAnsi="Arial"/>
          <w:sz w:val="17"/>
          <w:szCs w:val="17"/>
          <w:b w:val="1"/>
          <w:bCs w:val="1"/>
          <w:color w:val="auto"/>
        </w:rPr>
        <w:t xml:space="preserve"> Exhibit D. </w:t>
      </w:r>
      <w:r>
        <w:rPr>
          <w:rFonts w:ascii="Arial" w:cs="Arial" w:eastAsia="Arial" w:hAnsi="Arial"/>
          <w:sz w:val="17"/>
          <w:szCs w:val="17"/>
          <w:color w:val="auto"/>
        </w:rPr>
        <w:t>"NDA" shall</w:t>
      </w:r>
      <w:r>
        <w:rPr>
          <w:rFonts w:ascii="Arial" w:cs="Arial" w:eastAsia="Arial" w:hAnsi="Arial"/>
          <w:sz w:val="17"/>
          <w:szCs w:val="17"/>
          <w:b w:val="1"/>
          <w:bCs w:val="1"/>
          <w:color w:val="auto"/>
        </w:rPr>
        <w:t xml:space="preserve"> </w:t>
      </w:r>
      <w:r>
        <w:rPr>
          <w:rFonts w:ascii="Arial" w:cs="Arial" w:eastAsia="Arial" w:hAnsi="Arial"/>
          <w:sz w:val="17"/>
          <w:szCs w:val="17"/>
          <w:color w:val="auto"/>
        </w:rPr>
        <w:t>mean an FDA New Drug Application or Product License Application (or Biologics License Application), as appropriate, and all supplements filed pursuant to the requirements of the FDA, including all documents, data and other information concerning Licensed Products that are necessary for or included in FDA approval to market a Licensed Product.</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"Net Sales" </w:t>
      </w:r>
      <w:r>
        <w:rPr>
          <w:rFonts w:ascii="Arial" w:cs="Arial" w:eastAsia="Arial" w:hAnsi="Arial"/>
          <w:sz w:val="16"/>
          <w:szCs w:val="16"/>
          <w:color w:val="auto"/>
        </w:rPr>
        <w:t>shall mean the gross amount billed or invoiced by or on behalf of BioLine and/or its Affiliates (</w:t>
      </w:r>
      <w:r>
        <w:rPr>
          <w:rFonts w:ascii="Arial" w:cs="Arial" w:eastAsia="Arial" w:hAnsi="Arial"/>
          <w:sz w:val="16"/>
          <w:szCs w:val="16"/>
          <w:b w:val="1"/>
          <w:bCs w:val="1"/>
          <w:color w:val="auto"/>
        </w:rPr>
        <w:t>the "Invoicing Entity</w:t>
      </w:r>
      <w:r>
        <w:rPr>
          <w:rFonts w:ascii="Arial" w:cs="Arial" w:eastAsia="Arial" w:hAnsi="Arial"/>
          <w:sz w:val="16"/>
          <w:szCs w:val="16"/>
          <w:color w:val="auto"/>
        </w:rPr>
        <w:t>") on sales of Licensed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less the following: (a) customary trade, quantity, or cash discounts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import, export, delivery, or use of a Licensed Product which is paid by or on behalf of the Invoicing Entity; (d) outbound transportation, packing and delivery charges, as well as prepaid freight (including shipping insurance) actually incurred; and (e) payments to one or more third parties to obtain a Third Party License from such third party(ies) in order to practice the Licensed Technology; provided however, that:</w:t>
      </w:r>
    </w:p>
    <w:p>
      <w:pPr>
        <w:spacing w:after="0" w:line="194" w:lineRule="exact"/>
        <w:rPr>
          <w:sz w:val="20"/>
          <w:szCs w:val="20"/>
          <w:color w:val="auto"/>
        </w:rPr>
      </w:pPr>
    </w:p>
    <w:p>
      <w:pPr>
        <w:jc w:val="both"/>
        <w:ind w:firstLine="3"/>
        <w:spacing w:after="0" w:line="261" w:lineRule="auto"/>
        <w:tabs>
          <w:tab w:leader="none" w:pos="21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 any transfers of Licensed Products between the Invoicing Entity and an Affiliate of the Invoicing Entity, Net Sales shall be equal to the higher of. (x) the fair market value of the Licensed Products so transferred, assuming an arm's length transaction made in the ordinary course of business, and (y) the total amount invoiced by such Affiliate on resale to an independent third party purchaser, in each case, after deducting the amounts referred to in clauses (a) through (d) above, to the extent applicable;</w:t>
      </w:r>
    </w:p>
    <w:p>
      <w:pPr>
        <w:spacing w:after="0" w:line="204" w:lineRule="exact"/>
        <w:rPr>
          <w:rFonts w:ascii="Arial" w:cs="Arial" w:eastAsia="Arial" w:hAnsi="Arial"/>
          <w:sz w:val="17"/>
          <w:szCs w:val="17"/>
          <w:color w:val="auto"/>
        </w:rPr>
      </w:pPr>
    </w:p>
    <w:p>
      <w:pPr>
        <w:jc w:val="both"/>
        <w:ind w:firstLine="3"/>
        <w:spacing w:after="0" w:line="265" w:lineRule="auto"/>
        <w:tabs>
          <w:tab w:leader="none" w:pos="26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 the event that the Invoicing Entity, or the Affiliate of the Invoicing Entity, receives non-monetary consideration for any Licensed Products or in the case of transactions not at arm's length with a non-Affiliate of the Invoicing Entity, Net Sales shall be calculated based on the fair market value of such consideration or transaction. assuming an arm's length transaction made in the ordinary course of business; 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90" w:name="page291"/>
    <w:bookmarkEnd w:id="290"/>
    <w:p>
      <w:pPr>
        <w:jc w:val="both"/>
        <w:ind w:firstLine="620"/>
        <w:spacing w:after="0" w:line="255" w:lineRule="auto"/>
        <w:tabs>
          <w:tab w:leader="none" w:pos="93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event a Licensed Product is sold by BioLine, an Affiliate of BioLine in the form of a Combination Product, Net Sales from such Combination Product, for purposes of determining BioLine Royalty Payments, shall be determined by multiplying the actual Net Sales of such Combination Product during the applicable royalty reporting period, by the fraction A/(A+B) where: A is the average sale price of the Licensed Product contained in the Combination Product when sold separately by BioLine or its Affiliate or its sublicense; and B is the average price of the other Additional Ingredients included in the Combination Product when sold separately by its supplier, in each case during the applicable royalty reporting period or if sales of both the Licensed Product and/or other Additional Ingredients did not occur in such period, then in the most recent royalty reporting period in which sales of both occurred. In the event that such average sale price cannot be determined for both the Licensed Product and all other Additional Ingredients included in the Combination Product, Net Sales for the purpose of determining BioLine Royalty Payments shall be calculated by multiplying the Net Sales of the Combination Products by the fraction of C/C+D where C is the fair market value of the Licensed Product and D is the fair market value of all other Additional Ingredients included in the Combination Product. In such event, the parties shall negotiate in good faith to arrive at a determination of the respective fair market values of the Licensed Product and all other Additional Ingredients included in the Combination Product.</w:t>
      </w:r>
    </w:p>
    <w:p>
      <w:pPr>
        <w:spacing w:after="0" w:line="205"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"Patent Rights</w:t>
      </w:r>
      <w:r>
        <w:rPr>
          <w:rFonts w:ascii="Arial" w:cs="Arial" w:eastAsia="Arial" w:hAnsi="Arial"/>
          <w:sz w:val="15"/>
          <w:szCs w:val="15"/>
          <w:color w:val="auto"/>
        </w:rPr>
        <w:t>" shall mean any and all (a) patents, (b) pending patent applications, including, without limitation, all provisional applications, continuations,</w:t>
      </w:r>
      <w:r>
        <w:rPr>
          <w:rFonts w:ascii="Arial" w:cs="Arial" w:eastAsia="Arial" w:hAnsi="Arial"/>
          <w:sz w:val="15"/>
          <w:szCs w:val="15"/>
          <w:b w:val="1"/>
          <w:bCs w:val="1"/>
          <w:color w:val="auto"/>
        </w:rPr>
        <w:t xml:space="preserve"> </w:t>
      </w:r>
      <w:r>
        <w:rPr>
          <w:rFonts w:ascii="Arial" w:cs="Arial" w:eastAsia="Arial" w:hAnsi="Arial"/>
          <w:sz w:val="15"/>
          <w:szCs w:val="15"/>
          <w:color w:val="auto"/>
        </w:rPr>
        <w:t>continuations-inpart, divisions, reissues, renewals, and all patents granted thereon, and (c) all patents-of addition, reissue patents, reexaminations and extensions or restorations by existing or future extension or restoration mechanisms, including, without limitation, supplementary protection certificates or the equivalent thereof.</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"Regulatory Agency" </w:t>
      </w:r>
      <w:r>
        <w:rPr>
          <w:rFonts w:ascii="Arial" w:cs="Arial" w:eastAsia="Arial" w:hAnsi="Arial"/>
          <w:sz w:val="17"/>
          <w:szCs w:val="17"/>
          <w:color w:val="auto"/>
        </w:rPr>
        <w:t>shall mean the FDA or equivalent licensing agency or overnment body in Europe, and/or Japan.</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"Sublicense Consideration</w:t>
      </w:r>
      <w:r>
        <w:rPr>
          <w:rFonts w:ascii="Arial" w:cs="Arial" w:eastAsia="Arial" w:hAnsi="Arial"/>
          <w:sz w:val="17"/>
          <w:szCs w:val="17"/>
          <w:color w:val="auto"/>
        </w:rPr>
        <w:t>" shall mean the actual cash income or other consideration forms actually received by BioLine in exercising its rights under the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cash income and other consideration received for or consequent to any sublicensing or co-marketing or co-promotion arrangement or permitted assignment of the License or any portion thereof to a third party of the rights under the License provided however, that "Sublicense Consideration" shall not include any amounts received by BioLine in respect of (i) Grants and (ii) Net Sales.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"Sublicensee</w:t>
      </w:r>
      <w:r>
        <w:rPr>
          <w:rFonts w:ascii="Arial" w:cs="Arial" w:eastAsia="Arial" w:hAnsi="Arial"/>
          <w:sz w:val="17"/>
          <w:szCs w:val="17"/>
          <w:color w:val="auto"/>
        </w:rPr>
        <w:t>" shall mean a person or entity to whom BioLine or its sublicensee grants a sublicense or co-marketing or co-promotion rights with respect to some or</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rights granted to BioLine under Section 2.</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"Third Party License" </w:t>
      </w:r>
      <w:r>
        <w:rPr>
          <w:rFonts w:ascii="Arial" w:cs="Arial" w:eastAsia="Arial" w:hAnsi="Arial"/>
          <w:sz w:val="17"/>
          <w:szCs w:val="17"/>
          <w:color w:val="auto"/>
        </w:rPr>
        <w:t>shall mean a license from an unaffiliated third party to one or more valid and enforceable patents issued in the United States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the claims of which cover one or more components that is essential for the efficacy of the Licensed Product.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91" w:name="page292"/>
    <w:bookmarkEnd w:id="291"/>
    <w:p>
      <w:pPr>
        <w:spacing w:after="0"/>
        <w:rPr>
          <w:sz w:val="20"/>
          <w:szCs w:val="20"/>
          <w:color w:val="auto"/>
        </w:rPr>
      </w:pPr>
      <w:r>
        <w:rPr>
          <w:rFonts w:ascii="Arial" w:cs="Arial" w:eastAsia="Arial" w:hAnsi="Arial"/>
          <w:sz w:val="17"/>
          <w:szCs w:val="17"/>
          <w:b w:val="1"/>
          <w:bCs w:val="1"/>
          <w:color w:val="auto"/>
        </w:rPr>
        <w:t>2. License Grant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BGN hereby grants to BioLine an exclusive, worldwide, sublicensable license under BGN's rights in the Licensed Technology to research, have researched, develop, have developed, manufacture, have manufactured, use, market, distribute, offer for sale, sell, have sold, export and import Licensed Products and/or provide services relating thereto in accordance with the terms and conditions of this Agreement (the "License"). For purposes of this Section 2, the term "exclusive" means that BGN shall not have any right to grant such licenses or rights to any third party or engage in any of the foregoing. To avoid doubt, BGU will retain the right to use the Licensed Technology solely for noncommercial research purposes which do not, in BioLine's opinion, in any manner interfere with, impede, or place at risk BioLine's exclusive rights under the License.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Title.</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3.1 Licensed Technology</w:t>
      </w:r>
      <w:r>
        <w:rPr>
          <w:rFonts w:ascii="Arial" w:cs="Arial" w:eastAsia="Arial" w:hAnsi="Arial"/>
          <w:sz w:val="17"/>
          <w:szCs w:val="17"/>
          <w:color w:val="auto"/>
        </w:rPr>
        <w:t>. Subject to the License granted to BioLine, all rights, title and interest in and to the Licensed Technology are and shall be owned solely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exclusively by BGN.</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3.2 BioLine Inventions</w:t>
      </w:r>
      <w:r>
        <w:rPr>
          <w:rFonts w:ascii="Arial" w:cs="Arial" w:eastAsia="Arial" w:hAnsi="Arial"/>
          <w:sz w:val="16"/>
          <w:szCs w:val="16"/>
          <w:color w:val="auto"/>
        </w:rPr>
        <w:t>. As between the parties, BioLine shall own all inventions conceived, discovered or developed by BioLine or its subcontractors or Sub-Licensees in connection with activities under this Agreement, including without limitation all intellectual property rights therein, subject to BGN's rights in the Licensed Technology. Except as may be otherwise agreed in writing between the parties with respect to specific inventions, any inventions conceived jointly by BioLine or its subcontractors, on the one hand, and BGN or BGU, on the other hand, shall be jointly owned by BGN and BioLine and, during the term of this Agreement shall be exclusively licensed to BioLine on the terms set forth herein. Subsequent to termination of this Agreement, neither party will have any right to commercialize, utilize, exploit and/or license such jointly owned inventions without the express written permission of the other party, which will not be unreasonably withheld. The foregoing is subject to any restrictions or terms applying to Grants, which shall supercede these provisions.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3.3 Determination</w:t>
      </w:r>
      <w:r>
        <w:rPr>
          <w:rFonts w:ascii="Arial" w:cs="Arial" w:eastAsia="Arial" w:hAnsi="Arial"/>
          <w:sz w:val="17"/>
          <w:szCs w:val="17"/>
          <w:color w:val="auto"/>
        </w:rPr>
        <w:t>. All determinations of inventorship under this Agreement shall be made in accordance with United States patent law. In case of dispute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BGN and BioLine in respect of inventorship, a mutually acceptable independent patent counsel shall make the determination of the inventor(s) by applying the standards contained in United States patent law.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4. Patent Filing</w:t>
      </w:r>
      <w:r>
        <w:rPr>
          <w:rFonts w:ascii="Arial" w:cs="Arial" w:eastAsia="Arial" w:hAnsi="Arial"/>
          <w:sz w:val="17"/>
          <w:szCs w:val="17"/>
          <w:color w:val="auto"/>
        </w:rPr>
        <w:t>,</w:t>
      </w:r>
      <w:r>
        <w:rPr>
          <w:rFonts w:ascii="Arial" w:cs="Arial" w:eastAsia="Arial" w:hAnsi="Arial"/>
          <w:sz w:val="17"/>
          <w:szCs w:val="17"/>
          <w:b w:val="1"/>
          <w:bCs w:val="1"/>
          <w:color w:val="auto"/>
        </w:rPr>
        <w:t xml:space="preserve"> Prosecution and Maintenance.</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4.1 Filing</w:t>
      </w:r>
      <w:r>
        <w:rPr>
          <w:rFonts w:ascii="Arial" w:cs="Arial" w:eastAsia="Arial" w:hAnsi="Arial"/>
          <w:sz w:val="16"/>
          <w:szCs w:val="16"/>
          <w:color w:val="auto"/>
        </w:rPr>
        <w:t>. BioLine shall have the first right to prepare, file, prosecute and maintain any patent applications and patents, in respect of the Licensed Technology and/or</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 thereof, and at the BioLine's sole expense. BioLine shall provide BGN with copies of all patent applications and BGN undertakes to cooperate in a timely manner with the BioLine's efforts to register the patent, including by executing any documents as may be required for such purpose.</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4.2 Consultation</w:t>
      </w:r>
      <w:r>
        <w:rPr>
          <w:rFonts w:ascii="Arial" w:cs="Arial" w:eastAsia="Arial" w:hAnsi="Arial"/>
          <w:sz w:val="16"/>
          <w:szCs w:val="16"/>
          <w:color w:val="auto"/>
        </w:rPr>
        <w:t>. BGN and BioLine shall consult each other regarding the preparation, filing and prosecution of all patent applications, and the maintenance of all</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included within the Licensed Patent Rights, including, without limitation, the content, timing and jurisdiction of the filing of such patent applications and their prosecution, and other details and overall global strategy pertaining to the procurement and maintenance of the Licensed Patent Rights. All Licensed Patent Rights shall be filed, prosecuted and maintained by the parties through a law or patent attorney firm selected by BioLine, and subject to BGN's approval.</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color w:val="auto"/>
        </w:rPr>
        <w:t>[***]</w:t>
      </w: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4.4. Abandonment</w:t>
      </w:r>
      <w:r>
        <w:rPr>
          <w:rFonts w:ascii="Arial" w:cs="Arial" w:eastAsia="Arial" w:hAnsi="Arial"/>
          <w:sz w:val="17"/>
          <w:szCs w:val="17"/>
          <w:color w:val="auto"/>
        </w:rPr>
        <w:t>. Should BioLine elect not to pursue the filing, prosecution or maintenance of a patent application in any country, on any invention or claim</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in the Licensed Technology in any such country (an "</w:t>
      </w:r>
      <w:r>
        <w:rPr>
          <w:rFonts w:ascii="Arial" w:cs="Arial" w:eastAsia="Arial" w:hAnsi="Arial"/>
          <w:sz w:val="17"/>
          <w:szCs w:val="17"/>
          <w:b w:val="1"/>
          <w:bCs w:val="1"/>
          <w:color w:val="auto"/>
        </w:rPr>
        <w:t>Abandoned Country"</w:t>
      </w:r>
      <w:r>
        <w:rPr>
          <w:rFonts w:ascii="Arial" w:cs="Arial" w:eastAsia="Arial" w:hAnsi="Arial"/>
          <w:sz w:val="17"/>
          <w:szCs w:val="17"/>
          <w:color w:val="auto"/>
        </w:rPr>
        <w:t>), BioLine shall provide BGN and the parties' outside patent counsel with prompt written notice of such election. Upon written receipt of such notice by BGN, BioLine shall be released from any obligation with respect to such Abandoned Country in conjunction with such Patent Rights. [***]</w:t>
      </w:r>
    </w:p>
    <w:p>
      <w:pPr>
        <w:spacing w:after="0" w:line="19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b w:val="1"/>
          <w:bCs w:val="1"/>
          <w:color w:val="auto"/>
        </w:rPr>
        <w:t>4.5 No Warranty</w:t>
      </w:r>
      <w:r>
        <w:rPr>
          <w:rFonts w:ascii="Arial" w:cs="Arial" w:eastAsia="Arial" w:hAnsi="Arial"/>
          <w:sz w:val="16"/>
          <w:szCs w:val="16"/>
          <w:color w:val="auto"/>
        </w:rPr>
        <w:t>. Nothing contained herein shall be deemed to be a warranty by any of the parties that they can or will be able to obtain patents on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included in the Licensed Patent Rights, or that any of the Licensed Patent Rights will afford adequate or commercially worthwhile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21888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280" w:right="2360" w:hanging="5277"/>
        <w:spacing w:after="0" w:line="744" w:lineRule="auto"/>
        <w:tabs>
          <w:tab w:leader="none" w:pos="414"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5. Sublicenses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5.1 Right to Grant Sublicenses</w:t>
      </w:r>
      <w:r>
        <w:rPr>
          <w:rFonts w:ascii="Arial" w:cs="Arial" w:eastAsia="Arial" w:hAnsi="Arial"/>
          <w:sz w:val="17"/>
          <w:szCs w:val="17"/>
          <w:color w:val="auto"/>
        </w:rPr>
        <w:t>. Subject to the terms and conditions of this Section 5 BioLine shall be entitled to grant sublicenses or other rights to third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License. Such sublicenses shall be made for consideration and in arm's length transactions.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5.2 Sublicense Agreements</w:t>
      </w:r>
      <w:r>
        <w:rPr>
          <w:rFonts w:ascii="Arial" w:cs="Arial" w:eastAsia="Arial" w:hAnsi="Arial"/>
          <w:sz w:val="17"/>
          <w:szCs w:val="17"/>
          <w:color w:val="auto"/>
        </w:rPr>
        <w:t>. Sublicenses shall only be granted pursuant to written agreements, which shall be in compliance and not inconsistent with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of this Agreement.</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 xml:space="preserve">5.2.1 </w:t>
      </w:r>
      <w:r>
        <w:rPr>
          <w:rFonts w:ascii="Arial" w:cs="Arial" w:eastAsia="Arial" w:hAnsi="Arial"/>
          <w:sz w:val="16"/>
          <w:szCs w:val="16"/>
          <w:color w:val="auto"/>
        </w:rPr>
        <w:t>BioLine shall inform BGN of any negotiations to grant a sublicense to a third party and provide BGN with the proposed form of sublicense agreement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its execution, for BGN's approval. BGN shall have the right to withhold its approval for any proposed sublicensing agreement solely to the extent that it reasonably determines that (a) the proposed sublicensing agreement does not comply in any substantive manner with the provisions of this Section 5; or (b) execution and performance of the proposed sublicense agreement will jeopardize or expose to non-prosecutable infringement BGN's proprietary rights in the Licensed Technology. In such case BGN shall provide written notice to BioLine within three business days of receipt of the proposed sublicense agreement, detailing the grounds for withholding its approval in accordance with this Section 5.2.1. In the event that BGN does not provide such a written notice within said three business days, it will be deemed for all purposes to have approved the proposed sublicense agreement.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5.2.2 </w:t>
      </w:r>
      <w:r>
        <w:rPr>
          <w:rFonts w:ascii="Arial" w:cs="Arial" w:eastAsia="Arial" w:hAnsi="Arial"/>
          <w:sz w:val="17"/>
          <w:szCs w:val="17"/>
          <w:color w:val="auto"/>
        </w:rPr>
        <w:t>Each such sublicense agreement shall contain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necessary to ensure BioLine's ability to perform its obligations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 respect to reporting requirements and audit rights.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5.2.3 </w:t>
      </w:r>
      <w:r>
        <w:rPr>
          <w:rFonts w:ascii="Arial" w:cs="Arial" w:eastAsia="Arial" w:hAnsi="Arial"/>
          <w:sz w:val="16"/>
          <w:szCs w:val="16"/>
          <w:color w:val="auto"/>
        </w:rPr>
        <w:t>In the event of termination of the License , any existing agreements that contain a sublicense of, or other grant of right with respect to, Licensed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shall terminate to the extent of such sublicense or other grant of right; provided, however, that, for each Sublicensee, upon termination of the sublicense agreement with such Sublicensee, if Sublicensee is not then in breach of such sublicense agreement with BioLine such that BioLine would have the right to terminate such sublicense, BGN shall be obligated, at the request of such Sublicensee, to enter into a new agreement with such Sublicensee on substantially the same terms as those contained in such sublicense agreement, and provided further that such terms shall be amended, if necessary, to the extent required to ensure that such sublicense agreement does not impose any obligations or liabilities on BGN which are not included in this Agreement.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5.2.4 </w:t>
      </w:r>
      <w:r>
        <w:rPr>
          <w:rFonts w:ascii="Arial" w:cs="Arial" w:eastAsia="Arial" w:hAnsi="Arial"/>
          <w:sz w:val="17"/>
          <w:szCs w:val="17"/>
          <w:color w:val="auto"/>
        </w:rPr>
        <w:t>A Sublicensee shall be entitled to sublicense its rights under a sublicense agreement, and so forth through a chain of sublicenses, provided that each such</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 shall be subject to execution of a written agreement consistent with the terms of this Section 5 (other than Section 5.2.1 above), and shall be made for consideration and at arm's length transactions. To avoid doubt, BGN's approval will not be required in any such instance.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4" w:name="page295"/>
    <w:bookmarkEnd w:id="294"/>
    <w:p>
      <w:pPr>
        <w:jc w:val="both"/>
        <w:spacing w:after="0" w:line="269" w:lineRule="auto"/>
        <w:rPr>
          <w:sz w:val="20"/>
          <w:szCs w:val="20"/>
          <w:color w:val="auto"/>
        </w:rPr>
      </w:pPr>
      <w:r>
        <w:rPr>
          <w:rFonts w:ascii="Arial" w:cs="Arial" w:eastAsia="Arial" w:hAnsi="Arial"/>
          <w:sz w:val="17"/>
          <w:szCs w:val="17"/>
          <w:b w:val="1"/>
          <w:bCs w:val="1"/>
          <w:color w:val="auto"/>
        </w:rPr>
        <w:t xml:space="preserve">5.3 Delivery of Sublicense Agreement. </w:t>
      </w:r>
      <w:r>
        <w:rPr>
          <w:rFonts w:ascii="Arial" w:cs="Arial" w:eastAsia="Arial" w:hAnsi="Arial"/>
          <w:sz w:val="17"/>
          <w:szCs w:val="17"/>
          <w:color w:val="auto"/>
        </w:rPr>
        <w:t>BioLine shall furnish BGN with a fully executed copy of any such sublicense agreement promptly after its execution,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ensure that any Sublicensee who further sublicenses its rights furnishes BGN with a fully executed copy of any such sublicense agreement promptly after its execution.</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5.4 Contractors</w:t>
      </w:r>
      <w:r>
        <w:rPr>
          <w:rFonts w:ascii="Arial" w:cs="Arial" w:eastAsia="Arial" w:hAnsi="Arial"/>
          <w:sz w:val="16"/>
          <w:szCs w:val="16"/>
          <w:color w:val="auto"/>
        </w:rPr>
        <w:t>. BioLine shall have the right to utilize third party contractors in connection with BioLine's activities in exploiting the License. Provided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contractors perform activities on BioLine's behalf, the provisions of this Section shall not apply with respect to such contractors. Sublicenses to Affiliates and third party contractors of BioLine shall not be considered Sub-Licenses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Affiliates and contractors shall act under the strict control, supervision and responsibility of BioLine. BioLine hereby agrees and undertakes that it shall remain solely responsible towards BGN for all acts and omissions performed, or omitted, by any such contractor (" </w:t>
      </w:r>
      <w:r>
        <w:rPr>
          <w:rFonts w:ascii="Arial" w:cs="Arial" w:eastAsia="Arial" w:hAnsi="Arial"/>
          <w:sz w:val="16"/>
          <w:szCs w:val="16"/>
          <w:b w:val="1"/>
          <w:bCs w:val="1"/>
          <w:color w:val="auto"/>
        </w:rPr>
        <w:t>the Acts</w:t>
      </w:r>
      <w:r>
        <w:rPr>
          <w:rFonts w:ascii="Arial" w:cs="Arial" w:eastAsia="Arial" w:hAnsi="Arial"/>
          <w:sz w:val="16"/>
          <w:szCs w:val="16"/>
          <w:color w:val="auto"/>
        </w:rPr>
        <w:t>"), relating to BioLine's undertakings under this Agreement, and that, for all purposes, it shall be considered as if the said Acts were performed, or omitted, by BioLine. BioLine hereby specifically renounces any argument and/or claim, that any undertaking and/or statement it has given under this Agreement, has no effect since it has no control of acts and/or omissions of any such contractor.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Development and Information Exchange.</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6.1 Diligence</w:t>
      </w:r>
      <w:r>
        <w:rPr>
          <w:rFonts w:ascii="Arial" w:cs="Arial" w:eastAsia="Arial" w:hAnsi="Arial"/>
          <w:sz w:val="17"/>
          <w:szCs w:val="17"/>
          <w:color w:val="auto"/>
        </w:rPr>
        <w:t>. BioLine shall use all Commercially Reasonable Efforts, and/or shall cause its Affiliates and/or Sublicensees to use their Commercially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to develop Licensed Products in accordance with the applicable Development Plan during the periods and within the timetable specified therein. Without limiting the foregoing, BioLine and/or its Affiliates and/or Sublicensees shall meet the Milestones set forth in Exhibit D hereto.</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6.2 Modifications</w:t>
      </w:r>
      <w:r>
        <w:rPr>
          <w:rFonts w:ascii="Arial" w:cs="Arial" w:eastAsia="Arial" w:hAnsi="Arial"/>
          <w:sz w:val="17"/>
          <w:szCs w:val="17"/>
          <w:color w:val="auto"/>
        </w:rPr>
        <w:t>. BioLine shall be entitled, from time to time, to make such adjustments to the then applicable Development Plan as BioLine believes, in its good</w:t>
      </w:r>
      <w:r>
        <w:rPr>
          <w:rFonts w:ascii="Arial" w:cs="Arial" w:eastAsia="Arial" w:hAnsi="Arial"/>
          <w:sz w:val="17"/>
          <w:szCs w:val="17"/>
          <w:b w:val="1"/>
          <w:bCs w:val="1"/>
          <w:color w:val="auto"/>
        </w:rPr>
        <w:t xml:space="preserve"> </w:t>
      </w:r>
      <w:r>
        <w:rPr>
          <w:rFonts w:ascii="Arial" w:cs="Arial" w:eastAsia="Arial" w:hAnsi="Arial"/>
          <w:sz w:val="17"/>
          <w:szCs w:val="17"/>
          <w:color w:val="auto"/>
        </w:rPr>
        <w:t>faith judgment, are needed in order to improve BioLine's ability to meet the Milestones.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6.2A Development Plan Reporting and Approval</w:t>
      </w:r>
      <w:r>
        <w:rPr>
          <w:rFonts w:ascii="Arial" w:cs="Arial" w:eastAsia="Arial" w:hAnsi="Arial"/>
          <w:sz w:val="15"/>
          <w:szCs w:val="15"/>
          <w:color w:val="auto"/>
        </w:rPr>
        <w:t>. BioLine hereby undertakes to provide BGN with an updated Development Plan at least once a year, no later then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30 (thirty) days following the beginning of each calendar year.</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color w:val="auto"/>
        </w:rPr>
        <w:t>6.3 Failure</w:t>
      </w:r>
      <w:r>
        <w:rPr>
          <w:rFonts w:ascii="Arial" w:cs="Arial" w:eastAsia="Arial" w:hAnsi="Arial"/>
          <w:sz w:val="15"/>
          <w:szCs w:val="15"/>
          <w:color w:val="auto"/>
        </w:rPr>
        <w:t>. If BioLine fails to achieve a Milestone by its designated performance date ("</w:t>
      </w:r>
      <w:r>
        <w:rPr>
          <w:rFonts w:ascii="Arial" w:cs="Arial" w:eastAsia="Arial" w:hAnsi="Arial"/>
          <w:sz w:val="15"/>
          <w:szCs w:val="15"/>
          <w:b w:val="1"/>
          <w:bCs w:val="1"/>
          <w:color w:val="auto"/>
        </w:rPr>
        <w:t>Failure</w:t>
      </w:r>
      <w:r>
        <w:rPr>
          <w:rFonts w:ascii="Arial" w:cs="Arial" w:eastAsia="Arial" w:hAnsi="Arial"/>
          <w:sz w:val="15"/>
          <w:szCs w:val="15"/>
          <w:color w:val="auto"/>
        </w:rPr>
        <w:t>"), unless and to the extent a delay in achievement of a Milestone is</w:t>
      </w:r>
      <w:r>
        <w:rPr>
          <w:rFonts w:ascii="Arial" w:cs="Arial" w:eastAsia="Arial" w:hAnsi="Arial"/>
          <w:sz w:val="15"/>
          <w:szCs w:val="15"/>
          <w:b w:val="1"/>
          <w:bCs w:val="1"/>
          <w:color w:val="auto"/>
        </w:rPr>
        <w:t xml:space="preserve"> </w:t>
      </w:r>
      <w:r>
        <w:rPr>
          <w:rFonts w:ascii="Arial" w:cs="Arial" w:eastAsia="Arial" w:hAnsi="Arial"/>
          <w:sz w:val="15"/>
          <w:szCs w:val="15"/>
          <w:color w:val="auto"/>
        </w:rPr>
        <w:t>necessitated by a Regulatory Agency or by an event beyond the control of BioLine, BGN may notify BioLine in writing of BioLine's Failure and shall allow BioLine</w:t>
      </w:r>
    </w:p>
    <w:p>
      <w:pPr>
        <w:ind w:firstLine="3"/>
        <w:spacing w:after="0" w:line="265" w:lineRule="auto"/>
        <w:tabs>
          <w:tab w:leader="none" w:pos="42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cure such failure. BioLine's failure to cure such failure to BGN's reasonable satisfaction within such [***] period shall constitute a material breach of this Agreement and BGN shall have the right to terminate this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p>
    <w:p>
      <w:pPr>
        <w:ind w:left="420" w:hanging="417"/>
        <w:spacing w:after="0"/>
        <w:tabs>
          <w:tab w:leader="none" w:pos="42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218884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5" w:name="page296"/>
    <w:bookmarkEnd w:id="295"/>
    <w:p>
      <w:pPr>
        <w:jc w:val="both"/>
        <w:ind w:firstLine="617"/>
        <w:spacing w:after="0" w:line="278" w:lineRule="auto"/>
        <w:rPr>
          <w:sz w:val="20"/>
          <w:szCs w:val="20"/>
          <w:color w:val="auto"/>
        </w:rPr>
      </w:pPr>
      <w:r>
        <w:rPr>
          <w:rFonts w:ascii="Arial" w:cs="Arial" w:eastAsia="Arial" w:hAnsi="Arial"/>
          <w:sz w:val="16"/>
          <w:szCs w:val="16"/>
          <w:b w:val="1"/>
          <w:bCs w:val="1"/>
          <w:color w:val="auto"/>
        </w:rPr>
        <w:t>6.4 Steering Committee</w:t>
      </w:r>
      <w:r>
        <w:rPr>
          <w:rFonts w:ascii="Arial" w:cs="Arial" w:eastAsia="Arial" w:hAnsi="Arial"/>
          <w:sz w:val="16"/>
          <w:szCs w:val="16"/>
          <w:color w:val="auto"/>
        </w:rPr>
        <w:t>,</w:t>
      </w:r>
      <w:r>
        <w:rPr>
          <w:rFonts w:ascii="Arial" w:cs="Arial" w:eastAsia="Arial" w:hAnsi="Arial"/>
          <w:sz w:val="16"/>
          <w:szCs w:val="16"/>
          <w:b w:val="1"/>
          <w:bCs w:val="1"/>
          <w:color w:val="auto"/>
        </w:rPr>
        <w:t xml:space="preserve"> Consultation and Progress Reports. The </w:t>
      </w:r>
      <w:r>
        <w:rPr>
          <w:rFonts w:ascii="Arial" w:cs="Arial" w:eastAsia="Arial" w:hAnsi="Arial"/>
          <w:sz w:val="16"/>
          <w:szCs w:val="16"/>
          <w:color w:val="auto"/>
        </w:rPr>
        <w:t>parties shall establish a steering committee (the "Committee") to oversee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License. Each party shall be entitled to designate one representative to the Committee (the "Representative"), which shall meet at least once every six (6) months. The Representatives shall be bound by the confidentiality arrangements set out in this Agreement. BioLine agrees to consult with BGN, via the BGN Representative, in respect of significant decisions related to the exercise of the License. BioLine shall (i) provide BGN via BGN's Representative with periodic reports not less than once per every six (6) months concerning all material activities undertaken in respect of the exercise of the License, and (ii) keep BGN fully informed via BGN's Representative on a current basis concerning all material activities undertaken in respect of the exercise of the License.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6.5 Research Employees and Consultants</w:t>
      </w:r>
      <w:r>
        <w:rPr>
          <w:rFonts w:ascii="Arial" w:cs="Arial" w:eastAsia="Arial" w:hAnsi="Arial"/>
          <w:sz w:val="17"/>
          <w:szCs w:val="17"/>
          <w:color w:val="auto"/>
        </w:rPr>
        <w:t>. BioLine hereby undertakes that any and all research activity that BioLine may wish to have performed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Licensed Technology that entails the services of BGU's employees including, without limitation, any employee, who has been employed or engaged by BGU shall be contracted though and provided solely and exclusively via BGN on such terms and conditions as shall be agreed upon by BGN and BioLine. For the avoidance of any doubt, BioLine hereby undertakes not to solicit, engage as subcontractor or agent, or employ, directly or indirectly, any of BGU's employees and/or consultant and/or service providers, other than in terms and conditions of this section 6.5.</w:t>
      </w:r>
    </w:p>
    <w:p>
      <w:pPr>
        <w:spacing w:after="0" w:line="198" w:lineRule="exact"/>
        <w:rPr>
          <w:sz w:val="20"/>
          <w:szCs w:val="20"/>
          <w:color w:val="auto"/>
        </w:rPr>
      </w:pPr>
    </w:p>
    <w:p>
      <w:pPr>
        <w:ind w:left="180" w:hanging="177"/>
        <w:spacing w:after="0"/>
        <w:tabs>
          <w:tab w:leader="none" w:pos="18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Consideration for Grant of License </w:t>
      </w:r>
      <w:r>
        <w:rPr>
          <w:rFonts w:ascii="Arial" w:cs="Arial" w:eastAsia="Arial" w:hAnsi="Arial"/>
          <w:sz w:val="17"/>
          <w:szCs w:val="17"/>
          <w:color w:val="auto"/>
        </w:rPr>
        <w:t>. In consideration of the License, BioLine shall pay BGN the following fees and payments: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7.1 Initial and First Year Payments </w:t>
      </w:r>
      <w:r>
        <w:rPr>
          <w:rFonts w:ascii="Arial" w:cs="Arial" w:eastAsia="Arial" w:hAnsi="Arial"/>
          <w:sz w:val="17"/>
          <w:szCs w:val="17"/>
          <w:color w:val="auto"/>
        </w:rPr>
        <w:t>. BioLine shall reimburse BGN for expenses incurred by BGN to date in connection with the Licensed Technology by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 initial fee of [***], within fourteen (14) days of the Effective Date. For the avoidance of doubt it is hereby clarified that such an amount is an amount agreed upon by the parties and BGN shall not be required to justify such an amount in any manner,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to present receipts.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color w:val="auto"/>
        </w:rPr>
        <w:t>In addition, BioLine shall pay BGN additional fees of [***] on each of the following dates: March 31 2005, September 30, 2005, and December 31, 2005 (for a</w:t>
      </w:r>
      <w:r>
        <w:rPr>
          <w:rFonts w:ascii="Arial" w:cs="Arial" w:eastAsia="Arial" w:hAnsi="Arial"/>
          <w:sz w:val="17"/>
          <w:szCs w:val="17"/>
          <w:b w:val="1"/>
          <w:bCs w:val="1"/>
          <w:color w:val="auto"/>
        </w:rPr>
        <w:t xml:space="preserve"> </w:t>
      </w:r>
      <w:r>
        <w:rPr>
          <w:rFonts w:ascii="Arial" w:cs="Arial" w:eastAsia="Arial" w:hAnsi="Arial"/>
          <w:sz w:val="17"/>
          <w:szCs w:val="17"/>
          <w:color w:val="auto"/>
        </w:rPr>
        <w:t>total of [***]).</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7.2 Annual License </w:t>
      </w:r>
      <w:r>
        <w:rPr>
          <w:rFonts w:ascii="Arial" w:cs="Arial" w:eastAsia="Arial" w:hAnsi="Arial"/>
          <w:sz w:val="17"/>
          <w:szCs w:val="17"/>
          <w:color w:val="auto"/>
        </w:rPr>
        <w:t>Fee. As of December 31, 2005 and on subsequent anniversaries thereof, BioLine shall pay BGN an annual fee of thirty thousand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($30,000) as an annual maintenance fee for the license. Such annual fee will cease to be payable once BGN has received cumulative Payments on Sublicense Consideration and/or BioLine Royalties equal to or exceeding [***] in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218884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5280" w:right="2360" w:hanging="5277"/>
        <w:spacing w:after="0" w:line="744" w:lineRule="auto"/>
        <w:tabs>
          <w:tab w:leader="none" w:pos="414"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6" w:name="page297"/>
    <w:bookmarkEnd w:id="296"/>
    <w:p>
      <w:pPr>
        <w:jc w:val="both"/>
        <w:ind w:firstLine="617"/>
        <w:spacing w:after="0" w:line="286" w:lineRule="auto"/>
        <w:rPr>
          <w:sz w:val="20"/>
          <w:szCs w:val="20"/>
          <w:color w:val="auto"/>
        </w:rPr>
      </w:pPr>
      <w:r>
        <w:rPr>
          <w:rFonts w:ascii="Arial" w:cs="Arial" w:eastAsia="Arial" w:hAnsi="Arial"/>
          <w:sz w:val="17"/>
          <w:szCs w:val="17"/>
          <w:b w:val="1"/>
          <w:bCs w:val="1"/>
          <w:color w:val="auto"/>
        </w:rPr>
        <w:t>7.3 Milestone Payment</w:t>
      </w:r>
      <w:r>
        <w:rPr>
          <w:rFonts w:ascii="Arial" w:cs="Arial" w:eastAsia="Arial" w:hAnsi="Arial"/>
          <w:sz w:val="17"/>
          <w:szCs w:val="17"/>
          <w:color w:val="auto"/>
        </w:rPr>
        <w:t>. In addition, BioLine shall pay BGN a one-time milestone payment of [***] (the</w:t>
      </w:r>
      <w:r>
        <w:rPr>
          <w:rFonts w:ascii="Arial" w:cs="Arial" w:eastAsia="Arial" w:hAnsi="Arial"/>
          <w:sz w:val="17"/>
          <w:szCs w:val="17"/>
          <w:b w:val="1"/>
          <w:bCs w:val="1"/>
          <w:color w:val="auto"/>
        </w:rPr>
        <w:t xml:space="preserve"> "Milestone Payment</w:t>
      </w:r>
      <w:r>
        <w:rPr>
          <w:rFonts w:ascii="Arial" w:cs="Arial" w:eastAsia="Arial" w:hAnsi="Arial"/>
          <w:sz w:val="17"/>
          <w:szCs w:val="17"/>
          <w:color w:val="auto"/>
        </w:rPr>
        <w:t>"), within fourteen (14) days</w:t>
      </w:r>
      <w:r>
        <w:rPr>
          <w:rFonts w:ascii="Arial" w:cs="Arial" w:eastAsia="Arial" w:hAnsi="Arial"/>
          <w:sz w:val="17"/>
          <w:szCs w:val="17"/>
          <w:b w:val="1"/>
          <w:bCs w:val="1"/>
          <w:color w:val="auto"/>
        </w:rPr>
        <w:t xml:space="preserve"> </w:t>
      </w:r>
      <w:r>
        <w:rPr>
          <w:rFonts w:ascii="Arial" w:cs="Arial" w:eastAsia="Arial" w:hAnsi="Arial"/>
          <w:sz w:val="17"/>
          <w:szCs w:val="17"/>
          <w:color w:val="auto"/>
        </w:rPr>
        <w:t>of upon the earlier of the occurrence of either of the following: [***]</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7.4 Payments on Sublicensing Consideration and BioLine Royalty Payments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7.4.1 </w:t>
      </w:r>
      <w:r>
        <w:rPr>
          <w:rFonts w:ascii="Arial" w:cs="Arial" w:eastAsia="Arial" w:hAnsi="Arial"/>
          <w:sz w:val="17"/>
          <w:szCs w:val="17"/>
          <w:color w:val="auto"/>
        </w:rPr>
        <w:t>BioLine shall pay BGN an amount equal to twenty-eight percent (28%) of any and all Sublicense Consideration (</w:t>
      </w:r>
      <w:r>
        <w:rPr>
          <w:rFonts w:ascii="Arial" w:cs="Arial" w:eastAsia="Arial" w:hAnsi="Arial"/>
          <w:sz w:val="17"/>
          <w:szCs w:val="17"/>
          <w:b w:val="1"/>
          <w:bCs w:val="1"/>
          <w:color w:val="auto"/>
        </w:rPr>
        <w:t xml:space="preserve">"Payments on Sublicense Consideration"). </w:t>
      </w:r>
      <w:r>
        <w:rPr>
          <w:rFonts w:ascii="Arial" w:cs="Arial" w:eastAsia="Arial" w:hAnsi="Arial"/>
          <w:sz w:val="17"/>
          <w:szCs w:val="17"/>
          <w:color w:val="auto"/>
        </w:rPr>
        <w:t>To avoid doubt, Payments on Sublicense Consideration shall not be payable with respect to an M&amp;A transaction in which all or substantially all of BioLine's assets or share capital are acquired by a third party.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7.4.2 </w:t>
      </w:r>
      <w:r>
        <w:rPr>
          <w:rFonts w:ascii="Arial" w:cs="Arial" w:eastAsia="Arial" w:hAnsi="Arial"/>
          <w:sz w:val="17"/>
          <w:szCs w:val="17"/>
          <w:color w:val="auto"/>
        </w:rPr>
        <w:t>[***]</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 xml:space="preserve">7.5 BioLine Royalties </w:t>
      </w:r>
      <w:r>
        <w:rPr>
          <w:rFonts w:ascii="Arial" w:cs="Arial" w:eastAsia="Arial" w:hAnsi="Arial"/>
          <w:sz w:val="17"/>
          <w:szCs w:val="17"/>
          <w:color w:val="auto"/>
        </w:rPr>
        <w:t>In addition to the amounts set forth in Sections 7.1, through 7.4 above, in the event that BioLine will actually manufacture and/or sell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under the License, BioLine will pay to BGN [***] of BioLine's and/or its Affiliates' Net Sales ("</w:t>
      </w:r>
      <w:r>
        <w:rPr>
          <w:rFonts w:ascii="Arial" w:cs="Arial" w:eastAsia="Arial" w:hAnsi="Arial"/>
          <w:sz w:val="17"/>
          <w:szCs w:val="17"/>
          <w:b w:val="1"/>
          <w:bCs w:val="1"/>
          <w:color w:val="auto"/>
        </w:rPr>
        <w:t>BioLine Royalty Payments</w:t>
      </w:r>
      <w:r>
        <w:rPr>
          <w:rFonts w:ascii="Arial" w:cs="Arial" w:eastAsia="Arial" w:hAnsi="Arial"/>
          <w:sz w:val="17"/>
          <w:szCs w:val="17"/>
          <w:color w:val="auto"/>
        </w:rPr>
        <w:t xml:space="preserve">"). Such amounts shall be payable, on a Licensed Product-by-Licensed Product and country-by-country basis, during the period in which a valid patent on the Licensed Technology underlying a product or service generating Net Sales in a given country remains in force in such country. To avoid doubt, in the event that BioLine continues sell products or services in any country based upon the Licensed Patent Rights with respect to which no patent remains in force as a result of abandoned pursuant to Section 4.4, BioLine Royalty Payments will </w:t>
      </w:r>
      <w:r>
        <w:rPr>
          <w:rFonts w:ascii="Arial" w:cs="Arial" w:eastAsia="Arial" w:hAnsi="Arial"/>
          <w:sz w:val="17"/>
          <w:szCs w:val="17"/>
          <w:b w:val="1"/>
          <w:bCs w:val="1"/>
          <w:color w:val="auto"/>
        </w:rPr>
        <w:t>nonetheless</w:t>
      </w:r>
      <w:r>
        <w:rPr>
          <w:rFonts w:ascii="Arial" w:cs="Arial" w:eastAsia="Arial" w:hAnsi="Arial"/>
          <w:sz w:val="17"/>
          <w:szCs w:val="17"/>
          <w:color w:val="auto"/>
        </w:rPr>
        <w:t xml:space="preserve"> be payable with respect to such sales.</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7.6 Permitted Deductions</w:t>
      </w:r>
      <w:r>
        <w:rPr>
          <w:rFonts w:ascii="Arial" w:cs="Arial" w:eastAsia="Arial" w:hAnsi="Arial"/>
          <w:sz w:val="16"/>
          <w:szCs w:val="16"/>
          <w:color w:val="auto"/>
        </w:rPr>
        <w:t>; Third-Party Royalties. In the event that BioLine or an Affiliate of BioLine is legally required to make royalty payments to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to obtain a Third Party License from such third party(ies) in order to practice the Licensed Technology in a particular country, BioLine may offset such third-party payments against the BioLine Royalty Payments that are due to BGN pursuant to Section 7.5 with respect to sales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218884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240" w:right="2360" w:hanging="5237"/>
        <w:spacing w:after="0" w:line="744" w:lineRule="auto"/>
        <w:tabs>
          <w:tab w:leader="none" w:pos="417" w:val="left"/>
        </w:tabs>
        <w:numPr>
          <w:ilvl w:val="0"/>
          <w:numId w:val="218"/>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10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7" w:name="page298"/>
    <w:bookmarkEnd w:id="297"/>
    <w:p>
      <w:pPr>
        <w:jc w:val="both"/>
        <w:spacing w:after="0" w:line="275" w:lineRule="auto"/>
        <w:rPr>
          <w:sz w:val="20"/>
          <w:szCs w:val="20"/>
          <w:color w:val="auto"/>
        </w:rPr>
      </w:pPr>
      <w:r>
        <w:rPr>
          <w:rFonts w:ascii="Arial" w:cs="Arial" w:eastAsia="Arial" w:hAnsi="Arial"/>
          <w:sz w:val="16"/>
          <w:szCs w:val="16"/>
          <w:b w:val="1"/>
          <w:bCs w:val="1"/>
          <w:color w:val="auto"/>
        </w:rPr>
        <w:t>7.7 Multiple Sublicenses</w:t>
      </w:r>
      <w:r>
        <w:rPr>
          <w:rFonts w:ascii="Arial" w:cs="Arial" w:eastAsia="Arial" w:hAnsi="Arial"/>
          <w:sz w:val="16"/>
          <w:szCs w:val="16"/>
          <w:color w:val="auto"/>
        </w:rPr>
        <w:t>. In the event that BioLine will seek to sublicense rights under the License to a third party together with technologies unrelated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Technology (</w:t>
      </w:r>
      <w:r>
        <w:rPr>
          <w:rFonts w:ascii="Arial" w:cs="Arial" w:eastAsia="Arial" w:hAnsi="Arial"/>
          <w:sz w:val="16"/>
          <w:szCs w:val="16"/>
          <w:b w:val="1"/>
          <w:bCs w:val="1"/>
          <w:color w:val="auto"/>
        </w:rPr>
        <w:t>a "Multiple Sublicense</w:t>
      </w:r>
      <w:r>
        <w:rPr>
          <w:rFonts w:ascii="Arial" w:cs="Arial" w:eastAsia="Arial" w:hAnsi="Arial"/>
          <w:sz w:val="16"/>
          <w:szCs w:val="16"/>
          <w:color w:val="auto"/>
        </w:rPr>
        <w:t>"), and BGN believes that the fact that the Licensed Technology is being sublicensed in the context of the Multiple Sublicense will substantially reduce the remuneration receivable by the BGN with respect to the sublicense of the Licensed Technology, the parties shall seek an independent evaluation ("Arbitration") by a mutually agreed upon third party ("the Arbitrator"), whose decision will be limited solely to determination of the independent valuation of the License, and the economic effect of the sublicensing of the License in the context of the proposed Multiple Sublicense, and will be binding on the parties. In the event that the parties do not agree on the identity of the Arbitrator within 30 (thirty) days, or any other period agreed upon in writing by both parties, from the date in which a written request for Arbitration was sent by at least one party to the other party, the Arbitrator shall be nominated by the head of Kost Forer, Gabbay and Kasirer's (Ernst &amp;Young Israel) Life Science Department.</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7.8 Government Programs</w:t>
      </w:r>
      <w:r>
        <w:rPr>
          <w:rFonts w:ascii="Arial" w:cs="Arial" w:eastAsia="Arial" w:hAnsi="Arial"/>
          <w:sz w:val="15"/>
          <w:szCs w:val="15"/>
          <w:color w:val="auto"/>
        </w:rPr>
        <w:t>. BioLine may submit applications for Grants, and BGN undertakes to provide all necessary</w:t>
      </w:r>
      <w:r>
        <w:rPr>
          <w:rFonts w:ascii="Arial" w:cs="Arial" w:eastAsia="Arial" w:hAnsi="Arial"/>
          <w:sz w:val="15"/>
          <w:szCs w:val="15"/>
          <w:b w:val="1"/>
          <w:bCs w:val="1"/>
          <w:color w:val="auto"/>
        </w:rPr>
        <w:t xml:space="preserve"> assistance </w:t>
      </w:r>
      <w:r>
        <w:rPr>
          <w:rFonts w:ascii="Arial" w:cs="Arial" w:eastAsia="Arial" w:hAnsi="Arial"/>
          <w:sz w:val="15"/>
          <w:szCs w:val="15"/>
          <w:color w:val="auto"/>
        </w:rPr>
        <w:t>to BioLine, in a timely manner,</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any such applications and in order to ensure BioLine's compliance with the terms and conditions of any Grants or benefits under Government Programs. Any (i) costs incurred in respect of obtaining Grants, and (ii) financial obligations assumed in respect thereof (such as, for example, repayment of the principal of a Grant, interest payments or royalties in respect thereof) shall be solely for the account of BioLine. The parties acknowledge that BioLine's obligations hereunder shall be subject to the terms of any applicable Grant, including without limitation, and if applicable any consents or approvals required pursuant to the Law for the Encouragement of Research and Development in Industry (1984) and related regulations. To avoid doubt, BioLine shall be entitled to execute any such documents, make any such representations and perform any such actions as may be necessary or desirable to fulfill its obligations and exercise its rights under any Government Program, and nothing in this Agreement shall be construed as restricting in any manner its ability to comply with the terms of any Government Program.</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8" w:name="page299"/>
    <w:bookmarkEnd w:id="298"/>
    <w:p>
      <w:pPr>
        <w:ind w:left="180" w:hanging="177"/>
        <w:spacing w:after="0"/>
        <w:tabs>
          <w:tab w:leader="none" w:pos="18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Reports </w:t>
      </w:r>
      <w:r>
        <w:rPr>
          <w:rFonts w:ascii="Arial" w:cs="Arial" w:eastAsia="Arial" w:hAnsi="Arial"/>
          <w:sz w:val="17"/>
          <w:szCs w:val="17"/>
          <w:color w:val="auto"/>
        </w:rPr>
        <w:t>;</w:t>
      </w:r>
      <w:r>
        <w:rPr>
          <w:rFonts w:ascii="Arial" w:cs="Arial" w:eastAsia="Arial" w:hAnsi="Arial"/>
          <w:sz w:val="17"/>
          <w:szCs w:val="17"/>
          <w:b w:val="1"/>
          <w:bCs w:val="1"/>
          <w:color w:val="auto"/>
        </w:rPr>
        <w:t xml:space="preserve"> Payments </w:t>
      </w:r>
      <w:r>
        <w:rPr>
          <w:rFonts w:ascii="Arial" w:cs="Arial" w:eastAsia="Arial" w:hAnsi="Arial"/>
          <w:sz w:val="17"/>
          <w:szCs w:val="17"/>
          <w:color w:val="auto"/>
        </w:rPr>
        <w:t>;</w:t>
      </w:r>
      <w:r>
        <w:rPr>
          <w:rFonts w:ascii="Arial" w:cs="Arial" w:eastAsia="Arial" w:hAnsi="Arial"/>
          <w:sz w:val="17"/>
          <w:szCs w:val="17"/>
          <w:b w:val="1"/>
          <w:bCs w:val="1"/>
          <w:color w:val="auto"/>
        </w:rPr>
        <w:t xml:space="preserve"> Records.</w:t>
      </w:r>
    </w:p>
    <w:p>
      <w:pPr>
        <w:spacing w:after="0" w:line="24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8.1 Reports and Payments.</w:t>
      </w:r>
    </w:p>
    <w:p>
      <w:pPr>
        <w:spacing w:after="0" w:line="242" w:lineRule="exact"/>
        <w:rPr>
          <w:sz w:val="20"/>
          <w:szCs w:val="20"/>
          <w:color w:val="auto"/>
        </w:rPr>
      </w:pPr>
    </w:p>
    <w:p>
      <w:pPr>
        <w:spacing w:after="0" w:line="319" w:lineRule="auto"/>
        <w:rPr>
          <w:sz w:val="20"/>
          <w:szCs w:val="20"/>
          <w:color w:val="auto"/>
        </w:rPr>
      </w:pPr>
      <w:r>
        <w:rPr>
          <w:rFonts w:ascii="Arial" w:cs="Arial" w:eastAsia="Arial" w:hAnsi="Arial"/>
          <w:sz w:val="16"/>
          <w:szCs w:val="16"/>
          <w:b w:val="1"/>
          <w:bCs w:val="1"/>
          <w:color w:val="auto"/>
        </w:rPr>
        <w:t>8.1.1 Reports</w:t>
      </w:r>
      <w:r>
        <w:rPr>
          <w:rFonts w:ascii="Arial" w:cs="Arial" w:eastAsia="Arial" w:hAnsi="Arial"/>
          <w:sz w:val="16"/>
          <w:szCs w:val="16"/>
          <w:color w:val="auto"/>
        </w:rPr>
        <w:t>. Within [***] after the conclusion of each Calendar Quarter commencing with the first Calendar Quarter in which BioLine or an Affiliate of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first receives consideration from Net Sales and/or Sublicense Consideration, BioLine shall deliver to BGN a report containing the following information:</w:t>
      </w:r>
    </w:p>
    <w:p>
      <w:pPr>
        <w:spacing w:after="0" w:line="160" w:lineRule="exact"/>
        <w:rPr>
          <w:sz w:val="20"/>
          <w:szCs w:val="20"/>
          <w:color w:val="auto"/>
        </w:rPr>
      </w:pPr>
    </w:p>
    <w:p>
      <w:pPr>
        <w:ind w:left="860" w:hanging="240"/>
        <w:spacing w:after="0"/>
        <w:tabs>
          <w:tab w:leader="none" w:pos="8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number of units of Licensed Products sold by BioLine and its Affiliates in each country for the applicable Calendar Quarter;</w:t>
      </w:r>
    </w:p>
    <w:p>
      <w:pPr>
        <w:spacing w:after="0" w:line="241" w:lineRule="exact"/>
        <w:rPr>
          <w:rFonts w:ascii="Arial" w:cs="Arial" w:eastAsia="Arial" w:hAnsi="Arial"/>
          <w:sz w:val="17"/>
          <w:szCs w:val="17"/>
          <w:color w:val="auto"/>
        </w:rPr>
      </w:pPr>
    </w:p>
    <w:p>
      <w:pPr>
        <w:ind w:left="860" w:hanging="240"/>
        <w:spacing w:after="0"/>
        <w:tabs>
          <w:tab w:leader="none" w:pos="8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gross amount billed for the Licensed Product sold by BioLine and its Affiliates in each country during the applicable Calendar Quarter;</w:t>
      </w:r>
    </w:p>
    <w:p>
      <w:pPr>
        <w:spacing w:after="0" w:line="241" w:lineRule="exact"/>
        <w:rPr>
          <w:rFonts w:ascii="Arial" w:cs="Arial" w:eastAsia="Arial" w:hAnsi="Arial"/>
          <w:sz w:val="17"/>
          <w:szCs w:val="17"/>
          <w:color w:val="auto"/>
        </w:rPr>
      </w:pPr>
    </w:p>
    <w:p>
      <w:pPr>
        <w:ind w:left="860" w:hanging="240"/>
        <w:spacing w:after="0"/>
        <w:tabs>
          <w:tab w:leader="none" w:pos="8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 calculation of Net Sales for the applicable Calendar Quarter in each country, including a listing of applicable deductions;</w:t>
      </w:r>
    </w:p>
    <w:p>
      <w:pPr>
        <w:spacing w:after="0" w:line="241" w:lineRule="exact"/>
        <w:rPr>
          <w:rFonts w:ascii="Arial" w:cs="Arial" w:eastAsia="Arial" w:hAnsi="Arial"/>
          <w:sz w:val="17"/>
          <w:szCs w:val="17"/>
          <w:color w:val="auto"/>
        </w:rPr>
      </w:pPr>
    </w:p>
    <w:p>
      <w:pPr>
        <w:ind w:left="860" w:hanging="240"/>
        <w:spacing w:after="0"/>
        <w:tabs>
          <w:tab w:leader="none" w:pos="8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amount of Sublicense Consideration received by BioLine and/or Affiliates for the applicable Calendar Quarter; and</w:t>
      </w:r>
    </w:p>
    <w:p>
      <w:pPr>
        <w:spacing w:after="0" w:line="241" w:lineRule="exact"/>
        <w:rPr>
          <w:rFonts w:ascii="Arial" w:cs="Arial" w:eastAsia="Arial" w:hAnsi="Arial"/>
          <w:sz w:val="17"/>
          <w:szCs w:val="17"/>
          <w:color w:val="auto"/>
        </w:rPr>
      </w:pPr>
    </w:p>
    <w:p>
      <w:pPr>
        <w:ind w:firstLine="620"/>
        <w:spacing w:after="0" w:line="278" w:lineRule="auto"/>
        <w:tabs>
          <w:tab w:leader="none" w:pos="85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total amount payable to BGN in U.S. dollars for the applicable Calendar Quarter, together with exchange rates used for conversion, if any. The report shall state if no amounts are due to BGN for any Calendar Quarter.</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8.1.2 Payment</w:t>
      </w:r>
      <w:r>
        <w:rPr>
          <w:rFonts w:ascii="Arial" w:cs="Arial" w:eastAsia="Arial" w:hAnsi="Arial"/>
          <w:sz w:val="17"/>
          <w:szCs w:val="17"/>
          <w:color w:val="auto"/>
        </w:rPr>
        <w:t>. Concurrent with the delivery of each report delivered pursuant to Section 8.1.1, BioLine shall remit to BGN all amounts due to BGN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Calendar Quarter. All payments due under this Agreement shall be payable in the currency in which they were received. Any and all payments shall be performed by BioLine no later then [***] days following receipt of relevant payments by BioLine.</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8.2 Records and Audit</w:t>
      </w:r>
      <w:r>
        <w:rPr>
          <w:rFonts w:ascii="Arial" w:cs="Arial" w:eastAsia="Arial" w:hAnsi="Arial"/>
          <w:sz w:val="17"/>
          <w:szCs w:val="17"/>
          <w:color w:val="auto"/>
        </w:rPr>
        <w:t>. BioLine shall maintain, and shall cause its Affiliates to maintain, complete and accurate records of Licensed Products that are made, used,</w:t>
      </w:r>
      <w:r>
        <w:rPr>
          <w:rFonts w:ascii="Arial" w:cs="Arial" w:eastAsia="Arial" w:hAnsi="Arial"/>
          <w:sz w:val="17"/>
          <w:szCs w:val="17"/>
          <w:b w:val="1"/>
          <w:bCs w:val="1"/>
          <w:color w:val="auto"/>
        </w:rPr>
        <w:t xml:space="preserve"> </w:t>
      </w:r>
      <w:r>
        <w:rPr>
          <w:rFonts w:ascii="Arial" w:cs="Arial" w:eastAsia="Arial" w:hAnsi="Arial"/>
          <w:sz w:val="17"/>
          <w:szCs w:val="17"/>
          <w:color w:val="auto"/>
        </w:rPr>
        <w:t>marketed or sold under this Agreement, any amounts payable to BGN in relation to such Licensed Products and all Sublicense Consideration received by BioLine and its Affiliates, which records shall contain sufficient information to permit BGN to confirm the accuracy of any reports or notifications delivered to BGN under Section 8.1. The relevant party shall retain such records relating to a given Calendar Quarter for at least three (3) years after the conclusion of that Calendar Quarter. During such three (3) year period, BGN shall have the right, at BGN's expense, to cause an independent, certified public accountant, who is bound by a suitable confidentiality arrangement with BioLine, to inspect BioLine's and the relevant Affiliates' relevant records during normal business hours for the sole purpose of verifying any reports and payments delivered under this Agreement. Such accountant shall not disclose to BGN or any third party any information gained during the course of such inspection that does not directly relate to the accuracy of reports and payments delivered under this Agreement. The parties shall reconcile any underpayment or overpayment within thirty (30) days after the accountant delivers the results of the audit. BGN may exercise its rights under this Section 8.2 only once every year per audited party and only with reasonable prior notice to the audited party. BioLine shall cause its Affiliates to fully comply with the terms of this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218884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right="2360" w:hanging="5237"/>
        <w:spacing w:after="0" w:line="744" w:lineRule="auto"/>
        <w:tabs>
          <w:tab w:leader="none" w:pos="417" w:val="left"/>
        </w:tabs>
        <w:numPr>
          <w:ilvl w:val="0"/>
          <w:numId w:val="221"/>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99" w:name="page300"/>
    <w:bookmarkEnd w:id="299"/>
    <w:p>
      <w:pPr>
        <w:jc w:val="both"/>
        <w:spacing w:after="0" w:line="286" w:lineRule="auto"/>
        <w:rPr>
          <w:sz w:val="20"/>
          <w:szCs w:val="20"/>
          <w:color w:val="auto"/>
        </w:rPr>
      </w:pPr>
      <w:r>
        <w:rPr>
          <w:rFonts w:ascii="Arial" w:cs="Arial" w:eastAsia="Arial" w:hAnsi="Arial"/>
          <w:sz w:val="17"/>
          <w:szCs w:val="17"/>
          <w:b w:val="1"/>
          <w:bCs w:val="1"/>
          <w:color w:val="auto"/>
        </w:rPr>
        <w:t>8.3 Payment Method</w:t>
      </w:r>
      <w:r>
        <w:rPr>
          <w:rFonts w:ascii="Arial" w:cs="Arial" w:eastAsia="Arial" w:hAnsi="Arial"/>
          <w:sz w:val="17"/>
          <w:szCs w:val="17"/>
          <w:color w:val="auto"/>
        </w:rPr>
        <w:t>. Each payment due to BGN under this Agreement shall be made by wire transfer of funds to BGN accounts in accordance with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provided by BGN.</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8.4 Withholding and Similar Taxes</w:t>
      </w:r>
      <w:r>
        <w:rPr>
          <w:rFonts w:ascii="Arial" w:cs="Arial" w:eastAsia="Arial" w:hAnsi="Arial"/>
          <w:sz w:val="16"/>
          <w:szCs w:val="16"/>
          <w:color w:val="auto"/>
        </w:rPr>
        <w:t>. If applicable laws require that taxes be withheld from any amounts due to BGN under this Agreement, BioLine shall (a) deduct</w:t>
      </w:r>
      <w:r>
        <w:rPr>
          <w:rFonts w:ascii="Arial" w:cs="Arial" w:eastAsia="Arial" w:hAnsi="Arial"/>
          <w:sz w:val="16"/>
          <w:szCs w:val="16"/>
          <w:b w:val="1"/>
          <w:bCs w:val="1"/>
          <w:color w:val="auto"/>
        </w:rPr>
        <w:t xml:space="preserve"> </w:t>
      </w:r>
      <w:r>
        <w:rPr>
          <w:rFonts w:ascii="Arial" w:cs="Arial" w:eastAsia="Arial" w:hAnsi="Arial"/>
          <w:sz w:val="16"/>
          <w:szCs w:val="16"/>
          <w:color w:val="auto"/>
        </w:rPr>
        <w:t>these taxes from the remittable amount, (b) pay the taxes to the proper tax authority, and (c) promptly deliver to BGN a statement including the amount of tax withheld and justification therefore, and such other information as may be necessary for tax credit purposes. Each party agrees to assist the other party in claiming exemption from such deductions or withholdings under any double taxation or similar agreement or treaty from time to time in force.</w:t>
      </w:r>
    </w:p>
    <w:p>
      <w:pPr>
        <w:spacing w:after="0" w:line="181" w:lineRule="exact"/>
        <w:rPr>
          <w:sz w:val="20"/>
          <w:szCs w:val="20"/>
          <w:color w:val="auto"/>
        </w:rPr>
      </w:pPr>
    </w:p>
    <w:p>
      <w:pPr>
        <w:ind w:left="180" w:hanging="177"/>
        <w:spacing w:after="0"/>
        <w:tabs>
          <w:tab w:leader="none" w:pos="18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 Information</w:t>
      </w:r>
    </w:p>
    <w:p>
      <w:pPr>
        <w:spacing w:after="0" w:line="24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9.1 Confidentiality.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9.1.1 BGN Confidential Information</w:t>
      </w:r>
      <w:r>
        <w:rPr>
          <w:rFonts w:ascii="Arial" w:cs="Arial" w:eastAsia="Arial" w:hAnsi="Arial"/>
          <w:sz w:val="16"/>
          <w:szCs w:val="16"/>
          <w:color w:val="auto"/>
        </w:rPr>
        <w:t>. BioLine agrees that, without the prior written consent of BGN, in each case, during the term of this Agreement, and for five</w:t>
      </w:r>
    </w:p>
    <w:p>
      <w:pPr>
        <w:spacing w:after="0" w:line="39" w:lineRule="exact"/>
        <w:rPr>
          <w:sz w:val="20"/>
          <w:szCs w:val="20"/>
          <w:color w:val="auto"/>
        </w:rPr>
      </w:pPr>
    </w:p>
    <w:p>
      <w:pPr>
        <w:jc w:val="both"/>
        <w:ind w:firstLine="3"/>
        <w:spacing w:after="0" w:line="270" w:lineRule="auto"/>
        <w:tabs>
          <w:tab w:leader="none" w:pos="24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years thereafter, it will keep confidential, and not disclose or use BGN Confidential Information (as defined below) other than for the purposes of this Agreement or as detailed below. BioLine shall treat such BGN Confidential Information with the same degree of confidentiality as it keeps its own confidential information, but in all events no less than a reasonable degree of confidentiality. BioLine may disclose the BGN Confidential Information only to employees, consultants or researchers of BioLine or of its Affiliates who have a "need to know" such information in order to enable BioLine to exercise its rights or fulfill its obligations under this Agreement and provided such parties are legally bound by agreements which impose confidentiality and non-use obligations comparable to those set forth in this Agreement. For purposes of this Agreement, "BGN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BGN, or any of its employees, consultants or researchers to BioLine, whether in oral, written, graphic or machinereadable form, except to the extent such information: (i) was known to BioLine at the time it was disclosed, other than by previous disclosure by or on behalf of BGN or any of its employees, consultants or researchers, as evidenced by BioLine's written records at the time of disclosure; (ii) is at the time of disclosure or later becomes publicly known under circumstances involving no breach of this Agreement; (iii) is lawfully and in good faith made available to BioLine by a third party who is not subject to obligations of confidentiality to BGN with respect to such information; (iv) is independently developed by BioLine without the use of or reference to BGN Confidential Information, as demonstrated by documentary evidence, or (v) is disclosed pursuant to a court or administrative order, provided however that BioLine will first notify BGN of any such order and afford BGN the opportunity to seek a protective order relating to such disclosure.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0" w:name="page301"/>
    <w:bookmarkEnd w:id="300"/>
    <w:p>
      <w:pPr>
        <w:jc w:val="both"/>
        <w:spacing w:after="0" w:line="282" w:lineRule="auto"/>
        <w:rPr>
          <w:sz w:val="20"/>
          <w:szCs w:val="20"/>
          <w:color w:val="auto"/>
        </w:rPr>
      </w:pPr>
      <w:r>
        <w:rPr>
          <w:rFonts w:ascii="Arial" w:cs="Arial" w:eastAsia="Arial" w:hAnsi="Arial"/>
          <w:sz w:val="16"/>
          <w:szCs w:val="16"/>
          <w:color w:val="auto"/>
        </w:rPr>
        <w:t>Notwithstanding anything to the contrary in this Section 9.1.1, BioLine may disclose BGN Confidential Information to actual and potential business partners, collaborators, investors, contractors, service providers and consultants, provided, in each case, that such recipient of Confidential Information first enters into a legally binding agreement with BioLine which imposes confidentiality and non-use obligations with respect to Confidential Information comparable to those set forth in this Agreement for a period of at least five (5) from the date of disclosure of BGN Confidential Information to such recipient.</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color w:val="auto"/>
        </w:rPr>
        <w:t>9.1.2 BioLine Confidential Information</w:t>
      </w:r>
      <w:r>
        <w:rPr>
          <w:rFonts w:ascii="Arial" w:cs="Arial" w:eastAsia="Arial" w:hAnsi="Arial"/>
          <w:sz w:val="15"/>
          <w:szCs w:val="15"/>
          <w:color w:val="auto"/>
        </w:rPr>
        <w:t>. BGN agrees that, without the prior written consent of BioLine, in each case, during the term of this Agreement, and for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five (5) years thereafter, it will keep confidential, and not disclose or use BioLine Confidential Information (as defined below) other than for the purposes of this Agreement. BGN shall treat such BioLine Confidential Information with the same degree of confidentiality as it keeps its own confidential information, but in all events no less than a reasonable degree of confidentiality. BGN may disclose the BioLine Confidential Information only to employees, consultants or researchers of BGN or its Affiliates who have a "need to know" such information in order to enable BGN to exercise its rights or fulfill its obligations under this Agreement and provided such parties are legally bound by agreements which impose confidentiality and non-use obligations comparable to those set forth in this Agreement. For purposes of this Agreement, "BioLine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BioLine whether </w:t>
      </w:r>
      <w:r>
        <w:rPr>
          <w:rFonts w:ascii="Arial" w:cs="Arial" w:eastAsia="Arial" w:hAnsi="Arial"/>
          <w:sz w:val="15"/>
          <w:szCs w:val="15"/>
          <w:b w:val="1"/>
          <w:bCs w:val="1"/>
          <w:color w:val="auto"/>
        </w:rPr>
        <w:t>in oral</w:t>
      </w:r>
      <w:r>
        <w:rPr>
          <w:rFonts w:ascii="Arial" w:cs="Arial" w:eastAsia="Arial" w:hAnsi="Arial"/>
          <w:sz w:val="15"/>
          <w:szCs w:val="15"/>
          <w:color w:val="auto"/>
        </w:rPr>
        <w:t>, written, graphic or machine-readable form, except to the extent such information: (i) was known to BGN at the time it was disclosed, other than by previous disclosure by or on behalf of BioLine as evidenced by BGN's written records at the time of disclosure; (ii) is at the time of disclosure or later becomes publicly known under circumstances involving no breach of this Agreement; (iii) is lawfully and in good faith made available to BGN by a third party who is not subject to obligations of confidentiality to BioLine with respect to such information; (iv) is independently developed by BGN without the use of or reference to the BioLine Confidential Information, as demonstrated by documentary evidence; or (v) is disclosed pursuant to a court or administrative order, provided however that BGN will first notify BioLine of any such order and afford BioLine the opportunity to seek a protective order relating to such disclosure.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1" w:name="page302"/>
    <w:bookmarkEnd w:id="301"/>
    <w:p>
      <w:pPr>
        <w:jc w:val="both"/>
        <w:spacing w:after="0" w:line="263" w:lineRule="auto"/>
        <w:rPr>
          <w:sz w:val="20"/>
          <w:szCs w:val="20"/>
          <w:color w:val="auto"/>
        </w:rPr>
      </w:pPr>
      <w:r>
        <w:rPr>
          <w:rFonts w:ascii="Arial" w:cs="Arial" w:eastAsia="Arial" w:hAnsi="Arial"/>
          <w:sz w:val="17"/>
          <w:szCs w:val="17"/>
          <w:b w:val="1"/>
          <w:bCs w:val="1"/>
          <w:color w:val="auto"/>
        </w:rPr>
        <w:t>9.2 Disclosure of Agreement</w:t>
      </w:r>
      <w:r>
        <w:rPr>
          <w:rFonts w:ascii="Arial" w:cs="Arial" w:eastAsia="Arial" w:hAnsi="Arial"/>
          <w:sz w:val="17"/>
          <w:szCs w:val="17"/>
          <w:color w:val="auto"/>
        </w:rPr>
        <w:t>. Each party may disclose the terms of this Agreement to the extent required, in the reasonable opinion of such party's legal counsel,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applicable laws, as well as to sublicensees and prospective and current investors, pursuant to appropriate non-disclosure arrangements . If a party discloses this Agreement or any of the terms hereof in accordance with this Section 9.2, such party agrees, at its own expense , to seek confidential treatment of portions of this Agreement or such terms, as may be reasonably requested by the other party.</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9.3 Publicity. </w:t>
      </w:r>
      <w:r>
        <w:rPr>
          <w:rFonts w:ascii="Arial" w:cs="Arial" w:eastAsia="Arial" w:hAnsi="Arial"/>
          <w:sz w:val="17"/>
          <w:szCs w:val="17"/>
          <w:color w:val="auto"/>
        </w:rPr>
        <w:t>Except as expressly permitted under Section 9.2, no party will make, directly or indirectly, any announcement, publication, presentation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 regarding this Agreement or the Licensed Technology without the prior approval of the other party.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Patent Infringement.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Enforcement of Patent Rights.</w:t>
      </w:r>
    </w:p>
    <w:p>
      <w:pPr>
        <w:spacing w:after="0" w:line="24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b w:val="1"/>
          <w:bCs w:val="1"/>
          <w:color w:val="auto"/>
        </w:rPr>
        <w:t>10.1.1 Notice</w:t>
      </w:r>
      <w:r>
        <w:rPr>
          <w:rFonts w:ascii="Arial" w:cs="Arial" w:eastAsia="Arial" w:hAnsi="Arial"/>
          <w:sz w:val="16"/>
          <w:szCs w:val="16"/>
          <w:color w:val="auto"/>
        </w:rPr>
        <w:t>. In the event any party becomes aware of any possible or actual infringement or unauthorized possession, knowledge or use of any Licensed Patent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(collectively, an "Infringement'), that party shall promptly notify the other party and provide it with details regarding such Infringement.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10.1.2 Suit by BioLine</w:t>
      </w:r>
      <w:r>
        <w:rPr>
          <w:rFonts w:ascii="Arial" w:cs="Arial" w:eastAsia="Arial" w:hAnsi="Arial"/>
          <w:sz w:val="17"/>
          <w:szCs w:val="17"/>
          <w:color w:val="auto"/>
        </w:rPr>
        <w:t>. BioLine shall have the right, but not the obligation, to take action in the prosecution, prevention, or termination of any Infringement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Patent Rights. Should BioLine elect to bring suit against an infringer and BGN is joined as party plaintiff in any such suit, BGN shall have the right to approve the counsel selected by BioLine to represent BioLine and BGN, such approval not to be unreasonably withheld. The expenses of such suit or suits that BioLine elects to bring, including any expenses of BGN incurred in conjunction with the prosecution of such suits or the settlement thereof, shall be paid for entirely by BioLine and BioLine shall hold BGN free, clear and harmless from and against any and all costs of such litigation, including reasonable attorney's fees. BioLine shall not compromise or settle such litigation without the prior written consent of BGN, which consent shall not be unreasonably withheld or delayed. In the event BioLine exercises its right to sue pursuant to this Section 10.1.2,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BGN shall receive an amount equal to [***] of such funds and the remaining [***] of such funds shall be retained by BioLine.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218884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right="2360" w:hanging="5237"/>
        <w:spacing w:after="0" w:line="744" w:lineRule="auto"/>
        <w:tabs>
          <w:tab w:leader="none" w:pos="417"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2" w:name="page303"/>
    <w:bookmarkEnd w:id="302"/>
    <w:p>
      <w:pPr>
        <w:jc w:val="both"/>
        <w:spacing w:after="0" w:line="273" w:lineRule="auto"/>
        <w:rPr>
          <w:sz w:val="20"/>
          <w:szCs w:val="20"/>
          <w:color w:val="auto"/>
        </w:rPr>
      </w:pPr>
      <w:r>
        <w:rPr>
          <w:rFonts w:ascii="Arial" w:cs="Arial" w:eastAsia="Arial" w:hAnsi="Arial"/>
          <w:sz w:val="16"/>
          <w:szCs w:val="16"/>
          <w:b w:val="1"/>
          <w:bCs w:val="1"/>
          <w:color w:val="auto"/>
        </w:rPr>
        <w:t xml:space="preserve">10.1.3 Suit </w:t>
      </w:r>
      <w:r>
        <w:rPr>
          <w:rFonts w:ascii="Arial" w:cs="Arial" w:eastAsia="Arial" w:hAnsi="Arial"/>
          <w:sz w:val="16"/>
          <w:szCs w:val="16"/>
          <w:color w:val="auto"/>
        </w:rPr>
        <w:t>by BGN. If BioLine does not take action in the prosecution, prevention, or termination of any Infringement pursuant to Section 10.1.2 above, and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commenced negotiations with the infringing party for the discontinuance of said Infringement, within sixty (60) days after receipt of notice to BioLine by BGN of the existence of an Infringement, BGN may elect to do so. If BGN elects to bring suit against an infringing party and BioLine is joined as party plaintiff in any such suit, BioLine shall have the right to approve the counsel selected by BGN to represent BGN and BioLine, such approval not to be unreasonably withheld. The expenses of such suit or suits that BGN elect to bring, including any expenses of BioLine incurred in conjunction with the prosecution of such suits or the settlement thereof, shall be paid for entirely by BGN and BGN shall hold BioLine free, clear and harmless from and against any and all costs of such litigation, including reasonable attorney's fees. BGN shall not compromise or settle such litigation without the prior written consent of BioLine, which consent shall not be unreasonably withheld or delayed. In the event BGN exercise their right to sue pursuant to this Section 10.1.3, they shall first reimburse themselves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BioLine shall receive an amount equal to [***] of such funds and the remaining [***] of such funds shall be retained by BGN.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10.1.4 Own Counsel</w:t>
      </w:r>
      <w:r>
        <w:rPr>
          <w:rFonts w:ascii="Arial" w:cs="Arial" w:eastAsia="Arial" w:hAnsi="Arial"/>
          <w:sz w:val="17"/>
          <w:szCs w:val="17"/>
          <w:color w:val="auto"/>
        </w:rPr>
        <w:t>. Each party shall always have the right to be represented by counsel of its own selection and at its own expense in any suit instituted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for Infringement.</w:t>
      </w:r>
    </w:p>
    <w:p>
      <w:pPr>
        <w:spacing w:after="0" w:line="17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b w:val="1"/>
          <w:bCs w:val="1"/>
          <w:color w:val="auto"/>
        </w:rPr>
        <w:t>10.1.5 Cooperation</w:t>
      </w:r>
      <w:r>
        <w:rPr>
          <w:rFonts w:ascii="Arial" w:cs="Arial" w:eastAsia="Arial" w:hAnsi="Arial"/>
          <w:sz w:val="16"/>
          <w:szCs w:val="16"/>
          <w:color w:val="auto"/>
        </w:rPr>
        <w:t>. Each party agrees to cooperate fully in any action under this Section 10 which is controlled by another party, provided that the controlling party</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reimburses the cooperating party promptly for any costs and expenses incurred by the cooperating party in connection with providing such assistance.</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10.1.6 Standing</w:t>
      </w:r>
      <w:r>
        <w:rPr>
          <w:rFonts w:ascii="Arial" w:cs="Arial" w:eastAsia="Arial" w:hAnsi="Arial"/>
          <w:sz w:val="17"/>
          <w:szCs w:val="17"/>
          <w:color w:val="auto"/>
        </w:rPr>
        <w:t>. If a party lacks standing and another party has standing to bring any such suit, action or proceeding, then such other party shall do so at the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of and at the expense of the requesting party. If a party determines that it is necessary or desirable for another party to join any such suit, action or proceeding, the other party shall execute all papers and perform such other acts as may be reasonably required in the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10.1.7 Delegation</w:t>
      </w:r>
      <w:r>
        <w:rPr>
          <w:rFonts w:ascii="Arial" w:cs="Arial" w:eastAsia="Arial" w:hAnsi="Arial"/>
          <w:sz w:val="17"/>
          <w:szCs w:val="17"/>
          <w:color w:val="auto"/>
        </w:rPr>
        <w:t>. BioLine may delegate the performance of its obligations under this Section 10.1 to Subticensees.</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10.2 Legal Action Against a Party</w:t>
      </w:r>
      <w:r>
        <w:rPr>
          <w:rFonts w:ascii="Arial" w:cs="Arial" w:eastAsia="Arial" w:hAnsi="Arial"/>
          <w:sz w:val="17"/>
          <w:szCs w:val="17"/>
          <w:color w:val="auto"/>
        </w:rPr>
        <w:t>. Each Party will provide the others with prompt notice of any action, suit or proceeding brought against it, alleging the</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of the intellectual property rights of a third party by reason of the discovery, development, manufacture, use, sale, importation, or offer for sale of a Licensed Product or otherwise due to the use or practice of the Licensed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218884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390" w:lineRule="exact"/>
        <w:rPr>
          <w:sz w:val="20"/>
          <w:szCs w:val="20"/>
          <w:color w:val="auto"/>
        </w:rPr>
      </w:pPr>
    </w:p>
    <w:p>
      <w:pPr>
        <w:ind w:left="5240" w:right="2360" w:hanging="5237"/>
        <w:spacing w:after="0" w:line="744" w:lineRule="auto"/>
        <w:tabs>
          <w:tab w:leader="none" w:pos="417"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b w:val="1"/>
          <w:bCs w:val="1"/>
          <w:color w:val="auto"/>
        </w:rPr>
        <w:t>11. Warranties; Limitation of Liability.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11.1 Representations and Warranties</w:t>
      </w:r>
      <w:r>
        <w:rPr>
          <w:rFonts w:ascii="Arial" w:cs="Arial" w:eastAsia="Arial" w:hAnsi="Arial"/>
          <w:sz w:val="17"/>
          <w:szCs w:val="17"/>
          <w:color w:val="auto"/>
        </w:rPr>
        <w:t>. BGN hereby represents and warrants that (i) to its best knowledge BGU is the sole owner of the Licensed Patent Rights; (ii)</w:t>
      </w:r>
      <w:r>
        <w:rPr>
          <w:rFonts w:ascii="Arial" w:cs="Arial" w:eastAsia="Arial" w:hAnsi="Arial"/>
          <w:sz w:val="17"/>
          <w:szCs w:val="17"/>
          <w:b w:val="1"/>
          <w:bCs w:val="1"/>
          <w:color w:val="auto"/>
        </w:rPr>
        <w:t xml:space="preserve"> </w:t>
      </w:r>
      <w:r>
        <w:rPr>
          <w:rFonts w:ascii="Arial" w:cs="Arial" w:eastAsia="Arial" w:hAnsi="Arial"/>
          <w:sz w:val="17"/>
          <w:szCs w:val="17"/>
          <w:color w:val="auto"/>
        </w:rPr>
        <w:t>it has not granted any rights in or to Licensed Technology which are inconsistent with the rights granted to BioLine under this Agreement; (iii) it has full right and authority to grant the License granted under this Agreement; (iv) it will not transfer, assign, encumber, grant, sell, lease or otherwise dispose of the Licensed Technology other than as may be expressly permitted herein; and (v) it has no knowledge as of the date hereof of any legal suit or proceeding by a third party against BGN and/or BGU contesting the ownership or validity of the Licensed Patent Rights, or claiming that the practice of the Licensed Patent Rights in the manner contemplated by this Agreement would infringe the rights of such third party.</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11.2 No Warranty</w:t>
      </w:r>
      <w:r>
        <w:rPr>
          <w:rFonts w:ascii="Arial" w:cs="Arial" w:eastAsia="Arial" w:hAnsi="Arial"/>
          <w:sz w:val="17"/>
          <w:szCs w:val="17"/>
          <w:color w:val="auto"/>
        </w:rPr>
        <w:t>. Except as otherwise expressly provided in this Agreement, no party makes any warranty with respect to any technology, patents, goods,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or other subject matter of this Agreement and hereby disclaims warranties of merchantability, fitness for a particular purpose and non-infringement with respect to any and all of the foregoing.</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11.3 Limitation of Liability</w:t>
      </w:r>
      <w:r>
        <w:rPr>
          <w:rFonts w:ascii="Arial" w:cs="Arial" w:eastAsia="Arial" w:hAnsi="Arial"/>
          <w:sz w:val="17"/>
          <w:szCs w:val="17"/>
          <w:color w:val="auto"/>
        </w:rPr>
        <w:t>. Notwithstanding anything else in this Agreement or otherwise, neither BGN nor BioLine will be liable to the other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of this Agreement under any contract, negligence, strict liability or other legal or equitable theory for (i) any indirect, incidental, consequential or punitive damages or lost profits, and (ii) the cost of procurement of substitute goods, technology or services.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Indemnification.</w:t>
      </w:r>
    </w:p>
    <w:p>
      <w:pPr>
        <w:spacing w:after="0" w:line="24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12.1 Indemnity</w:t>
      </w:r>
      <w:r>
        <w:rPr>
          <w:rFonts w:ascii="Arial" w:cs="Arial" w:eastAsia="Arial" w:hAnsi="Arial"/>
          <w:sz w:val="16"/>
          <w:szCs w:val="16"/>
          <w:color w:val="auto"/>
        </w:rPr>
        <w:t>. BioLine shall indemnify, defend, and hold harmless BGN and its respective directors, officers, employees, and agents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heirs and assigns (the "BGN Indemnitees "), from and against any liability, damage, loss, or expense (including reasonable attorney's fees and expenses of litigation) incurred by or imposed upon any of the BGN Indemnitees in connection with any claims, suits, actions, demands or judgments (" Claims") concerning the use of any Licensed Technology by BioLine, or any of its Affiliates or Sublicensees, or concerning any product, process, or service that is made, used, or sold pursuant to any right or license granted by BGN to BioLine under this Agreement (except in cases where, and to the extent that, such claims, suits, actions, demands or judgments result from gross negligence or willful misconduct on the part of any of the BGN Indemnitees).</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12.2 Conditions for Indemnification</w:t>
      </w:r>
      <w:r>
        <w:rPr>
          <w:rFonts w:ascii="Arial" w:cs="Arial" w:eastAsia="Arial" w:hAnsi="Arial"/>
          <w:sz w:val="16"/>
          <w:szCs w:val="16"/>
          <w:color w:val="auto"/>
        </w:rPr>
        <w:t>. BioLine undertakings under Section 12.1 above shall be subject to: (a) receipt of prompt written notice of any Claim by a</w:t>
      </w:r>
      <w:r>
        <w:rPr>
          <w:rFonts w:ascii="Arial" w:cs="Arial" w:eastAsia="Arial" w:hAnsi="Arial"/>
          <w:sz w:val="16"/>
          <w:szCs w:val="16"/>
          <w:b w:val="1"/>
          <w:bCs w:val="1"/>
          <w:color w:val="auto"/>
        </w:rPr>
        <w:t xml:space="preserve"> </w:t>
      </w:r>
      <w:r>
        <w:rPr>
          <w:rFonts w:ascii="Arial" w:cs="Arial" w:eastAsia="Arial" w:hAnsi="Arial"/>
          <w:sz w:val="16"/>
          <w:szCs w:val="16"/>
          <w:color w:val="auto"/>
        </w:rPr>
        <w:t>BGN lndemnitee, (b) the cooperation of BGN and the BGN Indemnitee(s) regarding the response to and the defense of any such Claim, and (c) BioLine's right to assume the defense or represent the interests of the BGN lndemnitee in respect of such Claim, that shall include the right to select and direct legal counsel and other consultants to appear in proceedings on behalf of the BGN Indemnitee and to propose, accept or reject offers of settlement, all at its sole cost; provided however, that no such settlement shall be made without the written consent of the BGN Indemnitee, such consent not to be unreasonably withheld. Nothing herein shall prevent the BGN Indemnitee from retaining its own counsel and participating in its own defense at its own cost and expense.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4" w:name="page305"/>
    <w:bookmarkEnd w:id="304"/>
    <w:p>
      <w:pPr>
        <w:jc w:val="both"/>
        <w:spacing w:after="0" w:line="286" w:lineRule="auto"/>
        <w:rPr>
          <w:sz w:val="20"/>
          <w:szCs w:val="20"/>
          <w:color w:val="auto"/>
        </w:rPr>
      </w:pPr>
      <w:r>
        <w:rPr>
          <w:rFonts w:ascii="Arial" w:cs="Arial" w:eastAsia="Arial" w:hAnsi="Arial"/>
          <w:sz w:val="17"/>
          <w:szCs w:val="17"/>
          <w:b w:val="1"/>
          <w:bCs w:val="1"/>
          <w:color w:val="auto"/>
        </w:rPr>
        <w:t>12.3 Insurance</w:t>
      </w:r>
      <w:r>
        <w:rPr>
          <w:rFonts w:ascii="Arial" w:cs="Arial" w:eastAsia="Arial" w:hAnsi="Arial"/>
          <w:sz w:val="17"/>
          <w:szCs w:val="17"/>
          <w:color w:val="auto"/>
        </w:rPr>
        <w:t>. BioLine shall maintain insurance that is reasonably adequate to fulfill any potential obligation to the BGN Indemnitees consistent with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BioLine shall provide BGN, upon request, with written evidence of such insurance.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Term and Termination.</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13.1 Term. </w:t>
      </w:r>
      <w:r>
        <w:rPr>
          <w:rFonts w:ascii="Arial" w:cs="Arial" w:eastAsia="Arial" w:hAnsi="Arial"/>
          <w:sz w:val="17"/>
          <w:szCs w:val="17"/>
          <w:color w:val="auto"/>
        </w:rPr>
        <w:t>The term of this Agreement shall commence on the Effective Date and, unless earlier terminated as provided in this Section 13, shall continue in full force</w:t>
      </w:r>
      <w:r>
        <w:rPr>
          <w:rFonts w:ascii="Arial" w:cs="Arial" w:eastAsia="Arial" w:hAnsi="Arial"/>
          <w:sz w:val="17"/>
          <w:szCs w:val="17"/>
          <w:b w:val="1"/>
          <w:bCs w:val="1"/>
          <w:color w:val="auto"/>
        </w:rPr>
        <w:t xml:space="preserve"> </w:t>
      </w:r>
      <w:r>
        <w:rPr>
          <w:rFonts w:ascii="Arial" w:cs="Arial" w:eastAsia="Arial" w:hAnsi="Arial"/>
          <w:sz w:val="17"/>
          <w:szCs w:val="17"/>
          <w:color w:val="auto"/>
        </w:rPr>
        <w:t>and effect on until the expiration of all payment obligations pursuant to Section 7 for such Licensed Product, and as.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13.2 Effect of Expiration</w:t>
      </w:r>
      <w:r>
        <w:rPr>
          <w:rFonts w:ascii="Arial" w:cs="Arial" w:eastAsia="Arial" w:hAnsi="Arial"/>
          <w:sz w:val="17"/>
          <w:szCs w:val="17"/>
          <w:color w:val="auto"/>
        </w:rPr>
        <w:t>. Following the expiration of the last valid patent on the Licensed Technology underlying a product or service generating Net Sales in a</w:t>
      </w:r>
      <w:r>
        <w:rPr>
          <w:rFonts w:ascii="Arial" w:cs="Arial" w:eastAsia="Arial" w:hAnsi="Arial"/>
          <w:sz w:val="17"/>
          <w:szCs w:val="17"/>
          <w:b w:val="1"/>
          <w:bCs w:val="1"/>
          <w:color w:val="auto"/>
        </w:rPr>
        <w:t xml:space="preserve"> </w:t>
      </w:r>
      <w:r>
        <w:rPr>
          <w:rFonts w:ascii="Arial" w:cs="Arial" w:eastAsia="Arial" w:hAnsi="Arial"/>
          <w:sz w:val="17"/>
          <w:szCs w:val="17"/>
          <w:color w:val="auto"/>
        </w:rPr>
        <w:t>given country, on a country-by-country basis, (a) BioLine shall have a fully-paid up, nonexclusive, worldwide license (with the right to grant sublicenses) under the BGN Technology in such country solely to develop, have developed, manufacture, have manufactured, use, market, offer for sale, sell, have sold, import, export, otherwise transfer physical possession- of or otherwise transfer title to Licensed Products; and (b) BGN shall be free to use the Licensed Technology in such country to develop, make and have made, use, offer to sell, sell, have sold, import, export, otherwise transfer physical possession of or otherwise transfer title to Licensed Products and to grant others licenses under the Licensed Technology to do the same. To avoid doubt, to the extent that BioLine continues to receive Sublicense Consideration following such expiration, BGN shall continue to be entitled to receive Payments on Sublicense Consideration with respect thereto, notwithstanding the foregoing.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13.3 Termination.</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13.3.1 Termination By BioLine</w:t>
      </w:r>
      <w:r>
        <w:rPr>
          <w:rFonts w:ascii="Arial" w:cs="Arial" w:eastAsia="Arial" w:hAnsi="Arial"/>
          <w:sz w:val="17"/>
          <w:szCs w:val="17"/>
          <w:color w:val="auto"/>
        </w:rPr>
        <w:t>. BioLine may terminate this Agreement within the first two years of the term of the Agreement, with sixty (60) days prior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BGN, for commercial, economic, scientific or technological reasons, as it shall determine at its sole and absolute discretion. After such initial two year period, BioLine may terminate this Agreement without cause with sixty (60) days prior written notice to BGN.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13.3.2 Termination for Default.</w:t>
      </w:r>
    </w:p>
    <w:p>
      <w:pPr>
        <w:spacing w:after="0" w:line="24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b w:val="1"/>
          <w:bCs w:val="1"/>
          <w:color w:val="auto"/>
        </w:rPr>
        <w:t xml:space="preserve">13.3.2.1 </w:t>
      </w:r>
      <w:r>
        <w:rPr>
          <w:rFonts w:ascii="Arial" w:cs="Arial" w:eastAsia="Arial" w:hAnsi="Arial"/>
          <w:sz w:val="15"/>
          <w:szCs w:val="15"/>
          <w:color w:val="auto"/>
        </w:rPr>
        <w:t>In the event that BioLine commits a material breach of its obligations under this Agreement and fails to cure that breach within sixty (60) days after receiving</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notice thereof from BGN, BGN may terminate this Agreement immediately upon written notice to BioLine. In the event that BGN commits a material breach of its obligations under this Agreement and fails to cure that breach. within sixty (60) days after receiving written notice thereof from BioLine, BioLine may terminate this Agreement immediately upon written notice to BGN. Notwithstanding the foregoing, in the event that any breach is not susceptible of cure within the stated period and the breaching party uses diligent good faith efforts to cure such breach, the stated period will be extended by an additional thirty (30) days.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5" w:name="page306"/>
    <w:bookmarkEnd w:id="305"/>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13.3.2.2 </w:t>
      </w:r>
      <w:r>
        <w:rPr>
          <w:rFonts w:ascii="Arial" w:cs="Arial" w:eastAsia="Arial" w:hAnsi="Arial"/>
          <w:sz w:val="17"/>
          <w:szCs w:val="17"/>
          <w:color w:val="auto"/>
        </w:rPr>
        <w:t>In the event of an uncured material breach by any party as described in the foregoing paragraph, the other party may elect not to terminate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but, instead, to sue the breaching party for damages arising from such breach.</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13.3.3 Bankruptcy.</w:t>
      </w:r>
    </w:p>
    <w:p>
      <w:pPr>
        <w:spacing w:after="0" w:line="2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13.3.3.1 </w:t>
      </w:r>
      <w:r>
        <w:rPr>
          <w:rFonts w:ascii="Arial" w:cs="Arial" w:eastAsia="Arial" w:hAnsi="Arial"/>
          <w:sz w:val="16"/>
          <w:szCs w:val="16"/>
          <w:color w:val="auto"/>
        </w:rPr>
        <w:t>Either BioLine or BGN may terminate this Agreement upon notice to the other if the other party becomes insolvent, is adjudged bankrupt, applies for judicial</w:t>
      </w:r>
      <w:r>
        <w:rPr>
          <w:rFonts w:ascii="Arial" w:cs="Arial" w:eastAsia="Arial" w:hAnsi="Arial"/>
          <w:sz w:val="16"/>
          <w:szCs w:val="16"/>
          <w:b w:val="1"/>
          <w:bCs w:val="1"/>
          <w:color w:val="auto"/>
        </w:rPr>
        <w:t xml:space="preserve"> </w:t>
      </w:r>
      <w:r>
        <w:rPr>
          <w:rFonts w:ascii="Arial" w:cs="Arial" w:eastAsia="Arial" w:hAnsi="Arial"/>
          <w:sz w:val="16"/>
          <w:szCs w:val="16"/>
          <w:color w:val="auto"/>
        </w:rPr>
        <w:t>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ninety (90) days, or if the other party becomes the subject of liquidation or dissolution proceedings or otherwise discontinues business.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13.3.3.2 </w:t>
      </w:r>
      <w:r>
        <w:rPr>
          <w:rFonts w:ascii="Arial" w:cs="Arial" w:eastAsia="Arial" w:hAnsi="Arial"/>
          <w:sz w:val="17"/>
          <w:szCs w:val="17"/>
          <w:color w:val="auto"/>
        </w:rPr>
        <w:t>Notwithstanding the foregoing, in the event a receiver or trustee (or the like) is appointed or BioLine has entered into a settlement with its creditors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BioLine is otherwise meeting its obligations pursuant to this Agreement, BGN shall not be entitled to terminate this Agreement as contemplated under Section 13.3.3.1 during such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13.4 Effect of Termination.</w:t>
      </w:r>
    </w:p>
    <w:p>
      <w:pPr>
        <w:spacing w:after="0" w:line="2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13.4.1 Termination of Rights</w:t>
      </w:r>
      <w:r>
        <w:rPr>
          <w:rFonts w:ascii="Arial" w:cs="Arial" w:eastAsia="Arial" w:hAnsi="Arial"/>
          <w:sz w:val="16"/>
          <w:szCs w:val="16"/>
          <w:color w:val="auto"/>
        </w:rPr>
        <w:t>. Upon termination by BioLine pursuant to Sections 13.3.1, 13.3.2 or 13.3.3 hereof or by BGN pursuant to Sections 13.3.2 or 13.3.3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(except in the circumstances set out in Section 13.3.3.2): (a) the rights and licenses granted to BioLine under Section 2 shall terminate; (b) all rights in and to the Licensed Technology shall revert to BGN and BioLine shall not be entitled to make any further use whatsoever of the BGN Technology nor shall BioLine develop, make, have made, use, offer to sell, sell, have sold, import, export, otherwise transfer physical possession of or otherwise transfer title to Licensed Products developed in whole or in part under the rights granted hereunder; and (c) any existing agreements that contain a sublicense of the Licensed Technology shall terminate to the extent of such sublicense provided however, that, for each Sublicensee, upon termination of the sublicense agreement with such Sublicensee, BGN shall be obligated, at the request of such Sublicensee, to enter into a new license agreement with such Sublicensee on substantially the same terms as those contained in such sublicense agreement, provided that such terms shall be amended, if necessary, to the extent required to ensure that such sublicense agreement does not impose any obligations or liabilities on BGN which are not included in this Agreement.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13.4.2 Accruing Obligations</w:t>
      </w:r>
      <w:r>
        <w:rPr>
          <w:rFonts w:ascii="Arial" w:cs="Arial" w:eastAsia="Arial" w:hAnsi="Arial"/>
          <w:sz w:val="17"/>
          <w:szCs w:val="17"/>
          <w:color w:val="auto"/>
        </w:rPr>
        <w:t>. Termination of this Agreement shall not relieve the parties of obligations occurring prior to such termination, including obligations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pay amounts accruing hereunder up to the date of termination.</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13.5 Survival</w:t>
      </w:r>
      <w:r>
        <w:rPr>
          <w:rFonts w:ascii="Arial" w:cs="Arial" w:eastAsia="Arial" w:hAnsi="Arial"/>
          <w:sz w:val="17"/>
          <w:szCs w:val="17"/>
          <w:color w:val="auto"/>
        </w:rPr>
        <w:t>. The parties' respective rights, obligations and duties under Sections 3, 9, 11.4 and 14, as well as any rights, obligations and duties which by their nature</w:t>
      </w:r>
      <w:r>
        <w:rPr>
          <w:rFonts w:ascii="Arial" w:cs="Arial" w:eastAsia="Arial" w:hAnsi="Arial"/>
          <w:sz w:val="17"/>
          <w:szCs w:val="17"/>
          <w:b w:val="1"/>
          <w:bCs w:val="1"/>
          <w:color w:val="auto"/>
        </w:rPr>
        <w:t xml:space="preserve"> </w:t>
      </w:r>
      <w:r>
        <w:rPr>
          <w:rFonts w:ascii="Arial" w:cs="Arial" w:eastAsia="Arial" w:hAnsi="Arial"/>
          <w:sz w:val="17"/>
          <w:szCs w:val="17"/>
          <w:color w:val="auto"/>
        </w:rPr>
        <w:t>extend beyond the expiration or termination of this Agreement, shall survive any expiration or termination of this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t>14. Miscellaneous.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14.1 Entire Agreement</w:t>
      </w:r>
      <w:r>
        <w:rPr>
          <w:rFonts w:ascii="Arial" w:cs="Arial" w:eastAsia="Arial" w:hAnsi="Arial"/>
          <w:sz w:val="17"/>
          <w:szCs w:val="17"/>
          <w:color w:val="auto"/>
        </w:rPr>
        <w:t>. This Agreement is the sole agreement with respect to the subject matter hereof and except as expressly set forth herein, supersedes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and understandings between the parties with respect to same.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14.2 Publicity Restrictions</w:t>
      </w:r>
      <w:r>
        <w:rPr>
          <w:rFonts w:ascii="Arial" w:cs="Arial" w:eastAsia="Arial" w:hAnsi="Arial"/>
          <w:sz w:val="17"/>
          <w:szCs w:val="17"/>
          <w:color w:val="auto"/>
        </w:rPr>
        <w:t>. Subject to Section 9.3, BioLine and its Affiliates and Sublicensees shall not use the name of BGN or any of its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or agents, or any adaptation of such names, in any promotional material or other public announcement or disclosure relating to the subject matter of this Agreement or in connection with the marketing or sale of any Licensed Products, without the prior written consent of BGN. Subject to Section 9.3, BGN and its Affiliates shall not use the name of BioLine and its Affiliates and Sublicensees or any of their employees, directors, stockholders and/or representatives or any adaptation of such names, in any promotional material or other public announcement or disclosure relating to the subject matter of this Agreement, without the prior written consent of BioLine.</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14.3 Notices</w:t>
      </w:r>
      <w:r>
        <w:rPr>
          <w:rFonts w:ascii="Arial" w:cs="Arial" w:eastAsia="Arial" w:hAnsi="Arial"/>
          <w:sz w:val="17"/>
          <w:szCs w:val="17"/>
          <w:color w:val="auto"/>
        </w:rPr>
        <w:t>. Unless otherwise specifically provided, all notices required or permitted by this Agreement shall be in writing and may be delivered personally, or may</w:t>
      </w:r>
      <w:r>
        <w:rPr>
          <w:rFonts w:ascii="Arial" w:cs="Arial" w:eastAsia="Arial" w:hAnsi="Arial"/>
          <w:sz w:val="17"/>
          <w:szCs w:val="17"/>
          <w:b w:val="1"/>
          <w:bCs w:val="1"/>
          <w:color w:val="auto"/>
        </w:rPr>
        <w:t xml:space="preserve"> </w:t>
      </w:r>
      <w:r>
        <w:rPr>
          <w:rFonts w:ascii="Arial" w:cs="Arial" w:eastAsia="Arial" w:hAnsi="Arial"/>
          <w:sz w:val="17"/>
          <w:szCs w:val="17"/>
          <w:color w:val="auto"/>
        </w:rPr>
        <w:t>be sent by facsimile or certified mail, return receipt requested, to the following addresses, unless the parties are subsequently notified of any change of address in accordance with this Section 14.3:</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BioLine: BioLine Innovations Jerusalem L.P</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Jerusalem 91450</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Attention: CEO and VP Finance</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Fax: 972-2-548-9101</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a copy (which Yigal Arnon &amp; Co., Law Offices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shall not constitute 22 Rivlin Street</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notice) to: Jerusalem, 94263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Attention: Barry Levenfeld</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Fax: 972-2-623-9236</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BGN: B.G.Negcv Technologies and Applications Ltd.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 Henrietta Sold street</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P.O.Box 653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Beer-Sheva, 84105</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Israel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7" w:name="page308"/>
    <w:bookmarkEnd w:id="307"/>
    <w:p>
      <w:pPr>
        <w:ind w:left="620"/>
        <w:spacing w:after="0"/>
        <w:rPr>
          <w:sz w:val="20"/>
          <w:szCs w:val="20"/>
          <w:color w:val="auto"/>
        </w:rPr>
      </w:pPr>
      <w:r>
        <w:rPr>
          <w:rFonts w:ascii="Arial" w:cs="Arial" w:eastAsia="Arial" w:hAnsi="Arial"/>
          <w:sz w:val="17"/>
          <w:szCs w:val="17"/>
          <w:color w:val="auto"/>
        </w:rPr>
        <w:t>Attn: Ora Horovitz</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Fax: 972-8-6276420</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With a copy (which</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Bach, Arad, Sharf and Co.</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shall not constitute 2 Hashalom Rd.</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notice) to: Tel-Aviv</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Attention: Adv. Eytan Liraz</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Fax: 972-3-5625304</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Any notice shall be deemed to have been received as follows: (i) by personal delivery, upon receipt; (ii) by facsimile, one business day after transmission or dispatch;</w:t>
      </w:r>
    </w:p>
    <w:p>
      <w:pPr>
        <w:spacing w:after="0" w:line="44" w:lineRule="exact"/>
        <w:rPr>
          <w:sz w:val="20"/>
          <w:szCs w:val="20"/>
          <w:color w:val="auto"/>
        </w:rPr>
      </w:pPr>
    </w:p>
    <w:p>
      <w:pPr>
        <w:ind w:firstLine="3"/>
        <w:spacing w:after="0" w:line="265" w:lineRule="auto"/>
        <w:tabs>
          <w:tab w:leader="none" w:pos="30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by airmail, three (3) business days after delivery to the postal authorities by the party </w:t>
      </w:r>
      <w:r>
        <w:rPr>
          <w:rFonts w:ascii="Arial" w:cs="Arial" w:eastAsia="Arial" w:hAnsi="Arial"/>
          <w:sz w:val="17"/>
          <w:szCs w:val="17"/>
          <w:i w:val="1"/>
          <w:iCs w:val="1"/>
          <w:color w:val="auto"/>
        </w:rPr>
        <w:t>serving</w:t>
      </w:r>
      <w:r>
        <w:rPr>
          <w:rFonts w:ascii="Arial" w:cs="Arial" w:eastAsia="Arial" w:hAnsi="Arial"/>
          <w:sz w:val="17"/>
          <w:szCs w:val="17"/>
          <w:color w:val="auto"/>
        </w:rPr>
        <w:t xml:space="preserve"> notice. If notice is sent by facsimile, a confirming copy of the same shall be sent by mail to the same address.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14.4 Governing Law and Jurisdiction</w:t>
      </w:r>
      <w:r>
        <w:rPr>
          <w:rFonts w:ascii="Arial" w:cs="Arial" w:eastAsia="Arial" w:hAnsi="Arial"/>
          <w:sz w:val="17"/>
          <w:szCs w:val="17"/>
          <w:color w:val="auto"/>
        </w:rPr>
        <w:t>. This Agreement shall be governed by and construed in accordance with the laws of the State of Israel, without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of principles of conflicts of law, except for matters of patent law, which, other than for matters of inventorship on patents, shall be governed by the patent laws of the relevant country of the patent. The parties hereby consent to personal jurisdiction in Israel and agree that any lawsuit they file to enforce their respective rights under this Agreement shall be brought in the competent court in Tel Aviv, Israel.</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14.5 Binding Effect</w:t>
      </w:r>
      <w:r>
        <w:rPr>
          <w:rFonts w:ascii="Arial" w:cs="Arial" w:eastAsia="Arial" w:hAnsi="Arial"/>
          <w:sz w:val="17"/>
          <w:szCs w:val="17"/>
          <w:color w:val="auto"/>
        </w:rPr>
        <w:t>. This Agreement shall be binding upon and inure to the benefit of the parties and their respective legal representatives, successors and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14.6 Headings</w:t>
      </w:r>
      <w:r>
        <w:rPr>
          <w:rFonts w:ascii="Arial" w:cs="Arial" w:eastAsia="Arial" w:hAnsi="Arial"/>
          <w:sz w:val="17"/>
          <w:szCs w:val="17"/>
          <w:color w:val="auto"/>
        </w:rPr>
        <w:t>. Section and subsection headings are inserted for convenience of reference only and do not form a part of this Agreement.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14.7 Counterparts</w:t>
      </w:r>
      <w:r>
        <w:rPr>
          <w:rFonts w:ascii="Arial" w:cs="Arial" w:eastAsia="Arial" w:hAnsi="Arial"/>
          <w:sz w:val="17"/>
          <w:szCs w:val="17"/>
          <w:color w:val="auto"/>
        </w:rPr>
        <w:t>. This Agreement may be executed simultaneously in two or more counterparts, each of which shall be deemed an original.</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14.8 Amendment</w:t>
      </w:r>
      <w:r>
        <w:rPr>
          <w:rFonts w:ascii="Arial" w:cs="Arial" w:eastAsia="Arial" w:hAnsi="Arial"/>
          <w:sz w:val="17"/>
          <w:szCs w:val="17"/>
          <w:color w:val="auto"/>
        </w:rPr>
        <w:t>;</w:t>
      </w:r>
      <w:r>
        <w:rPr>
          <w:rFonts w:ascii="Arial" w:cs="Arial" w:eastAsia="Arial" w:hAnsi="Arial"/>
          <w:sz w:val="17"/>
          <w:szCs w:val="17"/>
          <w:b w:val="1"/>
          <w:bCs w:val="1"/>
          <w:color w:val="auto"/>
        </w:rPr>
        <w:t xml:space="preserve"> Waiver</w:t>
      </w:r>
      <w:r>
        <w:rPr>
          <w:rFonts w:ascii="Arial" w:cs="Arial" w:eastAsia="Arial" w:hAnsi="Arial"/>
          <w:sz w:val="17"/>
          <w:szCs w:val="17"/>
          <w:color w:val="auto"/>
        </w:rPr>
        <w:t>. This Agreement may be amended, modified, superseded or canceled, and any of the terms may be waived, only by a written instrument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by each party or, in the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08" w:name="page309"/>
    <w:bookmarkEnd w:id="308"/>
    <w:p>
      <w:pPr>
        <w:jc w:val="both"/>
        <w:spacing w:after="0" w:line="286" w:lineRule="auto"/>
        <w:rPr>
          <w:sz w:val="20"/>
          <w:szCs w:val="20"/>
          <w:color w:val="auto"/>
        </w:rPr>
      </w:pPr>
      <w:r>
        <w:rPr>
          <w:rFonts w:ascii="Arial" w:cs="Arial" w:eastAsia="Arial" w:hAnsi="Arial"/>
          <w:sz w:val="17"/>
          <w:szCs w:val="17"/>
          <w:b w:val="1"/>
          <w:bCs w:val="1"/>
          <w:color w:val="auto"/>
        </w:rPr>
        <w:t>14.9 No Agency or Partnership</w:t>
      </w:r>
      <w:r>
        <w:rPr>
          <w:rFonts w:ascii="Arial" w:cs="Arial" w:eastAsia="Arial" w:hAnsi="Arial"/>
          <w:sz w:val="17"/>
          <w:szCs w:val="17"/>
          <w:color w:val="auto"/>
        </w:rPr>
        <w:t>. Nothing contained in this Agreement shall give any party the right to bind another, or be deemed to constitute either parties as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for each other or as partners with each other or any third party.</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color w:val="auto"/>
        </w:rPr>
        <w:t>14.10 Assignment and Successors</w:t>
      </w:r>
      <w:r>
        <w:rPr>
          <w:rFonts w:ascii="Arial" w:cs="Arial" w:eastAsia="Arial" w:hAnsi="Arial"/>
          <w:sz w:val="15"/>
          <w:szCs w:val="15"/>
          <w:color w:val="auto"/>
        </w:rPr>
        <w:t>. This Agreement may not be assigned by either party without the consent of the other party, which consent shall not be</w:t>
      </w:r>
      <w:r>
        <w:rPr>
          <w:rFonts w:ascii="Arial" w:cs="Arial" w:eastAsia="Arial" w:hAnsi="Arial"/>
          <w:sz w:val="15"/>
          <w:szCs w:val="15"/>
          <w:b w:val="1"/>
          <w:bCs w:val="1"/>
          <w:color w:val="auto"/>
        </w:rPr>
        <w:t xml:space="preserve"> </w:t>
      </w:r>
      <w:r>
        <w:rPr>
          <w:rFonts w:ascii="Arial" w:cs="Arial" w:eastAsia="Arial" w:hAnsi="Arial"/>
          <w:sz w:val="15"/>
          <w:szCs w:val="15"/>
          <w:color w:val="auto"/>
        </w:rPr>
        <w:t>unreasonably withheld or delayed; provided however, that each party (including its successors or assigns) may, without such consent, assign this Agreement and the rights, obligations and interests of such party, in whole or in part, to any of its Affiliates, to any purchaser of all or substantially all of its assets or research to which the subject matter of this Agreement relates, or to any successor corporation resulting from any merger or consolidation of such party with or into such corporation.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14.11 Force Majeure</w:t>
      </w:r>
      <w:r>
        <w:rPr>
          <w:rFonts w:ascii="Arial" w:cs="Arial" w:eastAsia="Arial" w:hAnsi="Arial"/>
          <w:sz w:val="17"/>
          <w:szCs w:val="17"/>
          <w:color w:val="auto"/>
        </w:rPr>
        <w:t>. Neither party will be responsible for delays resulting from causes beyond the reasonable control of such party,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14.12 Interpretation</w:t>
      </w:r>
      <w:r>
        <w:rPr>
          <w:rFonts w:ascii="Arial" w:cs="Arial" w:eastAsia="Arial" w:hAnsi="Arial"/>
          <w:sz w:val="17"/>
          <w:szCs w:val="17"/>
          <w:color w:val="auto"/>
        </w:rPr>
        <w:t>. The parties hereto acknowledge and agree that: (i) each Party and its counsel reviewed and negotiated the terms and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both parties hereto and not in favor of or against either party, regardless of which party was generally responsible for the preparation of this Agreement.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14.13 Severability. </w:t>
      </w:r>
      <w:r>
        <w:rPr>
          <w:rFonts w:ascii="Arial" w:cs="Arial" w:eastAsia="Arial" w:hAnsi="Arial"/>
          <w:sz w:val="17"/>
          <w:szCs w:val="17"/>
          <w:color w:val="auto"/>
        </w:rPr>
        <w:t>If any provision of this Agreement is or becomes invalid or is ruled invalid by any court of competent jurisdiction or is deemed unenforceable, it</w:t>
      </w:r>
      <w:r>
        <w:rPr>
          <w:rFonts w:ascii="Arial" w:cs="Arial" w:eastAsia="Arial" w:hAnsi="Arial"/>
          <w:sz w:val="17"/>
          <w:szCs w:val="17"/>
          <w:b w:val="1"/>
          <w:bCs w:val="1"/>
          <w:color w:val="auto"/>
        </w:rPr>
        <w:t xml:space="preserve"> </w:t>
      </w:r>
      <w:r>
        <w:rPr>
          <w:rFonts w:ascii="Arial" w:cs="Arial" w:eastAsia="Arial" w:hAnsi="Arial"/>
          <w:sz w:val="17"/>
          <w:szCs w:val="17"/>
          <w:color w:val="auto"/>
        </w:rPr>
        <w:t>is the intention of the parties that the remainder of this Agreement shall not be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14.14 Exhibits</w:t>
      </w:r>
      <w:r>
        <w:rPr>
          <w:rFonts w:ascii="Arial" w:cs="Arial" w:eastAsia="Arial" w:hAnsi="Arial"/>
          <w:sz w:val="17"/>
          <w:szCs w:val="17"/>
          <w:color w:val="auto"/>
        </w:rPr>
        <w:t>. The following exhibits form an integral part of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Exhibit A: Current Invention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Exhibit B: Development Plan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Exhibit C: Patent Rights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Exhibit D: Milestones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9" w:name="page310"/>
    <w:bookmarkEnd w:id="309"/>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have caused this Agreement to be executed by their duly authorized representatives as of the date first written above.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2"/>
          </w:tcPr>
          <w:p>
            <w:pPr>
              <w:spacing w:after="0"/>
              <w:rPr>
                <w:sz w:val="20"/>
                <w:szCs w:val="20"/>
                <w:color w:val="auto"/>
              </w:rPr>
            </w:pPr>
            <w:r>
              <w:rPr>
                <w:rFonts w:ascii="Arial" w:cs="Arial" w:eastAsia="Arial" w:hAnsi="Arial"/>
                <w:sz w:val="17"/>
                <w:szCs w:val="17"/>
                <w:b w:val="1"/>
                <w:bCs w:val="1"/>
                <w:color w:val="auto"/>
              </w:rPr>
              <w:t>B.G. Negev Technologies and</w:t>
            </w:r>
          </w:p>
        </w:tc>
        <w:tc>
          <w:tcPr>
            <w:tcW w:w="4600" w:type="dxa"/>
            <w:vAlign w:val="bottom"/>
            <w:gridSpan w:val="2"/>
          </w:tcPr>
          <w:p>
            <w:pPr>
              <w:ind w:left="1240"/>
              <w:spacing w:after="0"/>
              <w:rPr>
                <w:sz w:val="20"/>
                <w:szCs w:val="20"/>
                <w:color w:val="auto"/>
              </w:rPr>
            </w:pPr>
            <w:r>
              <w:rPr>
                <w:rFonts w:ascii="Arial" w:cs="Arial" w:eastAsia="Arial" w:hAnsi="Arial"/>
                <w:sz w:val="17"/>
                <w:szCs w:val="17"/>
                <w:b w:val="1"/>
                <w:bCs w:val="1"/>
                <w:color w:val="auto"/>
              </w:rPr>
              <w:t>BioLine Innovations Jerusalem L.P.</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7"/>
                <w:szCs w:val="17"/>
                <w:b w:val="1"/>
                <w:bCs w:val="1"/>
                <w:color w:val="auto"/>
              </w:rPr>
              <w:t>Applications Ltd.</w:t>
            </w:r>
          </w:p>
        </w:tc>
        <w:tc>
          <w:tcPr>
            <w:tcW w:w="4600" w:type="dxa"/>
            <w:vAlign w:val="bottom"/>
            <w:gridSpan w:val="2"/>
            <w:vMerge w:val="restart"/>
          </w:tcPr>
          <w:p>
            <w:pPr>
              <w:ind w:left="1240"/>
              <w:spacing w:after="0"/>
              <w:rPr>
                <w:sz w:val="20"/>
                <w:szCs w:val="20"/>
                <w:color w:val="auto"/>
              </w:rPr>
            </w:pPr>
            <w:r>
              <w:rPr>
                <w:rFonts w:ascii="Arial" w:cs="Arial" w:eastAsia="Arial" w:hAnsi="Arial"/>
                <w:sz w:val="17"/>
                <w:szCs w:val="17"/>
                <w:b w:val="1"/>
                <w:bCs w:val="1"/>
                <w:color w:val="auto"/>
              </w:rPr>
              <w:t>By its General Partner:</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600" w:type="dxa"/>
            <w:vAlign w:val="bottom"/>
            <w:gridSpan w:val="2"/>
          </w:tcPr>
          <w:p>
            <w:pPr>
              <w:ind w:left="1240"/>
              <w:spacing w:after="0"/>
              <w:rPr>
                <w:sz w:val="20"/>
                <w:szCs w:val="20"/>
                <w:color w:val="auto"/>
              </w:rPr>
            </w:pPr>
            <w:r>
              <w:rPr>
                <w:rFonts w:ascii="Arial" w:cs="Arial" w:eastAsia="Arial" w:hAnsi="Arial"/>
                <w:sz w:val="17"/>
                <w:szCs w:val="17"/>
                <w:b w:val="1"/>
                <w:bCs w:val="1"/>
                <w:color w:val="auto"/>
              </w:rPr>
              <w:t>BioLine Innovations Jerusalem Ltd.</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20" w:type="dxa"/>
            <w:vAlign w:val="bottom"/>
          </w:tcPr>
          <w:p>
            <w:pPr>
              <w:ind w:left="100"/>
              <w:spacing w:after="0"/>
              <w:rPr>
                <w:sz w:val="20"/>
                <w:szCs w:val="20"/>
                <w:color w:val="auto"/>
              </w:rPr>
            </w:pPr>
            <w:r>
              <w:rPr>
                <w:rFonts w:ascii="Arial" w:cs="Arial" w:eastAsia="Arial" w:hAnsi="Arial"/>
                <w:sz w:val="17"/>
                <w:szCs w:val="17"/>
                <w:b w:val="1"/>
                <w:bCs w:val="1"/>
                <w:color w:val="auto"/>
              </w:rPr>
              <w:t>/s/ Moti Herskowitz  /s/ Netta Cohen</w:t>
            </w:r>
          </w:p>
        </w:tc>
        <w:tc>
          <w:tcPr>
            <w:tcW w:w="1700" w:type="dxa"/>
            <w:vAlign w:val="bottom"/>
          </w:tcPr>
          <w:p>
            <w:pPr>
              <w:ind w:left="1240"/>
              <w:spacing w:after="0"/>
              <w:rPr>
                <w:sz w:val="20"/>
                <w:szCs w:val="20"/>
                <w:color w:val="auto"/>
              </w:rPr>
            </w:pPr>
            <w:r>
              <w:rPr>
                <w:rFonts w:ascii="Arial" w:cs="Arial" w:eastAsia="Arial" w:hAnsi="Arial"/>
                <w:sz w:val="17"/>
                <w:szCs w:val="17"/>
                <w:b w:val="1"/>
                <w:bCs w:val="1"/>
                <w:color w:val="auto"/>
              </w:rPr>
              <w:t>By:</w:t>
            </w:r>
          </w:p>
        </w:tc>
        <w:tc>
          <w:tcPr>
            <w:tcW w:w="2900" w:type="dxa"/>
            <w:vAlign w:val="bottom"/>
          </w:tcPr>
          <w:p>
            <w:pPr>
              <w:ind w:left="100"/>
              <w:spacing w:after="0"/>
              <w:rPr>
                <w:sz w:val="20"/>
                <w:szCs w:val="20"/>
                <w:color w:val="auto"/>
              </w:rPr>
            </w:pPr>
            <w:r>
              <w:rPr>
                <w:rFonts w:ascii="Arial" w:cs="Arial" w:eastAsia="Arial" w:hAnsi="Arial"/>
                <w:sz w:val="17"/>
                <w:szCs w:val="17"/>
                <w:b w:val="1"/>
                <w:bCs w:val="1"/>
                <w:color w:val="auto"/>
                <w:w w:val="91"/>
              </w:rPr>
              <w:t>/s/ Morris Laster, /s/ Aharon Schwartz</w:t>
            </w:r>
          </w:p>
        </w:tc>
        <w:tc>
          <w:tcPr>
            <w:tcW w:w="0" w:type="dxa"/>
            <w:vAlign w:val="bottom"/>
          </w:tcPr>
          <w:p>
            <w:pPr>
              <w:spacing w:after="0"/>
              <w:rPr>
                <w:sz w:val="1"/>
                <w:szCs w:val="1"/>
                <w:color w:val="auto"/>
              </w:rPr>
            </w:pPr>
          </w:p>
        </w:tc>
      </w:tr>
      <w:tr>
        <w:trPr>
          <w:trHeight w:val="206"/>
        </w:trPr>
        <w:tc>
          <w:tcPr>
            <w:tcW w:w="4480" w:type="dxa"/>
            <w:vAlign w:val="bottom"/>
            <w:gridSpan w:val="2"/>
          </w:tcPr>
          <w:p>
            <w:pPr>
              <w:spacing w:after="0"/>
              <w:rPr>
                <w:sz w:val="20"/>
                <w:szCs w:val="20"/>
                <w:color w:val="auto"/>
              </w:rPr>
            </w:pPr>
            <w:r>
              <w:rPr>
                <w:rFonts w:ascii="Arial" w:cs="Arial" w:eastAsia="Arial" w:hAnsi="Arial"/>
                <w:sz w:val="17"/>
                <w:szCs w:val="17"/>
                <w:b w:val="1"/>
                <w:bCs w:val="1"/>
                <w:color w:val="auto"/>
              </w:rPr>
              <w:t>Name: Moti Herskowitz, Netta Cohen</w:t>
            </w:r>
          </w:p>
        </w:tc>
        <w:tc>
          <w:tcPr>
            <w:tcW w:w="4600" w:type="dxa"/>
            <w:vAlign w:val="bottom"/>
            <w:gridSpan w:val="2"/>
          </w:tcPr>
          <w:p>
            <w:pPr>
              <w:ind w:left="1240"/>
              <w:spacing w:after="0"/>
              <w:rPr>
                <w:sz w:val="20"/>
                <w:szCs w:val="20"/>
                <w:color w:val="auto"/>
              </w:rPr>
            </w:pPr>
            <w:r>
              <w:rPr>
                <w:rFonts w:ascii="Arial" w:cs="Arial" w:eastAsia="Arial" w:hAnsi="Arial"/>
                <w:sz w:val="17"/>
                <w:szCs w:val="17"/>
                <w:b w:val="1"/>
                <w:bCs w:val="1"/>
                <w:color w:val="auto"/>
              </w:rPr>
              <w:t>Name: Morris Laster, Aharon Schwartz</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20" w:type="dxa"/>
            <w:vAlign w:val="bottom"/>
          </w:tcPr>
          <w:p>
            <w:pPr>
              <w:ind w:left="60"/>
              <w:spacing w:after="0"/>
              <w:rPr>
                <w:sz w:val="20"/>
                <w:szCs w:val="20"/>
                <w:color w:val="auto"/>
              </w:rPr>
            </w:pPr>
            <w:r>
              <w:rPr>
                <w:rFonts w:ascii="Arial" w:cs="Arial" w:eastAsia="Arial" w:hAnsi="Arial"/>
                <w:sz w:val="17"/>
                <w:szCs w:val="17"/>
                <w:b w:val="1"/>
                <w:bCs w:val="1"/>
                <w:color w:val="auto"/>
              </w:rPr>
              <w:t>Director, CEO</w:t>
            </w:r>
          </w:p>
        </w:tc>
        <w:tc>
          <w:tcPr>
            <w:tcW w:w="1700" w:type="dxa"/>
            <w:vAlign w:val="bottom"/>
          </w:tcPr>
          <w:p>
            <w:pPr>
              <w:ind w:left="1240"/>
              <w:spacing w:after="0"/>
              <w:rPr>
                <w:sz w:val="20"/>
                <w:szCs w:val="20"/>
                <w:color w:val="auto"/>
              </w:rPr>
            </w:pPr>
            <w:r>
              <w:rPr>
                <w:rFonts w:ascii="Arial" w:cs="Arial" w:eastAsia="Arial" w:hAnsi="Arial"/>
                <w:sz w:val="17"/>
                <w:szCs w:val="17"/>
                <w:b w:val="1"/>
                <w:bCs w:val="1"/>
                <w:color w:val="auto"/>
              </w:rPr>
              <w:t>Title:</w:t>
            </w:r>
          </w:p>
        </w:tc>
        <w:tc>
          <w:tcPr>
            <w:tcW w:w="2900" w:type="dxa"/>
            <w:vAlign w:val="bottom"/>
          </w:tcPr>
          <w:p>
            <w:pPr>
              <w:ind w:left="60"/>
              <w:spacing w:after="0"/>
              <w:rPr>
                <w:sz w:val="20"/>
                <w:szCs w:val="20"/>
                <w:color w:val="auto"/>
              </w:rPr>
            </w:pPr>
            <w:r>
              <w:rPr>
                <w:rFonts w:ascii="Arial" w:cs="Arial" w:eastAsia="Arial" w:hAnsi="Arial"/>
                <w:sz w:val="17"/>
                <w:szCs w:val="17"/>
                <w:b w:val="1"/>
                <w:bCs w:val="1"/>
                <w:color w:val="auto"/>
              </w:rPr>
              <w:t>Director , Director</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4020" w:type="dxa"/>
            <w:vAlign w:val="bottom"/>
          </w:tcPr>
          <w:p>
            <w:pPr>
              <w:ind w:left="80"/>
              <w:spacing w:after="0"/>
              <w:rPr>
                <w:sz w:val="20"/>
                <w:szCs w:val="20"/>
                <w:color w:val="auto"/>
              </w:rPr>
            </w:pPr>
            <w:r>
              <w:rPr>
                <w:rFonts w:ascii="Arial" w:cs="Arial" w:eastAsia="Arial" w:hAnsi="Arial"/>
                <w:sz w:val="17"/>
                <w:szCs w:val="17"/>
                <w:b w:val="1"/>
                <w:bCs w:val="1"/>
                <w:color w:val="auto"/>
              </w:rPr>
              <w:t>16/01/05</w:t>
            </w:r>
          </w:p>
        </w:tc>
        <w:tc>
          <w:tcPr>
            <w:tcW w:w="1700" w:type="dxa"/>
            <w:vAlign w:val="bottom"/>
          </w:tcPr>
          <w:p>
            <w:pPr>
              <w:ind w:left="1240"/>
              <w:spacing w:after="0"/>
              <w:rPr>
                <w:sz w:val="20"/>
                <w:szCs w:val="20"/>
                <w:color w:val="auto"/>
              </w:rPr>
            </w:pPr>
            <w:r>
              <w:rPr>
                <w:rFonts w:ascii="Arial" w:cs="Arial" w:eastAsia="Arial" w:hAnsi="Arial"/>
                <w:sz w:val="17"/>
                <w:szCs w:val="17"/>
                <w:b w:val="1"/>
                <w:bCs w:val="1"/>
                <w:color w:val="auto"/>
              </w:rPr>
              <w:t>Date:</w:t>
            </w:r>
          </w:p>
        </w:tc>
        <w:tc>
          <w:tcPr>
            <w:tcW w:w="2900" w:type="dxa"/>
            <w:vAlign w:val="bottom"/>
          </w:tcPr>
          <w:p>
            <w:pPr>
              <w:ind w:left="60"/>
              <w:spacing w:after="0"/>
              <w:rPr>
                <w:sz w:val="20"/>
                <w:szCs w:val="20"/>
                <w:color w:val="auto"/>
              </w:rPr>
            </w:pPr>
            <w:r>
              <w:rPr>
                <w:rFonts w:ascii="Arial" w:cs="Arial" w:eastAsia="Arial" w:hAnsi="Arial"/>
                <w:sz w:val="17"/>
                <w:szCs w:val="17"/>
                <w:b w:val="1"/>
                <w:bCs w:val="1"/>
                <w:color w:val="auto"/>
              </w:rPr>
              <w:t>10/01/05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hereby confirm that I have read and understood the Agreement, that its contents are acceptable to me and that I will act in accordance with its terms.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w:t>
      </w:r>
      <w:r>
        <w:rPr>
          <w:rFonts w:ascii="Arial" w:cs="Arial" w:eastAsia="Arial" w:hAnsi="Arial"/>
          <w:sz w:val="17"/>
          <w:szCs w:val="17"/>
          <w:color w:val="auto"/>
        </w:rPr>
        <w:t>. Smadar Cohen</w:t>
      </w:r>
    </w:p>
    <w:p>
      <w:pPr>
        <w:spacing w:after="0" w:line="2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b w:val="1"/>
          <w:bCs w:val="1"/>
          <w:color w:val="auto"/>
        </w:rPr>
        <w:t>/s/ Smadar Cohen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w:t>
      </w:r>
      <w:r>
        <w:rPr>
          <w:rFonts w:ascii="Arial" w:cs="Arial" w:eastAsia="Arial" w:hAnsi="Arial"/>
          <w:sz w:val="17"/>
          <w:szCs w:val="17"/>
          <w:b w:val="1"/>
          <w:bCs w:val="1"/>
          <w:color w:val="auto"/>
        </w:rPr>
        <w:t xml:space="preserve"> 22/01/05</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 Jonathan Leor</w:t>
      </w:r>
    </w:p>
    <w:p>
      <w:pPr>
        <w:spacing w:after="0" w:line="27"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b w:val="1"/>
          <w:bCs w:val="1"/>
          <w:color w:val="auto"/>
        </w:rPr>
        <w:t>By:</w:t>
        <w:tab/>
        <w:t>/s/ Jonathan Leor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22/01/05</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Page 23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240" w:top="494" w:right="859" w:bottom="1440" w:gutter="0" w:footer="0" w:header="0"/>
        </w:sectPr>
      </w:pPr>
    </w:p>
    <w:bookmarkStart w:id="310" w:name="page311"/>
    <w:bookmarkEnd w:id="310"/>
    <w:p>
      <w:pPr>
        <w:jc w:val="center"/>
        <w:ind w:right="-1197"/>
        <w:spacing w:after="0"/>
        <w:rPr>
          <w:sz w:val="20"/>
          <w:szCs w:val="20"/>
          <w:color w:val="auto"/>
        </w:rPr>
      </w:pPr>
      <w:r>
        <w:rPr>
          <w:rFonts w:ascii="Arial" w:cs="Arial" w:eastAsia="Arial" w:hAnsi="Arial"/>
          <w:sz w:val="17"/>
          <w:szCs w:val="17"/>
          <w:color w:val="auto"/>
        </w:rPr>
        <w:t>Exhibit A</w:t>
      </w:r>
    </w:p>
    <w:p>
      <w:pPr>
        <w:spacing w:after="0" w:line="236" w:lineRule="exact"/>
        <w:rPr>
          <w:sz w:val="20"/>
          <w:szCs w:val="20"/>
          <w:color w:val="auto"/>
        </w:rPr>
      </w:pPr>
    </w:p>
    <w:p>
      <w:pPr>
        <w:ind w:left="5037"/>
        <w:spacing w:after="0"/>
        <w:rPr>
          <w:sz w:val="20"/>
          <w:szCs w:val="20"/>
          <w:color w:val="auto"/>
        </w:rPr>
      </w:pPr>
      <w:r>
        <w:rPr>
          <w:rFonts w:ascii="Arial" w:cs="Arial" w:eastAsia="Arial" w:hAnsi="Arial"/>
          <w:sz w:val="17"/>
          <w:szCs w:val="17"/>
          <w:b w:val="1"/>
          <w:bCs w:val="1"/>
          <w:color w:val="auto"/>
        </w:rPr>
        <w:t>Current Invention</w:t>
      </w:r>
    </w:p>
    <w:p>
      <w:pPr>
        <w:spacing w:after="0" w:line="237" w:lineRule="exact"/>
        <w:rPr>
          <w:sz w:val="20"/>
          <w:szCs w:val="20"/>
          <w:color w:val="auto"/>
        </w:rPr>
      </w:pPr>
    </w:p>
    <w:tbl>
      <w:tblPr>
        <w:tblLayout w:type="fixed"/>
        <w:tblInd w:w="2307" w:type="dxa"/>
        <w:tblCellMar>
          <w:top w:w="0" w:type="dxa"/>
          <w:left w:w="0" w:type="dxa"/>
          <w:bottom w:w="0" w:type="dxa"/>
          <w:right w:w="0" w:type="dxa"/>
        </w:tblCellMar>
      </w:tblPr>
      <w:tr>
        <w:trPr>
          <w:trHeight w:val="206"/>
        </w:trPr>
        <w:tc>
          <w:tcPr>
            <w:tcW w:w="228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7"/>
                <w:szCs w:val="17"/>
                <w:color w:val="auto"/>
              </w:rPr>
              <w:t>Patent No.</w:t>
            </w:r>
          </w:p>
        </w:tc>
        <w:tc>
          <w:tcPr>
            <w:tcW w:w="216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7"/>
                <w:szCs w:val="17"/>
                <w:color w:val="auto"/>
              </w:rPr>
              <w:t>Application</w:t>
            </w:r>
          </w:p>
        </w:tc>
        <w:tc>
          <w:tcPr>
            <w:tcW w:w="2400" w:type="dxa"/>
            <w:vAlign w:val="bottom"/>
            <w:tcBorders>
              <w:top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Invention</w:t>
            </w:r>
          </w:p>
        </w:tc>
      </w:tr>
    </w:tbl>
    <w:p>
      <w:pPr>
        <w:ind w:left="5537"/>
        <w:spacing w:after="0" w:line="239" w:lineRule="auto"/>
        <w:rPr>
          <w:sz w:val="20"/>
          <w:szCs w:val="20"/>
          <w:color w:val="auto"/>
        </w:rPr>
      </w:pPr>
      <w:r>
        <w:rPr>
          <w:rFonts w:ascii="Arial" w:cs="Arial" w:eastAsia="Arial" w:hAnsi="Arial"/>
          <w:sz w:val="41"/>
          <w:szCs w:val="41"/>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41"/>
          <w:szCs w:val="4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218884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37" w:right="1159" w:hanging="5237"/>
        <w:spacing w:after="0" w:line="744" w:lineRule="auto"/>
        <w:tabs>
          <w:tab w:leader="none" w:pos="414"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500" w:right="1440" w:bottom="1440" w:gutter="0" w:footer="0" w:header="0"/>
        </w:sectPr>
      </w:pPr>
    </w:p>
    <w:bookmarkStart w:id="311" w:name="page312"/>
    <w:bookmarkEnd w:id="311"/>
    <w:p>
      <w:pPr>
        <w:jc w:val="center"/>
        <w:spacing w:after="0"/>
        <w:rPr>
          <w:sz w:val="20"/>
          <w:szCs w:val="20"/>
          <w:color w:val="auto"/>
        </w:rPr>
      </w:pPr>
      <w:r>
        <w:rPr>
          <w:rFonts w:ascii="Arial" w:cs="Arial" w:eastAsia="Arial" w:hAnsi="Arial"/>
          <w:sz w:val="17"/>
          <w:szCs w:val="17"/>
          <w:color w:val="auto"/>
        </w:rPr>
        <w:t>Exhibit B</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255510" cy="2743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5510" cy="274320"/>
                    </a:xfrm>
                    <a:prstGeom prst="rect">
                      <a:avLst/>
                    </a:prstGeom>
                    <a:noFill/>
                  </pic:spPr>
                </pic:pic>
              </a:graphicData>
            </a:graphic>
          </wp:anchor>
        </w:drawing>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7"/>
                <w:szCs w:val="17"/>
                <w:color w:val="auto"/>
              </w:rPr>
              <w:t>ID</w:t>
            </w:r>
          </w:p>
        </w:tc>
        <w:tc>
          <w:tcPr>
            <w:tcW w:w="1260" w:type="dxa"/>
            <w:vAlign w:val="bottom"/>
          </w:tcPr>
          <w:p>
            <w:pPr>
              <w:ind w:left="420"/>
              <w:spacing w:after="0"/>
              <w:rPr>
                <w:sz w:val="20"/>
                <w:szCs w:val="20"/>
                <w:color w:val="auto"/>
              </w:rPr>
            </w:pPr>
            <w:r>
              <w:rPr>
                <w:rFonts w:ascii="Arial" w:cs="Arial" w:eastAsia="Arial" w:hAnsi="Arial"/>
                <w:sz w:val="17"/>
                <w:szCs w:val="17"/>
                <w:color w:val="auto"/>
              </w:rPr>
              <w:t>Task</w:t>
            </w:r>
          </w:p>
        </w:tc>
        <w:tc>
          <w:tcPr>
            <w:tcW w:w="1220" w:type="dxa"/>
            <w:vAlign w:val="bottom"/>
          </w:tcPr>
          <w:p>
            <w:pPr>
              <w:ind w:left="540"/>
              <w:spacing w:after="0"/>
              <w:rPr>
                <w:sz w:val="20"/>
                <w:szCs w:val="20"/>
                <w:color w:val="auto"/>
              </w:rPr>
            </w:pPr>
            <w:r>
              <w:rPr>
                <w:rFonts w:ascii="Arial" w:cs="Arial" w:eastAsia="Arial" w:hAnsi="Arial"/>
                <w:sz w:val="17"/>
                <w:szCs w:val="17"/>
                <w:color w:val="auto"/>
              </w:rPr>
              <w:t>Start</w:t>
            </w:r>
          </w:p>
        </w:tc>
        <w:tc>
          <w:tcPr>
            <w:tcW w:w="1200" w:type="dxa"/>
            <w:vAlign w:val="bottom"/>
          </w:tcPr>
          <w:p>
            <w:pPr>
              <w:ind w:left="340"/>
              <w:spacing w:after="0"/>
              <w:rPr>
                <w:sz w:val="20"/>
                <w:szCs w:val="20"/>
                <w:color w:val="auto"/>
              </w:rPr>
            </w:pPr>
            <w:r>
              <w:rPr>
                <w:rFonts w:ascii="Arial" w:cs="Arial" w:eastAsia="Arial" w:hAnsi="Arial"/>
                <w:sz w:val="17"/>
                <w:szCs w:val="17"/>
                <w:color w:val="auto"/>
              </w:rPr>
              <w:t>Finish</w:t>
            </w:r>
          </w:p>
        </w:tc>
        <w:tc>
          <w:tcPr>
            <w:tcW w:w="1080" w:type="dxa"/>
            <w:vAlign w:val="bottom"/>
          </w:tcPr>
          <w:p>
            <w:pPr>
              <w:ind w:left="400"/>
              <w:spacing w:after="0"/>
              <w:rPr>
                <w:sz w:val="20"/>
                <w:szCs w:val="20"/>
                <w:color w:val="auto"/>
              </w:rPr>
            </w:pPr>
            <w:r>
              <w:rPr>
                <w:rFonts w:ascii="Arial" w:cs="Arial" w:eastAsia="Arial" w:hAnsi="Arial"/>
                <w:sz w:val="17"/>
                <w:szCs w:val="17"/>
                <w:color w:val="auto"/>
              </w:rPr>
              <w:t>Cost</w:t>
            </w: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2005</w:t>
            </w: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2006</w:t>
            </w: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2007</w:t>
            </w: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2008</w:t>
            </w:r>
          </w:p>
        </w:tc>
        <w:tc>
          <w:tcPr>
            <w:tcW w:w="1280" w:type="dxa"/>
            <w:vAlign w:val="bottom"/>
          </w:tcPr>
          <w:p>
            <w:pPr>
              <w:jc w:val="right"/>
              <w:ind w:right="574"/>
              <w:spacing w:after="0"/>
              <w:rPr>
                <w:sz w:val="20"/>
                <w:szCs w:val="20"/>
                <w:color w:val="auto"/>
              </w:rPr>
            </w:pPr>
            <w:r>
              <w:rPr>
                <w:rFonts w:ascii="Arial" w:cs="Arial" w:eastAsia="Arial" w:hAnsi="Arial"/>
                <w:sz w:val="17"/>
                <w:szCs w:val="17"/>
                <w:color w:val="auto"/>
              </w:rPr>
              <w:t>2009</w:t>
            </w:r>
          </w:p>
        </w:tc>
        <w:tc>
          <w:tcPr>
            <w:tcW w:w="1020" w:type="dxa"/>
            <w:vAlign w:val="bottom"/>
            <w:tcBorders>
              <w:top w:val="single" w:sz="8" w:color="auto"/>
            </w:tcBorders>
          </w:tcPr>
          <w:p>
            <w:pPr>
              <w:jc w:val="right"/>
              <w:ind w:right="574"/>
              <w:spacing w:after="0"/>
              <w:rPr>
                <w:sz w:val="20"/>
                <w:szCs w:val="20"/>
                <w:color w:val="auto"/>
              </w:rPr>
            </w:pPr>
            <w:r>
              <w:rPr>
                <w:rFonts w:ascii="Arial" w:cs="Arial" w:eastAsia="Arial" w:hAnsi="Arial"/>
                <w:sz w:val="17"/>
                <w:szCs w:val="17"/>
                <w:color w:val="auto"/>
                <w:w w:val="89"/>
              </w:rPr>
              <w:t>2010</w:t>
            </w:r>
          </w:p>
        </w:tc>
      </w:tr>
    </w:tbl>
    <w:p>
      <w:pPr>
        <w:ind w:left="1040"/>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41"/>
          <w:szCs w:val="41"/>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41"/>
          <w:szCs w:val="4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14700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240" w:right="2360" w:hanging="5237"/>
        <w:spacing w:after="0" w:line="744" w:lineRule="auto"/>
        <w:tabs>
          <w:tab w:leader="none" w:pos="417" w:val="left"/>
        </w:tabs>
        <w:numPr>
          <w:ilvl w:val="0"/>
          <w:numId w:val="228"/>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12" w:name="page313"/>
    <w:bookmarkEnd w:id="312"/>
    <w:tbl>
      <w:tblPr>
        <w:tblLayout w:type="fixed"/>
        <w:tblInd w:w="17"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7"/>
                <w:szCs w:val="17"/>
                <w:color w:val="auto"/>
              </w:rPr>
              <w:t>ID</w:t>
            </w:r>
          </w:p>
        </w:tc>
        <w:tc>
          <w:tcPr>
            <w:tcW w:w="1260" w:type="dxa"/>
            <w:vAlign w:val="bottom"/>
          </w:tcPr>
          <w:p>
            <w:pPr>
              <w:ind w:left="440"/>
              <w:spacing w:after="0"/>
              <w:rPr>
                <w:sz w:val="20"/>
                <w:szCs w:val="20"/>
                <w:color w:val="auto"/>
              </w:rPr>
            </w:pPr>
            <w:r>
              <w:rPr>
                <w:rFonts w:ascii="Arial" w:cs="Arial" w:eastAsia="Arial" w:hAnsi="Arial"/>
                <w:sz w:val="17"/>
                <w:szCs w:val="17"/>
                <w:color w:val="auto"/>
              </w:rPr>
              <w:t>Task</w:t>
            </w:r>
          </w:p>
        </w:tc>
        <w:tc>
          <w:tcPr>
            <w:tcW w:w="1200" w:type="dxa"/>
            <w:vAlign w:val="bottom"/>
          </w:tcPr>
          <w:p>
            <w:pPr>
              <w:ind w:left="520"/>
              <w:spacing w:after="0"/>
              <w:rPr>
                <w:sz w:val="20"/>
                <w:szCs w:val="20"/>
                <w:color w:val="auto"/>
              </w:rPr>
            </w:pPr>
            <w:r>
              <w:rPr>
                <w:rFonts w:ascii="Arial" w:cs="Arial" w:eastAsia="Arial" w:hAnsi="Arial"/>
                <w:sz w:val="17"/>
                <w:szCs w:val="17"/>
                <w:color w:val="auto"/>
              </w:rPr>
              <w:t>Start</w:t>
            </w:r>
          </w:p>
        </w:tc>
        <w:tc>
          <w:tcPr>
            <w:tcW w:w="1180" w:type="dxa"/>
            <w:vAlign w:val="bottom"/>
          </w:tcPr>
          <w:p>
            <w:pPr>
              <w:ind w:left="360"/>
              <w:spacing w:after="0"/>
              <w:rPr>
                <w:sz w:val="20"/>
                <w:szCs w:val="20"/>
                <w:color w:val="auto"/>
              </w:rPr>
            </w:pPr>
            <w:r>
              <w:rPr>
                <w:rFonts w:ascii="Arial" w:cs="Arial" w:eastAsia="Arial" w:hAnsi="Arial"/>
                <w:sz w:val="17"/>
                <w:szCs w:val="17"/>
                <w:color w:val="auto"/>
              </w:rPr>
              <w:t>Finish</w:t>
            </w:r>
          </w:p>
        </w:tc>
        <w:tc>
          <w:tcPr>
            <w:tcW w:w="1060" w:type="dxa"/>
            <w:vAlign w:val="bottom"/>
          </w:tcPr>
          <w:p>
            <w:pPr>
              <w:ind w:left="380"/>
              <w:spacing w:after="0"/>
              <w:rPr>
                <w:sz w:val="20"/>
                <w:szCs w:val="20"/>
                <w:color w:val="auto"/>
              </w:rPr>
            </w:pPr>
            <w:r>
              <w:rPr>
                <w:rFonts w:ascii="Arial" w:cs="Arial" w:eastAsia="Arial" w:hAnsi="Arial"/>
                <w:sz w:val="17"/>
                <w:szCs w:val="17"/>
                <w:color w:val="auto"/>
              </w:rPr>
              <w:t>Cost</w:t>
            </w:r>
          </w:p>
        </w:tc>
        <w:tc>
          <w:tcPr>
            <w:tcW w:w="1000" w:type="dxa"/>
            <w:vAlign w:val="bottom"/>
          </w:tcPr>
          <w:p>
            <w:pPr>
              <w:jc w:val="right"/>
              <w:ind w:right="194"/>
              <w:spacing w:after="0"/>
              <w:rPr>
                <w:sz w:val="20"/>
                <w:szCs w:val="20"/>
                <w:color w:val="auto"/>
              </w:rPr>
            </w:pPr>
            <w:r>
              <w:rPr>
                <w:rFonts w:ascii="Arial" w:cs="Arial" w:eastAsia="Arial" w:hAnsi="Arial"/>
                <w:sz w:val="17"/>
                <w:szCs w:val="17"/>
                <w:color w:val="auto"/>
              </w:rPr>
              <w:t>2005</w:t>
            </w:r>
          </w:p>
        </w:tc>
        <w:tc>
          <w:tcPr>
            <w:tcW w:w="900" w:type="dxa"/>
            <w:vAlign w:val="bottom"/>
          </w:tcPr>
          <w:p>
            <w:pPr>
              <w:jc w:val="right"/>
              <w:ind w:right="194"/>
              <w:spacing w:after="0"/>
              <w:rPr>
                <w:sz w:val="20"/>
                <w:szCs w:val="20"/>
                <w:color w:val="auto"/>
              </w:rPr>
            </w:pPr>
            <w:r>
              <w:rPr>
                <w:rFonts w:ascii="Arial" w:cs="Arial" w:eastAsia="Arial" w:hAnsi="Arial"/>
                <w:sz w:val="17"/>
                <w:szCs w:val="17"/>
                <w:color w:val="auto"/>
              </w:rPr>
              <w:t>2006</w:t>
            </w:r>
          </w:p>
        </w:tc>
        <w:tc>
          <w:tcPr>
            <w:tcW w:w="900" w:type="dxa"/>
            <w:vAlign w:val="bottom"/>
          </w:tcPr>
          <w:p>
            <w:pPr>
              <w:jc w:val="right"/>
              <w:ind w:right="194"/>
              <w:spacing w:after="0"/>
              <w:rPr>
                <w:sz w:val="20"/>
                <w:szCs w:val="20"/>
                <w:color w:val="auto"/>
              </w:rPr>
            </w:pPr>
            <w:r>
              <w:rPr>
                <w:rFonts w:ascii="Arial" w:cs="Arial" w:eastAsia="Arial" w:hAnsi="Arial"/>
                <w:sz w:val="17"/>
                <w:szCs w:val="17"/>
                <w:color w:val="auto"/>
              </w:rPr>
              <w:t>2007</w:t>
            </w:r>
          </w:p>
        </w:tc>
        <w:tc>
          <w:tcPr>
            <w:tcW w:w="900" w:type="dxa"/>
            <w:vAlign w:val="bottom"/>
          </w:tcPr>
          <w:p>
            <w:pPr>
              <w:jc w:val="right"/>
              <w:ind w:right="194"/>
              <w:spacing w:after="0"/>
              <w:rPr>
                <w:sz w:val="20"/>
                <w:szCs w:val="20"/>
                <w:color w:val="auto"/>
              </w:rPr>
            </w:pPr>
            <w:r>
              <w:rPr>
                <w:rFonts w:ascii="Arial" w:cs="Arial" w:eastAsia="Arial" w:hAnsi="Arial"/>
                <w:sz w:val="17"/>
                <w:szCs w:val="17"/>
                <w:color w:val="auto"/>
              </w:rPr>
              <w:t>2008</w:t>
            </w:r>
          </w:p>
        </w:tc>
        <w:tc>
          <w:tcPr>
            <w:tcW w:w="1340" w:type="dxa"/>
            <w:vAlign w:val="bottom"/>
          </w:tcPr>
          <w:p>
            <w:pPr>
              <w:jc w:val="right"/>
              <w:ind w:right="634"/>
              <w:spacing w:after="0"/>
              <w:rPr>
                <w:sz w:val="20"/>
                <w:szCs w:val="20"/>
                <w:color w:val="auto"/>
              </w:rPr>
            </w:pPr>
            <w:r>
              <w:rPr>
                <w:rFonts w:ascii="Arial" w:cs="Arial" w:eastAsia="Arial" w:hAnsi="Arial"/>
                <w:sz w:val="17"/>
                <w:szCs w:val="17"/>
                <w:color w:val="auto"/>
              </w:rPr>
              <w:t>2009</w:t>
            </w:r>
          </w:p>
        </w:tc>
        <w:tc>
          <w:tcPr>
            <w:tcW w:w="1060" w:type="dxa"/>
            <w:vAlign w:val="bottom"/>
            <w:tcBorders>
              <w:top w:val="single" w:sz="8" w:color="auto"/>
            </w:tcBorders>
          </w:tcPr>
          <w:p>
            <w:pPr>
              <w:jc w:val="right"/>
              <w:ind w:right="634"/>
              <w:spacing w:after="0"/>
              <w:rPr>
                <w:sz w:val="20"/>
                <w:szCs w:val="20"/>
                <w:color w:val="auto"/>
              </w:rPr>
            </w:pPr>
            <w:r>
              <w:rPr>
                <w:rFonts w:ascii="Arial" w:cs="Arial" w:eastAsia="Arial" w:hAnsi="Arial"/>
                <w:sz w:val="17"/>
                <w:szCs w:val="17"/>
                <w:color w:val="auto"/>
                <w:w w:val="84"/>
              </w:rPr>
              <w:t>2010</w:t>
            </w:r>
          </w:p>
        </w:tc>
      </w:tr>
    </w:tbl>
    <w:p>
      <w:pPr>
        <w:ind w:left="1057"/>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323850</wp:posOffset>
            </wp:positionV>
            <wp:extent cx="7255510" cy="2743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5510" cy="274320"/>
                    </a:xfrm>
                    <a:prstGeom prst="rect">
                      <a:avLst/>
                    </a:prstGeom>
                    <a:noFill/>
                  </pic:spPr>
                </pic:pic>
              </a:graphicData>
            </a:graphic>
          </wp:anchor>
        </w:drawing>
        <w:t>Name</w:t>
      </w:r>
    </w:p>
    <w:p>
      <w:pPr>
        <w:spacing w:after="0" w:line="7" w:lineRule="exact"/>
        <w:rPr>
          <w:sz w:val="20"/>
          <w:szCs w:val="20"/>
          <w:color w:val="auto"/>
        </w:rPr>
      </w:pPr>
    </w:p>
    <w:p>
      <w:pPr>
        <w:jc w:val="center"/>
        <w:ind w:right="203"/>
        <w:spacing w:after="0"/>
        <w:rPr>
          <w:sz w:val="20"/>
          <w:szCs w:val="20"/>
          <w:color w:val="auto"/>
        </w:rPr>
      </w:pPr>
      <w:r>
        <w:rPr>
          <w:rFonts w:ascii="Arial" w:cs="Arial" w:eastAsia="Arial" w:hAnsi="Arial"/>
          <w:sz w:val="41"/>
          <w:szCs w:val="41"/>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41"/>
          <w:szCs w:val="4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218884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37" w:right="2360" w:hanging="5237"/>
        <w:spacing w:after="0" w:line="744" w:lineRule="auto"/>
        <w:tabs>
          <w:tab w:leader="none" w:pos="414" w:val="left"/>
        </w:tabs>
        <w:numPr>
          <w:ilvl w:val="0"/>
          <w:numId w:val="229"/>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26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89" w:right="239" w:bottom="1440" w:gutter="0" w:footer="0" w:header="0"/>
        </w:sectPr>
      </w:pPr>
    </w:p>
    <w:bookmarkStart w:id="313" w:name="page314"/>
    <w:bookmarkEnd w:id="313"/>
    <w:p>
      <w:pPr>
        <w:jc w:val="center"/>
        <w:ind w:right="-1197"/>
        <w:spacing w:after="0"/>
        <w:rPr>
          <w:sz w:val="20"/>
          <w:szCs w:val="20"/>
          <w:color w:val="auto"/>
        </w:rPr>
      </w:pPr>
      <w:r>
        <w:rPr>
          <w:rFonts w:ascii="Arial" w:cs="Arial" w:eastAsia="Arial" w:hAnsi="Arial"/>
          <w:sz w:val="17"/>
          <w:szCs w:val="17"/>
          <w:color w:val="auto"/>
        </w:rPr>
        <w:t>Exhibit C</w:t>
      </w:r>
    </w:p>
    <w:p>
      <w:pPr>
        <w:spacing w:after="0" w:line="236" w:lineRule="exact"/>
        <w:rPr>
          <w:sz w:val="20"/>
          <w:szCs w:val="20"/>
          <w:color w:val="auto"/>
        </w:rPr>
      </w:pPr>
    </w:p>
    <w:p>
      <w:pPr>
        <w:jc w:val="center"/>
        <w:ind w:right="-1197"/>
        <w:spacing w:after="0"/>
        <w:rPr>
          <w:sz w:val="20"/>
          <w:szCs w:val="20"/>
          <w:color w:val="auto"/>
        </w:rPr>
      </w:pPr>
      <w:r>
        <w:rPr>
          <w:rFonts w:ascii="Arial" w:cs="Arial" w:eastAsia="Arial" w:hAnsi="Arial"/>
          <w:sz w:val="17"/>
          <w:szCs w:val="17"/>
          <w:b w:val="1"/>
          <w:bCs w:val="1"/>
          <w:color w:val="auto"/>
        </w:rPr>
        <w:t>Patent Rights</w:t>
      </w:r>
    </w:p>
    <w:p>
      <w:pPr>
        <w:spacing w:after="0" w:line="242" w:lineRule="exact"/>
        <w:rPr>
          <w:sz w:val="20"/>
          <w:szCs w:val="20"/>
          <w:color w:val="auto"/>
        </w:rPr>
      </w:pPr>
    </w:p>
    <w:p>
      <w:pPr>
        <w:ind w:left="3957"/>
        <w:spacing w:after="0"/>
        <w:tabs>
          <w:tab w:leader="none" w:pos="5297" w:val="left"/>
          <w:tab w:leader="none" w:pos="6737" w:val="left"/>
        </w:tabs>
        <w:rPr>
          <w:sz w:val="20"/>
          <w:szCs w:val="20"/>
          <w:color w:val="auto"/>
        </w:rPr>
      </w:pPr>
      <w:r>
        <w:rPr>
          <w:rFonts w:ascii="Arial" w:cs="Arial" w:eastAsia="Arial" w:hAnsi="Arial"/>
          <w:sz w:val="17"/>
          <w:szCs w:val="17"/>
          <w:b w:val="1"/>
          <w:bCs w:val="1"/>
          <w:color w:val="auto"/>
        </w:rPr>
        <w:t>Patent No</w:t>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Application</w:t>
      </w:r>
      <w:r>
        <w:rPr>
          <w:sz w:val="20"/>
          <w:szCs w:val="20"/>
          <w:color w:val="auto"/>
        </w:rPr>
        <w:tab/>
      </w:r>
      <w:r>
        <w:rPr>
          <w:rFonts w:ascii="Arial" w:cs="Arial" w:eastAsia="Arial" w:hAnsi="Arial"/>
          <w:sz w:val="16"/>
          <w:szCs w:val="16"/>
          <w:b w:val="1"/>
          <w:bCs w:val="1"/>
          <w:color w:val="auto"/>
        </w:rPr>
        <w:t>Invention</w:t>
      </w:r>
    </w:p>
    <w:p>
      <w:pPr>
        <w:spacing w:after="0" w:line="27" w:lineRule="exact"/>
        <w:rPr>
          <w:sz w:val="20"/>
          <w:szCs w:val="20"/>
          <w:color w:val="auto"/>
        </w:rPr>
      </w:pPr>
    </w:p>
    <w:p>
      <w:pPr>
        <w:ind w:left="5537"/>
        <w:spacing w:after="0"/>
        <w:rPr>
          <w:sz w:val="20"/>
          <w:szCs w:val="20"/>
          <w:color w:val="auto"/>
        </w:rPr>
      </w:pPr>
      <w:r>
        <w:rPr>
          <w:rFonts w:ascii="Arial" w:cs="Arial" w:eastAsia="Arial" w:hAnsi="Arial"/>
          <w:sz w:val="41"/>
          <w:szCs w:val="41"/>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41"/>
          <w:szCs w:val="4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218884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37" w:right="1159" w:hanging="5237"/>
        <w:spacing w:after="0" w:line="744" w:lineRule="auto"/>
        <w:tabs>
          <w:tab w:leader="none" w:pos="414" w:val="left"/>
        </w:tabs>
        <w:numPr>
          <w:ilvl w:val="0"/>
          <w:numId w:val="230"/>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27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500" w:right="1440" w:bottom="1440" w:gutter="0" w:footer="0" w:header="0"/>
        </w:sectPr>
      </w:pPr>
    </w:p>
    <w:bookmarkStart w:id="314" w:name="page315"/>
    <w:bookmarkEnd w:id="314"/>
    <w:p>
      <w:pPr>
        <w:ind w:left="5377"/>
        <w:spacing w:after="0"/>
        <w:rPr>
          <w:sz w:val="20"/>
          <w:szCs w:val="20"/>
          <w:color w:val="auto"/>
        </w:rPr>
      </w:pPr>
      <w:r>
        <w:rPr>
          <w:rFonts w:ascii="Arial" w:cs="Arial" w:eastAsia="Arial" w:hAnsi="Arial"/>
          <w:sz w:val="17"/>
          <w:szCs w:val="17"/>
          <w:color w:val="auto"/>
        </w:rPr>
        <w:t>Exhibit D</w:t>
      </w:r>
    </w:p>
    <w:p>
      <w:pPr>
        <w:spacing w:after="0" w:line="236" w:lineRule="exact"/>
        <w:rPr>
          <w:sz w:val="20"/>
          <w:szCs w:val="20"/>
          <w:color w:val="auto"/>
        </w:rPr>
      </w:pPr>
    </w:p>
    <w:p>
      <w:pPr>
        <w:jc w:val="center"/>
        <w:ind w:right="-1197"/>
        <w:spacing w:after="0"/>
        <w:rPr>
          <w:sz w:val="20"/>
          <w:szCs w:val="20"/>
          <w:color w:val="auto"/>
        </w:rPr>
      </w:pPr>
      <w:r>
        <w:rPr>
          <w:rFonts w:ascii="Arial" w:cs="Arial" w:eastAsia="Arial" w:hAnsi="Arial"/>
          <w:sz w:val="17"/>
          <w:szCs w:val="17"/>
          <w:b w:val="1"/>
          <w:bCs w:val="1"/>
          <w:color w:val="auto"/>
        </w:rPr>
        <w:t>Milestones</w:t>
      </w:r>
    </w:p>
    <w:p>
      <w:pPr>
        <w:spacing w:after="0" w:line="248" w:lineRule="exact"/>
        <w:rPr>
          <w:sz w:val="20"/>
          <w:szCs w:val="20"/>
          <w:color w:val="auto"/>
        </w:rPr>
      </w:pPr>
    </w:p>
    <w:p>
      <w:pPr>
        <w:ind w:left="4677"/>
        <w:spacing w:after="0"/>
        <w:tabs>
          <w:tab w:leader="none" w:pos="6417" w:val="left"/>
        </w:tabs>
        <w:rPr>
          <w:sz w:val="20"/>
          <w:szCs w:val="20"/>
          <w:color w:val="auto"/>
        </w:rPr>
      </w:pPr>
      <w:r>
        <w:rPr>
          <w:rFonts w:ascii="Arial" w:cs="Arial" w:eastAsia="Arial" w:hAnsi="Arial"/>
          <w:sz w:val="17"/>
          <w:szCs w:val="17"/>
          <w:color w:val="auto"/>
        </w:rPr>
        <w:t>Milestone</w:t>
      </w:r>
      <w:r>
        <w:rPr>
          <w:sz w:val="20"/>
          <w:szCs w:val="20"/>
          <w:color w:val="auto"/>
        </w:rPr>
        <w:tab/>
      </w:r>
      <w:r>
        <w:rPr>
          <w:rFonts w:ascii="Arial" w:cs="Arial" w:eastAsia="Arial" w:hAnsi="Arial"/>
          <w:sz w:val="17"/>
          <w:szCs w:val="17"/>
          <w:color w:val="auto"/>
        </w:rPr>
        <w:t>Date</w:t>
      </w:r>
    </w:p>
    <w:p>
      <w:pPr>
        <w:spacing w:after="0" w:line="21" w:lineRule="exact"/>
        <w:rPr>
          <w:sz w:val="20"/>
          <w:szCs w:val="20"/>
          <w:color w:val="auto"/>
        </w:rPr>
      </w:pPr>
    </w:p>
    <w:p>
      <w:pPr>
        <w:ind w:left="5537"/>
        <w:spacing w:after="0"/>
        <w:rPr>
          <w:sz w:val="20"/>
          <w:szCs w:val="20"/>
          <w:color w:val="auto"/>
        </w:rPr>
      </w:pPr>
      <w:r>
        <w:rPr>
          <w:rFonts w:ascii="Arial" w:cs="Arial" w:eastAsia="Arial" w:hAnsi="Arial"/>
          <w:sz w:val="41"/>
          <w:szCs w:val="41"/>
          <w:b w:val="1"/>
          <w:bCs w:val="1"/>
          <w:color w:val="auto"/>
          <w:vertAlign w:val="subscript"/>
        </w:rPr>
        <w:t>[</w:t>
      </w:r>
      <w:r>
        <w:rPr>
          <w:rFonts w:ascii="Arial" w:cs="Arial" w:eastAsia="Arial" w:hAnsi="Arial"/>
          <w:sz w:val="14"/>
          <w:szCs w:val="14"/>
          <w:b w:val="1"/>
          <w:bCs w:val="1"/>
          <w:color w:val="auto"/>
        </w:rPr>
        <w:t>***</w:t>
      </w:r>
      <w:r>
        <w:rPr>
          <w:rFonts w:ascii="Arial" w:cs="Arial" w:eastAsia="Arial" w:hAnsi="Arial"/>
          <w:sz w:val="41"/>
          <w:szCs w:val="4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218884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37" w:right="1159" w:hanging="5237"/>
        <w:spacing w:after="0" w:line="744" w:lineRule="auto"/>
        <w:tabs>
          <w:tab w:leader="none" w:pos="414" w:val="left"/>
        </w:tabs>
        <w:numPr>
          <w:ilvl w:val="0"/>
          <w:numId w:val="231"/>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Page 28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500" w:right="1440" w:bottom="1440" w:gutter="0" w:footer="0" w:header="0"/>
        </w:sectPr>
      </w:pPr>
    </w:p>
    <w:bookmarkStart w:id="315" w:name="page316"/>
    <w:bookmarkEnd w:id="315"/>
    <w:p>
      <w:pPr>
        <w:jc w:val="right"/>
        <w:spacing w:after="0"/>
        <w:rPr>
          <w:sz w:val="20"/>
          <w:szCs w:val="20"/>
          <w:color w:val="auto"/>
        </w:rPr>
      </w:pPr>
      <w:r>
        <w:rPr>
          <w:rFonts w:ascii="Arial" w:cs="Arial" w:eastAsia="Arial" w:hAnsi="Arial"/>
          <w:sz w:val="17"/>
          <w:szCs w:val="17"/>
          <w:color w:val="auto"/>
        </w:rPr>
        <w:t>EXHIBIT 4.7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ASSIGNMENT OF BL-1040 PROJECT</w:t>
      </w:r>
    </w:p>
    <w:p>
      <w:pPr>
        <w:spacing w:after="0" w:line="248" w:lineRule="exact"/>
        <w:rPr>
          <w:sz w:val="20"/>
          <w:szCs w:val="20"/>
          <w:color w:val="auto"/>
        </w:rPr>
      </w:pPr>
    </w:p>
    <w:p>
      <w:pPr>
        <w:ind w:right="420" w:firstLine="617"/>
        <w:spacing w:after="0" w:line="278" w:lineRule="auto"/>
        <w:rPr>
          <w:sz w:val="20"/>
          <w:szCs w:val="20"/>
          <w:color w:val="auto"/>
        </w:rPr>
      </w:pPr>
      <w:r>
        <w:rPr>
          <w:rFonts w:ascii="Arial" w:cs="Arial" w:eastAsia="Arial" w:hAnsi="Arial"/>
          <w:sz w:val="17"/>
          <w:szCs w:val="17"/>
          <w:color w:val="auto"/>
        </w:rPr>
        <w:t xml:space="preserve">THIS ASSIGNMENT (the </w:t>
      </w:r>
      <w:r>
        <w:rPr>
          <w:rFonts w:ascii="Arial" w:cs="Arial" w:eastAsia="Arial" w:hAnsi="Arial"/>
          <w:sz w:val="17"/>
          <w:szCs w:val="17"/>
          <w:i w:val="1"/>
          <w:iCs w:val="1"/>
          <w:color w:val="auto"/>
        </w:rPr>
        <w:t>"Assignment")</w:t>
      </w:r>
      <w:r>
        <w:rPr>
          <w:rFonts w:ascii="Arial" w:cs="Arial" w:eastAsia="Arial" w:hAnsi="Arial"/>
          <w:sz w:val="17"/>
          <w:szCs w:val="17"/>
          <w:color w:val="auto"/>
        </w:rPr>
        <w:t xml:space="preserve"> is made effective as of January 1, 2009, by and between BioLine Innovations Jerusalem, Limited Partnership </w:t>
      </w:r>
      <w:r>
        <w:rPr>
          <w:rFonts w:ascii="Arial" w:cs="Arial" w:eastAsia="Arial" w:hAnsi="Arial"/>
          <w:sz w:val="17"/>
          <w:szCs w:val="17"/>
          <w:i w:val="1"/>
          <w:iCs w:val="1"/>
          <w:color w:val="auto"/>
        </w:rPr>
        <w:t xml:space="preserve">("Assignor") </w:t>
      </w:r>
      <w:r>
        <w:rPr>
          <w:rFonts w:ascii="Arial" w:cs="Arial" w:eastAsia="Arial" w:hAnsi="Arial"/>
          <w:sz w:val="17"/>
          <w:szCs w:val="17"/>
          <w:color w:val="auto"/>
        </w:rPr>
        <w:t>and BioLineRx, Ltd.</w:t>
      </w:r>
      <w:r>
        <w:rPr>
          <w:rFonts w:ascii="Arial" w:cs="Arial" w:eastAsia="Arial" w:hAnsi="Arial"/>
          <w:sz w:val="17"/>
          <w:szCs w:val="17"/>
          <w:i w:val="1"/>
          <w:iCs w:val="1"/>
          <w:color w:val="auto"/>
        </w:rPr>
        <w:t xml:space="preserve"> ("Assignee").</w:t>
      </w:r>
    </w:p>
    <w:p>
      <w:pPr>
        <w:spacing w:after="0" w:line="190" w:lineRule="exact"/>
        <w:rPr>
          <w:sz w:val="20"/>
          <w:szCs w:val="20"/>
          <w:color w:val="auto"/>
        </w:rPr>
      </w:pPr>
    </w:p>
    <w:p>
      <w:pPr>
        <w:ind w:right="180" w:firstLine="617"/>
        <w:spacing w:after="0" w:line="278" w:lineRule="auto"/>
        <w:rPr>
          <w:sz w:val="20"/>
          <w:szCs w:val="20"/>
          <w:color w:val="auto"/>
        </w:rPr>
      </w:pPr>
      <w:r>
        <w:rPr>
          <w:rFonts w:ascii="Arial" w:cs="Arial" w:eastAsia="Arial" w:hAnsi="Arial"/>
          <w:sz w:val="17"/>
          <w:szCs w:val="17"/>
          <w:color w:val="auto"/>
        </w:rPr>
        <w:t xml:space="preserve">WHEREAS, Assignor entered into that certain License Agreement dated as of January 10, 2005 with B.G. Negev Technologies and Applications, Ltd. (the </w:t>
      </w:r>
      <w:r>
        <w:rPr>
          <w:rFonts w:ascii="Arial" w:cs="Arial" w:eastAsia="Arial" w:hAnsi="Arial"/>
          <w:sz w:val="17"/>
          <w:szCs w:val="17"/>
          <w:i w:val="1"/>
          <w:iCs w:val="1"/>
          <w:color w:val="auto"/>
        </w:rPr>
        <w:t xml:space="preserve">"License Agreement'); </w:t>
      </w:r>
      <w:r>
        <w:rPr>
          <w:rFonts w:ascii="Arial" w:cs="Arial" w:eastAsia="Arial" w:hAnsi="Arial"/>
          <w:sz w:val="17"/>
          <w:szCs w:val="17"/>
          <w:color w:val="auto"/>
        </w:rPr>
        <w:t>and</w:t>
      </w:r>
    </w:p>
    <w:p>
      <w:pPr>
        <w:spacing w:after="0" w:line="190" w:lineRule="exact"/>
        <w:rPr>
          <w:sz w:val="20"/>
          <w:szCs w:val="20"/>
          <w:color w:val="auto"/>
        </w:rPr>
      </w:pPr>
    </w:p>
    <w:p>
      <w:pPr>
        <w:ind w:right="760" w:firstLine="617"/>
        <w:spacing w:after="0" w:line="278" w:lineRule="auto"/>
        <w:rPr>
          <w:sz w:val="20"/>
          <w:szCs w:val="20"/>
          <w:color w:val="auto"/>
        </w:rPr>
      </w:pPr>
      <w:r>
        <w:rPr>
          <w:rFonts w:ascii="Arial" w:cs="Arial" w:eastAsia="Arial" w:hAnsi="Arial"/>
          <w:sz w:val="17"/>
          <w:szCs w:val="17"/>
          <w:color w:val="auto"/>
        </w:rPr>
        <w:t>WHEREAS, Assignor desires to assign the License Agreement to Assignee pursuant to Section 14.10 thereof, and Assignee desires to accept such assignment;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the parties hereto hereby agree as follows:</w:t>
      </w:r>
    </w:p>
    <w:p>
      <w:pPr>
        <w:spacing w:after="0" w:line="242" w:lineRule="exact"/>
        <w:rPr>
          <w:sz w:val="20"/>
          <w:szCs w:val="20"/>
          <w:color w:val="auto"/>
        </w:rPr>
      </w:pPr>
    </w:p>
    <w:p>
      <w:pPr>
        <w:ind w:left="800" w:hanging="180"/>
        <w:spacing w:after="0"/>
        <w:tabs>
          <w:tab w:leader="none" w:pos="8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Assignor hereby assigns the License Agreement, and all of Assignor's rights, obligations and interests thereunder to Assignee.</w:t>
      </w:r>
    </w:p>
    <w:p>
      <w:pPr>
        <w:spacing w:after="0" w:line="241" w:lineRule="exact"/>
        <w:rPr>
          <w:rFonts w:ascii="Arial" w:cs="Arial" w:eastAsia="Arial" w:hAnsi="Arial"/>
          <w:sz w:val="17"/>
          <w:szCs w:val="17"/>
          <w:color w:val="auto"/>
        </w:rPr>
      </w:pPr>
    </w:p>
    <w:p>
      <w:pPr>
        <w:ind w:left="800" w:hanging="180"/>
        <w:spacing w:after="0"/>
        <w:tabs>
          <w:tab w:leader="none" w:pos="8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Assignee hereby accepts the foregoing assignment and agrees to be bound by the terms of the License Agreement.</w:t>
      </w:r>
    </w:p>
    <w:p>
      <w:pPr>
        <w:spacing w:after="0" w:line="241" w:lineRule="exact"/>
        <w:rPr>
          <w:rFonts w:ascii="Arial" w:cs="Arial" w:eastAsia="Arial" w:hAnsi="Arial"/>
          <w:sz w:val="17"/>
          <w:szCs w:val="17"/>
          <w:color w:val="auto"/>
        </w:rPr>
      </w:pPr>
    </w:p>
    <w:p>
      <w:pPr>
        <w:ind w:left="180" w:hanging="177"/>
        <w:spacing w:after="0"/>
        <w:tabs>
          <w:tab w:leader="none" w:pos="18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This Assignment shall be construed in accordance with the laws of the State of Israel.</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parties hereto have caused this Assignment to be duly executed as of the date first above written.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7"/>
                <w:szCs w:val="17"/>
                <w:color w:val="auto"/>
                <w:w w:val="93"/>
              </w:rPr>
              <w:t>ASSIGNOR</w:t>
            </w:r>
          </w:p>
        </w:tc>
        <w:tc>
          <w:tcPr>
            <w:tcW w:w="3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60" w:type="dxa"/>
            <w:vAlign w:val="bottom"/>
            <w:gridSpan w:val="3"/>
          </w:tcPr>
          <w:p>
            <w:pPr>
              <w:spacing w:after="0"/>
              <w:rPr>
                <w:sz w:val="20"/>
                <w:szCs w:val="20"/>
                <w:color w:val="auto"/>
              </w:rPr>
            </w:pPr>
            <w:r>
              <w:rPr>
                <w:rFonts w:ascii="Arial" w:cs="Arial" w:eastAsia="Arial" w:hAnsi="Arial"/>
                <w:sz w:val="17"/>
                <w:szCs w:val="17"/>
                <w:color w:val="auto"/>
              </w:rPr>
              <w:t>ASSIGNEE</w:t>
            </w:r>
          </w:p>
        </w:tc>
      </w:tr>
      <w:tr>
        <w:trPr>
          <w:trHeight w:val="20"/>
        </w:trPr>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18"/>
        </w:trPr>
        <w:tc>
          <w:tcPr>
            <w:tcW w:w="6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BioLine Innovations Jerusalem, LP</w:t>
            </w:r>
          </w:p>
        </w:tc>
        <w:tc>
          <w:tcPr>
            <w:tcW w:w="6920" w:type="dxa"/>
            <w:vAlign w:val="bottom"/>
            <w:gridSpan w:val="4"/>
          </w:tcPr>
          <w:p>
            <w:pPr>
              <w:ind w:left="660"/>
              <w:spacing w:after="0"/>
              <w:rPr>
                <w:sz w:val="20"/>
                <w:szCs w:val="20"/>
                <w:color w:val="auto"/>
              </w:rPr>
            </w:pPr>
            <w:r>
              <w:rPr>
                <w:rFonts w:ascii="Arial" w:cs="Arial" w:eastAsia="Arial" w:hAnsi="Arial"/>
                <w:sz w:val="17"/>
                <w:szCs w:val="17"/>
                <w:color w:val="auto"/>
              </w:rPr>
              <w:t>BioLineRx, Ltd.</w:t>
            </w:r>
          </w:p>
        </w:tc>
      </w:tr>
      <w:tr>
        <w:trPr>
          <w:trHeight w:val="206"/>
        </w:trPr>
        <w:tc>
          <w:tcPr>
            <w:tcW w:w="62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By It s General Partner</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17"/>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BioLine Innovations Jerusalem, Ltd.</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74"/>
        </w:trPr>
        <w:tc>
          <w:tcPr>
            <w:tcW w:w="620" w:type="dxa"/>
            <w:vAlign w:val="bottom"/>
          </w:tcPr>
          <w:p>
            <w:pPr>
              <w:spacing w:after="0"/>
              <w:rPr>
                <w:sz w:val="24"/>
                <w:szCs w:val="24"/>
                <w:color w:val="auto"/>
              </w:rPr>
            </w:pPr>
          </w:p>
        </w:tc>
        <w:tc>
          <w:tcPr>
            <w:tcW w:w="3880" w:type="dxa"/>
            <w:vAlign w:val="bottom"/>
            <w:tcBorders>
              <w:bottom w:val="single" w:sz="8" w:color="auto"/>
            </w:tcBorders>
            <w:gridSpan w:val="2"/>
          </w:tcPr>
          <w:p>
            <w:pPr>
              <w:ind w:left="400"/>
              <w:spacing w:after="0"/>
              <w:rPr>
                <w:sz w:val="20"/>
                <w:szCs w:val="20"/>
                <w:color w:val="auto"/>
              </w:rPr>
            </w:pPr>
            <w:r>
              <w:rPr>
                <w:rFonts w:ascii="Arial" w:cs="Arial" w:eastAsia="Arial" w:hAnsi="Arial"/>
                <w:sz w:val="17"/>
                <w:szCs w:val="17"/>
                <w:color w:val="auto"/>
              </w:rPr>
              <w:t>/s/ Yuri Shoshan</w:t>
            </w:r>
          </w:p>
        </w:tc>
        <w:tc>
          <w:tcPr>
            <w:tcW w:w="660" w:type="dxa"/>
            <w:vAlign w:val="bottom"/>
          </w:tcPr>
          <w:p>
            <w:pPr>
              <w:spacing w:after="0"/>
              <w:rPr>
                <w:sz w:val="24"/>
                <w:szCs w:val="24"/>
                <w:color w:val="auto"/>
              </w:rPr>
            </w:pPr>
          </w:p>
        </w:tc>
        <w:tc>
          <w:tcPr>
            <w:tcW w:w="3880" w:type="dxa"/>
            <w:vAlign w:val="bottom"/>
            <w:tcBorders>
              <w:bottom w:val="single" w:sz="8" w:color="auto"/>
            </w:tcBorders>
            <w:gridSpan w:val="2"/>
          </w:tcPr>
          <w:p>
            <w:pPr>
              <w:ind w:left="400"/>
              <w:spacing w:after="0"/>
              <w:rPr>
                <w:sz w:val="20"/>
                <w:szCs w:val="20"/>
                <w:color w:val="auto"/>
              </w:rPr>
            </w:pPr>
            <w:r>
              <w:rPr>
                <w:rFonts w:ascii="Arial" w:cs="Arial" w:eastAsia="Arial" w:hAnsi="Arial"/>
                <w:sz w:val="17"/>
                <w:szCs w:val="17"/>
                <w:color w:val="auto"/>
              </w:rPr>
              <w:t>/s/ Yuri Shoshan</w:t>
            </w:r>
          </w:p>
        </w:tc>
        <w:tc>
          <w:tcPr>
            <w:tcW w:w="2380" w:type="dxa"/>
            <w:vAlign w:val="bottom"/>
          </w:tcPr>
          <w:p>
            <w:pPr>
              <w:spacing w:after="0"/>
              <w:rPr>
                <w:sz w:val="24"/>
                <w:szCs w:val="24"/>
                <w:color w:val="auto"/>
              </w:rPr>
            </w:pPr>
          </w:p>
        </w:tc>
      </w:tr>
      <w:tr>
        <w:trPr>
          <w:trHeight w:val="223"/>
        </w:trPr>
        <w:tc>
          <w:tcPr>
            <w:tcW w:w="6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Date: 21.4.09</w:t>
            </w:r>
          </w:p>
        </w:tc>
        <w:tc>
          <w:tcPr>
            <w:tcW w:w="6920" w:type="dxa"/>
            <w:vAlign w:val="bottom"/>
            <w:gridSpan w:val="4"/>
          </w:tcPr>
          <w:p>
            <w:pPr>
              <w:ind w:left="660"/>
              <w:spacing w:after="0"/>
              <w:rPr>
                <w:sz w:val="20"/>
                <w:szCs w:val="20"/>
                <w:color w:val="auto"/>
              </w:rPr>
            </w:pPr>
            <w:r>
              <w:rPr>
                <w:rFonts w:ascii="Arial" w:cs="Arial" w:eastAsia="Arial" w:hAnsi="Arial"/>
                <w:sz w:val="17"/>
                <w:szCs w:val="17"/>
                <w:color w:val="auto"/>
              </w:rPr>
              <w:t>Date: 21.4.09</w:t>
            </w:r>
          </w:p>
        </w:tc>
      </w:tr>
      <w:tr>
        <w:trPr>
          <w:trHeight w:val="628"/>
        </w:trPr>
        <w:tc>
          <w:tcPr>
            <w:tcW w:w="6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AND LICENSE AGREEMENT</w:t>
      </w:r>
    </w:p>
    <w:p>
      <w:pPr>
        <w:spacing w:after="0" w:line="242" w:lineRule="exact"/>
        <w:rPr>
          <w:sz w:val="20"/>
          <w:szCs w:val="20"/>
          <w:color w:val="auto"/>
        </w:rPr>
      </w:pPr>
    </w:p>
    <w:p>
      <w:pPr>
        <w:ind w:right="20" w:firstLine="926"/>
        <w:spacing w:after="0" w:line="261" w:lineRule="auto"/>
        <w:rPr>
          <w:sz w:val="20"/>
          <w:szCs w:val="20"/>
          <w:color w:val="auto"/>
        </w:rPr>
      </w:pPr>
      <w:r>
        <w:rPr>
          <w:rFonts w:ascii="Arial" w:cs="Arial" w:eastAsia="Arial" w:hAnsi="Arial"/>
          <w:sz w:val="17"/>
          <w:szCs w:val="17"/>
          <w:color w:val="auto"/>
        </w:rPr>
        <w:t>This License Agreement is entered into as of this 15 day of April, 2004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BioLineRx Ltd., a company formed under the laws of Israel, having a place of business at 19 Hartum Street, P.O. Box 45158, Jerusalem, 91450, Israel (“</w:t>
      </w:r>
      <w:r>
        <w:rPr>
          <w:rFonts w:ascii="Arial" w:cs="Arial" w:eastAsia="Arial" w:hAnsi="Arial"/>
          <w:sz w:val="17"/>
          <w:szCs w:val="17"/>
          <w:b w:val="1"/>
          <w:bCs w:val="1"/>
          <w:color w:val="auto"/>
        </w:rPr>
        <w:t>BioLine</w:t>
      </w:r>
      <w:r>
        <w:rPr>
          <w:rFonts w:ascii="Arial" w:cs="Arial" w:eastAsia="Arial" w:hAnsi="Arial"/>
          <w:sz w:val="17"/>
          <w:szCs w:val="17"/>
          <w:color w:val="auto"/>
        </w:rPr>
        <w:t>”); Bar-Ilan Research and Development Company Ltd., a company formed under the laws of Israel, having a place of business at Bar-Ilan University, Ramat Gan, 52900 (“</w:t>
      </w:r>
      <w:r>
        <w:rPr>
          <w:rFonts w:ascii="Arial" w:cs="Arial" w:eastAsia="Arial" w:hAnsi="Arial"/>
          <w:sz w:val="17"/>
          <w:szCs w:val="17"/>
          <w:b w:val="1"/>
          <w:bCs w:val="1"/>
          <w:color w:val="auto"/>
        </w:rPr>
        <w:t>BIRAD</w:t>
      </w:r>
      <w:r>
        <w:rPr>
          <w:rFonts w:ascii="Arial" w:cs="Arial" w:eastAsia="Arial" w:hAnsi="Arial"/>
          <w:sz w:val="17"/>
          <w:szCs w:val="17"/>
          <w:color w:val="auto"/>
        </w:rPr>
        <w:t>”); and Ramot at Tel Aviv University Ltd., a company formed under the laws of Israel, having a place of business at Tel Aviv University in Ramat-Aviv, Tel Aviv 61392, Israel (“</w:t>
      </w:r>
      <w:r>
        <w:rPr>
          <w:rFonts w:ascii="Arial" w:cs="Arial" w:eastAsia="Arial" w:hAnsi="Arial"/>
          <w:sz w:val="17"/>
          <w:szCs w:val="17"/>
          <w:b w:val="1"/>
          <w:bCs w:val="1"/>
          <w:color w:val="auto"/>
        </w:rPr>
        <w:t>Ramot</w:t>
      </w:r>
      <w:r>
        <w:rPr>
          <w:rFonts w:ascii="Arial" w:cs="Arial" w:eastAsia="Arial" w:hAnsi="Arial"/>
          <w:sz w:val="17"/>
          <w:szCs w:val="17"/>
          <w:color w:val="auto"/>
        </w:rPr>
        <w:t>”). BIRAD and Ramot shall be referred to together as the “</w:t>
      </w:r>
      <w:r>
        <w:rPr>
          <w:rFonts w:ascii="Arial" w:cs="Arial" w:eastAsia="Arial" w:hAnsi="Arial"/>
          <w:sz w:val="17"/>
          <w:szCs w:val="17"/>
          <w:b w:val="1"/>
          <w:bCs w:val="1"/>
          <w:color w:val="auto"/>
        </w:rPr>
        <w:t>Licensors</w:t>
      </w:r>
      <w:r>
        <w:rPr>
          <w:rFonts w:ascii="Arial" w:cs="Arial" w:eastAsia="Arial" w:hAnsi="Arial"/>
          <w:sz w:val="17"/>
          <w:szCs w:val="17"/>
          <w:color w:val="auto"/>
        </w:rPr>
        <w:t>”.</w:t>
      </w:r>
    </w:p>
    <w:p>
      <w:pPr>
        <w:spacing w:after="0" w:line="204"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WHEREAS, the Licensors are joint owners of an invention developed by Professor Abraham Weizman, Dr. Irit Gil-Ad and Dr. Ada Rephaeli of the Felsenstein Medical Research Center of Tel Aviv University (“</w:t>
      </w:r>
      <w:r>
        <w:rPr>
          <w:rFonts w:ascii="Arial" w:cs="Arial" w:eastAsia="Arial" w:hAnsi="Arial"/>
          <w:sz w:val="17"/>
          <w:szCs w:val="17"/>
          <w:b w:val="1"/>
          <w:bCs w:val="1"/>
          <w:color w:val="auto"/>
        </w:rPr>
        <w:t>TAU</w:t>
      </w:r>
      <w:r>
        <w:rPr>
          <w:rFonts w:ascii="Arial" w:cs="Arial" w:eastAsia="Arial" w:hAnsi="Arial"/>
          <w:sz w:val="17"/>
          <w:szCs w:val="17"/>
          <w:color w:val="auto"/>
        </w:rPr>
        <w:t>”) and Professor Abraham Nudelman of Bar-Ilan University (“</w:t>
      </w:r>
      <w:r>
        <w:rPr>
          <w:rFonts w:ascii="Arial" w:cs="Arial" w:eastAsia="Arial" w:hAnsi="Arial"/>
          <w:sz w:val="17"/>
          <w:szCs w:val="17"/>
          <w:b w:val="1"/>
          <w:bCs w:val="1"/>
          <w:color w:val="auto"/>
        </w:rPr>
        <w:t>BIU</w:t>
      </w:r>
      <w:r>
        <w:rPr>
          <w:rFonts w:ascii="Arial" w:cs="Arial" w:eastAsia="Arial" w:hAnsi="Arial"/>
          <w:sz w:val="17"/>
          <w:szCs w:val="17"/>
          <w:color w:val="auto"/>
        </w:rPr>
        <w:t>”), relating to conjugated anti-psychotic drugs and the use thereof; and</w:t>
      </w:r>
    </w:p>
    <w:p>
      <w:pPr>
        <w:spacing w:after="0" w:line="201"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WHEREAS, BioLine wishes to fund further research at TAU and BIU through Ramot and BIRAD, respectively, for the purpose of furthering research related to such invention; and</w:t>
      </w:r>
    </w:p>
    <w:p>
      <w:pPr>
        <w:spacing w:after="0" w:line="190"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WHEREAS, BioLine wishes to obtain a license with respect to such invention and the results of such research, in order to develop, obtain regulatory approval for and commercialize products based on such invention, and the Licensors wish to grant BioLine a license with respect to such technology and the results of such research, all in accordance with the terms and conditions of this Agreement.</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the parties hereto, intending to be legally bound, hereby agree as follows:</w:t>
      </w:r>
    </w:p>
    <w:p>
      <w:pPr>
        <w:spacing w:after="0" w:line="242" w:lineRule="exact"/>
        <w:rPr>
          <w:sz w:val="20"/>
          <w:szCs w:val="20"/>
          <w:color w:val="auto"/>
        </w:rPr>
      </w:pPr>
    </w:p>
    <w:p>
      <w:pPr>
        <w:ind w:left="620" w:hanging="617"/>
        <w:spacing w:after="0"/>
        <w:tabs>
          <w:tab w:leader="none" w:pos="620"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48"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Whenever used in this Agreement with an initial capital letter, the terms defined in this Section 1, whether used in the singular or the plural, shall have the meanings specified below.</w:t>
      </w:r>
    </w:p>
    <w:p>
      <w:pPr>
        <w:spacing w:after="0" w:line="184"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1.1. “Additional Ingredient” </w:t>
      </w:r>
      <w:r>
        <w:rPr>
          <w:rFonts w:ascii="Arial" w:cs="Arial" w:eastAsia="Arial" w:hAnsi="Arial"/>
          <w:sz w:val="17"/>
          <w:szCs w:val="17"/>
          <w:color w:val="auto"/>
        </w:rPr>
        <w:t>shall mean any compound or substance which (i) is contained in a product and (ii) when administered to a patient has a</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or prophylactic clinical effect, either directly or by acting synergistically with or otherwise enhancing the effect of other compounds or substances contained in such product.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17" w:name="page318"/>
    <w:bookmarkEnd w:id="317"/>
    <w:p>
      <w:pPr>
        <w:jc w:val="both"/>
        <w:spacing w:after="0" w:line="278" w:lineRule="auto"/>
        <w:rPr>
          <w:sz w:val="20"/>
          <w:szCs w:val="20"/>
          <w:color w:val="auto"/>
        </w:rPr>
      </w:pPr>
      <w:r>
        <w:rPr>
          <w:rFonts w:ascii="Arial" w:cs="Arial" w:eastAsia="Arial" w:hAnsi="Arial"/>
          <w:sz w:val="16"/>
          <w:szCs w:val="16"/>
          <w:b w:val="1"/>
          <w:bCs w:val="1"/>
          <w:color w:val="auto"/>
        </w:rPr>
        <w:t xml:space="preserve">1.2 “Affiliate” </w:t>
      </w:r>
      <w:r>
        <w:rPr>
          <w:rFonts w:ascii="Arial" w:cs="Arial" w:eastAsia="Arial" w:hAnsi="Arial"/>
          <w:sz w:val="16"/>
          <w:szCs w:val="16"/>
          <w:color w:val="auto"/>
        </w:rPr>
        <w:t>shall mean, with respect to a party, any person, organization or entity controlling, controlled by or under common control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purposes of this definition only, “control” of another person,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(i) owns or directly controls twenty percent (20%) or more of the outstanding voting stock or other ownership interest of the other organization or entity, or (ii) possesses, directly or indirectly, the power to elect or appoint twenty percent (20%) or more of the members of the governing body of the organization or other entity.</w:t>
      </w:r>
    </w:p>
    <w:p>
      <w:pPr>
        <w:spacing w:after="0" w:line="18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 “BIRAD Research” </w:t>
      </w:r>
      <w:r>
        <w:rPr>
          <w:rFonts w:ascii="Arial" w:cs="Arial" w:eastAsia="Arial" w:hAnsi="Arial"/>
          <w:sz w:val="17"/>
          <w:szCs w:val="17"/>
          <w:color w:val="auto"/>
        </w:rPr>
        <w:t>shall mean the research actually conducted by the BIU Team under the terms of this Agreement in accordance with the BIRAD</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Plan.</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1.4. “BIRAD Research Plan” </w:t>
      </w:r>
      <w:r>
        <w:rPr>
          <w:rFonts w:ascii="Arial" w:cs="Arial" w:eastAsia="Arial" w:hAnsi="Arial"/>
          <w:sz w:val="17"/>
          <w:szCs w:val="17"/>
          <w:color w:val="auto"/>
        </w:rPr>
        <w:t>shall mean the research plan attached hereto as Exhibit 1.4, as amended from time to time in accordance with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with the mutual agreement of the parties, which sets forth the research to be undertaken by the BIU Team under the direction of the BIU Principal Investigator during the Research Period.</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1.5. “BIU Principal Investigator” </w:t>
      </w:r>
      <w:r>
        <w:rPr>
          <w:rFonts w:ascii="Arial" w:cs="Arial" w:eastAsia="Arial" w:hAnsi="Arial"/>
          <w:sz w:val="17"/>
          <w:szCs w:val="17"/>
          <w:color w:val="auto"/>
        </w:rPr>
        <w:t>shall mean Professor Abraham Nudelman, or such other principal investigator who may replace Professor Nudelman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2.2.1.2.</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1.6. “BIU Team” </w:t>
      </w:r>
      <w:r>
        <w:rPr>
          <w:rFonts w:ascii="Arial" w:cs="Arial" w:eastAsia="Arial" w:hAnsi="Arial"/>
          <w:sz w:val="17"/>
          <w:szCs w:val="17"/>
          <w:color w:val="auto"/>
        </w:rPr>
        <w:t>shall mean the BIU Principal Investigator and those students, scientists and technicians working at BIU under his direction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BIRAD Research.</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1.7. “Calendar Quarter” </w:t>
      </w:r>
      <w:r>
        <w:rPr>
          <w:rFonts w:ascii="Arial" w:cs="Arial" w:eastAsia="Arial" w:hAnsi="Arial"/>
          <w:sz w:val="17"/>
          <w:szCs w:val="17"/>
          <w:color w:val="auto"/>
        </w:rPr>
        <w:t>shall mean the respective periods of three (3) consecutive calendar months ending on March 31, June 30, September 30 or</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for so long as this Agreement is in effect.</w:t>
      </w:r>
    </w:p>
    <w:p>
      <w:pPr>
        <w:spacing w:after="0" w:line="177" w:lineRule="exact"/>
        <w:rPr>
          <w:sz w:val="20"/>
          <w:szCs w:val="20"/>
          <w:color w:val="auto"/>
        </w:rPr>
      </w:pPr>
    </w:p>
    <w:p>
      <w:pPr>
        <w:ind w:right="300" w:firstLine="617"/>
        <w:spacing w:after="0" w:line="286" w:lineRule="auto"/>
        <w:rPr>
          <w:sz w:val="20"/>
          <w:szCs w:val="20"/>
          <w:color w:val="auto"/>
        </w:rPr>
      </w:pPr>
      <w:r>
        <w:rPr>
          <w:rFonts w:ascii="Arial" w:cs="Arial" w:eastAsia="Arial" w:hAnsi="Arial"/>
          <w:sz w:val="17"/>
          <w:szCs w:val="17"/>
          <w:b w:val="1"/>
          <w:bCs w:val="1"/>
          <w:color w:val="auto"/>
        </w:rPr>
        <w:t xml:space="preserve">1.8 “Combination Product” </w:t>
      </w:r>
      <w:r>
        <w:rPr>
          <w:rFonts w:ascii="Arial" w:cs="Arial" w:eastAsia="Arial" w:hAnsi="Arial"/>
          <w:sz w:val="17"/>
          <w:szCs w:val="17"/>
          <w:color w:val="auto"/>
        </w:rPr>
        <w:t>shall mean a product, substance or devise which comprises a Licensed Product and at least one other essential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Ingredient.</w:t>
      </w:r>
    </w:p>
    <w:p>
      <w:pPr>
        <w:spacing w:after="0" w:line="177"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1.9. “Commercially Reasonable Efforts” </w:t>
      </w:r>
      <w:r>
        <w:rPr>
          <w:rFonts w:ascii="Arial" w:cs="Arial" w:eastAsia="Arial" w:hAnsi="Arial"/>
          <w:sz w:val="17"/>
          <w:szCs w:val="17"/>
          <w:color w:val="auto"/>
        </w:rPr>
        <w:t>shall mean (i) with respect to any objective by an entity, reasonable, diligent, good faith efforts to accomplish</w:t>
      </w:r>
      <w:r>
        <w:rPr>
          <w:rFonts w:ascii="Arial" w:cs="Arial" w:eastAsia="Arial" w:hAnsi="Arial"/>
          <w:sz w:val="17"/>
          <w:szCs w:val="17"/>
          <w:b w:val="1"/>
          <w:bCs w:val="1"/>
          <w:color w:val="auto"/>
        </w:rPr>
        <w:t xml:space="preserve"> </w:t>
      </w:r>
      <w:r>
        <w:rPr>
          <w:rFonts w:ascii="Arial" w:cs="Arial" w:eastAsia="Arial" w:hAnsi="Arial"/>
          <w:sz w:val="17"/>
          <w:szCs w:val="17"/>
          <w:color w:val="auto"/>
        </w:rPr>
        <w:t>such objective as such entity (together with its Affiliates as a group) would normally use in the ordinary course of business and research to accomplish a similar objective under similar circumstances; and (ii) with respect to research, development and commercialization of any Licensed Product hereunder, shall mean those efforts and resources normally used by such entity (together with its Affiliates as a group) for a product owned by it or to which it has rights, which is of similar market potential at a similar stage in its development or product life as such Licensed Product.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1.10. “Current Inventions” </w:t>
      </w:r>
      <w:r>
        <w:rPr>
          <w:rFonts w:ascii="Arial" w:cs="Arial" w:eastAsia="Arial" w:hAnsi="Arial"/>
          <w:sz w:val="17"/>
          <w:szCs w:val="17"/>
          <w:color w:val="auto"/>
        </w:rPr>
        <w:t>the inventions disclosed in the patent application described in Exhibit 1.20.</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1.11. “Development Plan” </w:t>
      </w:r>
      <w:r>
        <w:rPr>
          <w:rFonts w:ascii="Arial" w:cs="Arial" w:eastAsia="Arial" w:hAnsi="Arial"/>
          <w:sz w:val="17"/>
          <w:szCs w:val="17"/>
          <w:color w:val="auto"/>
        </w:rPr>
        <w:t>shall mean the plan for the development of Licensed Products attached hereto as Exhibit 1.11, as such plan may be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pursuant to Sections 6.2.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18" w:name="page319"/>
    <w:bookmarkEnd w:id="318"/>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1.12. “Far East Countries” </w:t>
      </w:r>
      <w:r>
        <w:rPr>
          <w:rFonts w:ascii="Arial" w:cs="Arial" w:eastAsia="Arial" w:hAnsi="Arial"/>
          <w:sz w:val="17"/>
          <w:szCs w:val="17"/>
          <w:color w:val="auto"/>
        </w:rPr>
        <w:t>shall mean Australia, New Zealand, Japan, North Korea, South Korea, Mongolia, the People’s Republic of China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Hong Kong and Macau), Taiwan, Quemoy, and Matsu, Brunei, Cambodia, East Timor, Indonesia, India, Laos, Malaysia, Myanmar (Burma), The Philippines, Singapore, Thailand and Vietnam.</w:t>
      </w:r>
    </w:p>
    <w:p>
      <w:pPr>
        <w:spacing w:after="0" w:line="19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1.13. “First Commercial Sale” </w:t>
      </w:r>
      <w:r>
        <w:rPr>
          <w:rFonts w:ascii="Arial" w:cs="Arial" w:eastAsia="Arial" w:hAnsi="Arial"/>
          <w:sz w:val="17"/>
          <w:szCs w:val="17"/>
          <w:color w:val="auto"/>
        </w:rPr>
        <w:t>shall mean the first sale of a Licensed Product by BioLine, an Affiliate of BioLine or a Sublicensee to an unaffiliated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after Regulatory Approval has been achieved in the country in which such Licensed Product is sold. Sales for test marketing, sampling and promotional uses, clinical trial purposes or compassionate or similar use shall not be considered to constitute a First Commercial Sale.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1.14.“FDA” </w:t>
      </w:r>
      <w:r>
        <w:rPr>
          <w:rFonts w:ascii="Arial" w:cs="Arial" w:eastAsia="Arial" w:hAnsi="Arial"/>
          <w:sz w:val="17"/>
          <w:szCs w:val="17"/>
          <w:color w:val="auto"/>
        </w:rPr>
        <w:t>shall mean the United States Food and Drug Administration.</w:t>
      </w:r>
    </w:p>
    <w:p>
      <w:pPr>
        <w:spacing w:after="0" w:line="242"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1.15.“IND” </w:t>
      </w:r>
      <w:r>
        <w:rPr>
          <w:rFonts w:ascii="Arial" w:cs="Arial" w:eastAsia="Arial" w:hAnsi="Arial"/>
          <w:sz w:val="16"/>
          <w:szCs w:val="16"/>
          <w:color w:val="auto"/>
        </w:rPr>
        <w:t>shall mean (i) an Investigational New Drug Application, as defined in the U.S. Federal Food, Drug, and Cosmetic Act, as amended,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promulgated thereunder, that is required to be filed with the FDA before beginning clinical testing of a Licensed Product in human subjects, or any successor application or procedure and (ii) any comparable application filed with a Regulatory Agency in any other country or jurisdiction.</w:t>
      </w:r>
    </w:p>
    <w:p>
      <w:pPr>
        <w:spacing w:after="0" w:line="175"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1.16.“Joint Inventions” </w:t>
      </w:r>
      <w:r>
        <w:rPr>
          <w:rFonts w:ascii="Arial" w:cs="Arial" w:eastAsia="Arial" w:hAnsi="Arial"/>
          <w:sz w:val="17"/>
          <w:szCs w:val="17"/>
          <w:color w:val="auto"/>
        </w:rPr>
        <w:t>shall mean any and all inventions made jointly by one or more members of the Licensor Teams and one or more employees 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consultants of BioLine.</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1.17.“Joint Patent Rights” </w:t>
      </w:r>
      <w:r>
        <w:rPr>
          <w:rFonts w:ascii="Arial" w:cs="Arial" w:eastAsia="Arial" w:hAnsi="Arial"/>
          <w:sz w:val="17"/>
          <w:szCs w:val="17"/>
          <w:color w:val="auto"/>
        </w:rPr>
        <w:t>shall mean any and all Patent Rights claiming Joint Inventions.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1.18.“Joint Technology” </w:t>
      </w:r>
      <w:r>
        <w:rPr>
          <w:rFonts w:ascii="Arial" w:cs="Arial" w:eastAsia="Arial" w:hAnsi="Arial"/>
          <w:sz w:val="17"/>
          <w:szCs w:val="17"/>
          <w:color w:val="auto"/>
        </w:rPr>
        <w:t>shall mean Joint Patent Rights and Joint Inventions.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1.19.“Licensed Patent Rights” </w:t>
      </w:r>
      <w:r>
        <w:rPr>
          <w:rFonts w:ascii="Arial" w:cs="Arial" w:eastAsia="Arial" w:hAnsi="Arial"/>
          <w:sz w:val="17"/>
          <w:szCs w:val="17"/>
          <w:color w:val="auto"/>
        </w:rPr>
        <w:t>shall mean the Licensor Patent Rights and the Joint Patent Rights.</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1.20.“Licensor Patent Rights” </w:t>
      </w:r>
      <w:r>
        <w:rPr>
          <w:rFonts w:ascii="Arial" w:cs="Arial" w:eastAsia="Arial" w:hAnsi="Arial"/>
          <w:sz w:val="17"/>
          <w:szCs w:val="17"/>
          <w:color w:val="auto"/>
        </w:rPr>
        <w:t>shall mean (i) the Patent Rights described on Exhibit 1.20(a) attached hereto, and (ii) all Patent Rights owned by Ramot</w:t>
      </w:r>
      <w:r>
        <w:rPr>
          <w:rFonts w:ascii="Arial" w:cs="Arial" w:eastAsia="Arial" w:hAnsi="Arial"/>
          <w:sz w:val="17"/>
          <w:szCs w:val="17"/>
          <w:b w:val="1"/>
          <w:bCs w:val="1"/>
          <w:color w:val="auto"/>
        </w:rPr>
        <w:t xml:space="preserve"> </w:t>
      </w:r>
      <w:r>
        <w:rPr>
          <w:rFonts w:ascii="Arial" w:cs="Arial" w:eastAsia="Arial" w:hAnsi="Arial"/>
          <w:sz w:val="17"/>
          <w:szCs w:val="17"/>
          <w:color w:val="auto"/>
        </w:rPr>
        <w:t>and/or BIRAD which claim, and only to the extent they so claim, any of the Research Results. Exhibit 1.20(b) shall include and shall be updated from time to time to include new Licensor Patent Rights.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1.21.“Licensed Product” </w:t>
      </w:r>
      <w:r>
        <w:rPr>
          <w:rFonts w:ascii="Arial" w:cs="Arial" w:eastAsia="Arial" w:hAnsi="Arial"/>
          <w:sz w:val="17"/>
          <w:szCs w:val="17"/>
          <w:color w:val="auto"/>
        </w:rPr>
        <w:t>shall mean any therapeutic product that comprises, contains or incorporates a compound described in Exhibit 1.21.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19" w:name="page320"/>
    <w:bookmarkEnd w:id="319"/>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1.22.“Licensor Proposed Product” </w:t>
      </w:r>
      <w:r>
        <w:rPr>
          <w:rFonts w:ascii="Arial" w:cs="Arial" w:eastAsia="Arial" w:hAnsi="Arial"/>
          <w:sz w:val="17"/>
          <w:szCs w:val="17"/>
          <w:color w:val="auto"/>
        </w:rPr>
        <w:t>shall mean a potential Licensed Product proposed by one or both of the Licensors that (a) does not incorporate a</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 included in a Licensed Product being developed, manufactured, used, marketed or sold by BioLine or any of its Affiliates or Sublicensees and (b) is aimed at an indication that is not targeted by any Licensed Product being developed, manufactured, used, marketed or sold by BioLine or any of its Affiliates or Sublicensees.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1.23.“Licensor Teams” </w:t>
      </w:r>
      <w:r>
        <w:rPr>
          <w:rFonts w:ascii="Arial" w:cs="Arial" w:eastAsia="Arial" w:hAnsi="Arial"/>
          <w:sz w:val="17"/>
          <w:szCs w:val="17"/>
          <w:color w:val="auto"/>
        </w:rPr>
        <w:t>shall mean the TAU Team and the BIU Team.</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1.24.“Licensor Technology” </w:t>
      </w:r>
      <w:r>
        <w:rPr>
          <w:rFonts w:ascii="Arial" w:cs="Arial" w:eastAsia="Arial" w:hAnsi="Arial"/>
          <w:sz w:val="17"/>
          <w:szCs w:val="17"/>
          <w:color w:val="auto"/>
        </w:rPr>
        <w:t>shall mean the Current Invention, the Licensor Patent Rights and the Research Results.</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1.25.“NDA” </w:t>
      </w:r>
      <w:r>
        <w:rPr>
          <w:rFonts w:ascii="Arial" w:cs="Arial" w:eastAsia="Arial" w:hAnsi="Arial"/>
          <w:sz w:val="17"/>
          <w:szCs w:val="17"/>
          <w:color w:val="auto"/>
        </w:rPr>
        <w:t>shall mean an FDA New Drug Application or Product License Application (or Biologics License Application), as appropriate,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supplements filed pursuant to the requirements of the FDA, including all documents, data and other information concerning Licensed Products that are necessary for or included in FDA approval to market a Licensed Product, or the equivalent application in any other country or jurisdiction.</w:t>
      </w:r>
    </w:p>
    <w:p>
      <w:pPr>
        <w:spacing w:after="0" w:line="19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1.26.“Net Sales” </w:t>
      </w:r>
      <w:r>
        <w:rPr>
          <w:rFonts w:ascii="Arial" w:cs="Arial" w:eastAsia="Arial" w:hAnsi="Arial"/>
          <w:sz w:val="17"/>
          <w:szCs w:val="17"/>
          <w:color w:val="auto"/>
        </w:rPr>
        <w:t>shall mean the gross amount billed or invoiced by or on behalf of BioLine and/or its Affiliates (the “</w:t>
      </w:r>
      <w:r>
        <w:rPr>
          <w:rFonts w:ascii="Arial" w:cs="Arial" w:eastAsia="Arial" w:hAnsi="Arial"/>
          <w:sz w:val="17"/>
          <w:szCs w:val="17"/>
          <w:b w:val="1"/>
          <w:bCs w:val="1"/>
          <w:color w:val="auto"/>
        </w:rPr>
        <w:t>Invoicing Entity</w:t>
      </w:r>
      <w:r>
        <w:rPr>
          <w:rFonts w:ascii="Arial" w:cs="Arial" w:eastAsia="Arial" w:hAnsi="Arial"/>
          <w:sz w:val="17"/>
          <w:szCs w:val="17"/>
          <w:color w:val="auto"/>
        </w:rPr>
        <w:t>”) on sales of</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(whether made before or after the First Commercial Sale of the Licensed Product), less the following: (a) customary trade, quantity, or cash discounts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import, export, delivery, or use of a Licensed Product which is paid by or on behalf of the Invoicing Entity; and (d) outbound transportation, packing and delivery charges, as well as prepaid freight (including shipping insurance) actually incurred; provided that:</w:t>
      </w:r>
    </w:p>
    <w:p>
      <w:pPr>
        <w:spacing w:after="0" w:line="207" w:lineRule="exact"/>
        <w:rPr>
          <w:sz w:val="20"/>
          <w:szCs w:val="20"/>
          <w:color w:val="auto"/>
        </w:rPr>
      </w:pPr>
    </w:p>
    <w:p>
      <w:pPr>
        <w:jc w:val="both"/>
        <w:ind w:firstLine="1238"/>
        <w:spacing w:after="0" w:line="261" w:lineRule="auto"/>
        <w:tabs>
          <w:tab w:leader="none" w:pos="148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 any transfers of Licensed Products between the Invoicing Entity and an Affiliate of the Invoicing Entity, Net Sales shall be equal to the higher of: (x) the fair market value of the Licensed Products so transferred, assuming an arm’s length transaction made in the ordinary course of business, and (y) the total amount invoiced by such Affiliate on resale to an independent third party purchaser, in each case, after deducting the amounts referred to in clauses (a) through (d) above, to the extent applicable; and</w:t>
      </w:r>
    </w:p>
    <w:p>
      <w:pPr>
        <w:spacing w:after="0" w:line="204" w:lineRule="exact"/>
        <w:rPr>
          <w:rFonts w:ascii="Arial" w:cs="Arial" w:eastAsia="Arial" w:hAnsi="Arial"/>
          <w:sz w:val="17"/>
          <w:szCs w:val="17"/>
          <w:color w:val="auto"/>
        </w:rPr>
      </w:pPr>
    </w:p>
    <w:p>
      <w:pPr>
        <w:jc w:val="both"/>
        <w:ind w:firstLine="1238"/>
        <w:spacing w:after="0" w:line="265" w:lineRule="auto"/>
        <w:tabs>
          <w:tab w:leader="none" w:pos="149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 the event that the Invoicing Entity, or the Affiliate of the Invoicing Entity, receives non-monetary consideration for any Licensed Products or in the case of transactions not at arm’s length with a non-Affiliate of the Invoicing Entity, Net Sales shall be calculated based on the fair market value of such consideration or transaction, assuming an arm’s length transaction made in the ordinary course of business.</w:t>
      </w:r>
    </w:p>
    <w:p>
      <w:pPr>
        <w:spacing w:after="0" w:line="195"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1.27. “Orphan Drug” </w:t>
      </w:r>
      <w:r>
        <w:rPr>
          <w:rFonts w:ascii="Arial" w:cs="Arial" w:eastAsia="Arial" w:hAnsi="Arial"/>
          <w:sz w:val="17"/>
          <w:szCs w:val="17"/>
          <w:color w:val="auto"/>
        </w:rPr>
        <w:t>shall mean a Licensed Product that is protected (a) by “Orphan Drug” status under the U.S. Orphan Drug Act, (b) by a</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Supplementary Protection Certificate, as such term is defined in Council Regulation (EU) No. 1768/92, or (c) by a similar status granted under similar statutory provisions of another jurisdiction granting exclusive marketing rights in such jurisdiction.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0" w:name="page321"/>
    <w:bookmarkEnd w:id="320"/>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1.28.“Patent Rights” </w:t>
      </w:r>
      <w:r>
        <w:rPr>
          <w:rFonts w:ascii="Arial" w:cs="Arial" w:eastAsia="Arial" w:hAnsi="Arial"/>
          <w:sz w:val="17"/>
          <w:szCs w:val="17"/>
          <w:color w:val="auto"/>
        </w:rPr>
        <w:t>shall mean any and all (a) patents, (b) pending patent applications, including, without limitation, all provisional applications,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continuations, continuations-in-part, divisions, reissues, renewals, and all patents granted thereon, and (c) all patents-of-addition, reissue patents, reexaminations and extensions or restorations by existing or future extension or restoration mechanisms, including, without limitation, supplementary protection certificates or the equivalent thereof.</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1.29. “Principal Investigators” </w:t>
      </w:r>
      <w:r>
        <w:rPr>
          <w:rFonts w:ascii="Arial" w:cs="Arial" w:eastAsia="Arial" w:hAnsi="Arial"/>
          <w:sz w:val="17"/>
          <w:szCs w:val="17"/>
          <w:color w:val="auto"/>
        </w:rPr>
        <w:t>shall mean the TAU Principal Investigators and the BIU Principal Investigator.</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1.30.“Ramot Research” </w:t>
      </w:r>
      <w:r>
        <w:rPr>
          <w:rFonts w:ascii="Arial" w:cs="Arial" w:eastAsia="Arial" w:hAnsi="Arial"/>
          <w:sz w:val="17"/>
          <w:szCs w:val="17"/>
          <w:color w:val="auto"/>
        </w:rPr>
        <w:t>shall mean the research actually conducted by the TAU Team under the terms of this Agreement in accordance with the Ramot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Plan.</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1.31.“Ramot Research Plan” </w:t>
      </w:r>
      <w:r>
        <w:rPr>
          <w:rFonts w:ascii="Arial" w:cs="Arial" w:eastAsia="Arial" w:hAnsi="Arial"/>
          <w:sz w:val="17"/>
          <w:szCs w:val="17"/>
          <w:color w:val="auto"/>
        </w:rPr>
        <w:t>shall mean the research plan attached hereto as Exhibit 1.31, as amended from time to time in accordance with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with the mutual agreement of the parties, which sets forth the research to be undertaken by the TAU Team under the direction of the TAU Principal Investigators during the Research Period.</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1.32. “Research Period” </w:t>
      </w:r>
      <w:r>
        <w:rPr>
          <w:rFonts w:ascii="Arial" w:cs="Arial" w:eastAsia="Arial" w:hAnsi="Arial"/>
          <w:sz w:val="17"/>
          <w:szCs w:val="17"/>
          <w:color w:val="auto"/>
        </w:rPr>
        <w:t>shall mean a period of two (2) years commencing on the Effective Date, or such longer period as the parties may mutually agree</w:t>
      </w:r>
      <w:r>
        <w:rPr>
          <w:rFonts w:ascii="Arial" w:cs="Arial" w:eastAsia="Arial" w:hAnsi="Arial"/>
          <w:sz w:val="17"/>
          <w:szCs w:val="17"/>
          <w:b w:val="1"/>
          <w:bCs w:val="1"/>
          <w:color w:val="auto"/>
        </w:rPr>
        <w:t xml:space="preserve"> </w:t>
      </w:r>
      <w:r>
        <w:rPr>
          <w:rFonts w:ascii="Arial" w:cs="Arial" w:eastAsia="Arial" w:hAnsi="Arial"/>
          <w:sz w:val="17"/>
          <w:szCs w:val="17"/>
          <w:color w:val="auto"/>
        </w:rPr>
        <w:t>upon in writing.</w:t>
      </w:r>
    </w:p>
    <w:p>
      <w:pPr>
        <w:spacing w:after="0" w:line="177" w:lineRule="exact"/>
        <w:rPr>
          <w:sz w:val="20"/>
          <w:szCs w:val="20"/>
          <w:color w:val="auto"/>
        </w:rPr>
      </w:pPr>
    </w:p>
    <w:p>
      <w:pPr>
        <w:jc w:val="both"/>
        <w:ind w:firstLine="617"/>
        <w:spacing w:after="0" w:line="319" w:lineRule="auto"/>
        <w:rPr>
          <w:sz w:val="20"/>
          <w:szCs w:val="20"/>
          <w:color w:val="auto"/>
        </w:rPr>
      </w:pPr>
      <w:r>
        <w:rPr>
          <w:rFonts w:ascii="Arial" w:cs="Arial" w:eastAsia="Arial" w:hAnsi="Arial"/>
          <w:sz w:val="16"/>
          <w:szCs w:val="16"/>
          <w:b w:val="1"/>
          <w:bCs w:val="1"/>
          <w:color w:val="auto"/>
        </w:rPr>
        <w:t xml:space="preserve">1.33.“Research Results” </w:t>
      </w:r>
      <w:r>
        <w:rPr>
          <w:rFonts w:ascii="Arial" w:cs="Arial" w:eastAsia="Arial" w:hAnsi="Arial"/>
          <w:sz w:val="16"/>
          <w:szCs w:val="16"/>
          <w:color w:val="auto"/>
        </w:rPr>
        <w:t>shall mean any and all inventions, materials, methods, processes, know-how and results discovered or acquired by, or on behalf of,</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Licensor Teams in the course of the performance of the BIRAD Research and/or the Ramot Research during the Research Period.</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1.34. “Regulatory Agency” </w:t>
      </w:r>
      <w:r>
        <w:rPr>
          <w:rFonts w:ascii="Arial" w:cs="Arial" w:eastAsia="Arial" w:hAnsi="Arial"/>
          <w:sz w:val="17"/>
          <w:szCs w:val="17"/>
          <w:color w:val="auto"/>
        </w:rPr>
        <w:t>shall mean the FDA or equivalent agency or government body of another country.</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1.35.“Regulatory Approval” </w:t>
      </w:r>
      <w:r>
        <w:rPr>
          <w:rFonts w:ascii="Arial" w:cs="Arial" w:eastAsia="Arial" w:hAnsi="Arial"/>
          <w:sz w:val="17"/>
          <w:szCs w:val="17"/>
          <w:color w:val="auto"/>
        </w:rPr>
        <w:t>shall mean (i) approval of an NDA by the FDA permitting commercial sale of a Licensed Product or (ii) any comparable</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permitting commercial sale of a Licensed Product granted by the applicable Regulatory Agency in any other country or jurisdiction.</w:t>
      </w:r>
    </w:p>
    <w:p>
      <w:pPr>
        <w:spacing w:after="0" w:line="177"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 xml:space="preserve">1.36.“Sublicense Receipts” </w:t>
      </w:r>
      <w:r>
        <w:rPr>
          <w:rFonts w:ascii="Arial" w:cs="Arial" w:eastAsia="Arial" w:hAnsi="Arial"/>
          <w:sz w:val="16"/>
          <w:szCs w:val="16"/>
          <w:color w:val="auto"/>
        </w:rPr>
        <w:t>shall mean any payments or other consideration that BioLine or an Affiliate of BioLine actually received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 or other grant of rights with respect to some or all of the rights granted to BioLine under Section 5.1, or the grant of an option to obtain such sublicense or other rights, including without limitation royalties, license fees, milestone payments, license maintenance fees and equity; provided that in the event that BioLine or an Affiliate of BioLine receives non-monetary consideration for any such sublicense or other grant of rights or in the case of transactions not at arm’s length, Sublicense Receipts shall be calculated based on the fair market value of such consideration or transaction, assuming an arm’s length transaction made in the ordinary course of business; and provided further that Sublicensing Receipts will be reduced by any amounts returned by BioLine or an Affiliate to a Sublicensee on account of refunds or rebates given in respect of Sublicense Receipts. For the avoidance of doubt, research grants received by BioLine from national or international not-for-profit funding bodies shall not be considered Sublicensing Receipts.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1" w:name="page322"/>
    <w:bookmarkEnd w:id="321"/>
    <w:p>
      <w:pPr>
        <w:ind w:firstLine="617"/>
        <w:spacing w:after="0" w:line="286" w:lineRule="auto"/>
        <w:rPr>
          <w:sz w:val="20"/>
          <w:szCs w:val="20"/>
          <w:color w:val="auto"/>
        </w:rPr>
      </w:pPr>
      <w:r>
        <w:rPr>
          <w:rFonts w:ascii="Arial" w:cs="Arial" w:eastAsia="Arial" w:hAnsi="Arial"/>
          <w:sz w:val="17"/>
          <w:szCs w:val="17"/>
          <w:b w:val="1"/>
          <w:bCs w:val="1"/>
          <w:color w:val="auto"/>
        </w:rPr>
        <w:t xml:space="preserve">1.37. “Sublicensee” </w:t>
      </w:r>
      <w:r>
        <w:rPr>
          <w:rFonts w:ascii="Arial" w:cs="Arial" w:eastAsia="Arial" w:hAnsi="Arial"/>
          <w:sz w:val="17"/>
          <w:szCs w:val="17"/>
          <w:color w:val="auto"/>
        </w:rPr>
        <w:t>shall mean a person or entity to whom BioLine or its Sublicensee grants a sublicense or other rights with respect to some or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granted to BioLine under Section 5.1, pursuant to Section 5.2.</w:t>
      </w:r>
    </w:p>
    <w:p>
      <w:pPr>
        <w:spacing w:after="0" w:line="177"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 xml:space="preserve">1.38.“TAU Principal Investigators” </w:t>
      </w:r>
      <w:r>
        <w:rPr>
          <w:rFonts w:ascii="Arial" w:cs="Arial" w:eastAsia="Arial" w:hAnsi="Arial"/>
          <w:sz w:val="17"/>
          <w:szCs w:val="17"/>
          <w:color w:val="auto"/>
        </w:rPr>
        <w:t>shall mean Professor Abraham Weizman, Dr. Irit Gil-Ad and Dr. Ada Rephaeli, or such other principal investigator(s)</w:t>
      </w:r>
      <w:r>
        <w:rPr>
          <w:rFonts w:ascii="Arial" w:cs="Arial" w:eastAsia="Arial" w:hAnsi="Arial"/>
          <w:sz w:val="17"/>
          <w:szCs w:val="17"/>
          <w:b w:val="1"/>
          <w:bCs w:val="1"/>
          <w:color w:val="auto"/>
        </w:rPr>
        <w:t xml:space="preserve"> </w:t>
      </w:r>
      <w:r>
        <w:rPr>
          <w:rFonts w:ascii="Arial" w:cs="Arial" w:eastAsia="Arial" w:hAnsi="Arial"/>
          <w:sz w:val="17"/>
          <w:szCs w:val="17"/>
          <w:color w:val="auto"/>
        </w:rPr>
        <w:t>who may replace them pursuant to Section 2.1.1.2.</w:t>
      </w:r>
    </w:p>
    <w:p>
      <w:pPr>
        <w:spacing w:after="0" w:line="177"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 xml:space="preserve">1.39.“TAU Team” </w:t>
      </w:r>
      <w:r>
        <w:rPr>
          <w:rFonts w:ascii="Arial" w:cs="Arial" w:eastAsia="Arial" w:hAnsi="Arial"/>
          <w:sz w:val="17"/>
          <w:szCs w:val="17"/>
          <w:color w:val="auto"/>
        </w:rPr>
        <w:t>shall mean the Principal Investigators and those students, scientists and technicians working at TAU or at the TAU Felsenstein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Center under their direction on the Research.</w:t>
      </w:r>
    </w:p>
    <w:p>
      <w:pPr>
        <w:spacing w:after="0" w:line="177" w:lineRule="exact"/>
        <w:rPr>
          <w:sz w:val="20"/>
          <w:szCs w:val="20"/>
          <w:color w:val="auto"/>
        </w:rPr>
      </w:pPr>
    </w:p>
    <w:p>
      <w:pPr>
        <w:ind w:firstLine="617"/>
        <w:spacing w:after="0" w:line="319" w:lineRule="auto"/>
        <w:rPr>
          <w:sz w:val="20"/>
          <w:szCs w:val="20"/>
          <w:color w:val="auto"/>
        </w:rPr>
      </w:pPr>
      <w:r>
        <w:rPr>
          <w:rFonts w:ascii="Arial" w:cs="Arial" w:eastAsia="Arial" w:hAnsi="Arial"/>
          <w:sz w:val="16"/>
          <w:szCs w:val="16"/>
          <w:b w:val="1"/>
          <w:bCs w:val="1"/>
          <w:color w:val="auto"/>
        </w:rPr>
        <w:t xml:space="preserve">1.40.“Third Party License” </w:t>
      </w:r>
      <w:r>
        <w:rPr>
          <w:rFonts w:ascii="Arial" w:cs="Arial" w:eastAsia="Arial" w:hAnsi="Arial"/>
          <w:sz w:val="16"/>
          <w:szCs w:val="16"/>
          <w:color w:val="auto"/>
        </w:rPr>
        <w:t>shall mean a license from an unaffiliated third party to one or more valid and enforceable patents issued in the United States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jurisdiction, the claims of which cover one or more functional components that is essential for the efficacy of the Licensed Product.</w:t>
      </w:r>
    </w:p>
    <w:p>
      <w:pPr>
        <w:spacing w:after="0" w:line="154" w:lineRule="exact"/>
        <w:rPr>
          <w:sz w:val="20"/>
          <w:szCs w:val="20"/>
          <w:color w:val="auto"/>
        </w:rPr>
      </w:pPr>
    </w:p>
    <w:p>
      <w:pPr>
        <w:ind w:left="620" w:hanging="617"/>
        <w:spacing w:after="0"/>
        <w:tabs>
          <w:tab w:leader="none" w:pos="62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Research</w:t>
      </w:r>
      <w:r>
        <w:rPr>
          <w:rFonts w:ascii="Arial" w:cs="Arial" w:eastAsia="Arial" w:hAnsi="Arial"/>
          <w:sz w:val="17"/>
          <w:szCs w:val="17"/>
          <w:color w:val="auto"/>
        </w:rPr>
        <w:t>.</w:t>
      </w:r>
    </w:p>
    <w:p>
      <w:pPr>
        <w:spacing w:after="0" w:line="24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2.1.   Ramot Research.</w:t>
      </w:r>
    </w:p>
    <w:p>
      <w:pPr>
        <w:spacing w:after="0" w:line="241" w:lineRule="exact"/>
        <w:rPr>
          <w:rFonts w:ascii="Arial" w:cs="Arial" w:eastAsia="Arial" w:hAnsi="Arial"/>
          <w:sz w:val="17"/>
          <w:szCs w:val="17"/>
          <w:b w:val="1"/>
          <w:bCs w:val="1"/>
          <w:color w:val="auto"/>
        </w:rPr>
      </w:pPr>
    </w:p>
    <w:p>
      <w:pPr>
        <w:ind w:left="10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2.1.1. Performance.</w:t>
      </w:r>
    </w:p>
    <w:p>
      <w:pPr>
        <w:spacing w:after="0" w:line="242" w:lineRule="exact"/>
        <w:rPr>
          <w:sz w:val="20"/>
          <w:szCs w:val="20"/>
          <w:color w:val="auto"/>
        </w:rPr>
      </w:pPr>
    </w:p>
    <w:p>
      <w:pPr>
        <w:jc w:val="both"/>
        <w:ind w:firstLine="1543"/>
        <w:spacing w:after="0" w:line="269" w:lineRule="auto"/>
        <w:rPr>
          <w:sz w:val="20"/>
          <w:szCs w:val="20"/>
          <w:color w:val="auto"/>
        </w:rPr>
      </w:pPr>
      <w:r>
        <w:rPr>
          <w:rFonts w:ascii="Arial" w:cs="Arial" w:eastAsia="Arial" w:hAnsi="Arial"/>
          <w:sz w:val="17"/>
          <w:szCs w:val="17"/>
          <w:b w:val="1"/>
          <w:bCs w:val="1"/>
          <w:color w:val="auto"/>
        </w:rPr>
        <w:t xml:space="preserve">2.1.1.1. </w:t>
      </w:r>
      <w:r>
        <w:rPr>
          <w:rFonts w:ascii="Arial" w:cs="Arial" w:eastAsia="Arial" w:hAnsi="Arial"/>
          <w:sz w:val="17"/>
          <w:szCs w:val="17"/>
          <w:color w:val="auto"/>
        </w:rPr>
        <w:t>Ramot shall cause the TAU Team, under the direction of the TAU Principal Investigators, to use reasonable efforts to perform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Ramot Research in accordance with the Ramot Research Plan; however, Ramot and the TAU Team make no warranties regarding the achievement of any particular results.</w:t>
      </w:r>
    </w:p>
    <w:p>
      <w:pPr>
        <w:spacing w:after="0" w:line="192" w:lineRule="exact"/>
        <w:rPr>
          <w:sz w:val="20"/>
          <w:szCs w:val="20"/>
          <w:color w:val="auto"/>
        </w:rPr>
      </w:pPr>
    </w:p>
    <w:p>
      <w:pPr>
        <w:jc w:val="both"/>
        <w:ind w:firstLine="1543"/>
        <w:spacing w:after="0" w:line="294" w:lineRule="auto"/>
        <w:rPr>
          <w:sz w:val="20"/>
          <w:szCs w:val="20"/>
          <w:color w:val="auto"/>
        </w:rPr>
      </w:pPr>
      <w:r>
        <w:rPr>
          <w:rFonts w:ascii="Arial" w:cs="Arial" w:eastAsia="Arial" w:hAnsi="Arial"/>
          <w:sz w:val="15"/>
          <w:szCs w:val="15"/>
          <w:b w:val="1"/>
          <w:bCs w:val="1"/>
          <w:color w:val="auto"/>
        </w:rPr>
        <w:t xml:space="preserve">2.1.1.2. </w:t>
      </w:r>
      <w:r>
        <w:rPr>
          <w:rFonts w:ascii="Arial" w:cs="Arial" w:eastAsia="Arial" w:hAnsi="Arial"/>
          <w:sz w:val="15"/>
          <w:szCs w:val="15"/>
          <w:color w:val="auto"/>
        </w:rPr>
        <w:t>The Ramot Research will be directed and supervised by the TAU Principal Investigators, who shall have primary responsibility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of the Ramot Research. If any of the TAU Principal Investigators cease to supervise the Ramot Research for any reason, Ramot will promptly so notify BioLine. If any two (2) or more of the TAU Principal Investigators cease to supervise the Ramot Research for any reason, Ramot shall endeavor to find among the scientists at TAU, a scientist or scientists, as the case may be, acceptable to BioLine to continue the supervision of the Ramot Research in place of such TAU Principal Investigator(s). If (i) Ramot is unable to find such a scientist or scientists, as the case may be, acceptable to BioLine within sixty (60) days after such notice to BioLine, or (ii) BioLine notifies Ramot that as a result of the cessation of such TAU Principal Investigator’s(s’) supervision of the Research Ramot need not find a replacement, BioLine shall have the option to terminate the funding of the Ramot Research. BioLine shall promptly advise Ramot in writing if BioLine so elects. Such termination of funding shall terminate Ramot’s and TAU’s obligations pursuant to Section 2.1.1.1 above with respect to the Ramot Research, but shall not terminate this Agreement or any of the other rights or obligations of the parties under this Agreement. Nothing contained in this Section 2.1.1.2, shall be deemed to impose an obligation on Ramot or TAU to successfully find a replacement for the Principal Investigator(s), as opposed to the obligation to endeavor to do so.</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2" w:name="page323"/>
    <w:bookmarkEnd w:id="322"/>
    <w:p>
      <w:pPr>
        <w:jc w:val="both"/>
        <w:ind w:firstLine="1080"/>
        <w:spacing w:after="0" w:line="286" w:lineRule="auto"/>
        <w:rPr>
          <w:sz w:val="20"/>
          <w:szCs w:val="20"/>
          <w:color w:val="auto"/>
        </w:rPr>
      </w:pPr>
      <w:r>
        <w:rPr>
          <w:rFonts w:ascii="Arial" w:cs="Arial" w:eastAsia="Arial" w:hAnsi="Arial"/>
          <w:sz w:val="17"/>
          <w:szCs w:val="17"/>
          <w:b w:val="1"/>
          <w:bCs w:val="1"/>
          <w:color w:val="auto"/>
        </w:rPr>
        <w:t xml:space="preserve">2.1.2.Funding of Ramot Research. </w:t>
      </w:r>
      <w:r>
        <w:rPr>
          <w:rFonts w:ascii="Arial" w:cs="Arial" w:eastAsia="Arial" w:hAnsi="Arial"/>
          <w:sz w:val="17"/>
          <w:szCs w:val="17"/>
          <w:color w:val="auto"/>
        </w:rPr>
        <w:t>BioLine shall fund the Ramot Research during the Research Period in accordance with the payment schedule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Exhibit 2.1.2.</w:t>
      </w:r>
    </w:p>
    <w:p>
      <w:pPr>
        <w:spacing w:after="0" w:line="177"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BIRAD Research.</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2.2.1. Performance.</w:t>
      </w:r>
    </w:p>
    <w:p>
      <w:pPr>
        <w:spacing w:after="0" w:line="248" w:lineRule="exact"/>
        <w:rPr>
          <w:sz w:val="20"/>
          <w:szCs w:val="20"/>
          <w:color w:val="auto"/>
        </w:rPr>
      </w:pPr>
    </w:p>
    <w:p>
      <w:pPr>
        <w:jc w:val="both"/>
        <w:ind w:firstLine="1543"/>
        <w:spacing w:after="0" w:line="265" w:lineRule="auto"/>
        <w:rPr>
          <w:sz w:val="20"/>
          <w:szCs w:val="20"/>
          <w:color w:val="auto"/>
        </w:rPr>
      </w:pPr>
      <w:r>
        <w:rPr>
          <w:rFonts w:ascii="Arial" w:cs="Arial" w:eastAsia="Arial" w:hAnsi="Arial"/>
          <w:sz w:val="17"/>
          <w:szCs w:val="17"/>
          <w:color w:val="auto"/>
        </w:rPr>
        <w:t>2.2.1.1. BIRAD shall cause the BIU Team, under the direction of the BIU Principal Investigator, to use reasonable efforts to perform the BIRAD Research in accordance with the BIRAD Research Plan; however, BIRAD and the BIU Team make no warranties regarding the achievement of any particular results.</w:t>
      </w:r>
    </w:p>
    <w:p>
      <w:pPr>
        <w:spacing w:after="0" w:line="195" w:lineRule="exact"/>
        <w:rPr>
          <w:sz w:val="20"/>
          <w:szCs w:val="20"/>
          <w:color w:val="auto"/>
        </w:rPr>
      </w:pPr>
    </w:p>
    <w:p>
      <w:pPr>
        <w:jc w:val="both"/>
        <w:ind w:firstLine="1543"/>
        <w:spacing w:after="0" w:line="274" w:lineRule="auto"/>
        <w:rPr>
          <w:sz w:val="20"/>
          <w:szCs w:val="20"/>
          <w:color w:val="auto"/>
        </w:rPr>
      </w:pPr>
      <w:r>
        <w:rPr>
          <w:rFonts w:ascii="Arial" w:cs="Arial" w:eastAsia="Arial" w:hAnsi="Arial"/>
          <w:sz w:val="16"/>
          <w:szCs w:val="16"/>
          <w:b w:val="1"/>
          <w:bCs w:val="1"/>
          <w:color w:val="auto"/>
        </w:rPr>
        <w:t xml:space="preserve">2.2.1.2. </w:t>
      </w:r>
      <w:r>
        <w:rPr>
          <w:rFonts w:ascii="Arial" w:cs="Arial" w:eastAsia="Arial" w:hAnsi="Arial"/>
          <w:sz w:val="16"/>
          <w:szCs w:val="16"/>
          <w:color w:val="auto"/>
        </w:rPr>
        <w:t>The BIRAD Research will be directed and supervised by the BIU Principal Investigator, who shall have primary responsibility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BIRAD Research. If the BIU Principal Investigator ceases to supervise the BIRAD Research for any reason, BIRAD will so notify BioLine, and BIRAD shall endeavor to find among the scientists at BIU, a scientist or scientists acceptable to BioLine to continue the supervision of the BIRAD Research in place of BIU Principal Investigator. If (i) BIRAD is unable to find such a scientist acceptable to BioLine within sixty (60) days after such notice to BioLine, or (ii) BioLine notifies BIRAD that as a result of the cessation of BIU Principal Investigator’s supervision of the BIRAD Research BIRAD need not find a replacement, BioLine shall have the option to terminate the funding of the BIRAD Research. BioLine shall promptly advise BIU in writing if BioLine so elects. Such termination of funding shall terminate BIRAD’s and BIU’s obligations pursuant to Section 2.2.1.1 above with respect to the BIRAD Research, but shall not terminate this Agreement or any of the other rights or obligations of the parties under this Agreement. Nothing contained in this Section 2.2.1.2, shall be deemed to impose an obligation on BIRAD or BIU to successfully find a replacement for the BIU Principal Investigator, as opposed to the obligation to endeavor to do so.</w:t>
      </w:r>
    </w:p>
    <w:p>
      <w:pPr>
        <w:spacing w:after="0" w:line="193" w:lineRule="exact"/>
        <w:rPr>
          <w:sz w:val="20"/>
          <w:szCs w:val="20"/>
          <w:color w:val="auto"/>
        </w:rPr>
      </w:pPr>
    </w:p>
    <w:p>
      <w:pPr>
        <w:jc w:val="both"/>
        <w:ind w:firstLine="1080"/>
        <w:spacing w:after="0" w:line="286" w:lineRule="auto"/>
        <w:rPr>
          <w:sz w:val="20"/>
          <w:szCs w:val="20"/>
          <w:color w:val="auto"/>
        </w:rPr>
      </w:pPr>
      <w:r>
        <w:rPr>
          <w:rFonts w:ascii="Arial" w:cs="Arial" w:eastAsia="Arial" w:hAnsi="Arial"/>
          <w:sz w:val="17"/>
          <w:szCs w:val="17"/>
          <w:b w:val="1"/>
          <w:bCs w:val="1"/>
          <w:color w:val="auto"/>
        </w:rPr>
        <w:t xml:space="preserve">2.2.2.Funding of BIRAD Research. </w:t>
      </w:r>
      <w:r>
        <w:rPr>
          <w:rFonts w:ascii="Arial" w:cs="Arial" w:eastAsia="Arial" w:hAnsi="Arial"/>
          <w:sz w:val="17"/>
          <w:szCs w:val="17"/>
          <w:color w:val="auto"/>
        </w:rPr>
        <w:t>BioLine shall fund the BIRAD Research during the Research Period in accordance with the payment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Exhibit 2.2.2.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3" w:name="page324"/>
    <w:bookmarkEnd w:id="323"/>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2.3 Credit of Sublicense Receipts. </w:t>
      </w:r>
      <w:r>
        <w:rPr>
          <w:rFonts w:ascii="Arial" w:cs="Arial" w:eastAsia="Arial" w:hAnsi="Arial"/>
          <w:sz w:val="17"/>
          <w:szCs w:val="17"/>
          <w:color w:val="auto"/>
        </w:rPr>
        <w:t>Notwithstanding the foregoing, in the event BioLine receives Sublicense Receipts that are specifically earmarked to</w:t>
      </w:r>
      <w:r>
        <w:rPr>
          <w:rFonts w:ascii="Arial" w:cs="Arial" w:eastAsia="Arial" w:hAnsi="Arial"/>
          <w:sz w:val="17"/>
          <w:szCs w:val="17"/>
          <w:b w:val="1"/>
          <w:bCs w:val="1"/>
          <w:color w:val="auto"/>
        </w:rPr>
        <w:t xml:space="preserve"> </w:t>
      </w:r>
      <w:r>
        <w:rPr>
          <w:rFonts w:ascii="Arial" w:cs="Arial" w:eastAsia="Arial" w:hAnsi="Arial"/>
          <w:sz w:val="17"/>
          <w:szCs w:val="17"/>
          <w:color w:val="auto"/>
        </w:rPr>
        <w:t>fund further research and development with respect to a Licensed Product, any and all amounts paid by BioLine to Licensors pursuant to Section 7.2 with respect to such Sublicense Receipts that are so specifically earmarked shall be creditable against future amounts to be paid by BioLine to Licensors pursuant to Sections 2.1 and 2.2.</w:t>
      </w:r>
    </w:p>
    <w:p>
      <w:pPr>
        <w:spacing w:after="0" w:line="198"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6"/>
          <w:szCs w:val="16"/>
          <w:b w:val="1"/>
          <w:bCs w:val="1"/>
          <w:color w:val="auto"/>
        </w:rPr>
        <w:t>Other Funding.</w:t>
      </w:r>
    </w:p>
    <w:p>
      <w:pPr>
        <w:spacing w:after="0" w:line="248" w:lineRule="exact"/>
        <w:rPr>
          <w:sz w:val="20"/>
          <w:szCs w:val="20"/>
          <w:color w:val="auto"/>
        </w:rPr>
      </w:pPr>
    </w:p>
    <w:p>
      <w:pPr>
        <w:jc w:val="both"/>
        <w:ind w:firstLine="1080"/>
        <w:spacing w:after="0" w:line="298" w:lineRule="auto"/>
        <w:rPr>
          <w:sz w:val="20"/>
          <w:szCs w:val="20"/>
          <w:color w:val="auto"/>
        </w:rPr>
      </w:pPr>
      <w:r>
        <w:rPr>
          <w:rFonts w:ascii="Arial" w:cs="Arial" w:eastAsia="Arial" w:hAnsi="Arial"/>
          <w:sz w:val="15"/>
          <w:szCs w:val="15"/>
          <w:color w:val="auto"/>
        </w:rPr>
        <w:t>Nothing in this Agreement shall be interpreted to prohibit Ramot, TAU, BIRAD, BIU, or the Principal Investigators from seeking and receiving funding from non-commercial sources</w:t>
      </w:r>
      <w:r>
        <w:rPr>
          <w:rFonts w:ascii="Arial" w:cs="Arial" w:eastAsia="Arial" w:hAnsi="Arial"/>
          <w:sz w:val="15"/>
          <w:szCs w:val="15"/>
          <w:b w:val="1"/>
          <w:bCs w:val="1"/>
          <w:color w:val="auto"/>
        </w:rPr>
        <w:t>,</w:t>
      </w:r>
      <w:r>
        <w:rPr>
          <w:rFonts w:ascii="Arial" w:cs="Arial" w:eastAsia="Arial" w:hAnsi="Arial"/>
          <w:sz w:val="15"/>
          <w:szCs w:val="15"/>
          <w:color w:val="auto"/>
        </w:rPr>
        <w:t xml:space="preserve"> including government agencies and foundations, or from commercial entities for non-commercial purposes, to further support the Ramot Research and/or the BIRAD Research;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funding shall not (i) be on terms that give such entity(ies) any rights to any Research Results (subject to any non-exclusive license for non-commercial governmental purposes or other governmental rights as may be generally required as a condition for such non-commercial funding), and (ii) limit in any manner the scope or terms of the license and rights granted to BioLine hereunder. Ramot or BIRAD, as applicable, shall notify BioLine upon such application for and receiving any such funding, which notice shall include a copy of any notices awarding such funding.</w:t>
      </w:r>
    </w:p>
    <w:p>
      <w:pPr>
        <w:spacing w:after="0" w:line="175" w:lineRule="exact"/>
        <w:rPr>
          <w:sz w:val="20"/>
          <w:szCs w:val="20"/>
          <w:color w:val="auto"/>
        </w:rPr>
      </w:pPr>
    </w:p>
    <w:p>
      <w:pPr>
        <w:ind w:left="620" w:hanging="617"/>
        <w:spacing w:after="0"/>
        <w:tabs>
          <w:tab w:leader="none" w:pos="62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Title.</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3.1. Licensor Technology. </w:t>
      </w:r>
      <w:r>
        <w:rPr>
          <w:rFonts w:ascii="Arial" w:cs="Arial" w:eastAsia="Arial" w:hAnsi="Arial"/>
          <w:sz w:val="17"/>
          <w:szCs w:val="17"/>
          <w:color w:val="auto"/>
        </w:rPr>
        <w:t>Subject to the licenses granted to BioLine pursuant to Section 5 below, all rights, title and interest in and to the Licensor</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are and shall be owned solely and exclusively by Licensors.</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3.2. Joint Technology. </w:t>
      </w:r>
      <w:r>
        <w:rPr>
          <w:rFonts w:ascii="Arial" w:cs="Arial" w:eastAsia="Arial" w:hAnsi="Arial"/>
          <w:sz w:val="17"/>
          <w:szCs w:val="17"/>
          <w:color w:val="auto"/>
        </w:rPr>
        <w:t>All rights, title and interest in and to the Joint Technology are and shall be owned jointly by Licensors and BioLine,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in such Joint Technology granted to BioLine hereunder.</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3.3. Determination. </w:t>
      </w:r>
      <w:r>
        <w:rPr>
          <w:rFonts w:ascii="Arial" w:cs="Arial" w:eastAsia="Arial" w:hAnsi="Arial"/>
          <w:sz w:val="17"/>
          <w:szCs w:val="17"/>
          <w:color w:val="auto"/>
        </w:rPr>
        <w:t>All determinations of inventorship under this Agreement shall be made in accordance with United States patent law. In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between Ramot and BioLine over inventorship, a mutually acceptable outside patent counsel shall make the determination of the inventor(s) by applying the standards contained in United States patent law.</w:t>
      </w:r>
    </w:p>
    <w:p>
      <w:pPr>
        <w:spacing w:after="0" w:line="192" w:lineRule="exact"/>
        <w:rPr>
          <w:sz w:val="20"/>
          <w:szCs w:val="20"/>
          <w:color w:val="auto"/>
        </w:rPr>
      </w:pPr>
    </w:p>
    <w:p>
      <w:pPr>
        <w:ind w:left="620" w:hanging="617"/>
        <w:spacing w:after="0"/>
        <w:tabs>
          <w:tab w:leader="none" w:pos="62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Patent Filing, Prosecution and Maintenance.</w:t>
      </w:r>
    </w:p>
    <w:p>
      <w:pPr>
        <w:spacing w:after="0" w:line="242" w:lineRule="exact"/>
        <w:rPr>
          <w:sz w:val="20"/>
          <w:szCs w:val="20"/>
          <w:color w:val="auto"/>
        </w:rPr>
      </w:pPr>
    </w:p>
    <w:p>
      <w:pPr>
        <w:jc w:val="both"/>
        <w:ind w:firstLine="617"/>
        <w:spacing w:after="0" w:line="281" w:lineRule="auto"/>
        <w:rPr>
          <w:sz w:val="20"/>
          <w:szCs w:val="20"/>
          <w:color w:val="auto"/>
        </w:rPr>
      </w:pPr>
      <w:r>
        <w:rPr>
          <w:rFonts w:ascii="Arial" w:cs="Arial" w:eastAsia="Arial" w:hAnsi="Arial"/>
          <w:sz w:val="16"/>
          <w:szCs w:val="16"/>
          <w:b w:val="1"/>
          <w:bCs w:val="1"/>
          <w:color w:val="auto"/>
        </w:rPr>
        <w:t xml:space="preserve">4.1. Consultation. </w:t>
      </w:r>
      <w:r>
        <w:rPr>
          <w:rFonts w:ascii="Arial" w:cs="Arial" w:eastAsia="Arial" w:hAnsi="Arial"/>
          <w:sz w:val="16"/>
          <w:szCs w:val="16"/>
          <w:color w:val="auto"/>
        </w:rPr>
        <w:t>Licensors and BioLine shall consult each other regarding the preparation, filing and prosecution of all patent applications,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of all patents, included within the Licensed Patent Rights, including, without limitation, the content, timing and jurisdiction of the filing of such patent applications and their prosecution, and other details and overall global strategy pertaining to the procurement and maintenance of the Licensed Patent Rights. Subject to the payments pursuant to Section 4.3 below, if BioLine requests that an application be filed or maintained in a given country, Licensors shall cooperate with BioLine to do so and Licensors will not abandon any application in any country without BioLine’s written consent.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4" w:name="page325"/>
    <w:bookmarkEnd w:id="324"/>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4.2. Filing. </w:t>
      </w:r>
      <w:r>
        <w:rPr>
          <w:rFonts w:ascii="Arial" w:cs="Arial" w:eastAsia="Arial" w:hAnsi="Arial"/>
          <w:sz w:val="16"/>
          <w:szCs w:val="16"/>
          <w:color w:val="auto"/>
        </w:rPr>
        <w:t>All Licensed Patent Rights shall be filed, prosecuted and maintained by the parties through a law or patent attorney firm mutually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by Licensors and BioLine. Such counsel shall be charged with the duty to act in the best interests of each of BioLine and the Licensors, taking into account their relative status as licensors/licensee under this Agreement and the parties’ intention to prepare, file, prosecute, obtain and maintain the Licensed Patent Rights in a manner that will provide the maximum economic advantage and return to the parties. Such counsel shall confer with each of Licensors and BioLine and attempt to achieve a consensus in all decisions made relative to the content of applications, the prosecution of the Licensed Patent Rights and the content of communications with the relevant patent agencies, prior to any communications with such agencies.</w:t>
      </w:r>
    </w:p>
    <w:p>
      <w:pPr>
        <w:spacing w:after="0" w:line="188"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 xml:space="preserve">Expenses. </w:t>
      </w:r>
      <w:r>
        <w:rPr>
          <w:rFonts w:ascii="Arial" w:cs="Arial" w:eastAsia="Arial" w:hAnsi="Arial"/>
          <w:sz w:val="15"/>
          <w:szCs w:val="15"/>
          <w:color w:val="auto"/>
        </w:rPr>
        <w:t>Subject to Section 4.4 below, [***]</w:t>
      </w:r>
    </w:p>
    <w:p>
      <w:pPr>
        <w:spacing w:after="0" w:line="242"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4.4. Abandonment. </w:t>
      </w:r>
      <w:r>
        <w:rPr>
          <w:rFonts w:ascii="Arial" w:cs="Arial" w:eastAsia="Arial" w:hAnsi="Arial"/>
          <w:sz w:val="17"/>
          <w:szCs w:val="17"/>
          <w:color w:val="auto"/>
        </w:rPr>
        <w:t>Should BioLine elect not to pay for the filing, prosecution or maintenance of a patent application in any country, on any invention or</w:t>
      </w:r>
      <w:r>
        <w:rPr>
          <w:rFonts w:ascii="Arial" w:cs="Arial" w:eastAsia="Arial" w:hAnsi="Arial"/>
          <w:sz w:val="17"/>
          <w:szCs w:val="17"/>
          <w:b w:val="1"/>
          <w:bCs w:val="1"/>
          <w:color w:val="auto"/>
        </w:rPr>
        <w:t xml:space="preserve"> </w:t>
      </w:r>
      <w:r>
        <w:rPr>
          <w:rFonts w:ascii="Arial" w:cs="Arial" w:eastAsia="Arial" w:hAnsi="Arial"/>
          <w:sz w:val="17"/>
          <w:szCs w:val="17"/>
          <w:color w:val="auto"/>
        </w:rPr>
        <w:t>claim included in the Licensed Technology or to cease reimbursing Licensors for the prosecution, protection and/or maintenance of any such Patent Right in any such country (an “</w:t>
      </w:r>
      <w:r>
        <w:rPr>
          <w:rFonts w:ascii="Arial" w:cs="Arial" w:eastAsia="Arial" w:hAnsi="Arial"/>
          <w:sz w:val="17"/>
          <w:szCs w:val="17"/>
          <w:b w:val="1"/>
          <w:bCs w:val="1"/>
          <w:color w:val="auto"/>
        </w:rPr>
        <w:t>Abandoned Country</w:t>
      </w:r>
      <w:r>
        <w:rPr>
          <w:rFonts w:ascii="Arial" w:cs="Arial" w:eastAsia="Arial" w:hAnsi="Arial"/>
          <w:sz w:val="17"/>
          <w:szCs w:val="17"/>
          <w:color w:val="auto"/>
        </w:rPr>
        <w:t>”), BioLine shall provide Licensors and the parties’ outside patent counsel with prompt written notice of such election. Upon written receipt of such notice by Licensors, BioLine shall be released from its obligations to reimburse Licensors for the expenses incurred thereafter as to such Abandoned Country in conjunction with such Patent Rights.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202565</wp:posOffset>
            </wp:positionV>
            <wp:extent cx="218884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396" w:lineRule="exact"/>
        <w:rPr>
          <w:sz w:val="20"/>
          <w:szCs w:val="20"/>
          <w:color w:val="auto"/>
        </w:rPr>
      </w:pPr>
    </w:p>
    <w:p>
      <w:pPr>
        <w:ind w:left="5680" w:right="2360" w:hanging="5677"/>
        <w:spacing w:after="0" w:line="744" w:lineRule="auto"/>
        <w:tabs>
          <w:tab w:leader="none" w:pos="426" w:val="left"/>
        </w:tabs>
        <w:numPr>
          <w:ilvl w:val="0"/>
          <w:numId w:val="239"/>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color w:val="auto"/>
        </w:rPr>
        <w:t>[***]</w:t>
      </w:r>
    </w:p>
    <w:p>
      <w:pPr>
        <w:spacing w:after="0" w:line="236" w:lineRule="exact"/>
        <w:rPr>
          <w:sz w:val="20"/>
          <w:szCs w:val="20"/>
          <w:color w:val="auto"/>
        </w:rPr>
      </w:pPr>
    </w:p>
    <w:p>
      <w:pPr>
        <w:ind w:firstLine="617"/>
        <w:spacing w:after="0" w:line="319" w:lineRule="auto"/>
        <w:rPr>
          <w:sz w:val="20"/>
          <w:szCs w:val="20"/>
          <w:color w:val="auto"/>
        </w:rPr>
      </w:pPr>
      <w:r>
        <w:rPr>
          <w:rFonts w:ascii="Arial" w:cs="Arial" w:eastAsia="Arial" w:hAnsi="Arial"/>
          <w:sz w:val="16"/>
          <w:szCs w:val="16"/>
          <w:b w:val="1"/>
          <w:bCs w:val="1"/>
          <w:color w:val="auto"/>
        </w:rPr>
        <w:t xml:space="preserve">4.5. No Warranty. </w:t>
      </w:r>
      <w:r>
        <w:rPr>
          <w:rFonts w:ascii="Arial" w:cs="Arial" w:eastAsia="Arial" w:hAnsi="Arial"/>
          <w:sz w:val="16"/>
          <w:szCs w:val="16"/>
          <w:color w:val="auto"/>
        </w:rPr>
        <w:t>Nothing contained herein shall be deemed to be a warranty by any of the parties that they can or will be able to obtain patents on</w:t>
      </w:r>
      <w:r>
        <w:rPr>
          <w:rFonts w:ascii="Arial" w:cs="Arial" w:eastAsia="Arial" w:hAnsi="Arial"/>
          <w:sz w:val="16"/>
          <w:szCs w:val="16"/>
          <w:b w:val="1"/>
          <w:bCs w:val="1"/>
          <w:color w:val="auto"/>
        </w:rPr>
        <w:t xml:space="preserve"> </w:t>
      </w:r>
      <w:r>
        <w:rPr>
          <w:rFonts w:ascii="Arial" w:cs="Arial" w:eastAsia="Arial" w:hAnsi="Arial"/>
          <w:sz w:val="16"/>
          <w:szCs w:val="16"/>
          <w:color w:val="auto"/>
        </w:rPr>
        <w:t>patent applications included in the Licensed Patent Rights, or that any of the Licensed Patent Rights will afford adequate or commercially worthwhile protection.</w:t>
      </w:r>
    </w:p>
    <w:p>
      <w:pPr>
        <w:spacing w:after="0" w:line="154" w:lineRule="exact"/>
        <w:rPr>
          <w:sz w:val="20"/>
          <w:szCs w:val="20"/>
          <w:color w:val="auto"/>
        </w:rPr>
      </w:pPr>
    </w:p>
    <w:p>
      <w:pPr>
        <w:ind w:left="620" w:hanging="617"/>
        <w:spacing w:after="0"/>
        <w:tabs>
          <w:tab w:leader="none" w:pos="62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License Grant</w:t>
      </w:r>
      <w:r>
        <w:rPr>
          <w:rFonts w:ascii="Arial" w:cs="Arial" w:eastAsia="Arial" w:hAnsi="Arial"/>
          <w:sz w:val="17"/>
          <w:szCs w:val="17"/>
          <w:color w:val="auto"/>
        </w:rPr>
        <w:t>.</w:t>
      </w:r>
    </w:p>
    <w:p>
      <w:pPr>
        <w:spacing w:after="0" w:line="24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5.1. License. </w:t>
      </w:r>
      <w:r>
        <w:rPr>
          <w:rFonts w:ascii="Arial" w:cs="Arial" w:eastAsia="Arial" w:hAnsi="Arial"/>
          <w:sz w:val="17"/>
          <w:szCs w:val="17"/>
          <w:color w:val="auto"/>
        </w:rPr>
        <w:t>Subject to the terms and conditions set forth in this Agreement, Licensors hereby grant to BioLine an exclusive, worldwide, royalty-bearing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 under Licensors’ rights in the Licensor Technology and their interest in the Joint Technology solely to develop, have developed, manufacture, have manufactured, use, market, offer for sale, sell, have sold, export and import Licensed Products. For purposes of this Section 5.1, the term “exclusive” means that, subject to Section 6.5, Licensors shall not have any right to grant such licenses or rights to any third party or engage in any of the foregoing, </w:t>
      </w:r>
      <w:r>
        <w:rPr>
          <w:rFonts w:ascii="Arial" w:cs="Arial" w:eastAsia="Arial" w:hAnsi="Arial"/>
          <w:sz w:val="17"/>
          <w:szCs w:val="17"/>
          <w:i w:val="1"/>
          <w:iCs w:val="1"/>
          <w:color w:val="auto"/>
        </w:rPr>
        <w:t>subject</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to Licensors’ rights to license TAU, BIU and members of the TAU Team and BIU Team to practice and utilize such rights and licenses to conduct the Ramot Research and BIRAD Research.</w:t>
      </w:r>
    </w:p>
    <w:p>
      <w:pPr>
        <w:spacing w:after="0" w:line="201" w:lineRule="exact"/>
        <w:rPr>
          <w:sz w:val="20"/>
          <w:szCs w:val="20"/>
          <w:color w:val="auto"/>
        </w:rPr>
      </w:pPr>
    </w:p>
    <w:p>
      <w:pPr>
        <w:ind w:left="620"/>
        <w:spacing w:after="0"/>
        <w:tabs>
          <w:tab w:leader="none" w:pos="102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4"/>
          <w:szCs w:val="14"/>
          <w:b w:val="1"/>
          <w:bCs w:val="1"/>
          <w:color w:val="auto"/>
        </w:rPr>
        <w:t>Sublicense</w:t>
      </w:r>
      <w:r>
        <w:rPr>
          <w:rFonts w:ascii="Arial" w:cs="Arial" w:eastAsia="Arial" w:hAnsi="Arial"/>
          <w:sz w:val="14"/>
          <w:szCs w:val="14"/>
          <w:color w:val="auto"/>
        </w:rPr>
        <w:t>.</w:t>
      </w:r>
    </w:p>
    <w:p>
      <w:pPr>
        <w:spacing w:after="0" w:line="242" w:lineRule="exact"/>
        <w:rPr>
          <w:sz w:val="20"/>
          <w:szCs w:val="20"/>
          <w:color w:val="auto"/>
        </w:rPr>
      </w:pPr>
    </w:p>
    <w:p>
      <w:pPr>
        <w:jc w:val="both"/>
        <w:ind w:firstLine="1080"/>
        <w:spacing w:after="0" w:line="269" w:lineRule="auto"/>
        <w:rPr>
          <w:sz w:val="20"/>
          <w:szCs w:val="20"/>
          <w:color w:val="auto"/>
        </w:rPr>
      </w:pPr>
      <w:r>
        <w:rPr>
          <w:rFonts w:ascii="Arial" w:cs="Arial" w:eastAsia="Arial" w:hAnsi="Arial"/>
          <w:sz w:val="17"/>
          <w:szCs w:val="17"/>
          <w:b w:val="1"/>
          <w:bCs w:val="1"/>
          <w:color w:val="auto"/>
        </w:rPr>
        <w:t xml:space="preserve">5.2.1.Sublicense Grant. </w:t>
      </w:r>
      <w:r>
        <w:rPr>
          <w:rFonts w:ascii="Arial" w:cs="Arial" w:eastAsia="Arial" w:hAnsi="Arial"/>
          <w:sz w:val="17"/>
          <w:szCs w:val="17"/>
          <w:color w:val="auto"/>
        </w:rPr>
        <w:t>BioLine shall be entitled to grant sublicenses or other rights to third parties under the license granted pursuant to Section 5.1</w:t>
      </w:r>
      <w:r>
        <w:rPr>
          <w:rFonts w:ascii="Arial" w:cs="Arial" w:eastAsia="Arial" w:hAnsi="Arial"/>
          <w:sz w:val="17"/>
          <w:szCs w:val="17"/>
          <w:b w:val="1"/>
          <w:bCs w:val="1"/>
          <w:color w:val="auto"/>
        </w:rPr>
        <w:t xml:space="preserve"> </w:t>
      </w:r>
      <w:r>
        <w:rPr>
          <w:rFonts w:ascii="Arial" w:cs="Arial" w:eastAsia="Arial" w:hAnsi="Arial"/>
          <w:sz w:val="17"/>
          <w:szCs w:val="17"/>
          <w:color w:val="auto"/>
        </w:rPr>
        <w:t>on terms and conditions in compliance and not inconsistent with the terms of this Agreement (except that the royalty rates may be different than those set forth in this Agreement). Such sublicenses shall be made for consideration and in arm’s length transactions.</w:t>
      </w:r>
    </w:p>
    <w:p>
      <w:pPr>
        <w:spacing w:after="0" w:line="192" w:lineRule="exact"/>
        <w:rPr>
          <w:sz w:val="20"/>
          <w:szCs w:val="20"/>
          <w:color w:val="auto"/>
        </w:rPr>
      </w:pPr>
    </w:p>
    <w:p>
      <w:pPr>
        <w:jc w:val="both"/>
        <w:ind w:firstLine="1080"/>
        <w:spacing w:after="0" w:line="269" w:lineRule="auto"/>
        <w:rPr>
          <w:sz w:val="20"/>
          <w:szCs w:val="20"/>
          <w:color w:val="auto"/>
        </w:rPr>
      </w:pPr>
      <w:r>
        <w:rPr>
          <w:rFonts w:ascii="Arial" w:cs="Arial" w:eastAsia="Arial" w:hAnsi="Arial"/>
          <w:sz w:val="17"/>
          <w:szCs w:val="17"/>
          <w:b w:val="1"/>
          <w:bCs w:val="1"/>
          <w:color w:val="auto"/>
        </w:rPr>
        <w:t xml:space="preserve">5.2.2.Sublicense Agreements. </w:t>
      </w:r>
      <w:r>
        <w:rPr>
          <w:rFonts w:ascii="Arial" w:cs="Arial" w:eastAsia="Arial" w:hAnsi="Arial"/>
          <w:sz w:val="17"/>
          <w:szCs w:val="17"/>
          <w:color w:val="auto"/>
        </w:rPr>
        <w:t>Sublicenses shall only be granted pursuant to written agreements, which shall be in compliance and not inconsistent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and shall be subject and subordinate to the terms and conditions of this Agreement. Each such sublicense agreement shall contain, among other things, provisions to the following effect:</w:t>
      </w:r>
    </w:p>
    <w:p>
      <w:pPr>
        <w:spacing w:after="0" w:line="192" w:lineRule="exact"/>
        <w:rPr>
          <w:sz w:val="20"/>
          <w:szCs w:val="20"/>
          <w:color w:val="auto"/>
        </w:rPr>
      </w:pPr>
    </w:p>
    <w:p>
      <w:pPr>
        <w:jc w:val="both"/>
        <w:ind w:firstLine="1543"/>
        <w:spacing w:after="0" w:line="286" w:lineRule="auto"/>
        <w:rPr>
          <w:sz w:val="20"/>
          <w:szCs w:val="20"/>
          <w:color w:val="auto"/>
        </w:rPr>
      </w:pPr>
      <w:r>
        <w:rPr>
          <w:rFonts w:ascii="Arial" w:cs="Arial" w:eastAsia="Arial" w:hAnsi="Arial"/>
          <w:sz w:val="17"/>
          <w:szCs w:val="17"/>
          <w:b w:val="1"/>
          <w:bCs w:val="1"/>
          <w:color w:val="auto"/>
        </w:rPr>
        <w:t xml:space="preserve">5.2.2.1. </w:t>
      </w:r>
      <w:r>
        <w:rPr>
          <w:rFonts w:ascii="Arial" w:cs="Arial" w:eastAsia="Arial" w:hAnsi="Arial"/>
          <w:sz w:val="17"/>
          <w:szCs w:val="17"/>
          <w:color w:val="auto"/>
        </w:rPr>
        <w:t>All provisions necessary to ensure BioLine’s ability to perform its obligations under this Agreement, including without limitation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Sections 6, 8.5 and 8.6;</w:t>
      </w:r>
    </w:p>
    <w:p>
      <w:pPr>
        <w:spacing w:after="0" w:line="177" w:lineRule="exact"/>
        <w:rPr>
          <w:sz w:val="20"/>
          <w:szCs w:val="20"/>
          <w:color w:val="auto"/>
        </w:rPr>
      </w:pPr>
    </w:p>
    <w:p>
      <w:pPr>
        <w:jc w:val="both"/>
        <w:ind w:firstLine="1543"/>
        <w:spacing w:after="0" w:line="276" w:lineRule="auto"/>
        <w:rPr>
          <w:sz w:val="20"/>
          <w:szCs w:val="20"/>
          <w:color w:val="auto"/>
        </w:rPr>
      </w:pPr>
      <w:r>
        <w:rPr>
          <w:rFonts w:ascii="Arial" w:cs="Arial" w:eastAsia="Arial" w:hAnsi="Arial"/>
          <w:sz w:val="16"/>
          <w:szCs w:val="16"/>
          <w:b w:val="1"/>
          <w:bCs w:val="1"/>
          <w:color w:val="auto"/>
        </w:rPr>
        <w:t xml:space="preserve">5.2.2.2. </w:t>
      </w:r>
      <w:r>
        <w:rPr>
          <w:rFonts w:ascii="Arial" w:cs="Arial" w:eastAsia="Arial" w:hAnsi="Arial"/>
          <w:sz w:val="16"/>
          <w:szCs w:val="16"/>
          <w:color w:val="auto"/>
        </w:rPr>
        <w:t>In the event of termination of the license (in whole or in part - e.g. termination in a particular country) set forth in Section 5.1 above,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existing agreements that contain a sublicense of, or other grant of right with respect to, Licensor Technology or Joint Technology shall terminate to the extent of such sublicense or other grant of right;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each Sublicensee, upon termination of the sublicense agreement with such Sublicensee, if the Sublicensee is not then in breach of such sublicense agreement with BioLine such that BioLine would have the right to terminate such sublicense, Licensors shall be obligated, at the request of such Sublicensee, to enter into a new agreement with such Sublicensee on substantially the same terms as those contained in such sublicense agreement,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terms shall be amended, if necessary, to the extent required to ensure that such sublicense agreement does not impose any obligations or liabilities on Licensors which are not included in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198120</wp:posOffset>
            </wp:positionV>
            <wp:extent cx="218884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390" w:lineRule="exact"/>
        <w:rPr>
          <w:sz w:val="20"/>
          <w:szCs w:val="20"/>
          <w:color w:val="auto"/>
        </w:rPr>
      </w:pPr>
    </w:p>
    <w:p>
      <w:pPr>
        <w:ind w:left="5620" w:right="2360" w:hanging="5617"/>
        <w:spacing w:after="0" w:line="744" w:lineRule="auto"/>
        <w:tabs>
          <w:tab w:leader="none" w:pos="409" w:val="left"/>
        </w:tabs>
        <w:numPr>
          <w:ilvl w:val="0"/>
          <w:numId w:val="241"/>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26" w:name="page327"/>
    <w:bookmarkEnd w:id="326"/>
    <w:p>
      <w:pPr>
        <w:jc w:val="center"/>
        <w:ind w:right="20"/>
        <w:spacing w:after="0"/>
        <w:rPr>
          <w:sz w:val="20"/>
          <w:szCs w:val="20"/>
          <w:color w:val="auto"/>
        </w:rPr>
      </w:pPr>
      <w:r>
        <w:rPr>
          <w:rFonts w:ascii="Arial" w:cs="Arial" w:eastAsia="Arial" w:hAnsi="Arial"/>
          <w:sz w:val="17"/>
          <w:szCs w:val="17"/>
          <w:b w:val="1"/>
          <w:bCs w:val="1"/>
          <w:color w:val="auto"/>
        </w:rPr>
        <w:t xml:space="preserve">5.2.2.3. </w:t>
      </w:r>
      <w:r>
        <w:rPr>
          <w:rFonts w:ascii="Arial" w:cs="Arial" w:eastAsia="Arial" w:hAnsi="Arial"/>
          <w:sz w:val="17"/>
          <w:szCs w:val="17"/>
          <w:color w:val="auto"/>
        </w:rPr>
        <w:t>The Sublicensee shall not be entitled to sublicense its rights under such sublicense agreement, except as follows:</w:t>
      </w:r>
    </w:p>
    <w:p>
      <w:pPr>
        <w:spacing w:after="0" w:line="242" w:lineRule="exact"/>
        <w:rPr>
          <w:sz w:val="20"/>
          <w:szCs w:val="20"/>
          <w:color w:val="auto"/>
        </w:rPr>
      </w:pPr>
    </w:p>
    <w:p>
      <w:pPr>
        <w:jc w:val="both"/>
        <w:ind w:firstLine="2161"/>
        <w:spacing w:after="0" w:line="263" w:lineRule="auto"/>
        <w:rPr>
          <w:sz w:val="20"/>
          <w:szCs w:val="20"/>
          <w:color w:val="auto"/>
        </w:rPr>
      </w:pPr>
      <w:r>
        <w:rPr>
          <w:rFonts w:ascii="Arial" w:cs="Arial" w:eastAsia="Arial" w:hAnsi="Arial"/>
          <w:sz w:val="17"/>
          <w:szCs w:val="17"/>
          <w:b w:val="1"/>
          <w:bCs w:val="1"/>
          <w:color w:val="auto"/>
        </w:rPr>
        <w:t xml:space="preserve">5.2.2.3.1 </w:t>
      </w:r>
      <w:r>
        <w:rPr>
          <w:rFonts w:ascii="Arial" w:cs="Arial" w:eastAsia="Arial" w:hAnsi="Arial"/>
          <w:sz w:val="17"/>
          <w:szCs w:val="17"/>
          <w:color w:val="auto"/>
        </w:rPr>
        <w:t>the Sublicensee may grant a sublicense to a third party solely to market, offer for sale, sell, have sold, export and/or import</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in and to a particular country for the purpose of effecting the distribution of Licensed Products in such country; and</w:t>
      </w:r>
    </w:p>
    <w:p>
      <w:pPr>
        <w:jc w:val="both"/>
        <w:ind w:firstLine="2161"/>
        <w:spacing w:after="0" w:line="256" w:lineRule="auto"/>
        <w:rPr>
          <w:sz w:val="20"/>
          <w:szCs w:val="20"/>
          <w:color w:val="auto"/>
        </w:rPr>
      </w:pPr>
      <w:r>
        <w:rPr>
          <w:rFonts w:ascii="Arial" w:cs="Arial" w:eastAsia="Arial" w:hAnsi="Arial"/>
          <w:sz w:val="17"/>
          <w:szCs w:val="17"/>
          <w:b w:val="1"/>
          <w:bCs w:val="1"/>
          <w:color w:val="auto"/>
        </w:rPr>
        <w:t xml:space="preserve">5.2.2.3.2 </w:t>
      </w:r>
      <w:r>
        <w:rPr>
          <w:rFonts w:ascii="Arial" w:cs="Arial" w:eastAsia="Arial" w:hAnsi="Arial"/>
          <w:sz w:val="17"/>
          <w:szCs w:val="17"/>
          <w:color w:val="auto"/>
        </w:rPr>
        <w:t>as part of a co-development agreement between Sublicensee and a third party located in a Far East Country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such third party will participate in the development of Licensed Products for Far East Countries, Sublicensee may grant such third party (in addition to the sublicense described in Section 5.2.2.3.1) a sublicense to develop and manufacture Licensed Products solely within one or more Far East Countries. Such third party shall not be entitled to further sublicense its rights under such sublicense agreement.</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parties agree that in the event that (a) BioLine is in the final stages of negotiations with a potential Sublicensee regarding the grant by BioLine of a sublicense under BioLine's rights hereunder to such Sublicensee, and such Sublicensee refuses to enter into such a sublicense agreement unless the restrictions set forth in this sub-Section 5.2.2.3 are limited or removed and (b) BioLine provides Licensors with a written request to amend or remove this sub-Section 5.2.2.3 in order to enable BioLine to consummate the proposed transaction which request shall include the reasoning for accepting such request under the circumstances, Licensors shall not unreasonably withhold their approval to make such amendment to this Agreement, which amendment shall be contingent on the execution of the contemplated sublicense agreement.</w:t>
      </w:r>
    </w:p>
    <w:p>
      <w:pPr>
        <w:spacing w:after="0" w:line="204"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auto"/>
        </w:rPr>
        <w:t xml:space="preserve">5.2.2.4. </w:t>
      </w:r>
      <w:r>
        <w:rPr>
          <w:rFonts w:ascii="Arial" w:cs="Arial" w:eastAsia="Arial" w:hAnsi="Arial"/>
          <w:sz w:val="15"/>
          <w:szCs w:val="15"/>
          <w:color w:val="auto"/>
        </w:rPr>
        <w:t>Any such sublicense granted by a Sublicensee shall be pursuant to a sublicense agreement that complies with the terms of this Section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25" w:lineRule="exact"/>
        <w:rPr>
          <w:sz w:val="20"/>
          <w:szCs w:val="20"/>
          <w:color w:val="auto"/>
        </w:rPr>
      </w:pPr>
    </w:p>
    <w:p>
      <w:pPr>
        <w:jc w:val="both"/>
        <w:ind w:firstLine="1543"/>
        <w:spacing w:after="0" w:line="263" w:lineRule="auto"/>
        <w:rPr>
          <w:sz w:val="20"/>
          <w:szCs w:val="20"/>
          <w:color w:val="auto"/>
        </w:rPr>
      </w:pPr>
      <w:r>
        <w:rPr>
          <w:rFonts w:ascii="Arial" w:cs="Arial" w:eastAsia="Arial" w:hAnsi="Arial"/>
          <w:sz w:val="17"/>
          <w:szCs w:val="17"/>
          <w:b w:val="1"/>
          <w:bCs w:val="1"/>
          <w:color w:val="auto"/>
        </w:rPr>
        <w:t xml:space="preserve">5.2.2.5. </w:t>
      </w:r>
      <w:r>
        <w:rPr>
          <w:rFonts w:ascii="Arial" w:cs="Arial" w:eastAsia="Arial" w:hAnsi="Arial"/>
          <w:sz w:val="17"/>
          <w:szCs w:val="17"/>
          <w:color w:val="auto"/>
        </w:rPr>
        <w:t>No sublicense agreement may be assigned by Sublicensee without the prior written consent of BioLine, except that Sublicensee may</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the sublicense agreement to an Affiliate or to a successor in connection with the merger, consolidation, or sale of all or substantially all of its assets or that portion of its business to which the sublicense agreement relates; provided that any such assignee agrees in writing to be bound by the terms of such sublicense agreement.</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auto"/>
        </w:rPr>
        <w:t xml:space="preserve">5.2.2.6 </w:t>
      </w:r>
      <w:r>
        <w:rPr>
          <w:rFonts w:ascii="Arial" w:cs="Arial" w:eastAsia="Arial" w:hAnsi="Arial"/>
          <w:sz w:val="15"/>
          <w:szCs w:val="15"/>
          <w:color w:val="auto"/>
        </w:rPr>
        <w:t>Each Sublicensee shall agree to indemnify Licensors to the same extent as BioLine agrees to indemnify Licensors pursuant to Section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12 hereunder.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7" w:name="page328"/>
    <w:bookmarkEnd w:id="327"/>
    <w:p>
      <w:pPr>
        <w:jc w:val="both"/>
        <w:ind w:firstLine="1080"/>
        <w:spacing w:after="0" w:line="269" w:lineRule="auto"/>
        <w:rPr>
          <w:sz w:val="20"/>
          <w:szCs w:val="20"/>
          <w:color w:val="auto"/>
        </w:rPr>
      </w:pPr>
      <w:r>
        <w:rPr>
          <w:rFonts w:ascii="Arial" w:cs="Arial" w:eastAsia="Arial" w:hAnsi="Arial"/>
          <w:sz w:val="17"/>
          <w:szCs w:val="17"/>
          <w:b w:val="1"/>
          <w:bCs w:val="1"/>
          <w:color w:val="auto"/>
        </w:rPr>
        <w:t xml:space="preserve">5.2.3.Delivery of Sublicense Agreement. </w:t>
      </w:r>
      <w:r>
        <w:rPr>
          <w:rFonts w:ascii="Arial" w:cs="Arial" w:eastAsia="Arial" w:hAnsi="Arial"/>
          <w:sz w:val="17"/>
          <w:szCs w:val="17"/>
          <w:color w:val="auto"/>
        </w:rPr>
        <w:t>BioLine shall furnish Licensors with a fully executed copy of any such sublicense agreement,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after its execution and shall ensure that any Sublicensee who further sublicenses its rights furnishes Licensors, with a fully executed copy of any such sublicense agreement, promptly after its execution.</w:t>
      </w:r>
    </w:p>
    <w:p>
      <w:pPr>
        <w:spacing w:after="0" w:line="192" w:lineRule="exact"/>
        <w:rPr>
          <w:sz w:val="20"/>
          <w:szCs w:val="20"/>
          <w:color w:val="auto"/>
        </w:rPr>
      </w:pPr>
    </w:p>
    <w:p>
      <w:pPr>
        <w:jc w:val="both"/>
        <w:ind w:firstLine="1080"/>
        <w:spacing w:after="0" w:line="259" w:lineRule="auto"/>
        <w:rPr>
          <w:sz w:val="20"/>
          <w:szCs w:val="20"/>
          <w:color w:val="auto"/>
        </w:rPr>
      </w:pPr>
      <w:r>
        <w:rPr>
          <w:rFonts w:ascii="Arial" w:cs="Arial" w:eastAsia="Arial" w:hAnsi="Arial"/>
          <w:sz w:val="17"/>
          <w:szCs w:val="17"/>
          <w:b w:val="1"/>
          <w:bCs w:val="1"/>
          <w:color w:val="auto"/>
        </w:rPr>
        <w:t xml:space="preserve">5.2.4.Breach by Sublicensee. </w:t>
      </w:r>
      <w:r>
        <w:rPr>
          <w:rFonts w:ascii="Arial" w:cs="Arial" w:eastAsia="Arial" w:hAnsi="Arial"/>
          <w:sz w:val="17"/>
          <w:szCs w:val="17"/>
          <w:color w:val="auto"/>
        </w:rPr>
        <w:t>BioLine undertakes to take all actions necessary to enforce its rights under its agreements with Sublicensees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ensure that Sublicensees which grant further sublicenses in accordance with Section 5.2.2.3 take all actions necessary to enforce their rights under such further sublicense agreements. Any act or omission by a Sublicensee, which would have constituted a breach of this Agreement had it been an act or omission by BioLine, shall constitute a breach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breach shall be subject to a cure period consistent with the terms of this Agreement. BioLine shall indemnify Licensors for, and hold them harmless from, any and all damages or losses caused to Licensors as a result of any such breach by a Sublicensee.</w:t>
      </w:r>
    </w:p>
    <w:p>
      <w:pPr>
        <w:spacing w:after="0" w:line="201" w:lineRule="exact"/>
        <w:rPr>
          <w:sz w:val="20"/>
          <w:szCs w:val="20"/>
          <w:color w:val="auto"/>
        </w:rPr>
      </w:pPr>
    </w:p>
    <w:p>
      <w:pPr>
        <w:ind w:left="620" w:hanging="617"/>
        <w:spacing w:after="0"/>
        <w:tabs>
          <w:tab w:leader="none" w:pos="62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Development and Commercialization.</w:t>
      </w:r>
    </w:p>
    <w:p>
      <w:pPr>
        <w:spacing w:after="0" w:line="242"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6.1. Diligence. </w:t>
      </w:r>
      <w:r>
        <w:rPr>
          <w:rFonts w:ascii="Arial" w:cs="Arial" w:eastAsia="Arial" w:hAnsi="Arial"/>
          <w:sz w:val="16"/>
          <w:szCs w:val="16"/>
          <w:color w:val="auto"/>
        </w:rPr>
        <w:t>BioLine shall use all Commercially Reasonable Efforts, and/or shall cause its Affiliates and/or Sublicensees to use their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Efforts, including funding consistent with such efforts: (i) to develop Licensed Products in accordance with the applicable Development Plan during the periods and within the timetable specified therein, (ii) to introduce Licensed Products into the commercial market, and (iii) to market Licensed Products following such introduction into the market. Without limiting the foregoing, BioLine and/or its Affiliates and/or Sublicensees shall fulfill the following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color w:val="auto"/>
        </w:rPr>
        <w:t>BioLine, by itself or through Affiliates or Sublicensees, shall meet the milestones set forth in Exhibit 6.1.1 hereto; and</w:t>
      </w:r>
    </w:p>
    <w:p>
      <w:pPr>
        <w:spacing w:after="0" w:line="242" w:lineRule="exact"/>
        <w:rPr>
          <w:sz w:val="20"/>
          <w:szCs w:val="20"/>
          <w:color w:val="auto"/>
        </w:rPr>
      </w:pPr>
    </w:p>
    <w:p>
      <w:pPr>
        <w:jc w:val="both"/>
        <w:ind w:firstLine="926"/>
        <w:spacing w:after="0" w:line="261" w:lineRule="auto"/>
        <w:rPr>
          <w:sz w:val="20"/>
          <w:szCs w:val="20"/>
          <w:color w:val="auto"/>
        </w:rPr>
      </w:pPr>
      <w:r>
        <w:rPr>
          <w:rFonts w:ascii="Arial" w:cs="Arial" w:eastAsia="Arial" w:hAnsi="Arial"/>
          <w:sz w:val="17"/>
          <w:szCs w:val="17"/>
          <w:b w:val="1"/>
          <w:bCs w:val="1"/>
          <w:color w:val="auto"/>
        </w:rPr>
        <w:t xml:space="preserve">6.1.2. </w:t>
      </w:r>
      <w:r>
        <w:rPr>
          <w:rFonts w:ascii="Arial" w:cs="Arial" w:eastAsia="Arial" w:hAnsi="Arial"/>
          <w:sz w:val="17"/>
          <w:szCs w:val="17"/>
          <w:color w:val="auto"/>
        </w:rPr>
        <w:t>Licensee, by itself or through Affiliates or Sublicensees, undertakes to employ Commercially Reasonable Efforts, including funding 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therewith, to carry out all efficacy, pharmaceutical, safety, toxicological and clinical tests, trials and studies and all other activities necessary in order to obtain Regulatory Approval for the production, use and sale of Licensed Products in each country in which Licensee, its Affiliates or Sublicensees intend to produce, use, offer to sell and sell Licensed Products and in any case, BioLine shall use Commercially Reasonable Efforts to obtain Regulatory Approval for the use and sale of Licensed Products in the United States, the European Union and Japan.</w:t>
      </w:r>
    </w:p>
    <w:p>
      <w:pPr>
        <w:spacing w:after="0" w:line="19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color w:val="auto"/>
        </w:rPr>
        <w:t>BioLine shall be entitled, from time to time, to make such adjustments to the then applicable Development Plan as BioLine believes, in its good faith</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are needed in order to improve BioLine's ability to meet the milestones set forth in Exhibit 6.1.1.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8" w:name="page329"/>
    <w:bookmarkEnd w:id="328"/>
    <w:p>
      <w:pPr>
        <w:jc w:val="both"/>
        <w:ind w:firstLine="617"/>
        <w:spacing w:after="0" w:line="298" w:lineRule="auto"/>
        <w:rPr>
          <w:sz w:val="20"/>
          <w:szCs w:val="20"/>
          <w:color w:val="auto"/>
        </w:rPr>
      </w:pPr>
      <w:r>
        <w:rPr>
          <w:rFonts w:ascii="Arial" w:cs="Arial" w:eastAsia="Arial" w:hAnsi="Arial"/>
          <w:sz w:val="15"/>
          <w:szCs w:val="15"/>
          <w:b w:val="1"/>
          <w:bCs w:val="1"/>
          <w:color w:val="auto"/>
        </w:rPr>
        <w:t xml:space="preserve">6.3. </w:t>
      </w:r>
      <w:r>
        <w:rPr>
          <w:rFonts w:ascii="Arial" w:cs="Arial" w:eastAsia="Arial" w:hAnsi="Arial"/>
          <w:sz w:val="15"/>
          <w:szCs w:val="15"/>
          <w:color w:val="auto"/>
        </w:rPr>
        <w:t>The Principal Investigators, a BioLine representative and representatives of the Licensors (the “</w:t>
      </w:r>
      <w:r>
        <w:rPr>
          <w:rFonts w:ascii="Arial" w:cs="Arial" w:eastAsia="Arial" w:hAnsi="Arial"/>
          <w:sz w:val="15"/>
          <w:szCs w:val="15"/>
          <w:b w:val="1"/>
          <w:bCs w:val="1"/>
          <w:color w:val="auto"/>
        </w:rPr>
        <w:t>Steering Committee</w:t>
      </w:r>
      <w:r>
        <w:rPr>
          <w:rFonts w:ascii="Arial" w:cs="Arial" w:eastAsia="Arial" w:hAnsi="Arial"/>
          <w:sz w:val="15"/>
          <w:szCs w:val="15"/>
          <w:color w:val="auto"/>
        </w:rPr>
        <w:t>”) shall meet no less than once</w:t>
      </w:r>
      <w:r>
        <w:rPr>
          <w:rFonts w:ascii="Arial" w:cs="Arial" w:eastAsia="Arial" w:hAnsi="Arial"/>
          <w:sz w:val="15"/>
          <w:szCs w:val="15"/>
          <w:b w:val="1"/>
          <w:bCs w:val="1"/>
          <w:color w:val="auto"/>
        </w:rPr>
        <w:t xml:space="preserve"> </w:t>
      </w:r>
      <w:r>
        <w:rPr>
          <w:rFonts w:ascii="Arial" w:cs="Arial" w:eastAsia="Arial" w:hAnsi="Arial"/>
          <w:sz w:val="15"/>
          <w:szCs w:val="15"/>
          <w:color w:val="auto"/>
        </w:rPr>
        <w:t>every six (6) months during the term commencing with the Effective Date and ending upon the First Commercial Sale of a Licensed Product, at locations and times to be mutually agreed upon by the parties, (i) to review the progress being made under the Development Plan and the progress being made in any other research and development activities conducted by BioLine, its Affiliates and Sublicensees relating to Licensed Products, (ii) to review and agree upon any necessary or desired revisions to the then current Development Plan, (iii) to review the progress being made towards fulfilling the milestones set forth in Section 6.1.1, and (iv) to discuss intended efforts for fulfilling such milestones. For the avoidance of doubt, the Steering Committee shall be a forum for the exchange of information between the parties with respect to the foregoing, shall act only in an advisory capacity in respect of the Development Plan, and shall not have any decision-making powers.</w:t>
      </w:r>
    </w:p>
    <w:p>
      <w:pPr>
        <w:spacing w:after="0" w:line="173"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Within sixty (60) days after the end of each calendar year, Licensee shall furnish Licensors with a written report on the progress of its,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Sublicensees’ efforts during the prior year to develop and commercialize Licensed Products, including without limitation research and development efforts, efforts to obtain Regulatory Approval and marketing efforts.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6.5. Failure. </w:t>
      </w:r>
      <w:r>
        <w:rPr>
          <w:rFonts w:ascii="Arial" w:cs="Arial" w:eastAsia="Arial" w:hAnsi="Arial"/>
          <w:sz w:val="17"/>
          <w:szCs w:val="17"/>
          <w:color w:val="auto"/>
        </w:rPr>
        <w:t>If BioLine breaches its obligations pursuant to Section 6.1, unless and to the extent such delay is necessitated by regulatory agencies or by an event</w:t>
      </w:r>
      <w:r>
        <w:rPr>
          <w:rFonts w:ascii="Arial" w:cs="Arial" w:eastAsia="Arial" w:hAnsi="Arial"/>
          <w:sz w:val="17"/>
          <w:szCs w:val="17"/>
          <w:b w:val="1"/>
          <w:bCs w:val="1"/>
          <w:color w:val="auto"/>
        </w:rPr>
        <w:t xml:space="preserve"> </w:t>
      </w:r>
      <w:r>
        <w:rPr>
          <w:rFonts w:ascii="Arial" w:cs="Arial" w:eastAsia="Arial" w:hAnsi="Arial"/>
          <w:sz w:val="17"/>
          <w:szCs w:val="17"/>
          <w:color w:val="auto"/>
        </w:rPr>
        <w:t>beyond the control of BioLine, Ramot may notify BioLine in writing of BioLine’ failure and shall allow BioLine [***] to cure its failure. BioLine’s failure to cure such failure to Ramot’s reasonable satisfaction within such [***] period shall constitute a material breach of this Agreement and Ramot shall have the right to terminate this Agreement in accordance with Section 13.3.2.</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6.6 Licensor Proposed Product.</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 xml:space="preserve">6.6.1. </w:t>
      </w:r>
      <w:r>
        <w:rPr>
          <w:rFonts w:ascii="Arial" w:cs="Arial" w:eastAsia="Arial" w:hAnsi="Arial"/>
          <w:sz w:val="17"/>
          <w:szCs w:val="17"/>
          <w:color w:val="auto"/>
        </w:rPr>
        <w:t>[***]</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 xml:space="preserve">6.6.1  </w:t>
      </w:r>
      <w:r>
        <w:rPr>
          <w:rFonts w:ascii="Arial" w:cs="Arial" w:eastAsia="Arial" w:hAnsi="Arial"/>
          <w:sz w:val="17"/>
          <w:szCs w:val="17"/>
          <w:color w:val="auto"/>
        </w:rPr>
        <w:t>[***]</w:t>
      </w:r>
    </w:p>
    <w:p>
      <w:pPr>
        <w:spacing w:after="0" w:line="242"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 xml:space="preserve">6.6.2.1.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230505</wp:posOffset>
            </wp:positionV>
            <wp:extent cx="218884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620" w:right="2360" w:hanging="5617"/>
        <w:spacing w:after="0" w:line="744" w:lineRule="auto"/>
        <w:tabs>
          <w:tab w:leader="none" w:pos="409"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29" w:name="page330"/>
    <w:bookmarkEnd w:id="329"/>
    <w:p>
      <w:pPr>
        <w:spacing w:after="0"/>
        <w:rPr>
          <w:sz w:val="20"/>
          <w:szCs w:val="20"/>
          <w:color w:val="auto"/>
        </w:rPr>
      </w:pPr>
      <w:r>
        <w:rPr>
          <w:rFonts w:ascii="Arial" w:cs="Arial" w:eastAsia="Arial" w:hAnsi="Arial"/>
          <w:sz w:val="17"/>
          <w:szCs w:val="17"/>
          <w:color w:val="auto"/>
        </w:rPr>
        <w:t>[***]</w:t>
      </w:r>
    </w:p>
    <w:p>
      <w:pPr>
        <w:spacing w:after="0" w:line="236"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auto"/>
        </w:rPr>
        <w:t xml:space="preserve">6.6.2.2. </w:t>
      </w:r>
      <w:r>
        <w:rPr>
          <w:rFonts w:ascii="Arial" w:cs="Arial" w:eastAsia="Arial" w:hAnsi="Arial"/>
          <w:sz w:val="17"/>
          <w:szCs w:val="17"/>
          <w:color w:val="auto"/>
        </w:rPr>
        <w:t>[***]</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 xml:space="preserve">6.6.3. </w:t>
      </w:r>
      <w:r>
        <w:rPr>
          <w:rFonts w:ascii="Arial" w:cs="Arial" w:eastAsia="Arial" w:hAnsi="Arial"/>
          <w:sz w:val="17"/>
          <w:szCs w:val="17"/>
          <w:color w:val="auto"/>
        </w:rPr>
        <w:t>[***]</w:t>
      </w:r>
    </w:p>
    <w:p>
      <w:pPr>
        <w:spacing w:after="0" w:line="242" w:lineRule="exact"/>
        <w:rPr>
          <w:sz w:val="20"/>
          <w:szCs w:val="20"/>
          <w:color w:val="auto"/>
        </w:rPr>
      </w:pPr>
    </w:p>
    <w:p>
      <w:pPr>
        <w:ind w:left="620" w:hanging="617"/>
        <w:spacing w:after="0"/>
        <w:tabs>
          <w:tab w:leader="none" w:pos="620"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Consideration for Grant of License</w:t>
      </w:r>
    </w:p>
    <w:p>
      <w:pPr>
        <w:spacing w:after="0" w:line="242"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7.1. License Maintenance Fee. </w:t>
      </w:r>
      <w:r>
        <w:rPr>
          <w:rFonts w:ascii="Arial" w:cs="Arial" w:eastAsia="Arial" w:hAnsi="Arial"/>
          <w:sz w:val="16"/>
          <w:szCs w:val="16"/>
          <w:color w:val="auto"/>
        </w:rPr>
        <w:t>BioLine shall pay Licensors an annual license maintenance fee in the amount of $25,000 per year during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which [***] shall be paid to Ramot and [***] shall be paid to BIRAD. The first such payment shall be made within fifteen (15) days of the execution of this Agreement and the additional payments shall be made no later than the first and each subsequent anniversary of this Agreement.</w:t>
      </w:r>
    </w:p>
    <w:p>
      <w:pPr>
        <w:spacing w:after="0" w:line="175"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7.2. Royalty Payments. </w:t>
      </w:r>
      <w:r>
        <w:rPr>
          <w:rFonts w:ascii="Arial" w:cs="Arial" w:eastAsia="Arial" w:hAnsi="Arial"/>
          <w:sz w:val="17"/>
          <w:szCs w:val="17"/>
          <w:color w:val="auto"/>
        </w:rPr>
        <w:t>BioLine shall pay Licensors amounts equal to [***] of all Net Sales. Such amounts shall be payable, on a Licensed Product-by-Licensed Product and country-by-country basis, for the longer of: (a) fifteen (15) years from the date of the First Commercial Sale of such Licensed Product in such country; (b) until the last to expire of any patent included within the Licensed Technology in such country; and (c) the expiration of Licensed Product’s Orphan Drug status in such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202565</wp:posOffset>
            </wp:positionV>
            <wp:extent cx="218884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397" w:lineRule="exact"/>
        <w:rPr>
          <w:sz w:val="20"/>
          <w:szCs w:val="20"/>
          <w:color w:val="auto"/>
        </w:rPr>
      </w:pPr>
    </w:p>
    <w:p>
      <w:pPr>
        <w:ind w:left="5620" w:right="2360" w:hanging="5617"/>
        <w:spacing w:after="0" w:line="744" w:lineRule="auto"/>
        <w:tabs>
          <w:tab w:leader="none" w:pos="409"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30" w:name="page331"/>
    <w:bookmarkEnd w:id="330"/>
    <w:p>
      <w:pPr>
        <w:jc w:val="both"/>
        <w:ind w:firstLine="1080"/>
        <w:spacing w:after="0" w:line="256" w:lineRule="auto"/>
        <w:rPr>
          <w:sz w:val="20"/>
          <w:szCs w:val="20"/>
          <w:color w:val="auto"/>
        </w:rPr>
      </w:pPr>
      <w:r>
        <w:rPr>
          <w:rFonts w:ascii="Arial" w:cs="Arial" w:eastAsia="Arial" w:hAnsi="Arial"/>
          <w:sz w:val="17"/>
          <w:szCs w:val="17"/>
          <w:b w:val="1"/>
          <w:bCs w:val="1"/>
          <w:color w:val="auto"/>
        </w:rPr>
        <w:t xml:space="preserve">7.2.1 </w:t>
      </w:r>
      <w:r>
        <w:rPr>
          <w:rFonts w:ascii="Arial" w:cs="Arial" w:eastAsia="Arial" w:hAnsi="Arial"/>
          <w:sz w:val="17"/>
          <w:szCs w:val="17"/>
          <w:color w:val="auto"/>
        </w:rPr>
        <w:t>Notwithstanding anything to the contrary set forth herein, in the event a Licensed Product is sold by BioLine or an Affiliate of BioLine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 of a Combination Product, Net Sales from such Combination Product, for purposes of determining royalty payments, shall be determined by multiplying the actual Net Sales of such Combination Product during the applicable royalty reporting period, by the fraction A/(A+B) where: A is the average sale price of the Licensed Product contained in the Combination Product when sold separately by BioLine or its Affiliate; and B is the average price of the other Additional Ingredients included in the Combination Product when sold separately by its supplier, in each case during the applicable royalty reporting period or if sales of both the Licensed Product and/or other Additional Ingredients did not occur in such period, then in the most recent royalty reporting period in which sales of both occurred. In the event that such average sale price cannot be determined for both the Licensed Product and all other Additional Ingredients included in the Combination Product, Net Sales for the purpose of determining royalty payments shall be calculated by multiplying the Net Sales of the Combination Products by the fraction of C/C+D where C is the fair market value of the Licensed Product and D is the fair market value of all other Additional Ingredients included in the Combination Product. In such event, the parties shall negotiate in good faith to arrive at a determination of the respective fair market values of the Licensed Product and all other Additional Ingredients included in the Combination Product.</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7.2.2. Third-Party Royalties.</w:t>
      </w:r>
    </w:p>
    <w:p>
      <w:pPr>
        <w:spacing w:after="0" w:line="242" w:lineRule="exact"/>
        <w:rPr>
          <w:sz w:val="20"/>
          <w:szCs w:val="20"/>
          <w:color w:val="auto"/>
        </w:rPr>
      </w:pPr>
    </w:p>
    <w:p>
      <w:pPr>
        <w:jc w:val="both"/>
        <w:ind w:firstLine="1543"/>
        <w:spacing w:after="0" w:line="278" w:lineRule="auto"/>
        <w:rPr>
          <w:sz w:val="20"/>
          <w:szCs w:val="20"/>
          <w:color w:val="auto"/>
        </w:rPr>
      </w:pPr>
      <w:r>
        <w:rPr>
          <w:rFonts w:ascii="Arial" w:cs="Arial" w:eastAsia="Arial" w:hAnsi="Arial"/>
          <w:sz w:val="16"/>
          <w:szCs w:val="16"/>
          <w:b w:val="1"/>
          <w:bCs w:val="1"/>
          <w:color w:val="auto"/>
        </w:rPr>
        <w:t xml:space="preserve">7.2.2.1. </w:t>
      </w:r>
      <w:r>
        <w:rPr>
          <w:rFonts w:ascii="Arial" w:cs="Arial" w:eastAsia="Arial" w:hAnsi="Arial"/>
          <w:sz w:val="16"/>
          <w:szCs w:val="16"/>
          <w:color w:val="auto"/>
        </w:rPr>
        <w:t>In the event that BioLine or an Affiliate of BioLine is legally required to make royalty payments, at fair market terms after arms’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length negotiations, to one or more third parties to obtain a Third Party License from such third party(ies) in order to practice the Licensor Technology in a particular country, BioLine may offset such third-party payments against the royalty payments that are due to Licensors pursuant to Section 7.1 with respect to sales in such country;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royalty payments under Section 7.1 to Licensors may not be reduced by a greater percentage than the percent reduction for any third party;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in no event, shall the royalty payments to Licensors under Section 7.1 with respect to such Licensed Product be reduced to less than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 of all Net Sales with respect to such Licensed Product in such country.</w:t>
      </w:r>
    </w:p>
    <w:p>
      <w:pPr>
        <w:spacing w:after="0" w:line="188" w:lineRule="exact"/>
        <w:rPr>
          <w:sz w:val="20"/>
          <w:szCs w:val="20"/>
          <w:color w:val="auto"/>
        </w:rPr>
      </w:pPr>
    </w:p>
    <w:p>
      <w:pPr>
        <w:jc w:val="both"/>
        <w:ind w:firstLine="1543"/>
        <w:spacing w:after="0" w:line="269" w:lineRule="auto"/>
        <w:rPr>
          <w:sz w:val="20"/>
          <w:szCs w:val="20"/>
          <w:color w:val="auto"/>
        </w:rPr>
      </w:pPr>
      <w:r>
        <w:rPr>
          <w:rFonts w:ascii="Arial" w:cs="Arial" w:eastAsia="Arial" w:hAnsi="Arial"/>
          <w:sz w:val="17"/>
          <w:szCs w:val="17"/>
          <w:b w:val="1"/>
          <w:bCs w:val="1"/>
          <w:color w:val="auto"/>
        </w:rPr>
        <w:t xml:space="preserve">7.2.2.2. </w:t>
      </w:r>
      <w:r>
        <w:rPr>
          <w:rFonts w:ascii="Arial" w:cs="Arial" w:eastAsia="Arial" w:hAnsi="Arial"/>
          <w:sz w:val="17"/>
          <w:szCs w:val="17"/>
          <w:color w:val="auto"/>
        </w:rPr>
        <w:t>Notwithstanding Section 7.2.2.1, in the event the royalties BioLine or its Affiliate are legally required to pay for a Third Party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as described in Section 7.2.2.1 relate to an Additional Ingredient included in a Combination Product, BioLine shall not be entitled to reduce the royalty payments under Section 7.2.2.1.</w:t>
      </w:r>
    </w:p>
    <w:p>
      <w:pPr>
        <w:spacing w:after="0" w:line="192"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 xml:space="preserve">Sublicense Receipts. </w:t>
      </w:r>
      <w:r>
        <w:rPr>
          <w:rFonts w:ascii="Arial" w:cs="Arial" w:eastAsia="Arial" w:hAnsi="Arial"/>
          <w:sz w:val="15"/>
          <w:szCs w:val="15"/>
          <w:color w:val="auto"/>
        </w:rPr>
        <w:t>BioLine shall pay Licensors an amount equal to [***] of all Sublicense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230505</wp:posOffset>
            </wp:positionV>
            <wp:extent cx="218884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620" w:right="2360" w:hanging="5617"/>
        <w:spacing w:after="0" w:line="744" w:lineRule="auto"/>
        <w:tabs>
          <w:tab w:leader="none" w:pos="409"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31" w:name="page332"/>
    <w:bookmarkEnd w:id="331"/>
    <w:p>
      <w:pPr>
        <w:ind w:left="620" w:hanging="617"/>
        <w:spacing w:after="0"/>
        <w:tabs>
          <w:tab w:leader="none" w:pos="620"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Reports; Payments; Records.</w:t>
      </w:r>
    </w:p>
    <w:p>
      <w:pPr>
        <w:spacing w:after="0" w:line="24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8.1.   Net Sales: Reports and Payments.</w:t>
      </w:r>
    </w:p>
    <w:p>
      <w:pPr>
        <w:spacing w:after="0" w:line="242" w:lineRule="exact"/>
        <w:rPr>
          <w:sz w:val="20"/>
          <w:szCs w:val="20"/>
          <w:color w:val="auto"/>
        </w:rPr>
      </w:pPr>
    </w:p>
    <w:p>
      <w:pPr>
        <w:ind w:firstLine="1080"/>
        <w:spacing w:after="0" w:line="319" w:lineRule="auto"/>
        <w:rPr>
          <w:sz w:val="20"/>
          <w:szCs w:val="20"/>
          <w:color w:val="auto"/>
        </w:rPr>
      </w:pPr>
      <w:r>
        <w:rPr>
          <w:rFonts w:ascii="Arial" w:cs="Arial" w:eastAsia="Arial" w:hAnsi="Arial"/>
          <w:sz w:val="16"/>
          <w:szCs w:val="16"/>
          <w:b w:val="1"/>
          <w:bCs w:val="1"/>
          <w:color w:val="auto"/>
        </w:rPr>
        <w:t xml:space="preserve">8.1.1.Reports. </w:t>
      </w:r>
      <w:r>
        <w:rPr>
          <w:rFonts w:ascii="Arial" w:cs="Arial" w:eastAsia="Arial" w:hAnsi="Arial"/>
          <w:sz w:val="16"/>
          <w:szCs w:val="16"/>
          <w:color w:val="auto"/>
        </w:rPr>
        <w:t>Within thirty (30) days after the conclusion of each Calendar Quarter commencing with the first Calendar Quarter in which BioLine or</w:t>
      </w:r>
      <w:r>
        <w:rPr>
          <w:rFonts w:ascii="Arial" w:cs="Arial" w:eastAsia="Arial" w:hAnsi="Arial"/>
          <w:sz w:val="16"/>
          <w:szCs w:val="16"/>
          <w:b w:val="1"/>
          <w:bCs w:val="1"/>
          <w:color w:val="auto"/>
        </w:rPr>
        <w:t xml:space="preserve"> </w:t>
      </w:r>
      <w:r>
        <w:rPr>
          <w:rFonts w:ascii="Arial" w:cs="Arial" w:eastAsia="Arial" w:hAnsi="Arial"/>
          <w:sz w:val="16"/>
          <w:szCs w:val="16"/>
          <w:color w:val="auto"/>
        </w:rPr>
        <w:t>an Affiliate of BioLine first receives Net Sales or Sublicense Receipts, BioLine shall deliver to Ramot a report containing the following information:</w:t>
      </w:r>
    </w:p>
    <w:p>
      <w:pPr>
        <w:spacing w:after="0" w:line="160" w:lineRule="exact"/>
        <w:rPr>
          <w:sz w:val="20"/>
          <w:szCs w:val="20"/>
          <w:color w:val="auto"/>
        </w:rPr>
      </w:pPr>
    </w:p>
    <w:p>
      <w:pPr>
        <w:ind w:left="1960" w:hanging="414"/>
        <w:spacing w:after="0"/>
        <w:tabs>
          <w:tab w:leader="none" w:pos="1960" w:val="left"/>
        </w:tabs>
        <w:numPr>
          <w:ilvl w:val="0"/>
          <w:numId w:val="248"/>
        </w:numPr>
        <w:rPr>
          <w:rFonts w:ascii="Arial" w:cs="Arial" w:eastAsia="Arial" w:hAnsi="Arial"/>
          <w:sz w:val="16"/>
          <w:szCs w:val="16"/>
          <w:b w:val="1"/>
          <w:bCs w:val="1"/>
          <w:color w:val="auto"/>
        </w:rPr>
      </w:pPr>
      <w:r>
        <w:rPr>
          <w:rFonts w:ascii="Arial" w:cs="Arial" w:eastAsia="Arial" w:hAnsi="Arial"/>
          <w:sz w:val="16"/>
          <w:szCs w:val="16"/>
          <w:color w:val="auto"/>
        </w:rPr>
        <w:t>the number of units of Licensed Products sold by BioLine and its Affiliates in each country for the applicable Calendar Quarter;</w:t>
      </w:r>
    </w:p>
    <w:p>
      <w:pPr>
        <w:spacing w:after="0" w:line="253" w:lineRule="exact"/>
        <w:rPr>
          <w:rFonts w:ascii="Arial" w:cs="Arial" w:eastAsia="Arial" w:hAnsi="Arial"/>
          <w:sz w:val="16"/>
          <w:szCs w:val="16"/>
          <w:b w:val="1"/>
          <w:bCs w:val="1"/>
          <w:color w:val="auto"/>
        </w:rPr>
      </w:pPr>
    </w:p>
    <w:p>
      <w:pPr>
        <w:ind w:left="2080" w:hanging="534"/>
        <w:spacing w:after="0"/>
        <w:tabs>
          <w:tab w:leader="none" w:pos="2080" w:val="left"/>
        </w:tabs>
        <w:numPr>
          <w:ilvl w:val="0"/>
          <w:numId w:val="248"/>
        </w:numPr>
        <w:rPr>
          <w:rFonts w:ascii="Arial" w:cs="Arial" w:eastAsia="Arial" w:hAnsi="Arial"/>
          <w:sz w:val="16"/>
          <w:szCs w:val="16"/>
          <w:b w:val="1"/>
          <w:bCs w:val="1"/>
          <w:color w:val="auto"/>
        </w:rPr>
      </w:pPr>
      <w:r>
        <w:rPr>
          <w:rFonts w:ascii="Arial" w:cs="Arial" w:eastAsia="Arial" w:hAnsi="Arial"/>
          <w:sz w:val="16"/>
          <w:szCs w:val="16"/>
          <w:color w:val="auto"/>
        </w:rPr>
        <w:t>the gross amount billed for the Licensed Product sold by BioLine and its Affiliates in each country during the applicable Calendar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Quarter;</w:t>
      </w:r>
    </w:p>
    <w:p>
      <w:pPr>
        <w:spacing w:after="0" w:line="231" w:lineRule="exact"/>
        <w:rPr>
          <w:sz w:val="20"/>
          <w:szCs w:val="20"/>
          <w:color w:val="auto"/>
        </w:rPr>
      </w:pPr>
    </w:p>
    <w:p>
      <w:pPr>
        <w:ind w:left="1960" w:hanging="414"/>
        <w:spacing w:after="0"/>
        <w:tabs>
          <w:tab w:leader="none" w:pos="1960" w:val="left"/>
        </w:tabs>
        <w:numPr>
          <w:ilvl w:val="0"/>
          <w:numId w:val="249"/>
        </w:numPr>
        <w:rPr>
          <w:rFonts w:ascii="Arial" w:cs="Arial" w:eastAsia="Arial" w:hAnsi="Arial"/>
          <w:sz w:val="17"/>
          <w:szCs w:val="17"/>
          <w:b w:val="1"/>
          <w:bCs w:val="1"/>
          <w:color w:val="auto"/>
        </w:rPr>
      </w:pPr>
      <w:r>
        <w:rPr>
          <w:rFonts w:ascii="Arial" w:cs="Arial" w:eastAsia="Arial" w:hAnsi="Arial"/>
          <w:sz w:val="17"/>
          <w:szCs w:val="17"/>
          <w:color w:val="auto"/>
        </w:rPr>
        <w:t>a calculation of Net Sales for the applicable Calendar Quarter in each country, including a listing of applicable deductions;</w:t>
      </w:r>
    </w:p>
    <w:p>
      <w:pPr>
        <w:spacing w:after="0" w:line="241" w:lineRule="exact"/>
        <w:rPr>
          <w:rFonts w:ascii="Arial" w:cs="Arial" w:eastAsia="Arial" w:hAnsi="Arial"/>
          <w:sz w:val="17"/>
          <w:szCs w:val="17"/>
          <w:b w:val="1"/>
          <w:bCs w:val="1"/>
          <w:color w:val="auto"/>
        </w:rPr>
      </w:pPr>
    </w:p>
    <w:p>
      <w:pPr>
        <w:ind w:left="2000" w:hanging="454"/>
        <w:spacing w:after="0"/>
        <w:tabs>
          <w:tab w:leader="none" w:pos="2000" w:val="left"/>
        </w:tabs>
        <w:numPr>
          <w:ilvl w:val="0"/>
          <w:numId w:val="249"/>
        </w:numPr>
        <w:rPr>
          <w:rFonts w:ascii="Arial" w:cs="Arial" w:eastAsia="Arial" w:hAnsi="Arial"/>
          <w:sz w:val="15"/>
          <w:szCs w:val="15"/>
          <w:b w:val="1"/>
          <w:bCs w:val="1"/>
          <w:color w:val="auto"/>
        </w:rPr>
      </w:pPr>
      <w:r>
        <w:rPr>
          <w:rFonts w:ascii="Arial" w:cs="Arial" w:eastAsia="Arial" w:hAnsi="Arial"/>
          <w:sz w:val="15"/>
          <w:szCs w:val="15"/>
          <w:color w:val="auto"/>
        </w:rPr>
        <w:t>the total amount payable to Licensors in U.S. dollars on Net Sales for the applicable Calendar Quarter, together with the exchange rates</w:t>
      </w:r>
    </w:p>
    <w:p>
      <w:pPr>
        <w:spacing w:after="0" w:line="4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used for conversion; and</w:t>
      </w:r>
    </w:p>
    <w:p>
      <w:pPr>
        <w:spacing w:after="0" w:line="230" w:lineRule="exact"/>
        <w:rPr>
          <w:rFonts w:ascii="Arial" w:cs="Arial" w:eastAsia="Arial" w:hAnsi="Arial"/>
          <w:sz w:val="15"/>
          <w:szCs w:val="15"/>
          <w:b w:val="1"/>
          <w:bCs w:val="1"/>
          <w:color w:val="auto"/>
        </w:rPr>
      </w:pPr>
    </w:p>
    <w:p>
      <w:pPr>
        <w:ind w:left="1960" w:hanging="414"/>
        <w:spacing w:after="0"/>
        <w:tabs>
          <w:tab w:leader="none" w:pos="1960" w:val="left"/>
        </w:tabs>
        <w:numPr>
          <w:ilvl w:val="0"/>
          <w:numId w:val="249"/>
        </w:numPr>
        <w:rPr>
          <w:rFonts w:ascii="Arial" w:cs="Arial" w:eastAsia="Arial" w:hAnsi="Arial"/>
          <w:sz w:val="17"/>
          <w:szCs w:val="17"/>
          <w:b w:val="1"/>
          <w:bCs w:val="1"/>
          <w:color w:val="auto"/>
        </w:rPr>
      </w:pPr>
      <w:r>
        <w:rPr>
          <w:rFonts w:ascii="Arial" w:cs="Arial" w:eastAsia="Arial" w:hAnsi="Arial"/>
          <w:sz w:val="17"/>
          <w:szCs w:val="17"/>
          <w:color w:val="auto"/>
        </w:rPr>
        <w:t>a calculation of any Sublicense Receipts for the applicable Calendar Quarter.</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If no amounts are due to Licensors for any Calendar Quarter, the report shall so state.</w:t>
      </w:r>
    </w:p>
    <w:p>
      <w:pPr>
        <w:spacing w:after="0" w:line="236"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7"/>
          <w:szCs w:val="17"/>
          <w:b w:val="1"/>
          <w:bCs w:val="1"/>
          <w:color w:val="auto"/>
        </w:rPr>
        <w:t xml:space="preserve">8.1.2.Payment. </w:t>
      </w:r>
      <w:r>
        <w:rPr>
          <w:rFonts w:ascii="Arial" w:cs="Arial" w:eastAsia="Arial" w:hAnsi="Arial"/>
          <w:sz w:val="17"/>
          <w:szCs w:val="17"/>
          <w:color w:val="auto"/>
        </w:rPr>
        <w:t>Concurrent with the delivery of each report delivered pursuant to Section 8.1.1, BioLine shall remit to Licensors all amounts due</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Net Sales for the applicable Calendar Quarter, as follows: 75% (seventy-five percent) of such amounts to Ramot and 25% (twenty-five percent) of such amounts to BIRAD. For the avoidance of doubt, the foregoing allocation (i) has been specifically agreed to as between Ramot and BIRAD, and (ii) any change thereto shall only be accepted by BioLine if it is in writing and duly signed by both Ramot and BIRAD.</w:t>
      </w:r>
    </w:p>
    <w:p>
      <w:pPr>
        <w:spacing w:after="0" w:line="198"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8.2. Sublicense Receipts: Notification and Payment. </w:t>
      </w:r>
      <w:r>
        <w:rPr>
          <w:rFonts w:ascii="Arial" w:cs="Arial" w:eastAsia="Arial" w:hAnsi="Arial"/>
          <w:sz w:val="16"/>
          <w:szCs w:val="16"/>
          <w:color w:val="auto"/>
        </w:rPr>
        <w:t>Concurrent with the delivery of each report delivered pursuant to Section 8.1.1, BioLine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remit to Licensors all amounts due with respect to such Sublicense Receipts. Such amounts shall be paid as follows: 75% (seventy-five percent) of such amounts to Ramot and 25% (twenty-five percent) of such amounts to BIRAD. For the avoidance of doubt, the foregoing allocation (i) has been specifically agreed to as between Ramot and BIRAD, and (ii) any change thereto shall only be accepted by BioLine if it is in writing and duly signed by both Ramot and BIRAD.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2" w:name="page333"/>
    <w:bookmarkEnd w:id="332"/>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8.3. Payments in U.S. Dollars. </w:t>
      </w:r>
      <w:r>
        <w:rPr>
          <w:rFonts w:ascii="Arial" w:cs="Arial" w:eastAsia="Arial" w:hAnsi="Arial"/>
          <w:sz w:val="17"/>
          <w:szCs w:val="17"/>
          <w:color w:val="auto"/>
        </w:rPr>
        <w:t>All payments due under this Agreement shall be payable in United States dollars or in the currency in which they were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received. Conversion of foreign currency to U.S. dollars shall be made at the conversion rate existing in the United States (as reported in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on the last working day of the applicable Calendar Quarter. Any expenses incurred in respect of exchange, collection, or other charges, including transfer costs, shall be borne by BioLine and will not be deducted from payments made hereunder.</w:t>
      </w:r>
    </w:p>
    <w:p>
      <w:pPr>
        <w:spacing w:after="0" w:line="198"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8.4. Payments in Other Currencies. </w:t>
      </w:r>
      <w:r>
        <w:rPr>
          <w:rFonts w:ascii="Arial" w:cs="Arial" w:eastAsia="Arial" w:hAnsi="Arial"/>
          <w:sz w:val="17"/>
          <w:szCs w:val="17"/>
          <w:color w:val="auto"/>
        </w:rPr>
        <w:t>If by law, regulation, or fiscal policy of a particular country, conversion into United States dollars or transfer of</w:t>
      </w:r>
      <w:r>
        <w:rPr>
          <w:rFonts w:ascii="Arial" w:cs="Arial" w:eastAsia="Arial" w:hAnsi="Arial"/>
          <w:sz w:val="17"/>
          <w:szCs w:val="17"/>
          <w:b w:val="1"/>
          <w:bCs w:val="1"/>
          <w:color w:val="auto"/>
        </w:rPr>
        <w:t xml:space="preserve"> </w:t>
      </w:r>
      <w:r>
        <w:rPr>
          <w:rFonts w:ascii="Arial" w:cs="Arial" w:eastAsia="Arial" w:hAnsi="Arial"/>
          <w:sz w:val="17"/>
          <w:szCs w:val="17"/>
          <w:color w:val="auto"/>
        </w:rPr>
        <w:t>funds of a convertible currency to the United States is restricted or forbidden, BioLine shall give Licensors prompt written notice of such restriction, which notice shall satisfy the thirty-day payment deadlines described in Sections 8.1 and 8.2. In such case, BioLine shall pay any amounts due Licensors through whatever lawful methods Licensors reasonably designate.</w:t>
      </w:r>
    </w:p>
    <w:p>
      <w:pPr>
        <w:spacing w:after="0" w:line="198" w:lineRule="exact"/>
        <w:rPr>
          <w:sz w:val="20"/>
          <w:szCs w:val="20"/>
          <w:color w:val="auto"/>
        </w:rPr>
      </w:pPr>
    </w:p>
    <w:p>
      <w:pPr>
        <w:jc w:val="both"/>
        <w:ind w:firstLine="617"/>
        <w:spacing w:after="0" w:line="272" w:lineRule="auto"/>
        <w:rPr>
          <w:sz w:val="20"/>
          <w:szCs w:val="20"/>
          <w:color w:val="auto"/>
        </w:rPr>
      </w:pPr>
      <w:r>
        <w:rPr>
          <w:rFonts w:ascii="Arial" w:cs="Arial" w:eastAsia="Arial" w:hAnsi="Arial"/>
          <w:sz w:val="16"/>
          <w:szCs w:val="16"/>
          <w:b w:val="1"/>
          <w:bCs w:val="1"/>
          <w:color w:val="auto"/>
        </w:rPr>
        <w:t xml:space="preserve">8.5. Records. </w:t>
      </w:r>
      <w:r>
        <w:rPr>
          <w:rFonts w:ascii="Arial" w:cs="Arial" w:eastAsia="Arial" w:hAnsi="Arial"/>
          <w:sz w:val="16"/>
          <w:szCs w:val="16"/>
          <w:color w:val="auto"/>
        </w:rPr>
        <w:t>Licensee shall maintain, and shall cause its Affiliates and Sublicensees to maintain, complete and accurate records of Licensed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made, used, marketed or sold under this Agreement, any amounts payable to Licensors in relation to such Licensed Products and all Sublicense Receipts received by BioLine and its Affiliates, which records shall contain sufficient information to permit Ramot to confirm the accuracy of any reports or notifications delivered to Licensors under Sections 8.1 and 8.2. The relevant party shall retain such records relating to a given Calendar Quarter for at least three (3) years after the conclusion of that Calendar Quarter. During such three (3) year period, Ramot shall have the right, at Licensors’ expense, to cause an independent, certified public accountant, who is bound by a suitable confidentiality arrangement with BioLine, to inspect BioLine’s and the relevant Affiliates' records during normal business hours for the sole purpose of verifying any reports and payments delivered under this Agreement. Such accountant shall not disclose to Licensors or any third party any information gained during the course of such inspection, except that such accountant may disclose to Licensors and BioLine information gained during the course of such inspection relating to the accuracy of reports and payments delivered under this Agreement. The parties shall reconcile any underpayment or overpayment within thirty (30) days after the accountant delivers the results of the audit. In the event that any audit performed under this Section 8.5 reveals an underpayment in excess of five percent (5%) in any calendar year, the audited party shall bear the full cost of such audit. Ramot may exercise its rights under this Section 8.5 only once every year per audited party and only with reasonable prior notice to the audited party. BioLine shall cause its Affiliates and Sublicensees to fully comply with the terms of this Section 8.5.</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8.6. Audited Report. </w:t>
      </w:r>
      <w:r>
        <w:rPr>
          <w:rFonts w:ascii="Arial" w:cs="Arial" w:eastAsia="Arial" w:hAnsi="Arial"/>
          <w:sz w:val="16"/>
          <w:szCs w:val="16"/>
          <w:color w:val="auto"/>
        </w:rPr>
        <w:t>BioLine shall furnish Licensors, and shall cause its Affiliates who make, use, market or sell Licensed Products to furnish Licensors, within</w:t>
      </w:r>
      <w:r>
        <w:rPr>
          <w:rFonts w:ascii="Arial" w:cs="Arial" w:eastAsia="Arial" w:hAnsi="Arial"/>
          <w:sz w:val="16"/>
          <w:szCs w:val="16"/>
          <w:b w:val="1"/>
          <w:bCs w:val="1"/>
          <w:color w:val="auto"/>
        </w:rPr>
        <w:t xml:space="preserve"> </w:t>
      </w:r>
      <w:r>
        <w:rPr>
          <w:rFonts w:ascii="Arial" w:cs="Arial" w:eastAsia="Arial" w:hAnsi="Arial"/>
          <w:sz w:val="16"/>
          <w:szCs w:val="16"/>
          <w:color w:val="auto"/>
        </w:rPr>
        <w:t>ninety (90) days after the end of each calendar year, commencing at the end of the calendar year of the first sale of a Licensed Product, with a report, certified by an independent certified public accountant, relating to royalties and other payments due to Licensors pursuant to this Agreement in respect to the previous calendar year and containing the same details as those specified in Sections 8.1 and 8.2 in respect to the previous calendar year.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3" w:name="page334"/>
    <w:bookmarkEnd w:id="333"/>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8.7. Late Payments. </w:t>
      </w:r>
      <w:r>
        <w:rPr>
          <w:rFonts w:ascii="Arial" w:cs="Arial" w:eastAsia="Arial" w:hAnsi="Arial"/>
          <w:sz w:val="17"/>
          <w:szCs w:val="17"/>
          <w:color w:val="auto"/>
        </w:rPr>
        <w:t>Any payments to be paid under this Agreement that are not paid on or before the date such payments are due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bear interest at an annual interest, compounded monthly, equal to three percent (3%) above the London Interbank Offer Rate (LIBOR) as determined for each month on the last business day of that month, assessed from the day payment was initially due until the date of payment.</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8.8. Payment Method. </w:t>
      </w:r>
      <w:r>
        <w:rPr>
          <w:rFonts w:ascii="Arial" w:cs="Arial" w:eastAsia="Arial" w:hAnsi="Arial"/>
          <w:sz w:val="17"/>
          <w:szCs w:val="17"/>
          <w:color w:val="auto"/>
        </w:rPr>
        <w:t>Each payment due to Licensors under this Agreement shall be made by wire transfer of funds to Licensors’ accounts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written instructions provided by Licensors.</w:t>
      </w:r>
    </w:p>
    <w:p>
      <w:pPr>
        <w:spacing w:after="0" w:line="177"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8.9. Withholding and Similar Taxes. </w:t>
      </w:r>
      <w:r>
        <w:rPr>
          <w:rFonts w:ascii="Arial" w:cs="Arial" w:eastAsia="Arial" w:hAnsi="Arial"/>
          <w:sz w:val="16"/>
          <w:szCs w:val="16"/>
          <w:color w:val="auto"/>
        </w:rPr>
        <w:t>If applicable laws require that taxes be withheld from any amounts due to Licensors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shall (a) deduct these taxes from the remittable amount, (b) pay the taxes to the proper taxing authority, and (c) promptly deliver to Licensors a statement including the amount of tax withheld and justification therefor, and such other information as may be necessary for tax credit purposes.</w:t>
      </w:r>
    </w:p>
    <w:p>
      <w:pPr>
        <w:spacing w:after="0" w:line="175" w:lineRule="exact"/>
        <w:rPr>
          <w:sz w:val="20"/>
          <w:szCs w:val="20"/>
          <w:color w:val="auto"/>
        </w:rPr>
      </w:pPr>
    </w:p>
    <w:p>
      <w:pPr>
        <w:ind w:left="620" w:right="8940" w:hanging="617"/>
        <w:spacing w:after="0" w:line="570" w:lineRule="auto"/>
        <w:tabs>
          <w:tab w:leader="none" w:pos="620"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9.1 Confidentiality.</w:t>
      </w:r>
    </w:p>
    <w:p>
      <w:pPr>
        <w:spacing w:after="0" w:line="1" w:lineRule="exact"/>
        <w:rPr>
          <w:sz w:val="20"/>
          <w:szCs w:val="20"/>
          <w:color w:val="auto"/>
        </w:rPr>
      </w:pPr>
    </w:p>
    <w:p>
      <w:pPr>
        <w:jc w:val="both"/>
        <w:ind w:firstLine="1080"/>
        <w:spacing w:after="0" w:line="272" w:lineRule="auto"/>
        <w:rPr>
          <w:sz w:val="20"/>
          <w:szCs w:val="20"/>
          <w:color w:val="auto"/>
        </w:rPr>
      </w:pPr>
      <w:r>
        <w:rPr>
          <w:rFonts w:ascii="Arial" w:cs="Arial" w:eastAsia="Arial" w:hAnsi="Arial"/>
          <w:sz w:val="16"/>
          <w:szCs w:val="16"/>
          <w:b w:val="1"/>
          <w:bCs w:val="1"/>
          <w:color w:val="auto"/>
        </w:rPr>
        <w:t>9.1.1.Licensor Confidential Information</w:t>
      </w:r>
      <w:r>
        <w:rPr>
          <w:rFonts w:ascii="Arial" w:cs="Arial" w:eastAsia="Arial" w:hAnsi="Arial"/>
          <w:sz w:val="16"/>
          <w:szCs w:val="16"/>
          <w:color w:val="auto"/>
        </w:rPr>
        <w:t>. BioLine agrees that, without the prior written consent of Licensors, in each case, during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for five (5) years thereafter, it will keep confidential, and not disclose or use Licensor Confidential Information (as defined below) other than for the purposes of this Agreement. BioLine shall treat such Licensor Confidential Information with the same degree of confidentiality as it keeps its own confidential information, but in all events no less than a reasonable degree of confidentiality. BioLine may disclose the Licensor Confidential Information only to employees and consultants of BioLine or of its Affiliates or Sublicensees who have a “need to know” such information in order to enable BioLine to exercise its rights or fulfill its obligations under this Agreement and are legally bound by agreements which impose confidentiality and non-use obligations comparable to those set forth in this Agreement. For purposes of this Agreement, “Licensor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Ramot, BIRAD, TAU, BIU, or any of their employees, researchers or students to BioLine, whether in oral, written, graphic or machine-readable form, except to the extent such information: (i) was known to BioLine at the time it was disclosed, other than by previous disclosure by or on behalf of Ramot, BIRAD, TAU, BIU or any of their employees, researchers to students, as evidenced by BioLine’s written records at the time of disclosure; (ii) is at the time of disclosure or later becomes publicly known under circumstances involving no breach of this Agreement; (iii) is lawfully and in good faith made available to BioLine by a third party who is not subject to obligations of confidentiality to Ramot, BIRAD, TAU or BIU with respect to such information; or (iv) is independently developed by BioLine without the use of or reference to the Licensor Confidential Information, as demonstrated by documentary evidence.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4" w:name="page335"/>
    <w:bookmarkEnd w:id="334"/>
    <w:p>
      <w:pPr>
        <w:ind w:left="1080"/>
        <w:spacing w:after="0"/>
        <w:rPr>
          <w:sz w:val="20"/>
          <w:szCs w:val="20"/>
          <w:color w:val="auto"/>
        </w:rPr>
      </w:pPr>
      <w:r>
        <w:rPr>
          <w:rFonts w:ascii="Arial" w:cs="Arial" w:eastAsia="Arial" w:hAnsi="Arial"/>
          <w:sz w:val="17"/>
          <w:szCs w:val="17"/>
          <w:b w:val="1"/>
          <w:bCs w:val="1"/>
          <w:color w:val="auto"/>
        </w:rPr>
        <w:t>9.1.2. BioLine Confidential Information.</w:t>
      </w:r>
    </w:p>
    <w:p>
      <w:pPr>
        <w:spacing w:after="0" w:line="242" w:lineRule="exact"/>
        <w:rPr>
          <w:sz w:val="20"/>
          <w:szCs w:val="20"/>
          <w:color w:val="auto"/>
        </w:rPr>
      </w:pPr>
    </w:p>
    <w:p>
      <w:pPr>
        <w:jc w:val="both"/>
        <w:ind w:firstLine="1543"/>
        <w:spacing w:after="0" w:line="292" w:lineRule="auto"/>
        <w:rPr>
          <w:sz w:val="20"/>
          <w:szCs w:val="20"/>
          <w:color w:val="auto"/>
        </w:rPr>
      </w:pPr>
      <w:r>
        <w:rPr>
          <w:rFonts w:ascii="Arial" w:cs="Arial" w:eastAsia="Arial" w:hAnsi="Arial"/>
          <w:sz w:val="15"/>
          <w:szCs w:val="15"/>
          <w:b w:val="1"/>
          <w:bCs w:val="1"/>
          <w:color w:val="auto"/>
        </w:rPr>
        <w:t xml:space="preserve">9.1.2.1. </w:t>
      </w:r>
      <w:r>
        <w:rPr>
          <w:rFonts w:ascii="Arial" w:cs="Arial" w:eastAsia="Arial" w:hAnsi="Arial"/>
          <w:sz w:val="15"/>
          <w:szCs w:val="15"/>
          <w:color w:val="auto"/>
        </w:rPr>
        <w:t>Licensors agree that, without the prior written consent of BioLine, in each case, during the term of this Agreement, and for five (5)</w:t>
      </w:r>
      <w:r>
        <w:rPr>
          <w:rFonts w:ascii="Arial" w:cs="Arial" w:eastAsia="Arial" w:hAnsi="Arial"/>
          <w:sz w:val="15"/>
          <w:szCs w:val="15"/>
          <w:b w:val="1"/>
          <w:bCs w:val="1"/>
          <w:color w:val="auto"/>
        </w:rPr>
        <w:t xml:space="preserve"> </w:t>
      </w:r>
      <w:r>
        <w:rPr>
          <w:rFonts w:ascii="Arial" w:cs="Arial" w:eastAsia="Arial" w:hAnsi="Arial"/>
          <w:sz w:val="15"/>
          <w:szCs w:val="15"/>
          <w:color w:val="auto"/>
        </w:rPr>
        <w:t>years thereafter, they will keep confidential, and not disclose or use BioLine Confidential Information (as defined below) other than for the purposes of this Agreement. Licensors shall treat such BioLine Confidential Information with the same degree of confidentiality as they keep their own confidential information, but in all events no less than a reasonable degree of confidentiality. Licensors may disclose the BioLine Confidential Information only to employees and consultants of Licensors or of their Affiliates who have a “need to know” such information in order to enable Licensors to exercise their rights or fulfill their obligations under this Agreement and are legally bound by agreements which impose confidentiality and non-use obligations comparable to those set forth in this Agreement. For purposes of this Agreement, "BioLine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BioLine pursuant to Section 6.2, 6.3 or 8 of this Agreement, whether in oral, written, graphic or machine-readable form, except to the extent such information: (i) was known to Licensors at the time it was disclosed, other than by previous disclosure by or on behalf of BioLine as evidenced by Ramot’s or BIRAD’s written records at the time of disclosure; (ii) is at the time of disclosure or later becomes publicly known under circumstances involving no breach of this Agreement; (iii) is lawfully and in good faith made available to Ramot or BIRAD by a third party who is not subject to obligations of confidentiality to BioLine with respect to such information; or (iv) is independently developed by Ramot or BIRAD without the use of or reference to the BioLine Confidential Information, as demonstrated by documentary evidence.</w:t>
      </w:r>
    </w:p>
    <w:p>
      <w:pPr>
        <w:spacing w:after="0" w:line="179" w:lineRule="exact"/>
        <w:rPr>
          <w:sz w:val="20"/>
          <w:szCs w:val="20"/>
          <w:color w:val="auto"/>
        </w:rPr>
      </w:pPr>
    </w:p>
    <w:p>
      <w:pPr>
        <w:ind w:left="1540"/>
        <w:spacing w:after="0"/>
        <w:tabs>
          <w:tab w:leader="none" w:pos="2240" w:val="left"/>
        </w:tabs>
        <w:rPr>
          <w:sz w:val="20"/>
          <w:szCs w:val="20"/>
          <w:color w:val="auto"/>
        </w:rPr>
      </w:pPr>
      <w:r>
        <w:rPr>
          <w:rFonts w:ascii="Arial" w:cs="Arial" w:eastAsia="Arial" w:hAnsi="Arial"/>
          <w:sz w:val="17"/>
          <w:szCs w:val="17"/>
          <w:b w:val="1"/>
          <w:bCs w:val="1"/>
          <w:color w:val="auto"/>
        </w:rPr>
        <w:t>9.1.2.2.</w:t>
      </w:r>
      <w:r>
        <w:rPr>
          <w:sz w:val="20"/>
          <w:szCs w:val="20"/>
          <w:color w:val="auto"/>
        </w:rPr>
        <w:tab/>
      </w:r>
      <w:r>
        <w:rPr>
          <w:rFonts w:ascii="Arial" w:cs="Arial" w:eastAsia="Arial" w:hAnsi="Arial"/>
          <w:sz w:val="17"/>
          <w:szCs w:val="17"/>
          <w:color w:val="auto"/>
        </w:rPr>
        <w:t>Ramot shall cause all members of the TAU Team to execute a team agreement in the form attached hereto as Exhibit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9.1.2.2(a). BIRAD shall cause all members of the BIU Team to execute a team agreement in the form attached hereto as Exhibit 9.1.2.2(b).</w:t>
      </w:r>
    </w:p>
    <w:p>
      <w:pPr>
        <w:spacing w:after="0" w:line="225"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7"/>
          <w:szCs w:val="17"/>
          <w:b w:val="1"/>
          <w:bCs w:val="1"/>
          <w:color w:val="auto"/>
        </w:rPr>
        <w:t>9.1.3.Disclosure of Agreement</w:t>
      </w:r>
      <w:r>
        <w:rPr>
          <w:rFonts w:ascii="Arial" w:cs="Arial" w:eastAsia="Arial" w:hAnsi="Arial"/>
          <w:sz w:val="17"/>
          <w:szCs w:val="17"/>
          <w:color w:val="auto"/>
        </w:rPr>
        <w:t>. Each party may disclose the terms of this Agreement to the extent required, in the reasonable opinion of such party’s</w:t>
      </w:r>
      <w:r>
        <w:rPr>
          <w:rFonts w:ascii="Arial" w:cs="Arial" w:eastAsia="Arial" w:hAnsi="Arial"/>
          <w:sz w:val="17"/>
          <w:szCs w:val="17"/>
          <w:b w:val="1"/>
          <w:bCs w:val="1"/>
          <w:color w:val="auto"/>
        </w:rPr>
        <w:t xml:space="preserve"> </w:t>
      </w:r>
      <w:r>
        <w:rPr>
          <w:rFonts w:ascii="Arial" w:cs="Arial" w:eastAsia="Arial" w:hAnsi="Arial"/>
          <w:sz w:val="17"/>
          <w:szCs w:val="17"/>
          <w:color w:val="auto"/>
        </w:rPr>
        <w:t>legal counsel, to comply with applicable laws, as well as to sublicensees and prospective and current investors, pursuant to appropriate non-disclosure arrangements. If a party discloses this Agreement or any of the terms hereof in accordance with this Section 9.1.3, such party agrees, at its own expense, to seek confidential treatment of portions of this Agreement or such terms, as may be reasonably requested by the other party.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5" w:name="page336"/>
    <w:bookmarkEnd w:id="335"/>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9.1.4.Publicity. </w:t>
      </w:r>
      <w:r>
        <w:rPr>
          <w:rFonts w:ascii="Arial" w:cs="Arial" w:eastAsia="Arial" w:hAnsi="Arial"/>
          <w:sz w:val="17"/>
          <w:szCs w:val="17"/>
          <w:color w:val="auto"/>
        </w:rPr>
        <w:t>Except as expressly permitted under Section 9.1.3, no party will make any public announcement regarding this Agreement without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approval of the other party.</w:t>
      </w:r>
    </w:p>
    <w:p>
      <w:pPr>
        <w:spacing w:after="0" w:line="177"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 xml:space="preserve">Academic Publications. </w:t>
      </w:r>
      <w:r>
        <w:rPr>
          <w:rFonts w:ascii="Arial" w:cs="Arial" w:eastAsia="Arial" w:hAnsi="Arial"/>
          <w:sz w:val="15"/>
          <w:szCs w:val="15"/>
          <w:color w:val="auto"/>
        </w:rPr>
        <w:t>Licensors shall have the right to allow the Principal Investigators and other members of the Licensor Teams to publish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Research Results, if any, in scientific publications or to present such results at scientific symposia, provided that the following procedure is followed:</w:t>
      </w:r>
    </w:p>
    <w:p>
      <w:pPr>
        <w:spacing w:after="0" w:line="225" w:lineRule="exact"/>
        <w:rPr>
          <w:sz w:val="20"/>
          <w:szCs w:val="20"/>
          <w:color w:val="auto"/>
        </w:rPr>
      </w:pPr>
    </w:p>
    <w:p>
      <w:pPr>
        <w:jc w:val="both"/>
        <w:ind w:firstLine="1080"/>
        <w:spacing w:after="0" w:line="286" w:lineRule="auto"/>
        <w:rPr>
          <w:sz w:val="20"/>
          <w:szCs w:val="20"/>
          <w:color w:val="auto"/>
        </w:rPr>
      </w:pPr>
      <w:r>
        <w:rPr>
          <w:rFonts w:ascii="Arial" w:cs="Arial" w:eastAsia="Arial" w:hAnsi="Arial"/>
          <w:sz w:val="17"/>
          <w:szCs w:val="17"/>
          <w:b w:val="1"/>
          <w:bCs w:val="1"/>
          <w:color w:val="auto"/>
        </w:rPr>
        <w:t xml:space="preserve">9.2.1. </w:t>
      </w:r>
      <w:r>
        <w:rPr>
          <w:rFonts w:ascii="Arial" w:cs="Arial" w:eastAsia="Arial" w:hAnsi="Arial"/>
          <w:sz w:val="17"/>
          <w:szCs w:val="17"/>
          <w:color w:val="auto"/>
        </w:rPr>
        <w:t>Licensors shall cause the members of the Licensor Teams to comply with standard academic practice regarding authorship of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publications and recognition of contribution of other parties in any publications relating to the Research Results.</w:t>
      </w:r>
    </w:p>
    <w:p>
      <w:pPr>
        <w:spacing w:after="0" w:line="177"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7"/>
          <w:szCs w:val="17"/>
          <w:b w:val="1"/>
          <w:bCs w:val="1"/>
          <w:color w:val="auto"/>
        </w:rPr>
        <w:t xml:space="preserve">9.2.2. </w:t>
      </w:r>
      <w:r>
        <w:rPr>
          <w:rFonts w:ascii="Arial" w:cs="Arial" w:eastAsia="Arial" w:hAnsi="Arial"/>
          <w:sz w:val="17"/>
          <w:szCs w:val="17"/>
          <w:color w:val="auto"/>
        </w:rPr>
        <w:t>No later than thirty (30) days prior to submission for publication of any scientific articles, abstracts or papers concerning Research Results and</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presentation of such results at any scientific symposia, Licensors shall send to BioLine a written copy of the material to be so submitted or presented, and shall allow BioLine to review such submission to determine whether the publication or presentation contains subject matter for which patent protection should be sought prior to publication or presentation for the preservation of Licensed Patent Rights.</w:t>
      </w:r>
    </w:p>
    <w:p>
      <w:pPr>
        <w:spacing w:after="0" w:line="198" w:lineRule="exact"/>
        <w:rPr>
          <w:sz w:val="20"/>
          <w:szCs w:val="20"/>
          <w:color w:val="auto"/>
        </w:rPr>
      </w:pPr>
    </w:p>
    <w:p>
      <w:pPr>
        <w:jc w:val="both"/>
        <w:ind w:firstLine="1080"/>
        <w:spacing w:after="0" w:line="286" w:lineRule="auto"/>
        <w:rPr>
          <w:sz w:val="20"/>
          <w:szCs w:val="20"/>
          <w:color w:val="auto"/>
        </w:rPr>
      </w:pPr>
      <w:r>
        <w:rPr>
          <w:rFonts w:ascii="Arial" w:cs="Arial" w:eastAsia="Arial" w:hAnsi="Arial"/>
          <w:sz w:val="17"/>
          <w:szCs w:val="17"/>
          <w:b w:val="1"/>
          <w:bCs w:val="1"/>
          <w:color w:val="auto"/>
        </w:rPr>
        <w:t xml:space="preserve">9.2.3. </w:t>
      </w:r>
      <w:r>
        <w:rPr>
          <w:rFonts w:ascii="Arial" w:cs="Arial" w:eastAsia="Arial" w:hAnsi="Arial"/>
          <w:sz w:val="17"/>
          <w:szCs w:val="17"/>
          <w:color w:val="auto"/>
        </w:rPr>
        <w:t>BioLine shall provide its written comments with respect to such publication or presentation within fourteen (14) days following its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written material.</w:t>
      </w:r>
    </w:p>
    <w:p>
      <w:pPr>
        <w:spacing w:after="0" w:line="177" w:lineRule="exact"/>
        <w:rPr>
          <w:sz w:val="20"/>
          <w:szCs w:val="20"/>
          <w:color w:val="auto"/>
        </w:rPr>
      </w:pPr>
    </w:p>
    <w:p>
      <w:pPr>
        <w:jc w:val="both"/>
        <w:ind w:firstLine="1080"/>
        <w:spacing w:after="0" w:line="263" w:lineRule="auto"/>
        <w:rPr>
          <w:sz w:val="20"/>
          <w:szCs w:val="20"/>
          <w:color w:val="auto"/>
        </w:rPr>
      </w:pPr>
      <w:r>
        <w:rPr>
          <w:rFonts w:ascii="Arial" w:cs="Arial" w:eastAsia="Arial" w:hAnsi="Arial"/>
          <w:sz w:val="17"/>
          <w:szCs w:val="17"/>
          <w:b w:val="1"/>
          <w:bCs w:val="1"/>
          <w:color w:val="auto"/>
        </w:rPr>
        <w:t xml:space="preserve">9.2.4. </w:t>
      </w:r>
      <w:r>
        <w:rPr>
          <w:rFonts w:ascii="Arial" w:cs="Arial" w:eastAsia="Arial" w:hAnsi="Arial"/>
          <w:sz w:val="17"/>
          <w:szCs w:val="17"/>
          <w:color w:val="auto"/>
        </w:rPr>
        <w:t>If BioLine, in its written comments, identifies material for which patent protection should be sought, then Licensors shall cause the publication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presentation of such submission to be delayed for a further period of up to sixty (60) days from the receipt of such written comments to enable the parties, through the parties’ patent counsel to make the necessary patent filings in accordance with Section 4, provided, however, that if such counsel determines in good faith that more time is required the submission shall be delayed for an additional period of up to thirty (30) days.</w:t>
      </w:r>
    </w:p>
    <w:p>
      <w:pPr>
        <w:spacing w:after="0" w:line="198" w:lineRule="exact"/>
        <w:rPr>
          <w:sz w:val="20"/>
          <w:szCs w:val="20"/>
          <w:color w:val="auto"/>
        </w:rPr>
      </w:pPr>
    </w:p>
    <w:p>
      <w:pPr>
        <w:jc w:val="both"/>
        <w:ind w:firstLine="1080"/>
        <w:spacing w:after="0" w:line="319" w:lineRule="auto"/>
        <w:rPr>
          <w:sz w:val="20"/>
          <w:szCs w:val="20"/>
          <w:color w:val="auto"/>
        </w:rPr>
      </w:pPr>
      <w:r>
        <w:rPr>
          <w:rFonts w:ascii="Arial" w:cs="Arial" w:eastAsia="Arial" w:hAnsi="Arial"/>
          <w:sz w:val="16"/>
          <w:szCs w:val="16"/>
          <w:b w:val="1"/>
          <w:bCs w:val="1"/>
          <w:color w:val="auto"/>
        </w:rPr>
        <w:t xml:space="preserve">9.2.5. </w:t>
      </w:r>
      <w:r>
        <w:rPr>
          <w:rFonts w:ascii="Arial" w:cs="Arial" w:eastAsia="Arial" w:hAnsi="Arial"/>
          <w:sz w:val="16"/>
          <w:szCs w:val="16"/>
          <w:color w:val="auto"/>
        </w:rPr>
        <w:t>After compliance with the foregoing procedures with respect to an academic, scientific or medical publication and/or public presentation,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Licensor Teams shall not have to resubmit any such information for re-approval should it be republished or publicly disclosed in another form.</w:t>
      </w:r>
    </w:p>
    <w:p>
      <w:pPr>
        <w:spacing w:after="0" w:line="154" w:lineRule="exact"/>
        <w:rPr>
          <w:sz w:val="20"/>
          <w:szCs w:val="20"/>
          <w:color w:val="auto"/>
        </w:rPr>
      </w:pPr>
    </w:p>
    <w:p>
      <w:pPr>
        <w:ind w:left="620" w:hanging="617"/>
        <w:spacing w:after="0"/>
        <w:tabs>
          <w:tab w:leader="none" w:pos="620"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Patent Infringement.</w:t>
      </w:r>
    </w:p>
    <w:p>
      <w:pPr>
        <w:spacing w:after="0" w:line="24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10.1  Enforcement of Patent Rights.</w:t>
      </w:r>
    </w:p>
    <w:p>
      <w:pPr>
        <w:spacing w:after="0" w:line="242" w:lineRule="exact"/>
        <w:rPr>
          <w:sz w:val="20"/>
          <w:szCs w:val="20"/>
          <w:color w:val="auto"/>
        </w:rPr>
      </w:pPr>
    </w:p>
    <w:p>
      <w:pPr>
        <w:jc w:val="both"/>
        <w:ind w:firstLine="1080"/>
        <w:spacing w:after="0" w:line="356" w:lineRule="auto"/>
        <w:rPr>
          <w:sz w:val="20"/>
          <w:szCs w:val="20"/>
          <w:color w:val="auto"/>
        </w:rPr>
      </w:pPr>
      <w:r>
        <w:rPr>
          <w:rFonts w:ascii="Arial" w:cs="Arial" w:eastAsia="Arial" w:hAnsi="Arial"/>
          <w:sz w:val="15"/>
          <w:szCs w:val="15"/>
          <w:b w:val="1"/>
          <w:bCs w:val="1"/>
          <w:color w:val="auto"/>
        </w:rPr>
        <w:t xml:space="preserve">10.1.1.Notice. </w:t>
      </w:r>
      <w:r>
        <w:rPr>
          <w:rFonts w:ascii="Arial" w:cs="Arial" w:eastAsia="Arial" w:hAnsi="Arial"/>
          <w:sz w:val="15"/>
          <w:szCs w:val="15"/>
          <w:color w:val="auto"/>
        </w:rPr>
        <w:t>In the event any party becomes aware of any possible or actual infringement or unauthorized possession, knowledge or use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Licensed Patent Rights (collectively, an “Infringement”), that party shall promptly notify the other parties and provide them with details regarding such Infringement.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6" w:name="page337"/>
    <w:bookmarkEnd w:id="336"/>
    <w:p>
      <w:pPr>
        <w:jc w:val="both"/>
        <w:ind w:firstLine="1080"/>
        <w:spacing w:after="0" w:line="294" w:lineRule="auto"/>
        <w:rPr>
          <w:sz w:val="20"/>
          <w:szCs w:val="20"/>
          <w:color w:val="auto"/>
        </w:rPr>
      </w:pPr>
      <w:r>
        <w:rPr>
          <w:rFonts w:ascii="Arial" w:cs="Arial" w:eastAsia="Arial" w:hAnsi="Arial"/>
          <w:sz w:val="15"/>
          <w:szCs w:val="15"/>
          <w:b w:val="1"/>
          <w:bCs w:val="1"/>
          <w:color w:val="auto"/>
        </w:rPr>
        <w:t xml:space="preserve">10.1.2.Suit by BioLine. </w:t>
      </w:r>
      <w:r>
        <w:rPr>
          <w:rFonts w:ascii="Arial" w:cs="Arial" w:eastAsia="Arial" w:hAnsi="Arial"/>
          <w:sz w:val="15"/>
          <w:szCs w:val="15"/>
          <w:color w:val="auto"/>
        </w:rPr>
        <w:t>BioLine shall have the right, but not the obligation, to take action in the prosecution, prevention, or termination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Infringement of Licensed Patent Rights. Should BioLine elect to bring suit against an infringer and either Licensor is joined as party plaintiff in any such suit, such Licensor shall have the right to approve the counsel selected by BioLine to represent BioLine and such Licensor(s), such approval not to be unreasonably withheld. The expenses of such suit or suits that BioLine elects to bring, including any expenses of Licensors incurred in conjunction with the prosecution of such suits or the settlement thereof, shall be paid for entirely by BioLine and BioLine shall hold Licensors free, clear and harmless from and against any and all costs of such litigation, including attorney’s fees. BioLine shall not compromise or settle such litigation without the prior written consent of Licensors, which consent shall not be unreasonably withheld or delayed. In the event BioLine exercises its right to sue pursuant to this Section 10.1.2,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Licensors shall receive an amount equal to [***] of such funds (75% of which shall be paid to Ramot and 25% of which shall be paid to BIRAD) and the remaining [***] of such funds shall be retained by BioLine.</w:t>
      </w:r>
    </w:p>
    <w:p>
      <w:pPr>
        <w:spacing w:after="0" w:line="177" w:lineRule="exact"/>
        <w:rPr>
          <w:sz w:val="20"/>
          <w:szCs w:val="20"/>
          <w:color w:val="auto"/>
        </w:rPr>
      </w:pPr>
    </w:p>
    <w:p>
      <w:pPr>
        <w:jc w:val="both"/>
        <w:ind w:firstLine="1080"/>
        <w:spacing w:after="0" w:line="273" w:lineRule="auto"/>
        <w:rPr>
          <w:sz w:val="20"/>
          <w:szCs w:val="20"/>
          <w:color w:val="auto"/>
        </w:rPr>
      </w:pPr>
      <w:r>
        <w:rPr>
          <w:rFonts w:ascii="Arial" w:cs="Arial" w:eastAsia="Arial" w:hAnsi="Arial"/>
          <w:sz w:val="16"/>
          <w:szCs w:val="16"/>
          <w:b w:val="1"/>
          <w:bCs w:val="1"/>
          <w:color w:val="auto"/>
        </w:rPr>
        <w:t xml:space="preserve">10.1.3.Suit by Ramot. </w:t>
      </w:r>
      <w:r>
        <w:rPr>
          <w:rFonts w:ascii="Arial" w:cs="Arial" w:eastAsia="Arial" w:hAnsi="Arial"/>
          <w:sz w:val="16"/>
          <w:szCs w:val="16"/>
          <w:color w:val="auto"/>
        </w:rPr>
        <w:t>If BioLine does not take action in the prosecution, prevention, or termination of any Infringement pursuant to Section 10.1.2</w:t>
      </w:r>
      <w:r>
        <w:rPr>
          <w:rFonts w:ascii="Arial" w:cs="Arial" w:eastAsia="Arial" w:hAnsi="Arial"/>
          <w:sz w:val="16"/>
          <w:szCs w:val="16"/>
          <w:b w:val="1"/>
          <w:bCs w:val="1"/>
          <w:color w:val="auto"/>
        </w:rPr>
        <w:t xml:space="preserve"> </w:t>
      </w:r>
      <w:r>
        <w:rPr>
          <w:rFonts w:ascii="Arial" w:cs="Arial" w:eastAsia="Arial" w:hAnsi="Arial"/>
          <w:sz w:val="16"/>
          <w:szCs w:val="16"/>
          <w:color w:val="auto"/>
        </w:rPr>
        <w:t>above, and has not commenced negotiations with the infringer for the discontinuance of said Infringement, within ninety (90) days after receipt of notice to BioLine by Ramot of the existence of an Infringement, Licensors may elect to do so. Should Licensors elect to bring suit against an infringer and BioLine is joined as party plaintiff in any such suit, BioLine shall have the right to approve the counsel selected by Licensors to represent Licensors and BioLine, such approval not to be unreasonably withheld. The expenses of such suit or suits that Licensors elect to bring, including any expenses of BioLine incurred in conjunction with the prosecution of such suits or the settlement thereof, shall be paid for entirely by Licensors and Licensors shall hold BioLine free, clear and harmless from and against any and all costs of such litigation, including attorney’s fees. Licensors shall not compromise or settle such litigation without the prior written consent of BioLine, which consent shall not be unreasonably withheld or delayed. In the event Licensors exercise their right to sue pursuant to this Section 10.1.3, they shall first reimburse themselves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BioLine shall receive an amount equal to [***] of such funds and the remaining [***] of such funds shall be retained by Licensors (of which 75% shall be retained by Ramot and 25% shall be retained by BIRAD).</w:t>
      </w:r>
    </w:p>
    <w:p>
      <w:pPr>
        <w:spacing w:after="0" w:line="190" w:lineRule="exact"/>
        <w:rPr>
          <w:sz w:val="20"/>
          <w:szCs w:val="20"/>
          <w:color w:val="auto"/>
        </w:rPr>
      </w:pPr>
    </w:p>
    <w:p>
      <w:pPr>
        <w:jc w:val="both"/>
        <w:ind w:firstLine="1080"/>
        <w:spacing w:after="0" w:line="286" w:lineRule="auto"/>
        <w:rPr>
          <w:sz w:val="20"/>
          <w:szCs w:val="20"/>
          <w:color w:val="auto"/>
        </w:rPr>
      </w:pPr>
      <w:r>
        <w:rPr>
          <w:rFonts w:ascii="Arial" w:cs="Arial" w:eastAsia="Arial" w:hAnsi="Arial"/>
          <w:sz w:val="17"/>
          <w:szCs w:val="17"/>
          <w:b w:val="1"/>
          <w:bCs w:val="1"/>
          <w:color w:val="auto"/>
        </w:rPr>
        <w:t xml:space="preserve">10.1.4.Own Counsel. </w:t>
      </w:r>
      <w:r>
        <w:rPr>
          <w:rFonts w:ascii="Arial" w:cs="Arial" w:eastAsia="Arial" w:hAnsi="Arial"/>
          <w:sz w:val="17"/>
          <w:szCs w:val="17"/>
          <w:color w:val="auto"/>
        </w:rPr>
        <w:t>Each party shall always have the right to be represented by counsel of its own selection and at its own expense in any suit</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instituted under this Section 10 by the another party for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189865</wp:posOffset>
            </wp:positionV>
            <wp:extent cx="218884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376" w:lineRule="exact"/>
        <w:rPr>
          <w:sz w:val="20"/>
          <w:szCs w:val="20"/>
          <w:color w:val="auto"/>
        </w:rPr>
      </w:pPr>
    </w:p>
    <w:p>
      <w:pPr>
        <w:ind w:left="5620" w:right="2360" w:hanging="5617"/>
        <w:spacing w:after="0" w:line="744" w:lineRule="auto"/>
        <w:tabs>
          <w:tab w:leader="none" w:pos="409" w:val="left"/>
        </w:tabs>
        <w:numPr>
          <w:ilvl w:val="0"/>
          <w:numId w:val="252"/>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7" w:name="page338"/>
    <w:bookmarkEnd w:id="337"/>
    <w:p>
      <w:pPr>
        <w:jc w:val="both"/>
        <w:ind w:firstLine="1080"/>
        <w:spacing w:after="0" w:line="269" w:lineRule="auto"/>
        <w:rPr>
          <w:sz w:val="20"/>
          <w:szCs w:val="20"/>
          <w:color w:val="auto"/>
        </w:rPr>
      </w:pPr>
      <w:r>
        <w:rPr>
          <w:rFonts w:ascii="Arial" w:cs="Arial" w:eastAsia="Arial" w:hAnsi="Arial"/>
          <w:sz w:val="17"/>
          <w:szCs w:val="17"/>
          <w:b w:val="1"/>
          <w:bCs w:val="1"/>
          <w:color w:val="auto"/>
        </w:rPr>
        <w:t xml:space="preserve">10.1.5.Cooperation. </w:t>
      </w:r>
      <w:r>
        <w:rPr>
          <w:rFonts w:ascii="Arial" w:cs="Arial" w:eastAsia="Arial" w:hAnsi="Arial"/>
          <w:sz w:val="17"/>
          <w:szCs w:val="17"/>
          <w:color w:val="auto"/>
        </w:rPr>
        <w:t>Each party agrees to cooperate fully in any action under this Section 10 which is controlled by another party, provided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controlling party reimburses the cooperating party promptly for any costs and expenses incurred by the cooperating party in connection with providing such assistance.</w:t>
      </w:r>
    </w:p>
    <w:p>
      <w:pPr>
        <w:spacing w:after="0" w:line="192" w:lineRule="exact"/>
        <w:rPr>
          <w:sz w:val="20"/>
          <w:szCs w:val="20"/>
          <w:color w:val="auto"/>
        </w:rPr>
      </w:pPr>
    </w:p>
    <w:p>
      <w:pPr>
        <w:jc w:val="both"/>
        <w:ind w:firstLine="1080"/>
        <w:spacing w:after="0" w:line="293" w:lineRule="auto"/>
        <w:rPr>
          <w:sz w:val="20"/>
          <w:szCs w:val="20"/>
          <w:color w:val="auto"/>
        </w:rPr>
      </w:pPr>
      <w:r>
        <w:rPr>
          <w:rFonts w:ascii="Arial" w:cs="Arial" w:eastAsia="Arial" w:hAnsi="Arial"/>
          <w:sz w:val="16"/>
          <w:szCs w:val="16"/>
          <w:b w:val="1"/>
          <w:bCs w:val="1"/>
          <w:color w:val="auto"/>
        </w:rPr>
        <w:t xml:space="preserve">10.1.6.Standing. </w:t>
      </w:r>
      <w:r>
        <w:rPr>
          <w:rFonts w:ascii="Arial" w:cs="Arial" w:eastAsia="Arial" w:hAnsi="Arial"/>
          <w:sz w:val="16"/>
          <w:szCs w:val="16"/>
          <w:color w:val="auto"/>
        </w:rPr>
        <w:t>If a party lacks standing and another party has standing to bring any such suit, action or proceeding, then such other party shall do</w:t>
      </w:r>
      <w:r>
        <w:rPr>
          <w:rFonts w:ascii="Arial" w:cs="Arial" w:eastAsia="Arial" w:hAnsi="Arial"/>
          <w:sz w:val="16"/>
          <w:szCs w:val="16"/>
          <w:b w:val="1"/>
          <w:bCs w:val="1"/>
          <w:color w:val="auto"/>
        </w:rPr>
        <w:t xml:space="preserve"> </w:t>
      </w:r>
      <w:r>
        <w:rPr>
          <w:rFonts w:ascii="Arial" w:cs="Arial" w:eastAsia="Arial" w:hAnsi="Arial"/>
          <w:sz w:val="16"/>
          <w:szCs w:val="16"/>
          <w:color w:val="auto"/>
        </w:rPr>
        <w:t>so at the request of and at the expense of the requesting party. If a party determines that it is necessary or desirable for another party to join any such suit, action or proceeding, the other party shall execute all papers and perform such other acts as may be reasonably required in the circumstances.</w:t>
      </w:r>
    </w:p>
    <w:p>
      <w:pPr>
        <w:spacing w:after="0" w:line="175"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10.2 Legal Action Against a Party. </w:t>
      </w:r>
      <w:r>
        <w:rPr>
          <w:rFonts w:ascii="Arial" w:cs="Arial" w:eastAsia="Arial" w:hAnsi="Arial"/>
          <w:sz w:val="17"/>
          <w:szCs w:val="17"/>
          <w:color w:val="auto"/>
        </w:rPr>
        <w:t>Each Party will provide the others with prompt notice of any action, suit or proceeding brought against it, alleging the</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of the intellectual property rights of a third party by reason of the discovery, development, manufacture, use, sale, importation, or offer for sale of a Licensed Product or otherwise due to the use or practice of the Licensed Technology.</w:t>
      </w:r>
    </w:p>
    <w:p>
      <w:pPr>
        <w:spacing w:after="0" w:line="192" w:lineRule="exact"/>
        <w:rPr>
          <w:sz w:val="20"/>
          <w:szCs w:val="20"/>
          <w:color w:val="auto"/>
        </w:rPr>
      </w:pPr>
    </w:p>
    <w:p>
      <w:pPr>
        <w:ind w:left="620" w:hanging="617"/>
        <w:spacing w:after="0"/>
        <w:tabs>
          <w:tab w:leader="none" w:pos="620"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Warranties; Limitation of Liability.</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Licensors hereby represents and warrant that (i) that they are the owners of the Licensor Patent Rights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1.20; (ii) they have not granted any rights in or to Licensed Technology which are inconsistent with the rights granted to BioLine under this Agreement; (iii) they have the right to grant the license granted under this Agreement; (iv) they will not transfer, assign, encumber, grant, sell, lease or otherwise dispose of the Licensor Technology or their interest in the Joint Technology other than as may be expressly permitted herein; and (v) they have no actual knowledge as of the date hereof of any legal suit or proceeding by a third party against Ramot, BIRAD, TAU or BIU contesting the ownership or validity of the Licensor Patent Rights, or claiming that the practice of the Licensor Patent Rights in the manner contemplated by this Agreement would infringe the rights of such third party.</w:t>
      </w:r>
    </w:p>
    <w:p>
      <w:pPr>
        <w:spacing w:after="0" w:line="18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11.1. Compliance with Law. </w:t>
      </w:r>
      <w:r>
        <w:rPr>
          <w:rFonts w:ascii="Arial" w:cs="Arial" w:eastAsia="Arial" w:hAnsi="Arial"/>
          <w:sz w:val="17"/>
          <w:szCs w:val="17"/>
          <w:color w:val="auto"/>
        </w:rPr>
        <w:t>BioLine warrants that it will comply with, and shall ensure that its Affiliates and Sublicensees comply with, all local,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and international laws and regulations relating to the development, manufacture, use, and sale of Licensed Products.</w:t>
      </w:r>
    </w:p>
    <w:p>
      <w:pPr>
        <w:spacing w:after="0" w:line="177"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6"/>
          <w:szCs w:val="16"/>
          <w:b w:val="1"/>
          <w:bCs w:val="1"/>
          <w:color w:val="auto"/>
        </w:rPr>
        <w:t>No Warranty.</w:t>
      </w:r>
    </w:p>
    <w:p>
      <w:pPr>
        <w:spacing w:after="0" w:line="242" w:lineRule="exact"/>
        <w:rPr>
          <w:sz w:val="20"/>
          <w:szCs w:val="20"/>
          <w:color w:val="auto"/>
        </w:rPr>
      </w:pPr>
    </w:p>
    <w:p>
      <w:pPr>
        <w:jc w:val="both"/>
        <w:ind w:firstLine="1080"/>
        <w:spacing w:after="0" w:line="285" w:lineRule="auto"/>
        <w:rPr>
          <w:sz w:val="20"/>
          <w:szCs w:val="20"/>
          <w:color w:val="auto"/>
        </w:rPr>
      </w:pPr>
      <w:r>
        <w:rPr>
          <w:rFonts w:ascii="Arial" w:cs="Arial" w:eastAsia="Arial" w:hAnsi="Arial"/>
          <w:sz w:val="16"/>
          <w:szCs w:val="16"/>
          <w:b w:val="1"/>
          <w:bCs w:val="1"/>
          <w:color w:val="auto"/>
        </w:rPr>
        <w:t xml:space="preserve">11.2.1. </w:t>
      </w:r>
      <w:r>
        <w:rPr>
          <w:rFonts w:ascii="Arial" w:cs="Arial" w:eastAsia="Arial" w:hAnsi="Arial"/>
          <w:sz w:val="16"/>
          <w:szCs w:val="16"/>
          <w:color w:val="auto"/>
        </w:rPr>
        <w:t>Nothing in this Agreement (including, without limitation, any exhibits or attachments hereto) shall be construed as a warranty on the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Licensors that any results or inventions will be achieved in the Ramot Research or BIRAD Research. Furthermore, Licensors make no warranties whatsoever as to the commercial or scientific value of the Licensed Technology. Licensors make no representation that the manufacture, use or sale of the Licensed Technology or any Licensed Product, or any element thereof, will not infringe the patent or proprietary rights of any third party.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8" w:name="page339"/>
    <w:bookmarkEnd w:id="338"/>
    <w:p>
      <w:pPr>
        <w:jc w:val="both"/>
        <w:ind w:firstLine="1080"/>
        <w:spacing w:after="0" w:line="259" w:lineRule="auto"/>
        <w:rPr>
          <w:sz w:val="20"/>
          <w:szCs w:val="20"/>
          <w:color w:val="auto"/>
        </w:rPr>
      </w:pPr>
      <w:r>
        <w:rPr>
          <w:rFonts w:ascii="Arial" w:cs="Arial" w:eastAsia="Arial" w:hAnsi="Arial"/>
          <w:sz w:val="17"/>
          <w:szCs w:val="17"/>
          <w:b w:val="1"/>
          <w:bCs w:val="1"/>
          <w:color w:val="auto"/>
        </w:rPr>
        <w:t xml:space="preserve">11.2.2. </w:t>
      </w:r>
      <w:r>
        <w:rPr>
          <w:rFonts w:ascii="Arial" w:cs="Arial" w:eastAsia="Arial" w:hAnsi="Arial"/>
          <w:sz w:val="17"/>
          <w:szCs w:val="17"/>
          <w:color w:val="auto"/>
        </w:rPr>
        <w:t>Except as otherwise expressly provided in this Agreement, no party makes any warranty with respect to any technology, patents, goods,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rights or other subject matter of this Agreement and hereby disclaims warranties of merchantability, fitness for a particular purpose and noninfringement with respect to any and all of the foregoing.</w:t>
      </w:r>
    </w:p>
    <w:p>
      <w:pPr>
        <w:spacing w:after="0" w:line="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11.3.Limitation of Liability. </w:t>
      </w:r>
      <w:r>
        <w:rPr>
          <w:rFonts w:ascii="Arial" w:cs="Arial" w:eastAsia="Arial" w:hAnsi="Arial"/>
          <w:sz w:val="17"/>
          <w:szCs w:val="17"/>
          <w:color w:val="auto"/>
        </w:rPr>
        <w:t>Notwithstanding the anything else in this Agreement or otherwise, neither Licensors nor BioLine will be liable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subject matter of this Agreement under any contract, negligence, strict liability or other legal or equitable theory for (i) any indirect, incidental, consequential or punitive damages or lost profits or (ii) cost of procurement of substitute goods, technology or services.</w:t>
      </w:r>
    </w:p>
    <w:p>
      <w:pPr>
        <w:spacing w:after="0" w:line="199" w:lineRule="exact"/>
        <w:rPr>
          <w:sz w:val="20"/>
          <w:szCs w:val="20"/>
          <w:color w:val="auto"/>
        </w:rPr>
      </w:pPr>
    </w:p>
    <w:p>
      <w:pPr>
        <w:ind w:left="620" w:hanging="617"/>
        <w:spacing w:after="0"/>
        <w:tabs>
          <w:tab w:leader="none" w:pos="620"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p>
    <w:p>
      <w:pPr>
        <w:spacing w:after="0" w:line="242"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 xml:space="preserve">12.1Indemnity. </w:t>
      </w:r>
      <w:r>
        <w:rPr>
          <w:rFonts w:ascii="Arial" w:cs="Arial" w:eastAsia="Arial" w:hAnsi="Arial"/>
          <w:sz w:val="16"/>
          <w:szCs w:val="16"/>
          <w:color w:val="auto"/>
        </w:rPr>
        <w:t>BioLine shall indemnify, defend, and hold harmless Ramot, BIRAD, TAU, BIU, the Principal Investigators, the other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Teams, and their respective governors, directors, officers, employees, and agents and their respective successors, heirs and assigns (the “</w:t>
      </w:r>
      <w:r>
        <w:rPr>
          <w:rFonts w:ascii="Arial" w:cs="Arial" w:eastAsia="Arial" w:hAnsi="Arial"/>
          <w:sz w:val="16"/>
          <w:szCs w:val="16"/>
          <w:b w:val="1"/>
          <w:bCs w:val="1"/>
          <w:color w:val="auto"/>
        </w:rPr>
        <w:t>Licensor</w:t>
      </w:r>
      <w:r>
        <w:rPr>
          <w:rFonts w:ascii="Arial" w:cs="Arial" w:eastAsia="Arial" w:hAnsi="Arial"/>
          <w:sz w:val="16"/>
          <w:szCs w:val="16"/>
          <w:color w:val="auto"/>
        </w:rPr>
        <w:t xml:space="preserve"> </w:t>
      </w:r>
      <w:r>
        <w:rPr>
          <w:rFonts w:ascii="Arial" w:cs="Arial" w:eastAsia="Arial" w:hAnsi="Arial"/>
          <w:sz w:val="16"/>
          <w:szCs w:val="16"/>
          <w:b w:val="1"/>
          <w:bCs w:val="1"/>
          <w:color w:val="auto"/>
        </w:rPr>
        <w:t>Indemnitees</w:t>
      </w:r>
      <w:r>
        <w:rPr>
          <w:rFonts w:ascii="Arial" w:cs="Arial" w:eastAsia="Arial" w:hAnsi="Arial"/>
          <w:sz w:val="16"/>
          <w:szCs w:val="16"/>
          <w:color w:val="auto"/>
        </w:rPr>
        <w:t>”), against any liability, damage, loss, or expense (including reasonable attorneys fees and expenses of litigation) incurred by or imposed upon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Indemnitees in connection with any claims, suits, actions, demands or judgments (“</w:t>
      </w:r>
      <w:r>
        <w:rPr>
          <w:rFonts w:ascii="Arial" w:cs="Arial" w:eastAsia="Arial" w:hAnsi="Arial"/>
          <w:sz w:val="16"/>
          <w:szCs w:val="16"/>
          <w:b w:val="1"/>
          <w:bCs w:val="1"/>
          <w:color w:val="auto"/>
        </w:rPr>
        <w:t>Claims</w:t>
      </w:r>
      <w:r>
        <w:rPr>
          <w:rFonts w:ascii="Arial" w:cs="Arial" w:eastAsia="Arial" w:hAnsi="Arial"/>
          <w:sz w:val="16"/>
          <w:szCs w:val="16"/>
          <w:color w:val="auto"/>
        </w:rPr>
        <w:t>”) arising out of any theory of liability (including without limitation actions in the form of tort, warranty, or strict liability and regardless of whether such action has any factual basis) concerning the use of any Licensed Technology by BioLine, or any of its Affiliates or Sublicensees, or concerning any product, process, or service that is made, used, or sold pursuant to any right or license granted by Licensors to BioLine under this Agreement (except in cases where, and to the extent that, such claims, suits, actions, demands or judgments result from gross negligence or willful misconduct on the part of any of the Licensor Indemnitee).</w:t>
      </w:r>
    </w:p>
    <w:p>
      <w:pPr>
        <w:spacing w:after="0" w:line="191"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 xml:space="preserve">12.2.Procedures. </w:t>
      </w:r>
      <w:r>
        <w:rPr>
          <w:rFonts w:ascii="Arial" w:cs="Arial" w:eastAsia="Arial" w:hAnsi="Arial"/>
          <w:sz w:val="16"/>
          <w:szCs w:val="16"/>
          <w:color w:val="auto"/>
        </w:rPr>
        <w:t>If any Licensor Indemnitee receives notice of any Claim, such Licensor Indemnitee shall, as promptly as is reasonably possible, give</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notice of such Claim; provided, however, that failure to give such notice promptly shall only relieve BioLine of any indemnification obligation it may have hereunder to the extent such failure diminishes the ability of BioLine to respond to or to defend the Licensor Indemnitee against such Claim. Licensors and BioLine shall consult and cooperate with each other regarding the response to and the defense of any such Claim and BioLine shall, upon its acknowledgment in writing of its obligation to indemnify the Licensor Indemnitee, be entitled to and shall assume the defense or represent the interests of the Licensor Indemnitee in respect of such Claim, that shall include the right to select and direct legal counsel and other consultants to appear in proceedings on behalf of the Licensor Indemnitee and to propose, accept or reject offers of settlement, all at its sole cost; provided, however, that no such settlement shall be made without the written consent of the Licensor Indemnitee, such consent not to be unreasonably withheld. Nothing herein shall prevent the Licensor Indemnitee from retaining its own counsel and participating in its own defense at its own cost and expense.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39" w:name="page340"/>
    <w:bookmarkEnd w:id="339"/>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12.3. Insurance. </w:t>
      </w:r>
      <w:r>
        <w:rPr>
          <w:rFonts w:ascii="Arial" w:cs="Arial" w:eastAsia="Arial" w:hAnsi="Arial"/>
          <w:sz w:val="17"/>
          <w:szCs w:val="17"/>
          <w:color w:val="auto"/>
        </w:rPr>
        <w:t>BioLine shall maintain insurance that is reasonably adequate to fulfill any potential obligation to the Licensor Indemnitees 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industry standards. The Licensors shall be listed as co-insured parties under any such insurance policy(ies). BioLine shall provide Ramot, upon request, with written evidence of such insurance.</w:t>
      </w:r>
    </w:p>
    <w:p>
      <w:pPr>
        <w:spacing w:after="0" w:line="192" w:lineRule="exact"/>
        <w:rPr>
          <w:sz w:val="20"/>
          <w:szCs w:val="20"/>
          <w:color w:val="auto"/>
        </w:rPr>
      </w:pPr>
    </w:p>
    <w:p>
      <w:pPr>
        <w:ind w:left="620" w:hanging="617"/>
        <w:spacing w:after="0"/>
        <w:tabs>
          <w:tab w:leader="none" w:pos="62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13.1.Term. </w:t>
      </w:r>
      <w:r>
        <w:rPr>
          <w:rFonts w:ascii="Arial" w:cs="Arial" w:eastAsia="Arial" w:hAnsi="Arial"/>
          <w:sz w:val="17"/>
          <w:szCs w:val="17"/>
          <w:color w:val="auto"/>
        </w:rPr>
        <w:t>The term of this Agreement shall commence on the Effective Date and, unless earlier terminated as provided in this Section 13, shall continue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force and effect on until the expiration of all payment obligations pursuant to Section 7 for such Licensed Product.</w:t>
      </w:r>
    </w:p>
    <w:p>
      <w:pPr>
        <w:spacing w:after="0" w:line="177" w:lineRule="exact"/>
        <w:rPr>
          <w:sz w:val="20"/>
          <w:szCs w:val="20"/>
          <w:color w:val="auto"/>
        </w:rPr>
      </w:pPr>
    </w:p>
    <w:p>
      <w:pPr>
        <w:jc w:val="both"/>
        <w:ind w:firstLine="617"/>
        <w:spacing w:after="0" w:line="257" w:lineRule="auto"/>
        <w:rPr>
          <w:sz w:val="20"/>
          <w:szCs w:val="20"/>
          <w:color w:val="auto"/>
        </w:rPr>
      </w:pPr>
      <w:r>
        <w:rPr>
          <w:rFonts w:ascii="Arial" w:cs="Arial" w:eastAsia="Arial" w:hAnsi="Arial"/>
          <w:sz w:val="17"/>
          <w:szCs w:val="17"/>
          <w:b w:val="1"/>
          <w:bCs w:val="1"/>
          <w:color w:val="auto"/>
        </w:rPr>
        <w:t xml:space="preserve">13.2.Effect of Expiration. </w:t>
      </w:r>
      <w:r>
        <w:rPr>
          <w:rFonts w:ascii="Arial" w:cs="Arial" w:eastAsia="Arial" w:hAnsi="Arial"/>
          <w:sz w:val="17"/>
          <w:szCs w:val="17"/>
          <w:color w:val="auto"/>
        </w:rPr>
        <w:t>Following the expiration of this Agreement pursuant to Section 13.1 on a Licensed Product-by-Licensed Product and country-by-country basis (and provided the Agreement has not been earlier terminated pursuant to Section 13.3, in which case Section 13.4.1 shall apply): (a) BioLine shall have a fully-paid up, nonexclusive, worldwide license (with the right to grant sublicenses) under the Licensor Technology solely to develop, have developed, manufacture, have manufactured, use, market, offer for sale, sell, have sold, import, export, otherwise transfer physical possession of or otherwise transfer title to Licensed Products; (b) Licensors shall be free to use the Licensed Technology to develop, make and have made, use, offer to sell, sell, have sold, import, export, otherwise transfer physical possession of or otherwise transfer title to Licensed Products and to grant others licenses under the Licensed Technology to do the same; and (c) each of BioLine and Licensors shall have a fully-paid up, non-exclusive, worldwide license (with the right to grant sublicenses) under the other party’s interest in the Joint Technology for any and all purposes.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13.3. Termination.</w:t>
      </w:r>
    </w:p>
    <w:p>
      <w:pPr>
        <w:spacing w:after="0" w:line="242" w:lineRule="exact"/>
        <w:rPr>
          <w:sz w:val="20"/>
          <w:szCs w:val="20"/>
          <w:color w:val="auto"/>
        </w:rPr>
      </w:pPr>
    </w:p>
    <w:p>
      <w:pPr>
        <w:jc w:val="both"/>
        <w:ind w:firstLine="1080"/>
        <w:spacing w:after="0" w:line="259" w:lineRule="auto"/>
        <w:rPr>
          <w:sz w:val="20"/>
          <w:szCs w:val="20"/>
          <w:color w:val="auto"/>
        </w:rPr>
      </w:pPr>
      <w:r>
        <w:rPr>
          <w:rFonts w:ascii="Arial" w:cs="Arial" w:eastAsia="Arial" w:hAnsi="Arial"/>
          <w:sz w:val="17"/>
          <w:szCs w:val="17"/>
          <w:b w:val="1"/>
          <w:bCs w:val="1"/>
          <w:color w:val="auto"/>
        </w:rPr>
        <w:t xml:space="preserve">13.3.1.Termination Without Cause. </w:t>
      </w:r>
      <w:r>
        <w:rPr>
          <w:rFonts w:ascii="Arial" w:cs="Arial" w:eastAsia="Arial" w:hAnsi="Arial"/>
          <w:sz w:val="17"/>
          <w:szCs w:val="17"/>
          <w:color w:val="auto"/>
        </w:rPr>
        <w:t>BioLine may terminate this Agreement upon sixty (60) days prior written notice to Ramot,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BioLine terminates the Agreement prior to the end of the first nine (9) month period of the Agreement, BioLine will not be obligated to fund the second year of the Research Period; and provided further that if BioLine terminates the Agreement following the end of such nine (9) month period but during the Research Period, it will only be required to pay for the period preceding the termination and the ninety (90) day period following such termination (in the event that termination is to become effective on a date other than the last day of a calendar quarter, BioLine shall pay the pro-rated amount of the research funding for such quarter based on the number of days between the beginning of such quarter and the date of termination).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40" w:name="page341"/>
    <w:bookmarkEnd w:id="340"/>
    <w:p>
      <w:pPr>
        <w:ind w:left="1080"/>
        <w:spacing w:after="0"/>
        <w:rPr>
          <w:sz w:val="20"/>
          <w:szCs w:val="20"/>
          <w:color w:val="auto"/>
        </w:rPr>
      </w:pPr>
      <w:r>
        <w:rPr>
          <w:rFonts w:ascii="Arial" w:cs="Arial" w:eastAsia="Arial" w:hAnsi="Arial"/>
          <w:sz w:val="17"/>
          <w:szCs w:val="17"/>
          <w:b w:val="1"/>
          <w:bCs w:val="1"/>
          <w:color w:val="auto"/>
        </w:rPr>
        <w:t>13.3.2. Termination for Default.</w:t>
      </w:r>
    </w:p>
    <w:p>
      <w:pPr>
        <w:spacing w:after="0" w:line="242" w:lineRule="exact"/>
        <w:rPr>
          <w:sz w:val="20"/>
          <w:szCs w:val="20"/>
          <w:color w:val="auto"/>
        </w:rPr>
      </w:pPr>
    </w:p>
    <w:p>
      <w:pPr>
        <w:jc w:val="both"/>
        <w:ind w:firstLine="1698"/>
        <w:spacing w:after="0" w:line="256" w:lineRule="auto"/>
        <w:rPr>
          <w:sz w:val="20"/>
          <w:szCs w:val="20"/>
          <w:color w:val="auto"/>
        </w:rPr>
      </w:pPr>
      <w:r>
        <w:rPr>
          <w:rFonts w:ascii="Arial" w:cs="Arial" w:eastAsia="Arial" w:hAnsi="Arial"/>
          <w:sz w:val="17"/>
          <w:szCs w:val="17"/>
          <w:b w:val="1"/>
          <w:bCs w:val="1"/>
          <w:color w:val="auto"/>
        </w:rPr>
        <w:t xml:space="preserve">13.3.2.1 </w:t>
      </w:r>
      <w:r>
        <w:rPr>
          <w:rFonts w:ascii="Arial" w:cs="Arial" w:eastAsia="Arial" w:hAnsi="Arial"/>
          <w:sz w:val="17"/>
          <w:szCs w:val="17"/>
          <w:color w:val="auto"/>
        </w:rPr>
        <w:t>In the event that BioLine commits a material breach of its obligations under this Agreement and fails to cure that breach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thirty (30) days after receiving written notice thereof from Ramot, Ramot may terminate this Agreement immediately upon written notice to BioLine. In the event that Ramot or BIRAD commits a material breach of its obligations under this Agreement and fails to cure that breach within thirty (30) days after receiving written notice thereof from BioLine, BioLine may terminate this Agreement immediately upon written notice to Licensors. Notwithstanding the foregoing, in the event that any breach is not susceptible of cure within the stated period and the breaching party uses diligent good faith efforts to cure such breach, the stated period will be extended by an additional thirty (30) days.</w:t>
      </w:r>
    </w:p>
    <w:p>
      <w:pPr>
        <w:spacing w:after="0" w:line="1" w:lineRule="exact"/>
        <w:rPr>
          <w:sz w:val="20"/>
          <w:szCs w:val="20"/>
          <w:color w:val="auto"/>
        </w:rPr>
      </w:pPr>
    </w:p>
    <w:p>
      <w:pPr>
        <w:jc w:val="both"/>
        <w:ind w:firstLine="1698"/>
        <w:spacing w:after="0" w:line="282" w:lineRule="auto"/>
        <w:rPr>
          <w:sz w:val="20"/>
          <w:szCs w:val="20"/>
          <w:color w:val="auto"/>
        </w:rPr>
      </w:pPr>
      <w:r>
        <w:rPr>
          <w:rFonts w:ascii="Arial" w:cs="Arial" w:eastAsia="Arial" w:hAnsi="Arial"/>
          <w:sz w:val="16"/>
          <w:szCs w:val="16"/>
          <w:b w:val="1"/>
          <w:bCs w:val="1"/>
          <w:color w:val="auto"/>
        </w:rPr>
        <w:t xml:space="preserve">13.3.2.2 </w:t>
      </w:r>
      <w:r>
        <w:rPr>
          <w:rFonts w:ascii="Arial" w:cs="Arial" w:eastAsia="Arial" w:hAnsi="Arial"/>
          <w:sz w:val="16"/>
          <w:szCs w:val="16"/>
          <w:color w:val="auto"/>
        </w:rPr>
        <w:t>In the event of an uncured material breach by Ramot and/or BIRAD as described in the foregoing paragraph, BioLine may elect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terminate this Agreement but, instead, to sue Ramot and/or BIRAD, as the case may be, for damages arising from such breach,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will BioLine seek damages against the breaching party in any such action which exceed amounts actually paid to Licensors under this Agreement.</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13.3.3. Bankruptcy.</w:t>
      </w:r>
    </w:p>
    <w:p>
      <w:pPr>
        <w:spacing w:after="0" w:line="242" w:lineRule="exact"/>
        <w:rPr>
          <w:sz w:val="20"/>
          <w:szCs w:val="20"/>
          <w:color w:val="auto"/>
        </w:rPr>
      </w:pPr>
    </w:p>
    <w:p>
      <w:pPr>
        <w:jc w:val="both"/>
        <w:ind w:firstLine="1080"/>
        <w:spacing w:after="0" w:line="309" w:lineRule="auto"/>
        <w:rPr>
          <w:sz w:val="20"/>
          <w:szCs w:val="20"/>
          <w:color w:val="auto"/>
        </w:rPr>
      </w:pPr>
      <w:r>
        <w:rPr>
          <w:rFonts w:ascii="Arial" w:cs="Arial" w:eastAsia="Arial" w:hAnsi="Arial"/>
          <w:sz w:val="15"/>
          <w:szCs w:val="15"/>
          <w:b w:val="1"/>
          <w:bCs w:val="1"/>
          <w:color w:val="auto"/>
        </w:rPr>
        <w:t xml:space="preserve">13.3.3.1 </w:t>
      </w:r>
      <w:r>
        <w:rPr>
          <w:rFonts w:ascii="Arial" w:cs="Arial" w:eastAsia="Arial" w:hAnsi="Arial"/>
          <w:sz w:val="15"/>
          <w:szCs w:val="15"/>
          <w:color w:val="auto"/>
        </w:rPr>
        <w:t>Either BioLine or Ramot may terminate this Agreement upon notice to the other if the other party becomes insolvent, is adjudged bankrupt,</w:t>
      </w:r>
      <w:r>
        <w:rPr>
          <w:rFonts w:ascii="Arial" w:cs="Arial" w:eastAsia="Arial" w:hAnsi="Arial"/>
          <w:sz w:val="15"/>
          <w:szCs w:val="15"/>
          <w:b w:val="1"/>
          <w:bCs w:val="1"/>
          <w:color w:val="auto"/>
        </w:rPr>
        <w:t xml:space="preserve"> </w:t>
      </w:r>
      <w:r>
        <w:rPr>
          <w:rFonts w:ascii="Arial" w:cs="Arial" w:eastAsia="Arial" w:hAnsi="Arial"/>
          <w:sz w:val="15"/>
          <w:szCs w:val="15"/>
          <w:color w:val="auto"/>
        </w:rPr>
        <w:t>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ninety (90) days, or if the other party becomes the subject of liquidation or dissolution proceedings or otherwise discontinues business.</w:t>
      </w:r>
    </w:p>
    <w:p>
      <w:pPr>
        <w:spacing w:after="0" w:line="166" w:lineRule="exact"/>
        <w:rPr>
          <w:sz w:val="20"/>
          <w:szCs w:val="20"/>
          <w:color w:val="auto"/>
        </w:rPr>
      </w:pPr>
    </w:p>
    <w:p>
      <w:pPr>
        <w:jc w:val="both"/>
        <w:ind w:firstLine="1080"/>
        <w:spacing w:after="0" w:line="269" w:lineRule="auto"/>
        <w:rPr>
          <w:sz w:val="20"/>
          <w:szCs w:val="20"/>
          <w:color w:val="auto"/>
        </w:rPr>
      </w:pPr>
      <w:r>
        <w:rPr>
          <w:rFonts w:ascii="Arial" w:cs="Arial" w:eastAsia="Arial" w:hAnsi="Arial"/>
          <w:sz w:val="17"/>
          <w:szCs w:val="17"/>
          <w:b w:val="1"/>
          <w:bCs w:val="1"/>
          <w:color w:val="auto"/>
        </w:rPr>
        <w:t xml:space="preserve">13.3.3.2 </w:t>
      </w:r>
      <w:r>
        <w:rPr>
          <w:rFonts w:ascii="Arial" w:cs="Arial" w:eastAsia="Arial" w:hAnsi="Arial"/>
          <w:sz w:val="17"/>
          <w:szCs w:val="17"/>
          <w:color w:val="auto"/>
        </w:rPr>
        <w:t>Notwithstanding the foregoing, in the event a receiver or trustee (or the like) is appointed or BioLine has entered into a settlement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creditors and BioLine is otherwise meeting its obligations pursuant to this Agreement, Ramot shall not be entitled to terminate this Agreement as contemplated under Section 13.3.3.1 during such period.</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13.4. Effect of Termination.</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 xml:space="preserve">13.4.1.Termination of Rights. </w:t>
      </w:r>
      <w:r>
        <w:rPr>
          <w:rFonts w:ascii="Arial" w:cs="Arial" w:eastAsia="Arial" w:hAnsi="Arial"/>
          <w:sz w:val="15"/>
          <w:szCs w:val="15"/>
          <w:color w:val="auto"/>
        </w:rPr>
        <w:t>Upon termination by BioLine pursuant to Sections 13.3.1, 13.3.2 or 13.3.3 hereof or by Ramot pursuant to Sections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6.4, 13.3.2 or 13.3.3 hereof (except in the circumstances set out in Section 13.3.3.2) : (a) the rights and licenses granted to BioLine under Section 5 shall terminate;</w:t>
      </w:r>
    </w:p>
    <w:p>
      <w:pPr>
        <w:spacing w:after="0" w:line="33" w:lineRule="exact"/>
        <w:rPr>
          <w:sz w:val="20"/>
          <w:szCs w:val="20"/>
          <w:color w:val="auto"/>
        </w:rPr>
      </w:pPr>
    </w:p>
    <w:p>
      <w:pPr>
        <w:jc w:val="both"/>
        <w:ind w:firstLine="3"/>
        <w:spacing w:after="0" w:line="256" w:lineRule="auto"/>
        <w:tabs>
          <w:tab w:leader="none" w:pos="26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all rights in and to the Licensor Technology shall revert to Licensors and BioLine shall not be entitled to make any further use whatsoever of the Licensor Technology nor shall BioLine develop, make, have made, use, offer to sell, sell, have sold, import, export, otherwise transfer physical possession of or otherwise transfer title to Licensed Products developed in whole or in part under the rights granted hereunder; and (c) any existing agreements that contain a sublicense of the Licensed Technology shall terminate to the extent of such sublicense;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41" w:name="page342"/>
    <w:bookmarkEnd w:id="341"/>
    <w:p>
      <w:pPr>
        <w:jc w:val="both"/>
        <w:ind w:firstLine="1080"/>
        <w:spacing w:after="0" w:line="26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each Sublicensee, upon termination of the sublicense agreement with such Sublicensee, Licensors shall be obligated, at the request of such Sublicensee, to enter into a new license agreement with such Sublicensee on substantially the same terms as those contained in such sublicense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terms shall be amended, if necessary, to the extent required to ensure that such sublicense agreement does not impose any obligations or liabilities on Licensors which are not included in this Agreement.</w:t>
      </w:r>
    </w:p>
    <w:p>
      <w:pPr>
        <w:spacing w:after="0" w:line="198" w:lineRule="exact"/>
        <w:rPr>
          <w:sz w:val="20"/>
          <w:szCs w:val="20"/>
          <w:color w:val="auto"/>
        </w:rPr>
      </w:pPr>
    </w:p>
    <w:p>
      <w:pPr>
        <w:jc w:val="both"/>
        <w:ind w:firstLine="1080"/>
        <w:spacing w:after="0" w:line="286" w:lineRule="auto"/>
        <w:rPr>
          <w:sz w:val="20"/>
          <w:szCs w:val="20"/>
          <w:color w:val="auto"/>
        </w:rPr>
      </w:pPr>
      <w:r>
        <w:rPr>
          <w:rFonts w:ascii="Arial" w:cs="Arial" w:eastAsia="Arial" w:hAnsi="Arial"/>
          <w:sz w:val="17"/>
          <w:szCs w:val="17"/>
          <w:b w:val="1"/>
          <w:bCs w:val="1"/>
          <w:color w:val="auto"/>
        </w:rPr>
        <w:t xml:space="preserve">13.4.2.Accruing Obligations. </w:t>
      </w:r>
      <w:r>
        <w:rPr>
          <w:rFonts w:ascii="Arial" w:cs="Arial" w:eastAsia="Arial" w:hAnsi="Arial"/>
          <w:sz w:val="17"/>
          <w:szCs w:val="17"/>
          <w:color w:val="auto"/>
        </w:rPr>
        <w:t>Termination of this Agreement shall not relieve the parties of obligations occurring prior to such termination,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to pay amounts accruing hereunder up to the date of termination.</w:t>
      </w:r>
    </w:p>
    <w:p>
      <w:pPr>
        <w:spacing w:after="0" w:line="177" w:lineRule="exact"/>
        <w:rPr>
          <w:sz w:val="20"/>
          <w:szCs w:val="20"/>
          <w:color w:val="auto"/>
        </w:rPr>
      </w:pPr>
    </w:p>
    <w:p>
      <w:pPr>
        <w:jc w:val="both"/>
        <w:ind w:firstLine="1080"/>
        <w:spacing w:after="0" w:line="276" w:lineRule="auto"/>
        <w:rPr>
          <w:sz w:val="20"/>
          <w:szCs w:val="20"/>
          <w:color w:val="auto"/>
        </w:rPr>
      </w:pPr>
      <w:r>
        <w:rPr>
          <w:rFonts w:ascii="Arial" w:cs="Arial" w:eastAsia="Arial" w:hAnsi="Arial"/>
          <w:sz w:val="16"/>
          <w:szCs w:val="16"/>
          <w:b w:val="1"/>
          <w:bCs w:val="1"/>
          <w:color w:val="auto"/>
        </w:rPr>
        <w:t xml:space="preserve">13.4.3.Transfer of Regulatory Filings and Know How. </w:t>
      </w:r>
      <w:r>
        <w:rPr>
          <w:rFonts w:ascii="Arial" w:cs="Arial" w:eastAsia="Arial" w:hAnsi="Arial"/>
          <w:sz w:val="16"/>
          <w:szCs w:val="16"/>
          <w:color w:val="auto"/>
        </w:rPr>
        <w:t>In the event BioLine terminates this Agreement pursuant to Section 13.3.1 or Ramot</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terminates this Agreement pursuant to Section 6.4, 13.3.2 or 13.3.3 (except in the circumstances set out in Section 13.3.3.2), BioLine shall promptly deliver and assign to Licensors (a) all documents and other materials filed by or on behalf of BioLine and its Affiliates with Regulatory Agencies in furtherance of applications for Regulatory Approval in the relevant country with respect to Licensed Products; and (b) all intellectual property, inventions, conceptions, compositions, materials, methods, processes, data, information, records, results, studies and analyses, discovered or acquired by, or on behalf of BioLine and its Affiliates which relate directly to actual or potential Licensed Products. The Licensors, the TAU Team and the BIU Team shall be entitled to freely use and to grant others the right to use all such materials, documents and know-how delivered pursuant to this 13.4.3.</w:t>
      </w:r>
    </w:p>
    <w:p>
      <w:pPr>
        <w:spacing w:after="0" w:line="191" w:lineRule="exact"/>
        <w:rPr>
          <w:sz w:val="20"/>
          <w:szCs w:val="20"/>
          <w:color w:val="auto"/>
        </w:rPr>
      </w:pPr>
    </w:p>
    <w:p>
      <w:pPr>
        <w:jc w:val="both"/>
        <w:ind w:firstLine="617"/>
        <w:spacing w:after="0" w:line="319" w:lineRule="auto"/>
        <w:rPr>
          <w:sz w:val="20"/>
          <w:szCs w:val="20"/>
          <w:color w:val="auto"/>
        </w:rPr>
      </w:pPr>
      <w:r>
        <w:rPr>
          <w:rFonts w:ascii="Arial" w:cs="Arial" w:eastAsia="Arial" w:hAnsi="Arial"/>
          <w:sz w:val="16"/>
          <w:szCs w:val="16"/>
          <w:b w:val="1"/>
          <w:bCs w:val="1"/>
          <w:color w:val="auto"/>
        </w:rPr>
        <w:t xml:space="preserve">13.5.Survival. </w:t>
      </w:r>
      <w:r>
        <w:rPr>
          <w:rFonts w:ascii="Arial" w:cs="Arial" w:eastAsia="Arial" w:hAnsi="Arial"/>
          <w:sz w:val="16"/>
          <w:szCs w:val="16"/>
          <w:color w:val="auto"/>
        </w:rPr>
        <w:t>The parties’ respective rights, obligations and duties under Sections 9, 11.3, 12, 13, 14.2 and 14.4, as well as any rights, obligations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duties which by their nature extend beyond the expiration or termination of this Agreement, shall survive any expiration or termination of this Agreement.</w:t>
      </w:r>
    </w:p>
    <w:p>
      <w:pPr>
        <w:spacing w:after="0" w:line="154" w:lineRule="exact"/>
        <w:rPr>
          <w:sz w:val="20"/>
          <w:szCs w:val="20"/>
          <w:color w:val="auto"/>
        </w:rPr>
      </w:pPr>
    </w:p>
    <w:p>
      <w:pPr>
        <w:ind w:left="620" w:hanging="617"/>
        <w:spacing w:after="0"/>
        <w:tabs>
          <w:tab w:leader="none" w:pos="620"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14.1.Entire Agreement. </w:t>
      </w:r>
      <w:r>
        <w:rPr>
          <w:rFonts w:ascii="Arial" w:cs="Arial" w:eastAsia="Arial" w:hAnsi="Arial"/>
          <w:sz w:val="17"/>
          <w:szCs w:val="17"/>
          <w:color w:val="auto"/>
        </w:rPr>
        <w:t>This Agreement is the sole agreement with respect to the subject matter hereof and except as expressly set forth herein,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other agreements and understandings between the parties with respect to same.</w:t>
      </w:r>
    </w:p>
    <w:p>
      <w:pPr>
        <w:spacing w:after="0" w:line="177"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14.2.Publicity Restrictions. </w:t>
      </w:r>
      <w:r>
        <w:rPr>
          <w:rFonts w:ascii="Arial" w:cs="Arial" w:eastAsia="Arial" w:hAnsi="Arial"/>
          <w:sz w:val="16"/>
          <w:szCs w:val="16"/>
          <w:color w:val="auto"/>
        </w:rPr>
        <w:t>Subject to Section 9.1.4, BioLine and its Affiliates and Sublicensees shall not use the name of Ramot, BIRAD, TAU, BIU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their governors, officers, faculty, students, employees, or agents, or any adaptation of such names, in any promotional material or other public announcement or disclosure relating to the subject matter of this Agreement or in connection with the marketing or sale of any Licensed Products, without the prior written consent of Licensors. Subject to Section 9.1.4, Ramot, BIRAD, TAU, BIU shall not use the name of BioLine and its Affiliates and Sublicensees or any of their employees, directors, stockholders and/or representatives or any adaptation of such names, in any promotional material or other public announcement or disclosure relating to the subject matter of this Agreement, without the prior written consent of BioLine.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2" w:name="page343"/>
    <w:bookmarkEnd w:id="342"/>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14.3.Notices. </w:t>
      </w:r>
      <w:r>
        <w:rPr>
          <w:rFonts w:ascii="Arial" w:cs="Arial" w:eastAsia="Arial" w:hAnsi="Arial"/>
          <w:sz w:val="17"/>
          <w:szCs w:val="17"/>
          <w:color w:val="auto"/>
        </w:rPr>
        <w:t>Unless otherwise specifically provided, all notices required or permitted by this Agreement shall be in writing and may be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may be sent by facsimile or certified mail, return receipt requested, to the following addresses, unless the parties are subsequently notified of any change of address in accordance with this Section 14.3:</w:t>
      </w:r>
    </w:p>
    <w:p>
      <w:pPr>
        <w:sectPr>
          <w:pgSz w:w="11900" w:h="16838" w:orient="portrait"/>
          <w:cols w:equalWidth="0" w:num="1">
            <w:col w:w="11420"/>
          </w:cols>
          <w:pgMar w:left="240" w:top="494"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to BioLine: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91450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Attn: CEO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Fax: 972-2-548-9101</w:t>
      </w:r>
    </w:p>
    <w:p>
      <w:pPr>
        <w:spacing w:after="0" w:line="200" w:lineRule="exact"/>
        <w:rPr>
          <w:sz w:val="20"/>
          <w:szCs w:val="20"/>
          <w:color w:val="auto"/>
        </w:rPr>
      </w:pPr>
    </w:p>
    <w:p>
      <w:pPr>
        <w:sectPr>
          <w:pgSz w:w="11900" w:h="16838" w:orient="portrait"/>
          <w:cols w:equalWidth="0" w:num="2">
            <w:col w:w="1580" w:space="720"/>
            <w:col w:w="9120"/>
          </w:cols>
          <w:pgMar w:left="240" w:top="494" w:right="239" w:bottom="1440" w:gutter="0" w:footer="0" w:header="0"/>
          <w:type w:val="continuous"/>
        </w:sectPr>
      </w:pPr>
    </w:p>
    <w:p>
      <w:pPr>
        <w:spacing w:after="0" w:line="17" w:lineRule="exact"/>
        <w:rPr>
          <w:sz w:val="20"/>
          <w:szCs w:val="20"/>
          <w:color w:val="auto"/>
        </w:rPr>
      </w:pPr>
    </w:p>
    <w:p>
      <w:pPr>
        <w:jc w:val="both"/>
        <w:ind w:right="220"/>
        <w:spacing w:after="0" w:line="289"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Yigal Arnon &amp; Co., Law Offices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22 Rivlin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94263</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Attn: Barry Levenfeld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972-2-623-9236</w:t>
      </w:r>
    </w:p>
    <w:p>
      <w:pPr>
        <w:spacing w:after="0" w:line="200" w:lineRule="exact"/>
        <w:rPr>
          <w:sz w:val="20"/>
          <w:szCs w:val="20"/>
          <w:color w:val="auto"/>
        </w:rPr>
      </w:pPr>
    </w:p>
    <w:p>
      <w:pPr>
        <w:sectPr>
          <w:pgSz w:w="11900" w:h="16838" w:orient="portrait"/>
          <w:cols w:equalWidth="0" w:num="2">
            <w:col w:w="1580" w:space="720"/>
            <w:col w:w="9120"/>
          </w:cols>
          <w:pgMar w:left="240" w:top="494"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If to Ramot: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Ramot at Tel Aviv University Ltd.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P.O. Box 39296</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Tel Aviv 61392</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Attn: CEO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972-3-640-5064</w:t>
      </w:r>
    </w:p>
    <w:p>
      <w:pPr>
        <w:spacing w:after="0" w:line="200" w:lineRule="exact"/>
        <w:rPr>
          <w:sz w:val="20"/>
          <w:szCs w:val="20"/>
          <w:color w:val="auto"/>
        </w:rPr>
      </w:pPr>
    </w:p>
    <w:p>
      <w:pPr>
        <w:sectPr>
          <w:pgSz w:w="11900" w:h="16838" w:orient="portrait"/>
          <w:cols w:equalWidth="0" w:num="2">
            <w:col w:w="1580" w:space="720"/>
            <w:col w:w="9120"/>
          </w:cols>
          <w:pgMar w:left="240" w:top="494"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If to BIRAD: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Bar-Ilan Research and Development Company Ltd.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Bar-Ilan University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Ramat Gan, 52900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Attn: CEO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972-3-5356088</w:t>
      </w:r>
    </w:p>
    <w:p>
      <w:pPr>
        <w:spacing w:after="0" w:line="200" w:lineRule="exact"/>
        <w:rPr>
          <w:sz w:val="20"/>
          <w:szCs w:val="20"/>
          <w:color w:val="auto"/>
        </w:rPr>
      </w:pPr>
    </w:p>
    <w:p>
      <w:pPr>
        <w:sectPr>
          <w:pgSz w:w="11900" w:h="16838" w:orient="portrait"/>
          <w:cols w:equalWidth="0" w:num="2">
            <w:col w:w="1580" w:space="720"/>
            <w:col w:w="9120"/>
          </w:cols>
          <w:pgMar w:left="240" w:top="494" w:right="239" w:bottom="1440" w:gutter="0" w:footer="0" w:header="0"/>
          <w:type w:val="continuous"/>
        </w:sectPr>
      </w:pPr>
    </w:p>
    <w:p>
      <w:pPr>
        <w:spacing w:after="0" w:line="31"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Any notice shall be deemed to have been received as follows: (i) by personal delivery, upon receipt; (ii) by facsimile, one business day after transmission or dispatch; (iii) by airmail, three (3) business days after delivery to the postal authorities by the party serving notice. If notice is sent by facsimile, a confirming copy of the same shall be sent by mail to the same address.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343" w:name="page344"/>
    <w:bookmarkEnd w:id="343"/>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14.4. Governing Law and Jurisdiction. </w:t>
      </w:r>
      <w:r>
        <w:rPr>
          <w:rFonts w:ascii="Arial" w:cs="Arial" w:eastAsia="Arial" w:hAnsi="Arial"/>
          <w:sz w:val="17"/>
          <w:szCs w:val="17"/>
          <w:color w:val="auto"/>
        </w:rPr>
        <w:t>This Agreement shall be governed by and construed in accordance with the laws of the State of Israel,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regard to the application of principles of conflicts of law, except for matters of patent law, which, other than for matters of inventorship on patents, shall be governed by the patent laws of the relevant country of the patent. The parties hereby consent to personal jurisdiction in Israel and agree that any lawsuit they file to enforce their respective rights under this Agreement shall be brought in the competent court in Tel Aviv, Israel.</w:t>
      </w:r>
    </w:p>
    <w:p>
      <w:pPr>
        <w:spacing w:after="0" w:line="19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14.5. Binding Effect. </w:t>
      </w:r>
      <w:r>
        <w:rPr>
          <w:rFonts w:ascii="Arial" w:cs="Arial" w:eastAsia="Arial" w:hAnsi="Arial"/>
          <w:sz w:val="17"/>
          <w:szCs w:val="17"/>
          <w:color w:val="auto"/>
        </w:rPr>
        <w:t>This Agreement shall be binding upon and inure to the benefit of the parties and their respective legal representatives,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permitted assigns.</w:t>
      </w:r>
    </w:p>
    <w:p>
      <w:pPr>
        <w:spacing w:after="0" w:line="177"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7"/>
          <w:szCs w:val="17"/>
          <w:b w:val="1"/>
          <w:bCs w:val="1"/>
          <w:color w:val="auto"/>
        </w:rPr>
        <w:t>14.6.</w:t>
      </w:r>
      <w:r>
        <w:rPr>
          <w:sz w:val="20"/>
          <w:szCs w:val="20"/>
          <w:color w:val="auto"/>
        </w:rPr>
        <w:tab/>
      </w:r>
      <w:r>
        <w:rPr>
          <w:rFonts w:ascii="Arial" w:cs="Arial" w:eastAsia="Arial" w:hAnsi="Arial"/>
          <w:sz w:val="15"/>
          <w:szCs w:val="15"/>
          <w:b w:val="1"/>
          <w:bCs w:val="1"/>
          <w:color w:val="auto"/>
        </w:rPr>
        <w:t xml:space="preserve">Headings. </w:t>
      </w:r>
      <w:r>
        <w:rPr>
          <w:rFonts w:ascii="Arial" w:cs="Arial" w:eastAsia="Arial" w:hAnsi="Arial"/>
          <w:sz w:val="15"/>
          <w:szCs w:val="15"/>
          <w:color w:val="auto"/>
        </w:rPr>
        <w:t>Section and subsection headings are inserted for convenience of reference only and do not form a part of this Agreement.</w:t>
      </w:r>
    </w:p>
    <w:p>
      <w:pPr>
        <w:spacing w:after="0" w:line="242"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17"/>
          <w:szCs w:val="17"/>
          <w:b w:val="1"/>
          <w:bCs w:val="1"/>
          <w:color w:val="auto"/>
        </w:rPr>
        <w:t>14.7.</w:t>
      </w:r>
      <w:r>
        <w:rPr>
          <w:sz w:val="20"/>
          <w:szCs w:val="20"/>
          <w:color w:val="auto"/>
        </w:rPr>
        <w:tab/>
      </w:r>
      <w:r>
        <w:rPr>
          <w:rFonts w:ascii="Arial" w:cs="Arial" w:eastAsia="Arial" w:hAnsi="Arial"/>
          <w:sz w:val="15"/>
          <w:szCs w:val="15"/>
          <w:b w:val="1"/>
          <w:bCs w:val="1"/>
          <w:color w:val="auto"/>
        </w:rPr>
        <w:t xml:space="preserve">Counterparts. </w:t>
      </w:r>
      <w:r>
        <w:rPr>
          <w:rFonts w:ascii="Arial" w:cs="Arial" w:eastAsia="Arial" w:hAnsi="Arial"/>
          <w:sz w:val="15"/>
          <w:szCs w:val="15"/>
          <w:color w:val="auto"/>
        </w:rPr>
        <w:t>This Agreement may be executed simultaneously in two or more counterparts, each of which shall be deemed an original.</w:t>
      </w:r>
    </w:p>
    <w:p>
      <w:pPr>
        <w:spacing w:after="0" w:line="242" w:lineRule="exact"/>
        <w:rPr>
          <w:sz w:val="20"/>
          <w:szCs w:val="20"/>
          <w:color w:val="auto"/>
        </w:rPr>
      </w:pPr>
    </w:p>
    <w:p>
      <w:pPr>
        <w:jc w:val="both"/>
        <w:ind w:firstLine="617"/>
        <w:spacing w:after="0" w:line="281" w:lineRule="auto"/>
        <w:rPr>
          <w:sz w:val="20"/>
          <w:szCs w:val="20"/>
          <w:color w:val="auto"/>
        </w:rPr>
      </w:pPr>
      <w:r>
        <w:rPr>
          <w:rFonts w:ascii="Arial" w:cs="Arial" w:eastAsia="Arial" w:hAnsi="Arial"/>
          <w:sz w:val="16"/>
          <w:szCs w:val="16"/>
          <w:b w:val="1"/>
          <w:bCs w:val="1"/>
          <w:color w:val="auto"/>
        </w:rPr>
        <w:t xml:space="preserve">14.8. Amendment; Waiver. </w:t>
      </w:r>
      <w:r>
        <w:rPr>
          <w:rFonts w:ascii="Arial" w:cs="Arial" w:eastAsia="Arial" w:hAnsi="Arial"/>
          <w:sz w:val="16"/>
          <w:szCs w:val="16"/>
          <w:color w:val="auto"/>
        </w:rPr>
        <w:t>This Agreement may be amended, modified, superseded or canceled, and any of the terms may be waived, only by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executed by each party or, in the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83"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14.9. No Agency or Partnership. </w:t>
      </w:r>
      <w:r>
        <w:rPr>
          <w:rFonts w:ascii="Arial" w:cs="Arial" w:eastAsia="Arial" w:hAnsi="Arial"/>
          <w:sz w:val="17"/>
          <w:szCs w:val="17"/>
          <w:color w:val="auto"/>
        </w:rPr>
        <w:t>Nothing contained in this Agreement shall give any party the right to bind another, or be deemed to constitute 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as agents for each other or as partners with each other or any third party.</w:t>
      </w:r>
    </w:p>
    <w:p>
      <w:pPr>
        <w:spacing w:after="0" w:line="17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14.10. Assignment and Successors. </w:t>
      </w:r>
      <w:r>
        <w:rPr>
          <w:rFonts w:ascii="Arial" w:cs="Arial" w:eastAsia="Arial" w:hAnsi="Arial"/>
          <w:sz w:val="17"/>
          <w:szCs w:val="17"/>
          <w:color w:val="auto"/>
        </w:rPr>
        <w:t>This Agreement may not be assigned by either party without the consent of the other, which consent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unreasonably withheld, except that each party may, without such consent, assign this Agreement and the rights, obligations and interests of such party, in whole or in part, to any of its Affiliates, to any purchaser of all or substantially all of its assets or research to which the subject matter of this Agreement relates, or to any successor corporation resulting from any merger or consolidation of such party with or into such corporation.</w:t>
      </w:r>
    </w:p>
    <w:p>
      <w:pPr>
        <w:spacing w:after="0" w:line="198"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14.11. Force Majeure. </w:t>
      </w:r>
      <w:r>
        <w:rPr>
          <w:rFonts w:ascii="Arial" w:cs="Arial" w:eastAsia="Arial" w:hAnsi="Arial"/>
          <w:sz w:val="16"/>
          <w:szCs w:val="16"/>
          <w:color w:val="auto"/>
        </w:rPr>
        <w:t>Neither party will be responsible for delays resulting from causes beyond the reasonable control of such party,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44" w:name="page345"/>
    <w:bookmarkEnd w:id="344"/>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14.12. Interpretation. </w:t>
      </w:r>
      <w:r>
        <w:rPr>
          <w:rFonts w:ascii="Arial" w:cs="Arial" w:eastAsia="Arial" w:hAnsi="Arial"/>
          <w:sz w:val="16"/>
          <w:szCs w:val="16"/>
          <w:color w:val="auto"/>
        </w:rPr>
        <w:t>The parties hereto acknowledge and agree that: (i) each Party and its counsel reviewed and negotiated the terms and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both parties hereto and not in favor of or against either party, regardless of which party was generally responsible for the preparation of this Agreement.</w:t>
      </w:r>
    </w:p>
    <w:p>
      <w:pPr>
        <w:spacing w:after="0" w:line="181"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14.13. Severability. </w:t>
      </w:r>
      <w:r>
        <w:rPr>
          <w:rFonts w:ascii="Arial" w:cs="Arial" w:eastAsia="Arial" w:hAnsi="Arial"/>
          <w:sz w:val="17"/>
          <w:szCs w:val="17"/>
          <w:color w:val="auto"/>
        </w:rPr>
        <w:t>If any provision of this Agreement is or becomes invalid or is ruled invalid by any court of competent jurisdiction or is deemed</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it is the intention of the parties that the remainder of this Agreement shall not be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Ramot at Tel Aviv University Ltd.</w:t>
            </w:r>
          </w:p>
        </w:tc>
        <w:tc>
          <w:tcPr>
            <w:tcW w:w="6260" w:type="dxa"/>
            <w:vAlign w:val="bottom"/>
            <w:gridSpan w:val="2"/>
          </w:tcPr>
          <w:p>
            <w:pPr>
              <w:ind w:left="1140"/>
              <w:spacing w:after="0"/>
              <w:rPr>
                <w:sz w:val="20"/>
                <w:szCs w:val="20"/>
                <w:color w:val="auto"/>
              </w:rPr>
            </w:pPr>
            <w:r>
              <w:rPr>
                <w:rFonts w:ascii="Arial" w:cs="Arial" w:eastAsia="Arial" w:hAnsi="Arial"/>
                <w:sz w:val="17"/>
                <w:szCs w:val="17"/>
                <w:b w:val="1"/>
                <w:bCs w:val="1"/>
                <w:color w:val="auto"/>
              </w:rPr>
              <w:t>BioLineRx Ltd.</w:t>
            </w:r>
          </w:p>
        </w:tc>
      </w:tr>
      <w:tr>
        <w:trPr>
          <w:trHeight w:val="419"/>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Isaac T. Kohlberg</w:t>
            </w:r>
          </w:p>
        </w:tc>
        <w:tc>
          <w:tcPr>
            <w:tcW w:w="1700" w:type="dxa"/>
            <w:vAlign w:val="bottom"/>
          </w:tcPr>
          <w:p>
            <w:pPr>
              <w:ind w:left="114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Morris Laster</w:t>
            </w:r>
          </w:p>
        </w:tc>
      </w:tr>
      <w:tr>
        <w:trPr>
          <w:trHeight w:val="417"/>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Isaac T. Kohlberg</w:t>
            </w:r>
          </w:p>
        </w:tc>
        <w:tc>
          <w:tcPr>
            <w:tcW w:w="1700" w:type="dxa"/>
            <w:vAlign w:val="bottom"/>
          </w:tcPr>
          <w:p>
            <w:pPr>
              <w:ind w:left="1140"/>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Morris Laster</w:t>
            </w:r>
          </w:p>
        </w:tc>
      </w:tr>
      <w:tr>
        <w:trPr>
          <w:trHeight w:val="4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Executive Officer</w:t>
            </w:r>
          </w:p>
        </w:tc>
        <w:tc>
          <w:tcPr>
            <w:tcW w:w="1700" w:type="dxa"/>
            <w:vAlign w:val="bottom"/>
          </w:tcPr>
          <w:p>
            <w:pPr>
              <w:ind w:left="1140"/>
              <w:spacing w:after="0"/>
              <w:rPr>
                <w:sz w:val="20"/>
                <w:szCs w:val="20"/>
                <w:color w:val="auto"/>
              </w:rPr>
            </w:pPr>
            <w:r>
              <w:rPr>
                <w:rFonts w:ascii="Arial" w:cs="Arial" w:eastAsia="Arial" w:hAnsi="Arial"/>
                <w:sz w:val="17"/>
                <w:szCs w:val="17"/>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r>
        <w:trPr>
          <w:trHeight w:val="393"/>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Bar-Ilan Research and Development</w:t>
            </w: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Company Ltd.</w:t>
            </w:r>
          </w:p>
        </w:tc>
        <w:tc>
          <w:tcPr>
            <w:tcW w:w="17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419"/>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Gabriel Kenan</w:t>
            </w: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Gabriel Kenan</w:t>
            </w: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the undersigned, hereby confirm that we have read the Agreement, that its contents are acceptable to us and that we will act in accordance with its terms.</w:t>
      </w:r>
    </w:p>
    <w:p>
      <w:pPr>
        <w:sectPr>
          <w:pgSz w:w="11900" w:h="16838" w:orient="portrait"/>
          <w:cols w:equalWidth="0" w:num="1">
            <w:col w:w="11420"/>
          </w:cols>
          <w:pgMar w:left="240" w:top="494" w:right="239" w:bottom="144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/s/ Irit Gil-Ad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67075" cy="165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26707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Dr. Irit Gil-Ad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Abraham Weizman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67075" cy="165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26707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Professor Abraham Weizman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 Ada Rephaeli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258820" cy="165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258820"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Dr. Ada Rephaeli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Abraham Nudelman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258820" cy="165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258820"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Professor Abraham Nudelman</w:t>
      </w:r>
    </w:p>
    <w:p>
      <w:pPr>
        <w:spacing w:after="0" w:line="200" w:lineRule="exact"/>
        <w:rPr>
          <w:sz w:val="20"/>
          <w:szCs w:val="20"/>
          <w:color w:val="auto"/>
        </w:rPr>
      </w:pPr>
    </w:p>
    <w:p>
      <w:pPr>
        <w:sectPr>
          <w:pgSz w:w="11900" w:h="16838" w:orient="portrait"/>
          <w:cols w:equalWidth="0" w:num="2">
            <w:col w:w="5580" w:space="720"/>
            <w:col w:w="5120"/>
          </w:cols>
          <w:pgMar w:left="240" w:top="494"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57415" cy="209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346" w:name="page347"/>
    <w:bookmarkEnd w:id="346"/>
    <w:tbl>
      <w:tblPr>
        <w:tblLayout w:type="fixed"/>
        <w:tblInd w:w="1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880" w:type="dxa"/>
            <w:vAlign w:val="bottom"/>
            <w:gridSpan w:val="2"/>
          </w:tcPr>
          <w:p>
            <w:pPr>
              <w:jc w:val="right"/>
              <w:ind w:right="5234"/>
              <w:spacing w:after="0"/>
              <w:rPr>
                <w:sz w:val="20"/>
                <w:szCs w:val="20"/>
                <w:color w:val="auto"/>
              </w:rPr>
            </w:pPr>
            <w:r>
              <w:rPr>
                <w:rFonts w:ascii="Arial" w:cs="Arial" w:eastAsia="Arial" w:hAnsi="Arial"/>
                <w:sz w:val="17"/>
                <w:szCs w:val="17"/>
                <w:color w:val="auto"/>
              </w:rPr>
              <w:t>Exhibit 1.4</w:t>
            </w:r>
          </w:p>
        </w:tc>
      </w:tr>
      <w:tr>
        <w:trPr>
          <w:trHeight w:val="437"/>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80" w:type="dxa"/>
            <w:vAlign w:val="bottom"/>
            <w:gridSpan w:val="2"/>
          </w:tcPr>
          <w:p>
            <w:pPr>
              <w:jc w:val="right"/>
              <w:ind w:right="4834"/>
              <w:spacing w:after="0"/>
              <w:rPr>
                <w:sz w:val="20"/>
                <w:szCs w:val="20"/>
                <w:color w:val="auto"/>
              </w:rPr>
            </w:pPr>
            <w:r>
              <w:rPr>
                <w:rFonts w:ascii="Arial" w:cs="Arial" w:eastAsia="Arial" w:hAnsi="Arial"/>
                <w:sz w:val="17"/>
                <w:szCs w:val="17"/>
                <w:color w:val="auto"/>
              </w:rPr>
              <w:t>BIRAD Research Plan</w:t>
            </w:r>
          </w:p>
        </w:tc>
      </w:tr>
      <w:tr>
        <w:trPr>
          <w:trHeight w:val="400"/>
        </w:trPr>
        <w:tc>
          <w:tcPr>
            <w:tcW w:w="1200" w:type="dxa"/>
            <w:vAlign w:val="bottom"/>
            <w:gridSpan w:val="2"/>
          </w:tcPr>
          <w:p>
            <w:pPr>
              <w:spacing w:after="0"/>
              <w:rPr>
                <w:sz w:val="20"/>
                <w:szCs w:val="20"/>
                <w:color w:val="auto"/>
              </w:rPr>
            </w:pPr>
            <w:r>
              <w:rPr>
                <w:rFonts w:ascii="Arial" w:cs="Arial" w:eastAsia="Arial" w:hAnsi="Arial"/>
                <w:sz w:val="17"/>
                <w:szCs w:val="17"/>
                <w:color w:val="auto"/>
              </w:rPr>
              <w:t>Year 1</w:t>
            </w:r>
          </w:p>
        </w:tc>
        <w:tc>
          <w:tcPr>
            <w:tcW w:w="3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4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479"/>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Objectives</w:t>
            </w:r>
          </w:p>
        </w:tc>
        <w:tc>
          <w:tcPr>
            <w:tcW w:w="3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206"/>
        </w:trPr>
        <w:tc>
          <w:tcPr>
            <w:tcW w:w="1200" w:type="dxa"/>
            <w:vAlign w:val="bottom"/>
            <w:tcBorders>
              <w:left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0"/>
              </w:rPr>
              <w:t>Objective #</w:t>
            </w:r>
          </w:p>
        </w:tc>
        <w:tc>
          <w:tcPr>
            <w:tcW w:w="3340" w:type="dxa"/>
            <w:vAlign w:val="bottom"/>
          </w:tcPr>
          <w:p>
            <w:pPr>
              <w:jc w:val="right"/>
              <w:ind w:right="314"/>
              <w:spacing w:after="0"/>
              <w:rPr>
                <w:sz w:val="20"/>
                <w:szCs w:val="20"/>
                <w:color w:val="auto"/>
              </w:rPr>
            </w:pPr>
            <w:r>
              <w:rPr>
                <w:rFonts w:ascii="Arial" w:cs="Arial" w:eastAsia="Arial" w:hAnsi="Arial"/>
                <w:sz w:val="17"/>
                <w:szCs w:val="17"/>
                <w:b w:val="1"/>
                <w:bCs w:val="1"/>
                <w:color w:val="auto"/>
              </w:rPr>
              <w:t>Description</w:t>
            </w:r>
          </w:p>
        </w:tc>
        <w:tc>
          <w:tcPr>
            <w:tcW w:w="176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tcPr>
          <w:p>
            <w:pPr>
              <w:jc w:val="right"/>
              <w:ind w:right="2094"/>
              <w:spacing w:after="0"/>
              <w:rPr>
                <w:sz w:val="20"/>
                <w:szCs w:val="20"/>
                <w:color w:val="auto"/>
              </w:rPr>
            </w:pPr>
            <w:r>
              <w:rPr>
                <w:rFonts w:ascii="Arial" w:cs="Arial" w:eastAsia="Arial" w:hAnsi="Arial"/>
                <w:sz w:val="17"/>
                <w:szCs w:val="17"/>
                <w:b w:val="1"/>
                <w:bCs w:val="1"/>
                <w:color w:val="auto"/>
              </w:rPr>
              <w:t>End- point</w:t>
            </w:r>
          </w:p>
        </w:tc>
      </w:tr>
      <w:tr>
        <w:trPr>
          <w:trHeight w:val="237"/>
        </w:trPr>
        <w:tc>
          <w:tcPr>
            <w:tcW w:w="4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5120" w:type="dxa"/>
            <w:vAlign w:val="bottom"/>
            <w:tcBorders>
              <w:bottom w:val="single" w:sz="8" w:color="auto"/>
              <w:right w:val="single" w:sz="8" w:color="auto"/>
            </w:tcBorders>
          </w:tcPr>
          <w:p>
            <w:pPr>
              <w:spacing w:after="0"/>
              <w:rPr>
                <w:sz w:val="20"/>
                <w:szCs w:val="20"/>
                <w:color w:val="auto"/>
              </w:rPr>
            </w:pPr>
          </w:p>
        </w:tc>
      </w:tr>
      <w:tr>
        <w:trPr>
          <w:trHeight w:val="194"/>
        </w:trPr>
        <w:tc>
          <w:tcPr>
            <w:tcW w:w="1200" w:type="dxa"/>
            <w:vAlign w:val="bottom"/>
            <w:tcBorders>
              <w:left w:val="single" w:sz="8" w:color="auto"/>
              <w:bottom w:val="single" w:sz="8" w:color="auto"/>
              <w:right w:val="single" w:sz="8" w:color="auto"/>
            </w:tcBorders>
            <w:gridSpan w:val="2"/>
          </w:tcPr>
          <w:p>
            <w:pPr>
              <w:jc w:val="center"/>
              <w:ind w:right="20"/>
              <w:spacing w:after="0" w:line="189" w:lineRule="exact"/>
              <w:rPr>
                <w:sz w:val="20"/>
                <w:szCs w:val="20"/>
                <w:color w:val="auto"/>
              </w:rPr>
            </w:pPr>
            <w:r>
              <w:rPr>
                <w:rFonts w:ascii="Arial" w:cs="Arial" w:eastAsia="Arial" w:hAnsi="Arial"/>
                <w:sz w:val="17"/>
                <w:szCs w:val="17"/>
                <w:color w:val="auto"/>
              </w:rPr>
              <w:t>1</w:t>
            </w:r>
          </w:p>
        </w:tc>
        <w:tc>
          <w:tcPr>
            <w:tcW w:w="3340" w:type="dxa"/>
            <w:vAlign w:val="bottom"/>
            <w:tcBorders>
              <w:bottom w:val="single" w:sz="8" w:color="auto"/>
            </w:tcBorders>
          </w:tcPr>
          <w:p>
            <w:pPr>
              <w:jc w:val="right"/>
              <w:ind w:right="2754"/>
              <w:spacing w:after="0" w:line="189" w:lineRule="exact"/>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tcPr>
          <w:p>
            <w:pPr>
              <w:spacing w:after="0"/>
              <w:rPr>
                <w:sz w:val="16"/>
                <w:szCs w:val="16"/>
                <w:color w:val="auto"/>
              </w:rPr>
            </w:pPr>
          </w:p>
        </w:tc>
        <w:tc>
          <w:tcPr>
            <w:tcW w:w="5120" w:type="dxa"/>
            <w:vAlign w:val="bottom"/>
            <w:tcBorders>
              <w:bottom w:val="single" w:sz="8" w:color="auto"/>
              <w:right w:val="single" w:sz="8" w:color="auto"/>
            </w:tcBorders>
          </w:tcPr>
          <w:p>
            <w:pPr>
              <w:jc w:val="right"/>
              <w:ind w:right="4514"/>
              <w:spacing w:after="0" w:line="189" w:lineRule="exact"/>
              <w:rPr>
                <w:sz w:val="20"/>
                <w:szCs w:val="20"/>
                <w:color w:val="auto"/>
              </w:rPr>
            </w:pPr>
            <w:r>
              <w:rPr>
                <w:rFonts w:ascii="Arial" w:cs="Arial" w:eastAsia="Arial" w:hAnsi="Arial"/>
                <w:sz w:val="17"/>
                <w:szCs w:val="17"/>
                <w:color w:val="auto"/>
              </w:rPr>
              <w:t>[***]</w:t>
            </w:r>
          </w:p>
        </w:tc>
      </w:tr>
      <w:tr>
        <w:trPr>
          <w:trHeight w:val="212"/>
        </w:trPr>
        <w:tc>
          <w:tcPr>
            <w:tcW w:w="120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2</w:t>
            </w:r>
          </w:p>
        </w:tc>
        <w:tc>
          <w:tcPr>
            <w:tcW w:w="3340" w:type="dxa"/>
            <w:vAlign w:val="bottom"/>
            <w:tcBorders>
              <w:bottom w:val="single" w:sz="8" w:color="auto"/>
            </w:tcBorders>
          </w:tcPr>
          <w:p>
            <w:pPr>
              <w:jc w:val="right"/>
              <w:ind w:right="275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jc w:val="right"/>
              <w:ind w:right="4514"/>
              <w:spacing w:after="0"/>
              <w:rPr>
                <w:sz w:val="20"/>
                <w:szCs w:val="20"/>
                <w:color w:val="auto"/>
              </w:rPr>
            </w:pPr>
            <w:r>
              <w:rPr>
                <w:rFonts w:ascii="Arial" w:cs="Arial" w:eastAsia="Arial" w:hAnsi="Arial"/>
                <w:sz w:val="17"/>
                <w:szCs w:val="17"/>
                <w:color w:val="auto"/>
              </w:rPr>
              <w:t>[***]</w:t>
            </w:r>
          </w:p>
        </w:tc>
      </w:tr>
      <w:tr>
        <w:trPr>
          <w:trHeight w:val="212"/>
        </w:trPr>
        <w:tc>
          <w:tcPr>
            <w:tcW w:w="120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3</w:t>
            </w:r>
          </w:p>
        </w:tc>
        <w:tc>
          <w:tcPr>
            <w:tcW w:w="3340" w:type="dxa"/>
            <w:vAlign w:val="bottom"/>
            <w:tcBorders>
              <w:bottom w:val="single" w:sz="8" w:color="auto"/>
            </w:tcBorders>
          </w:tcPr>
          <w:p>
            <w:pPr>
              <w:jc w:val="right"/>
              <w:ind w:right="275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jc w:val="right"/>
              <w:ind w:right="4514"/>
              <w:spacing w:after="0"/>
              <w:rPr>
                <w:sz w:val="20"/>
                <w:szCs w:val="20"/>
                <w:color w:val="auto"/>
              </w:rPr>
            </w:pPr>
            <w:r>
              <w:rPr>
                <w:rFonts w:ascii="Arial" w:cs="Arial" w:eastAsia="Arial" w:hAnsi="Arial"/>
                <w:sz w:val="17"/>
                <w:szCs w:val="17"/>
                <w:color w:val="auto"/>
              </w:rPr>
              <w:t>[***]</w:t>
            </w:r>
          </w:p>
        </w:tc>
      </w:tr>
      <w:tr>
        <w:trPr>
          <w:trHeight w:val="212"/>
        </w:trPr>
        <w:tc>
          <w:tcPr>
            <w:tcW w:w="120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4</w:t>
            </w:r>
          </w:p>
        </w:tc>
        <w:tc>
          <w:tcPr>
            <w:tcW w:w="3340" w:type="dxa"/>
            <w:vAlign w:val="bottom"/>
            <w:tcBorders>
              <w:bottom w:val="single" w:sz="8" w:color="auto"/>
            </w:tcBorders>
          </w:tcPr>
          <w:p>
            <w:pPr>
              <w:jc w:val="right"/>
              <w:ind w:right="275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jc w:val="right"/>
              <w:ind w:right="4514"/>
              <w:spacing w:after="0"/>
              <w:rPr>
                <w:sz w:val="20"/>
                <w:szCs w:val="20"/>
                <w:color w:val="auto"/>
              </w:rPr>
            </w:pPr>
            <w:r>
              <w:rPr>
                <w:rFonts w:ascii="Arial" w:cs="Arial" w:eastAsia="Arial" w:hAnsi="Arial"/>
                <w:sz w:val="17"/>
                <w:szCs w:val="17"/>
                <w:color w:val="auto"/>
              </w:rPr>
              <w:t>[***]</w:t>
            </w:r>
          </w:p>
        </w:tc>
      </w:tr>
      <w:tr>
        <w:trPr>
          <w:trHeight w:val="212"/>
        </w:trPr>
        <w:tc>
          <w:tcPr>
            <w:tcW w:w="120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rPr>
              <w:t>5</w:t>
            </w:r>
          </w:p>
        </w:tc>
        <w:tc>
          <w:tcPr>
            <w:tcW w:w="3340" w:type="dxa"/>
            <w:vAlign w:val="bottom"/>
            <w:tcBorders>
              <w:bottom w:val="single" w:sz="8" w:color="auto"/>
            </w:tcBorders>
          </w:tcPr>
          <w:p>
            <w:pPr>
              <w:jc w:val="right"/>
              <w:ind w:right="2754"/>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right w:val="single" w:sz="8" w:color="auto"/>
            </w:tcBorders>
          </w:tcPr>
          <w:p>
            <w:pPr>
              <w:spacing w:after="0"/>
              <w:rPr>
                <w:sz w:val="18"/>
                <w:szCs w:val="18"/>
                <w:color w:val="auto"/>
              </w:rPr>
            </w:pPr>
          </w:p>
        </w:tc>
        <w:tc>
          <w:tcPr>
            <w:tcW w:w="5120" w:type="dxa"/>
            <w:vAlign w:val="bottom"/>
            <w:tcBorders>
              <w:bottom w:val="single" w:sz="8" w:color="auto"/>
              <w:right w:val="single" w:sz="8" w:color="auto"/>
            </w:tcBorders>
          </w:tcPr>
          <w:p>
            <w:pPr>
              <w:jc w:val="right"/>
              <w:ind w:right="4514"/>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Description of objectives</w:t>
      </w:r>
    </w:p>
    <w:p>
      <w:pPr>
        <w:spacing w:after="0" w:line="248" w:lineRule="exact"/>
        <w:rPr>
          <w:sz w:val="20"/>
          <w:szCs w:val="20"/>
          <w:color w:val="auto"/>
        </w:rPr>
      </w:pPr>
    </w:p>
    <w:p>
      <w:pPr>
        <w:ind w:left="180" w:hanging="177"/>
        <w:spacing w:after="0"/>
        <w:tabs>
          <w:tab w:leader="none" w:pos="18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21" w:lineRule="exact"/>
        <w:rPr>
          <w:rFonts w:ascii="Arial" w:cs="Arial" w:eastAsia="Arial" w:hAnsi="Arial"/>
          <w:sz w:val="17"/>
          <w:szCs w:val="17"/>
          <w:b w:val="1"/>
          <w:bCs w:val="1"/>
          <w:color w:val="auto"/>
        </w:rPr>
      </w:pPr>
    </w:p>
    <w:p>
      <w:pPr>
        <w:ind w:left="180" w:hanging="177"/>
        <w:spacing w:after="0"/>
        <w:tabs>
          <w:tab w:leader="none" w:pos="18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b w:val="1"/>
          <w:bCs w:val="1"/>
          <w:color w:val="auto"/>
        </w:rPr>
      </w:pPr>
    </w:p>
    <w:p>
      <w:pPr>
        <w:ind w:left="180" w:hanging="177"/>
        <w:spacing w:after="0"/>
        <w:tabs>
          <w:tab w:leader="none" w:pos="18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b w:val="1"/>
          <w:bCs w:val="1"/>
          <w:color w:val="auto"/>
        </w:rPr>
      </w:pPr>
    </w:p>
    <w:p>
      <w:pPr>
        <w:ind w:left="180" w:hanging="177"/>
        <w:spacing w:after="0"/>
        <w:tabs>
          <w:tab w:leader="none" w:pos="18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b w:val="1"/>
          <w:bCs w:val="1"/>
          <w:color w:val="auto"/>
        </w:rPr>
      </w:pPr>
    </w:p>
    <w:p>
      <w:pPr>
        <w:ind w:left="180" w:hanging="177"/>
        <w:spacing w:after="0"/>
        <w:tabs>
          <w:tab w:leader="none" w:pos="18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2</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Commencing January 1, 2005, the parties will meet to discuss and agree upon the BIRAD Research Plan for the second year of the research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226695</wp:posOffset>
            </wp:positionV>
            <wp:extent cx="29159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right="2360" w:hanging="5617"/>
        <w:spacing w:after="0" w:line="744" w:lineRule="auto"/>
        <w:tabs>
          <w:tab w:leader="none" w:pos="409"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7" w:name="page348"/>
    <w:bookmarkEnd w:id="347"/>
    <w:p>
      <w:pPr>
        <w:jc w:val="center"/>
        <w:ind w:right="-1197"/>
        <w:spacing w:after="0"/>
        <w:rPr>
          <w:sz w:val="20"/>
          <w:szCs w:val="20"/>
          <w:color w:val="auto"/>
        </w:rPr>
      </w:pPr>
      <w:r>
        <w:rPr>
          <w:rFonts w:ascii="Arial" w:cs="Arial" w:eastAsia="Arial" w:hAnsi="Arial"/>
          <w:sz w:val="17"/>
          <w:szCs w:val="17"/>
          <w:color w:val="auto"/>
        </w:rPr>
        <w:t>Exhibit 1.11</w:t>
      </w:r>
    </w:p>
    <w:p>
      <w:pPr>
        <w:spacing w:after="0" w:line="242" w:lineRule="exact"/>
        <w:rPr>
          <w:sz w:val="20"/>
          <w:szCs w:val="20"/>
          <w:color w:val="auto"/>
        </w:rPr>
      </w:pPr>
    </w:p>
    <w:p>
      <w:pPr>
        <w:jc w:val="center"/>
        <w:ind w:right="-1197"/>
        <w:spacing w:after="0"/>
        <w:rPr>
          <w:sz w:val="20"/>
          <w:szCs w:val="20"/>
          <w:color w:val="auto"/>
        </w:rPr>
      </w:pPr>
      <w:r>
        <w:rPr>
          <w:rFonts w:ascii="Arial" w:cs="Arial" w:eastAsia="Arial" w:hAnsi="Arial"/>
          <w:sz w:val="17"/>
          <w:szCs w:val="17"/>
          <w:color w:val="auto"/>
        </w:rPr>
        <w:t>Development Plan</w:t>
      </w:r>
    </w:p>
    <w:p>
      <w:pPr>
        <w:spacing w:after="0" w:line="242" w:lineRule="exact"/>
        <w:rPr>
          <w:sz w:val="20"/>
          <w:szCs w:val="20"/>
          <w:color w:val="auto"/>
        </w:rPr>
      </w:pPr>
    </w:p>
    <w:p>
      <w:pPr>
        <w:ind w:left="5517"/>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226695</wp:posOffset>
            </wp:positionV>
            <wp:extent cx="29159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17" w:right="1159" w:hanging="5617"/>
        <w:spacing w:after="0" w:line="744" w:lineRule="auto"/>
        <w:tabs>
          <w:tab w:leader="none" w:pos="406"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500" w:right="1440" w:bottom="1440" w:gutter="0" w:footer="0" w:header="0"/>
        </w:sectPr>
      </w:pPr>
    </w:p>
    <w:bookmarkStart w:id="348" w:name="page349"/>
    <w:bookmarkEnd w:id="348"/>
    <w:tbl>
      <w:tblPr>
        <w:tblLayout w:type="fixed"/>
        <w:tblInd w:w="1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80" w:type="dxa"/>
            <w:vAlign w:val="bottom"/>
            <w:gridSpan w:val="4"/>
          </w:tcPr>
          <w:p>
            <w:pPr>
              <w:jc w:val="center"/>
              <w:ind w:right="4820"/>
              <w:spacing w:after="0"/>
              <w:rPr>
                <w:sz w:val="20"/>
                <w:szCs w:val="20"/>
                <w:color w:val="auto"/>
              </w:rPr>
            </w:pPr>
            <w:r>
              <w:rPr>
                <w:rFonts w:ascii="Arial" w:cs="Arial" w:eastAsia="Arial" w:hAnsi="Arial"/>
                <w:sz w:val="17"/>
                <w:szCs w:val="17"/>
                <w:color w:val="auto"/>
                <w:w w:val="94"/>
              </w:rPr>
              <w:t>Exhibit 1.20(a)</w:t>
            </w:r>
          </w:p>
        </w:tc>
      </w:tr>
      <w:tr>
        <w:trPr>
          <w:trHeight w:val="437"/>
        </w:trPr>
        <w:tc>
          <w:tcPr>
            <w:tcW w:w="6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80" w:type="dxa"/>
            <w:vAlign w:val="bottom"/>
            <w:gridSpan w:val="4"/>
          </w:tcPr>
          <w:p>
            <w:pPr>
              <w:jc w:val="center"/>
              <w:ind w:right="4840"/>
              <w:spacing w:after="0"/>
              <w:rPr>
                <w:sz w:val="20"/>
                <w:szCs w:val="20"/>
                <w:color w:val="auto"/>
              </w:rPr>
            </w:pPr>
            <w:r>
              <w:rPr>
                <w:rFonts w:ascii="Arial" w:cs="Arial" w:eastAsia="Arial" w:hAnsi="Arial"/>
                <w:sz w:val="17"/>
                <w:szCs w:val="17"/>
                <w:color w:val="auto"/>
                <w:w w:val="90"/>
              </w:rPr>
              <w:t>License Patent Rights</w:t>
            </w:r>
          </w:p>
        </w:tc>
      </w:tr>
      <w:tr>
        <w:trPr>
          <w:trHeight w:val="400"/>
        </w:trPr>
        <w:tc>
          <w:tcPr>
            <w:tcW w:w="4000" w:type="dxa"/>
            <w:vAlign w:val="bottom"/>
            <w:gridSpan w:val="4"/>
          </w:tcPr>
          <w:p>
            <w:pPr>
              <w:spacing w:after="0"/>
              <w:rPr>
                <w:sz w:val="20"/>
                <w:szCs w:val="20"/>
                <w:color w:val="auto"/>
              </w:rPr>
            </w:pPr>
            <w:r>
              <w:rPr>
                <w:rFonts w:ascii="Arial" w:cs="Arial" w:eastAsia="Arial" w:hAnsi="Arial"/>
                <w:sz w:val="17"/>
                <w:szCs w:val="17"/>
                <w:color w:val="auto"/>
                <w:w w:val="94"/>
              </w:rPr>
              <w:t>National Phase Applications, submitted March 27, 2004: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73"/>
        </w:trPr>
        <w:tc>
          <w:tcPr>
            <w:tcW w:w="600" w:type="dxa"/>
            <w:vAlign w:val="bottom"/>
            <w:tcBorders>
              <w:top w:val="single" w:sz="8" w:color="auto"/>
              <w:bottom w:val="single" w:sz="8" w:color="auto"/>
            </w:tcBorders>
          </w:tcPr>
          <w:p>
            <w:pPr>
              <w:spacing w:after="0"/>
              <w:rPr>
                <w:sz w:val="23"/>
                <w:szCs w:val="23"/>
                <w:color w:val="auto"/>
              </w:rPr>
            </w:pPr>
          </w:p>
        </w:tc>
        <w:tc>
          <w:tcPr>
            <w:tcW w:w="324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r>
      <w:tr>
        <w:trPr>
          <w:trHeight w:val="150"/>
        </w:trPr>
        <w:tc>
          <w:tcPr>
            <w:tcW w:w="3840" w:type="dxa"/>
            <w:vAlign w:val="bottom"/>
            <w:tcBorders>
              <w:left w:val="single" w:sz="8" w:color="auto"/>
              <w:right w:val="single" w:sz="8" w:color="auto"/>
            </w:tcBorders>
            <w:gridSpan w:val="2"/>
          </w:tcPr>
          <w:p>
            <w:pPr>
              <w:ind w:left="20"/>
              <w:spacing w:after="0" w:line="150" w:lineRule="exact"/>
              <w:rPr>
                <w:sz w:val="20"/>
                <w:szCs w:val="20"/>
                <w:color w:val="auto"/>
              </w:rPr>
            </w:pPr>
            <w:r>
              <w:rPr>
                <w:rFonts w:ascii="Arial" w:cs="Arial" w:eastAsia="Arial" w:hAnsi="Arial"/>
                <w:sz w:val="17"/>
                <w:szCs w:val="17"/>
                <w:color w:val="auto"/>
              </w:rPr>
              <w:t>Country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spacing w:after="0" w:line="150" w:lineRule="exact"/>
              <w:rPr>
                <w:sz w:val="20"/>
                <w:szCs w:val="20"/>
                <w:color w:val="auto"/>
              </w:rPr>
            </w:pPr>
            <w:r>
              <w:rPr>
                <w:rFonts w:ascii="Arial" w:cs="Arial" w:eastAsia="Arial" w:hAnsi="Arial"/>
                <w:sz w:val="17"/>
                <w:szCs w:val="17"/>
                <w:color w:val="auto"/>
              </w:rPr>
              <w:t>Ramot file</w:t>
            </w:r>
          </w:p>
        </w:tc>
        <w:tc>
          <w:tcPr>
            <w:tcW w:w="2780" w:type="dxa"/>
            <w:vAlign w:val="bottom"/>
            <w:tcBorders>
              <w:right w:val="single" w:sz="8" w:color="auto"/>
            </w:tcBorders>
          </w:tcPr>
          <w:p>
            <w:pPr>
              <w:spacing w:after="0"/>
              <w:rPr>
                <w:sz w:val="13"/>
                <w:szCs w:val="13"/>
                <w:color w:val="auto"/>
              </w:rPr>
            </w:pPr>
          </w:p>
        </w:tc>
        <w:tc>
          <w:tcPr>
            <w:tcW w:w="3800" w:type="dxa"/>
            <w:vAlign w:val="bottom"/>
            <w:tcBorders>
              <w:right w:val="single" w:sz="8" w:color="auto"/>
            </w:tcBorders>
            <w:gridSpan w:val="3"/>
          </w:tcPr>
          <w:p>
            <w:pPr>
              <w:ind w:left="160"/>
              <w:spacing w:after="0" w:line="150" w:lineRule="exact"/>
              <w:rPr>
                <w:sz w:val="20"/>
                <w:szCs w:val="20"/>
                <w:color w:val="auto"/>
              </w:rPr>
            </w:pPr>
            <w:r>
              <w:rPr>
                <w:rFonts w:ascii="Arial" w:cs="Arial" w:eastAsia="Arial" w:hAnsi="Arial"/>
                <w:sz w:val="17"/>
                <w:szCs w:val="17"/>
                <w:color w:val="auto"/>
              </w:rPr>
              <w:t>Attorney</w:t>
            </w:r>
          </w:p>
        </w:tc>
      </w:tr>
      <w:tr>
        <w:trPr>
          <w:trHeight w:val="41"/>
        </w:trPr>
        <w:tc>
          <w:tcPr>
            <w:tcW w:w="600" w:type="dxa"/>
            <w:vAlign w:val="bottom"/>
            <w:tcBorders>
              <w:top w:val="single" w:sz="8" w:color="auto"/>
              <w:left w:val="single" w:sz="8" w:color="auto"/>
              <w:bottom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r>
      <w:tr>
        <w:trPr>
          <w:trHeight w:val="194"/>
        </w:trPr>
        <w:tc>
          <w:tcPr>
            <w:tcW w:w="3840" w:type="dxa"/>
            <w:vAlign w:val="bottom"/>
            <w:tcBorders>
              <w:left w:val="single" w:sz="8" w:color="auto"/>
              <w:bottom w:val="single" w:sz="8" w:color="auto"/>
              <w:right w:val="single" w:sz="8" w:color="auto"/>
            </w:tcBorders>
            <w:gridSpan w:val="2"/>
          </w:tcPr>
          <w:p>
            <w:pPr>
              <w:ind w:left="20"/>
              <w:spacing w:after="0" w:line="189" w:lineRule="exact"/>
              <w:rPr>
                <w:sz w:val="20"/>
                <w:szCs w:val="20"/>
                <w:color w:val="auto"/>
              </w:rPr>
            </w:pPr>
            <w:r>
              <w:rPr>
                <w:rFonts w:ascii="Arial" w:cs="Arial" w:eastAsia="Arial" w:hAnsi="Arial"/>
                <w:sz w:val="17"/>
                <w:szCs w:val="17"/>
                <w:color w:val="auto"/>
              </w:rPr>
              <w:t>ISRAEL</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6"/>
                <w:szCs w:val="16"/>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AUSTRALIA</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EUROPE</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JAPAN</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CANADA</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CHINA</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SOUTH KOREA</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INDIA</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r>
        <w:trPr>
          <w:trHeight w:val="212"/>
        </w:trPr>
        <w:tc>
          <w:tcPr>
            <w:tcW w:w="38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MEXICO</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w:t>
            </w:r>
          </w:p>
        </w:tc>
        <w:tc>
          <w:tcPr>
            <w:tcW w:w="304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212090</wp:posOffset>
            </wp:positionV>
            <wp:extent cx="291592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620" w:right="2360" w:hanging="5617"/>
        <w:spacing w:after="0" w:line="744" w:lineRule="auto"/>
        <w:tabs>
          <w:tab w:leader="none" w:pos="409"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31" w:right="239" w:bottom="1440" w:gutter="0" w:footer="0" w:header="0"/>
        </w:sectPr>
      </w:pPr>
    </w:p>
    <w:bookmarkStart w:id="349" w:name="page350"/>
    <w:bookmarkEnd w:id="349"/>
    <w:p>
      <w:pPr>
        <w:jc w:val="center"/>
        <w:ind w:right="-1200"/>
        <w:spacing w:after="0"/>
        <w:rPr>
          <w:sz w:val="20"/>
          <w:szCs w:val="20"/>
          <w:color w:val="auto"/>
        </w:rPr>
      </w:pPr>
      <w:r>
        <w:rPr>
          <w:rFonts w:ascii="Arial" w:cs="Arial" w:eastAsia="Arial" w:hAnsi="Arial"/>
          <w:sz w:val="17"/>
          <w:szCs w:val="17"/>
          <w:b w:val="1"/>
          <w:bCs w:val="1"/>
          <w:color w:val="auto"/>
        </w:rPr>
        <w:t>Exhibit 1.21</w:t>
      </w: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Licensed Product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 compound having the general formula: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wherein,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226695</wp:posOffset>
            </wp:positionV>
            <wp:extent cx="29159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right="1159" w:hanging="5617"/>
        <w:spacing w:after="0" w:line="744" w:lineRule="auto"/>
        <w:tabs>
          <w:tab w:leader="none" w:pos="409"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494" w:right="1440" w:bottom="1440" w:gutter="0" w:footer="0" w:header="0"/>
        </w:sectPr>
      </w:pPr>
    </w:p>
    <w:bookmarkStart w:id="350" w:name="page351"/>
    <w:bookmarkEnd w:id="350"/>
    <w:tbl>
      <w:tblPr>
        <w:tblLayout w:type="fixed"/>
        <w:tblInd w:w="10" w:type="dxa"/>
        <w:tblCellMar>
          <w:top w:w="0" w:type="dxa"/>
          <w:left w:w="0" w:type="dxa"/>
          <w:bottom w:w="0" w:type="dxa"/>
          <w:right w:w="0" w:type="dxa"/>
        </w:tblCellMar>
      </w:tblPr>
      <w:tr>
        <w:trPr>
          <w:trHeight w:val="223"/>
        </w:trPr>
        <w:tc>
          <w:tcPr>
            <w:tcW w:w="1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80" w:type="dxa"/>
            <w:vAlign w:val="bottom"/>
            <w:gridSpan w:val="2"/>
          </w:tcPr>
          <w:p>
            <w:pPr>
              <w:jc w:val="center"/>
              <w:ind w:right="3634"/>
              <w:spacing w:after="0"/>
              <w:rPr>
                <w:sz w:val="20"/>
                <w:szCs w:val="20"/>
                <w:color w:val="auto"/>
              </w:rPr>
            </w:pPr>
            <w:r>
              <w:rPr>
                <w:rFonts w:ascii="Arial" w:cs="Arial" w:eastAsia="Arial" w:hAnsi="Arial"/>
                <w:sz w:val="17"/>
                <w:szCs w:val="17"/>
                <w:b w:val="1"/>
                <w:bCs w:val="1"/>
                <w:color w:val="auto"/>
                <w:w w:val="93"/>
              </w:rPr>
              <w:t>Exhibit 1.31</w:t>
            </w:r>
          </w:p>
        </w:tc>
      </w:tr>
      <w:tr>
        <w:trPr>
          <w:trHeight w:val="437"/>
        </w:trPr>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80" w:type="dxa"/>
            <w:vAlign w:val="bottom"/>
            <w:gridSpan w:val="2"/>
          </w:tcPr>
          <w:p>
            <w:pPr>
              <w:jc w:val="center"/>
              <w:ind w:right="3654"/>
              <w:spacing w:after="0"/>
              <w:rPr>
                <w:sz w:val="20"/>
                <w:szCs w:val="20"/>
                <w:color w:val="auto"/>
              </w:rPr>
            </w:pPr>
            <w:r>
              <w:rPr>
                <w:rFonts w:ascii="Arial" w:cs="Arial" w:eastAsia="Arial" w:hAnsi="Arial"/>
                <w:sz w:val="17"/>
                <w:szCs w:val="17"/>
                <w:b w:val="1"/>
                <w:bCs w:val="1"/>
                <w:color w:val="auto"/>
                <w:w w:val="90"/>
              </w:rPr>
              <w:t>Ramot Research Plan</w:t>
            </w:r>
          </w:p>
        </w:tc>
      </w:tr>
      <w:tr>
        <w:trPr>
          <w:trHeight w:val="437"/>
        </w:trPr>
        <w:tc>
          <w:tcPr>
            <w:tcW w:w="1620" w:type="dxa"/>
            <w:vAlign w:val="bottom"/>
          </w:tcPr>
          <w:p>
            <w:pPr>
              <w:spacing w:after="0"/>
              <w:rPr>
                <w:sz w:val="20"/>
                <w:szCs w:val="20"/>
                <w:color w:val="auto"/>
              </w:rPr>
            </w:pPr>
            <w:r>
              <w:rPr>
                <w:rFonts w:ascii="Arial" w:cs="Arial" w:eastAsia="Arial" w:hAnsi="Arial"/>
                <w:sz w:val="17"/>
                <w:szCs w:val="17"/>
                <w:b w:val="1"/>
                <w:bCs w:val="1"/>
                <w:color w:val="auto"/>
              </w:rPr>
              <w:t>Year 1</w:t>
            </w:r>
          </w:p>
        </w:tc>
        <w:tc>
          <w:tcPr>
            <w:tcW w:w="2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62"/>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Objectives</w:t>
            </w:r>
          </w:p>
        </w:tc>
        <w:tc>
          <w:tcPr>
            <w:tcW w:w="2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176"/>
        </w:trPr>
        <w:tc>
          <w:tcPr>
            <w:tcW w:w="1620" w:type="dxa"/>
            <w:vAlign w:val="bottom"/>
            <w:tcBorders>
              <w:left w:val="single" w:sz="8" w:color="auto"/>
              <w:right w:val="single" w:sz="8" w:color="auto"/>
            </w:tcBorders>
          </w:tcPr>
          <w:p>
            <w:pPr>
              <w:ind w:left="180"/>
              <w:spacing w:after="0" w:line="176" w:lineRule="exact"/>
              <w:rPr>
                <w:sz w:val="20"/>
                <w:szCs w:val="20"/>
                <w:color w:val="auto"/>
              </w:rPr>
            </w:pPr>
            <w:r>
              <w:rPr>
                <w:rFonts w:ascii="Arial" w:cs="Arial" w:eastAsia="Arial" w:hAnsi="Arial"/>
                <w:sz w:val="17"/>
                <w:szCs w:val="17"/>
                <w:color w:val="auto"/>
              </w:rPr>
              <w:t>Objective</w:t>
            </w:r>
          </w:p>
        </w:tc>
        <w:tc>
          <w:tcPr>
            <w:tcW w:w="2120" w:type="dxa"/>
            <w:vAlign w:val="bottom"/>
          </w:tcPr>
          <w:p>
            <w:pPr>
              <w:ind w:left="160"/>
              <w:spacing w:after="0" w:line="176" w:lineRule="exact"/>
              <w:rPr>
                <w:sz w:val="20"/>
                <w:szCs w:val="20"/>
                <w:color w:val="auto"/>
              </w:rPr>
            </w:pPr>
            <w:r>
              <w:rPr>
                <w:rFonts w:ascii="Arial" w:cs="Arial" w:eastAsia="Arial" w:hAnsi="Arial"/>
                <w:sz w:val="17"/>
                <w:szCs w:val="17"/>
                <w:color w:val="auto"/>
              </w:rPr>
              <w:t>Description</w:t>
            </w:r>
          </w:p>
        </w:tc>
        <w:tc>
          <w:tcPr>
            <w:tcW w:w="382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7"/>
                <w:szCs w:val="17"/>
                <w:color w:val="auto"/>
              </w:rPr>
              <w:t>End- point</w:t>
            </w:r>
          </w:p>
        </w:tc>
      </w:tr>
      <w:tr>
        <w:trPr>
          <w:trHeight w:val="241"/>
        </w:trPr>
        <w:tc>
          <w:tcPr>
            <w:tcW w:w="1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p>
        </w:tc>
      </w:tr>
      <w:tr>
        <w:trPr>
          <w:trHeight w:val="200"/>
        </w:trPr>
        <w:tc>
          <w:tcPr>
            <w:tcW w:w="16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1</w:t>
            </w:r>
          </w:p>
        </w:tc>
        <w:tc>
          <w:tcPr>
            <w:tcW w:w="2120" w:type="dxa"/>
            <w:vAlign w:val="bottom"/>
          </w:tcPr>
          <w:p>
            <w:pPr>
              <w:ind w:left="160"/>
              <w:spacing w:after="0"/>
              <w:rPr>
                <w:sz w:val="20"/>
                <w:szCs w:val="20"/>
                <w:color w:val="auto"/>
              </w:rPr>
            </w:pPr>
            <w:r>
              <w:rPr>
                <w:rFonts w:ascii="Arial" w:cs="Arial" w:eastAsia="Arial" w:hAnsi="Arial"/>
                <w:sz w:val="17"/>
                <w:szCs w:val="17"/>
                <w:color w:val="auto"/>
              </w:rPr>
              <w:t>[***]</w:t>
            </w:r>
          </w:p>
        </w:tc>
        <w:tc>
          <w:tcPr>
            <w:tcW w:w="38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w:t>
            </w:r>
          </w:p>
        </w:tc>
      </w:tr>
      <w:tr>
        <w:trPr>
          <w:trHeight w:val="226"/>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3860" w:type="dxa"/>
            <w:vAlign w:val="bottom"/>
            <w:tcBorders>
              <w:bottom w:val="single" w:sz="8" w:color="auto"/>
              <w:right w:val="single" w:sz="8" w:color="auto"/>
            </w:tcBorders>
          </w:tcPr>
          <w:p>
            <w:pPr>
              <w:spacing w:after="0"/>
              <w:rPr>
                <w:sz w:val="19"/>
                <w:szCs w:val="19"/>
                <w:color w:val="auto"/>
              </w:rPr>
            </w:pPr>
          </w:p>
        </w:tc>
      </w:tr>
      <w:tr>
        <w:trPr>
          <w:trHeight w:val="212"/>
        </w:trPr>
        <w:tc>
          <w:tcPr>
            <w:tcW w:w="1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2</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82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r>
      <w:tr>
        <w:trPr>
          <w:trHeight w:val="212"/>
        </w:trPr>
        <w:tc>
          <w:tcPr>
            <w:tcW w:w="1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3</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82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r>
      <w:tr>
        <w:trPr>
          <w:trHeight w:val="212"/>
        </w:trPr>
        <w:tc>
          <w:tcPr>
            <w:tcW w:w="1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4</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82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r>
      <w:tr>
        <w:trPr>
          <w:trHeight w:val="212"/>
        </w:trPr>
        <w:tc>
          <w:tcPr>
            <w:tcW w:w="1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5</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82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r>
      <w:tr>
        <w:trPr>
          <w:trHeight w:val="417"/>
        </w:trPr>
        <w:tc>
          <w:tcPr>
            <w:tcW w:w="16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7"/>
                <w:szCs w:val="17"/>
                <w:color w:val="auto"/>
              </w:rPr>
              <w:t>6</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382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Description of objectives</w:t>
      </w:r>
    </w:p>
    <w:p>
      <w:pPr>
        <w:spacing w:after="0" w:line="248" w:lineRule="exact"/>
        <w:rPr>
          <w:sz w:val="20"/>
          <w:szCs w:val="20"/>
          <w:color w:val="auto"/>
        </w:rPr>
      </w:pPr>
    </w:p>
    <w:p>
      <w:pPr>
        <w:ind w:left="180" w:hanging="177"/>
        <w:spacing w:after="0"/>
        <w:tabs>
          <w:tab w:leader="none" w:pos="18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21" w:lineRule="exact"/>
        <w:rPr>
          <w:rFonts w:ascii="Arial" w:cs="Arial" w:eastAsia="Arial" w:hAnsi="Arial"/>
          <w:sz w:val="17"/>
          <w:szCs w:val="17"/>
          <w:b w:val="1"/>
          <w:bCs w:val="1"/>
          <w:color w:val="auto"/>
        </w:rPr>
      </w:pPr>
    </w:p>
    <w:p>
      <w:pPr>
        <w:ind w:left="180" w:hanging="177"/>
        <w:spacing w:after="0"/>
        <w:tabs>
          <w:tab w:leader="none" w:pos="18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b w:val="1"/>
          <w:bCs w:val="1"/>
          <w:color w:val="auto"/>
        </w:rPr>
      </w:pPr>
    </w:p>
    <w:p>
      <w:pPr>
        <w:ind w:left="180" w:hanging="177"/>
        <w:spacing w:after="0"/>
        <w:tabs>
          <w:tab w:leader="none" w:pos="18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b w:val="1"/>
          <w:bCs w:val="1"/>
          <w:color w:val="auto"/>
        </w:rPr>
      </w:pPr>
    </w:p>
    <w:p>
      <w:pPr>
        <w:ind w:left="180" w:hanging="177"/>
        <w:spacing w:after="0"/>
        <w:tabs>
          <w:tab w:leader="none" w:pos="18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0" w:lineRule="exact"/>
        <w:rPr>
          <w:rFonts w:ascii="Arial" w:cs="Arial" w:eastAsia="Arial" w:hAnsi="Arial"/>
          <w:sz w:val="17"/>
          <w:szCs w:val="17"/>
          <w:b w:val="1"/>
          <w:bCs w:val="1"/>
          <w:color w:val="auto"/>
        </w:rPr>
      </w:pPr>
    </w:p>
    <w:p>
      <w:pPr>
        <w:ind w:left="180" w:hanging="177"/>
        <w:spacing w:after="0"/>
        <w:tabs>
          <w:tab w:leader="none" w:pos="18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2</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Commencing January 1, 2005, the parties will meet to discuss and agree upon the Ramot Research Plan for the second year of the research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226695</wp:posOffset>
            </wp:positionV>
            <wp:extent cx="29159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right="2360" w:hanging="5617"/>
        <w:spacing w:after="0" w:line="744" w:lineRule="auto"/>
        <w:tabs>
          <w:tab w:leader="none" w:pos="409"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51" w:name="page352"/>
    <w:bookmarkEnd w:id="351"/>
    <w:tbl>
      <w:tblPr>
        <w:tblLayout w:type="fixed"/>
        <w:tblInd w:w="2307" w:type="dxa"/>
        <w:tblCellMar>
          <w:top w:w="0" w:type="dxa"/>
          <w:left w:w="0" w:type="dxa"/>
          <w:bottom w:w="0" w:type="dxa"/>
          <w:right w:w="0" w:type="dxa"/>
        </w:tblCellMar>
      </w:tblPr>
      <w:tr>
        <w:trPr>
          <w:trHeight w:val="223"/>
        </w:trPr>
        <w:tc>
          <w:tcPr>
            <w:tcW w:w="4660" w:type="dxa"/>
            <w:vAlign w:val="bottom"/>
            <w:gridSpan w:val="2"/>
          </w:tcPr>
          <w:p>
            <w:pPr>
              <w:jc w:val="center"/>
              <w:ind w:left="2074"/>
              <w:spacing w:after="0"/>
              <w:rPr>
                <w:sz w:val="20"/>
                <w:szCs w:val="20"/>
                <w:color w:val="auto"/>
              </w:rPr>
            </w:pPr>
            <w:r>
              <w:rPr>
                <w:rFonts w:ascii="Arial" w:cs="Arial" w:eastAsia="Arial" w:hAnsi="Arial"/>
                <w:sz w:val="17"/>
                <w:szCs w:val="17"/>
                <w:b w:val="1"/>
                <w:bCs w:val="1"/>
                <w:color w:val="auto"/>
                <w:w w:val="94"/>
              </w:rPr>
              <w:t>Exhibit 2.2.2</w:t>
            </w:r>
          </w:p>
        </w:tc>
        <w:tc>
          <w:tcPr>
            <w:tcW w:w="2180" w:type="dxa"/>
            <w:vAlign w:val="bottom"/>
          </w:tcPr>
          <w:p>
            <w:pPr>
              <w:spacing w:after="0"/>
              <w:rPr>
                <w:sz w:val="19"/>
                <w:szCs w:val="19"/>
                <w:color w:val="auto"/>
              </w:rPr>
            </w:pPr>
          </w:p>
        </w:tc>
      </w:tr>
      <w:tr>
        <w:trPr>
          <w:trHeight w:val="437"/>
        </w:trPr>
        <w:tc>
          <w:tcPr>
            <w:tcW w:w="4660" w:type="dxa"/>
            <w:vAlign w:val="bottom"/>
            <w:gridSpan w:val="2"/>
          </w:tcPr>
          <w:p>
            <w:pPr>
              <w:jc w:val="center"/>
              <w:ind w:left="2074"/>
              <w:spacing w:after="0"/>
              <w:rPr>
                <w:sz w:val="20"/>
                <w:szCs w:val="20"/>
                <w:color w:val="auto"/>
              </w:rPr>
            </w:pPr>
            <w:r>
              <w:rPr>
                <w:rFonts w:ascii="Arial" w:cs="Arial" w:eastAsia="Arial" w:hAnsi="Arial"/>
                <w:sz w:val="17"/>
                <w:szCs w:val="17"/>
                <w:b w:val="1"/>
                <w:bCs w:val="1"/>
                <w:color w:val="auto"/>
                <w:w w:val="92"/>
              </w:rPr>
              <w:t>BIRAD Payment Schedule</w:t>
            </w:r>
          </w:p>
        </w:tc>
        <w:tc>
          <w:tcPr>
            <w:tcW w:w="2180" w:type="dxa"/>
            <w:vAlign w:val="bottom"/>
          </w:tcPr>
          <w:p>
            <w:pPr>
              <w:spacing w:after="0"/>
              <w:rPr>
                <w:sz w:val="24"/>
                <w:szCs w:val="24"/>
                <w:color w:val="auto"/>
              </w:rPr>
            </w:pPr>
          </w:p>
        </w:tc>
      </w:tr>
      <w:tr>
        <w:trPr>
          <w:trHeight w:val="487"/>
        </w:trPr>
        <w:tc>
          <w:tcPr>
            <w:tcW w:w="3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12"/>
        </w:trPr>
        <w:tc>
          <w:tcPr>
            <w:tcW w:w="34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1"/>
              </w:rPr>
              <w:t>Due Dates for Payment</w:t>
            </w:r>
          </w:p>
        </w:tc>
        <w:tc>
          <w:tcPr>
            <w:tcW w:w="122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jc w:val="center"/>
              <w:ind w:right="1174"/>
              <w:spacing w:after="0" w:line="189" w:lineRule="exact"/>
              <w:rPr>
                <w:sz w:val="20"/>
                <w:szCs w:val="20"/>
                <w:color w:val="auto"/>
              </w:rPr>
            </w:pPr>
            <w:r>
              <w:rPr>
                <w:rFonts w:ascii="Arial" w:cs="Arial" w:eastAsia="Arial" w:hAnsi="Arial"/>
                <w:sz w:val="17"/>
                <w:szCs w:val="17"/>
                <w:b w:val="1"/>
                <w:bCs w:val="1"/>
                <w:color w:val="auto"/>
                <w:w w:val="84"/>
              </w:rPr>
              <w:t>$</w:t>
            </w:r>
          </w:p>
        </w:tc>
      </w:tr>
      <w:tr>
        <w:trPr>
          <w:trHeight w:val="194"/>
        </w:trPr>
        <w:tc>
          <w:tcPr>
            <w:tcW w:w="34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ind w:right="1154"/>
              <w:spacing w:after="0" w:line="189" w:lineRule="exact"/>
              <w:rPr>
                <w:sz w:val="20"/>
                <w:szCs w:val="20"/>
                <w:color w:val="auto"/>
              </w:rPr>
            </w:pPr>
            <w:r>
              <w:rPr>
                <w:rFonts w:ascii="Arial" w:cs="Arial" w:eastAsia="Arial" w:hAnsi="Arial"/>
                <w:sz w:val="17"/>
                <w:szCs w:val="17"/>
                <w:color w:val="auto"/>
              </w:rPr>
              <w:t>[***]</w:t>
            </w:r>
          </w:p>
        </w:tc>
      </w:tr>
      <w:tr>
        <w:trPr>
          <w:trHeight w:val="212"/>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jc w:val="center"/>
              <w:ind w:right="1154"/>
              <w:spacing w:after="0"/>
              <w:rPr>
                <w:sz w:val="20"/>
                <w:szCs w:val="20"/>
                <w:color w:val="auto"/>
              </w:rPr>
            </w:pPr>
            <w:r>
              <w:rPr>
                <w:rFonts w:ascii="Arial" w:cs="Arial" w:eastAsia="Arial" w:hAnsi="Arial"/>
                <w:sz w:val="17"/>
                <w:szCs w:val="17"/>
                <w:color w:val="auto"/>
              </w:rPr>
              <w:t>[***]</w:t>
            </w:r>
          </w:p>
        </w:tc>
      </w:tr>
      <w:tr>
        <w:trPr>
          <w:trHeight w:val="212"/>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jc w:val="center"/>
              <w:ind w:right="1154"/>
              <w:spacing w:after="0"/>
              <w:rPr>
                <w:sz w:val="20"/>
                <w:szCs w:val="20"/>
                <w:color w:val="auto"/>
              </w:rPr>
            </w:pPr>
            <w:r>
              <w:rPr>
                <w:rFonts w:ascii="Arial" w:cs="Arial" w:eastAsia="Arial" w:hAnsi="Arial"/>
                <w:sz w:val="17"/>
                <w:szCs w:val="17"/>
                <w:color w:val="auto"/>
              </w:rPr>
              <w:t>[***]</w:t>
            </w:r>
          </w:p>
        </w:tc>
      </w:tr>
      <w:tr>
        <w:trPr>
          <w:trHeight w:val="212"/>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jc w:val="center"/>
              <w:ind w:right="1154"/>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212090</wp:posOffset>
            </wp:positionV>
            <wp:extent cx="29159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617" w:right="1159" w:hanging="5617"/>
        <w:spacing w:after="0" w:line="744" w:lineRule="auto"/>
        <w:tabs>
          <w:tab w:leader="none" w:pos="406" w:val="left"/>
        </w:tabs>
        <w:numPr>
          <w:ilvl w:val="0"/>
          <w:numId w:val="265"/>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494" w:right="1440" w:bottom="1440" w:gutter="0" w:footer="0" w:header="0"/>
        </w:sectPr>
      </w:pPr>
    </w:p>
    <w:bookmarkStart w:id="352" w:name="page353"/>
    <w:bookmarkEnd w:id="352"/>
    <w:p>
      <w:pPr>
        <w:jc w:val="center"/>
        <w:ind w:right="-1200"/>
        <w:spacing w:after="0"/>
        <w:rPr>
          <w:sz w:val="20"/>
          <w:szCs w:val="20"/>
          <w:color w:val="auto"/>
        </w:rPr>
      </w:pPr>
      <w:r>
        <w:rPr>
          <w:rFonts w:ascii="Arial" w:cs="Arial" w:eastAsia="Arial" w:hAnsi="Arial"/>
          <w:sz w:val="17"/>
          <w:szCs w:val="17"/>
          <w:b w:val="1"/>
          <w:bCs w:val="1"/>
          <w:color w:val="auto"/>
        </w:rPr>
        <w:t>Exhibit 4.3</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List of National Phase Countries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50" w:lineRule="exact"/>
        <w:rPr>
          <w:sz w:val="20"/>
          <w:szCs w:val="20"/>
          <w:color w:val="auto"/>
        </w:rPr>
      </w:pPr>
    </w:p>
    <w:p>
      <w:pPr>
        <w:ind w:left="5620" w:right="1099" w:hanging="5566"/>
        <w:spacing w:after="0" w:line="459" w:lineRule="auto"/>
        <w:tabs>
          <w:tab w:leader="none" w:pos="460"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257415" cy="209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494" w:right="1440" w:bottom="1440" w:gutter="0" w:footer="0" w:header="0"/>
        </w:sectPr>
      </w:pPr>
    </w:p>
    <w:bookmarkStart w:id="353" w:name="page354"/>
    <w:bookmarkEnd w:id="353"/>
    <w:p>
      <w:pPr>
        <w:jc w:val="center"/>
        <w:ind w:right="-1145"/>
        <w:spacing w:after="0"/>
        <w:rPr>
          <w:sz w:val="20"/>
          <w:szCs w:val="20"/>
          <w:color w:val="auto"/>
        </w:rPr>
      </w:pPr>
      <w:r>
        <w:rPr>
          <w:rFonts w:ascii="Arial" w:cs="Arial" w:eastAsia="Arial" w:hAnsi="Arial"/>
          <w:sz w:val="17"/>
          <w:szCs w:val="17"/>
          <w:b w:val="1"/>
          <w:bCs w:val="1"/>
          <w:color w:val="auto"/>
        </w:rPr>
        <w:t>Exhibit 6.1.1</w:t>
      </w:r>
    </w:p>
    <w:p>
      <w:pPr>
        <w:spacing w:after="0" w:line="242" w:lineRule="exact"/>
        <w:rPr>
          <w:sz w:val="20"/>
          <w:szCs w:val="20"/>
          <w:color w:val="auto"/>
        </w:rPr>
      </w:pPr>
    </w:p>
    <w:p>
      <w:pPr>
        <w:jc w:val="center"/>
        <w:ind w:right="-1145"/>
        <w:spacing w:after="0"/>
        <w:rPr>
          <w:sz w:val="20"/>
          <w:szCs w:val="20"/>
          <w:color w:val="auto"/>
        </w:rPr>
      </w:pPr>
      <w:r>
        <w:rPr>
          <w:rFonts w:ascii="Arial" w:cs="Arial" w:eastAsia="Arial" w:hAnsi="Arial"/>
          <w:sz w:val="17"/>
          <w:szCs w:val="17"/>
          <w:b w:val="1"/>
          <w:bCs w:val="1"/>
          <w:color w:val="auto"/>
        </w:rPr>
        <w:t>Milestones</w:t>
      </w:r>
    </w:p>
    <w:p>
      <w:pPr>
        <w:spacing w:after="0" w:line="248" w:lineRule="exact"/>
        <w:rPr>
          <w:sz w:val="20"/>
          <w:szCs w:val="20"/>
          <w:color w:val="auto"/>
        </w:rPr>
      </w:pPr>
    </w:p>
    <w:p>
      <w:pPr>
        <w:ind w:left="5466"/>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374015</wp:posOffset>
            </wp:positionV>
            <wp:extent cx="291592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66" w:right="1099" w:hanging="5566"/>
        <w:spacing w:after="0" w:line="744" w:lineRule="auto"/>
        <w:tabs>
          <w:tab w:leader="none" w:pos="406" w:val="left"/>
        </w:tabs>
        <w:numPr>
          <w:ilvl w:val="0"/>
          <w:numId w:val="267"/>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-196215</wp:posOffset>
            </wp:positionV>
            <wp:extent cx="7257415" cy="209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165"/>
          </w:cols>
          <w:pgMar w:left="294" w:top="494" w:right="1440" w:bottom="1440" w:gutter="0" w:footer="0" w:header="0"/>
        </w:sectPr>
      </w:pPr>
    </w:p>
    <w:bookmarkStart w:id="354" w:name="page355"/>
    <w:bookmarkEnd w:id="354"/>
    <w:p>
      <w:pPr>
        <w:jc w:val="center"/>
        <w:spacing w:after="0"/>
        <w:rPr>
          <w:sz w:val="20"/>
          <w:szCs w:val="20"/>
          <w:color w:val="auto"/>
        </w:rPr>
      </w:pPr>
      <w:r>
        <w:rPr>
          <w:rFonts w:ascii="Arial" w:cs="Arial" w:eastAsia="Arial" w:hAnsi="Arial"/>
          <w:sz w:val="17"/>
          <w:szCs w:val="17"/>
          <w:b w:val="1"/>
          <w:bCs w:val="1"/>
          <w:color w:val="auto"/>
        </w:rPr>
        <w:t>Exhibit 9.1.2.2(a)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TAU Team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Team Agreement</w:t>
      </w:r>
    </w:p>
    <w:p>
      <w:pPr>
        <w:spacing w:after="0" w:line="248" w:lineRule="exact"/>
        <w:rPr>
          <w:sz w:val="20"/>
          <w:szCs w:val="20"/>
          <w:color w:val="auto"/>
        </w:rPr>
      </w:pPr>
    </w:p>
    <w:p>
      <w:pPr>
        <w:ind w:left="9520"/>
        <w:spacing w:after="0"/>
        <w:rPr>
          <w:sz w:val="20"/>
          <w:szCs w:val="20"/>
          <w:color w:val="auto"/>
        </w:rPr>
      </w:pPr>
      <w:r>
        <w:rPr>
          <w:rFonts w:ascii="Arial" w:cs="Arial" w:eastAsia="Arial" w:hAnsi="Arial"/>
          <w:sz w:val="17"/>
          <w:szCs w:val="17"/>
          <w:color w:val="auto"/>
        </w:rPr>
        <w:t>April 15, 2004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Dear Professor Avraham Weizman (the "Principal Investigator")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Team Agreement</w:t>
      </w:r>
    </w:p>
    <w:p>
      <w:pPr>
        <w:spacing w:after="0" w:line="242"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This letter agreement (this "Letter") is addressed to you and the persons listed in Exhibit A to this Letter (each a "Researcher" and collectively, the "Researchers"). Exhibit A may be amended by the addition of new Researchers as described below. You and the Researchers are referred to collectively in this Letter as the "Team Members".</w:t>
      </w:r>
    </w:p>
    <w:p>
      <w:pPr>
        <w:spacing w:after="0" w:line="20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The Team Members are or were faculty members , post-doctoral fellows, students or technicians performing research at Felsenstein Medical Research Center of Tel Aviv University ("FMRC"). In such capacity, they have performed research at FMRC relating to conjugated anti-psychotic drugs and the use thereof (as further described in Exhibit B to this Agreement, the "Project") and/or are members of a team that will perform further research at FMRC relating to the Project under the supervision of the Principal Investigator.</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By operation of law or under the terms of their employment or other relationships with Clalit Health Services, Tel Aviv University ("TAU") or Ramot, and according to agreements between Clalit Health Services and TAU and between TAU and Ramot, all rights, title and interest in and to any </w:t>
      </w:r>
      <w:r>
        <w:rPr>
          <w:rFonts w:ascii="Arial" w:cs="Arial" w:eastAsia="Arial" w:hAnsi="Arial"/>
          <w:sz w:val="17"/>
          <w:szCs w:val="17"/>
          <w:i w:val="1"/>
          <w:iCs w:val="1"/>
          <w:color w:val="auto"/>
        </w:rPr>
        <w:t>and</w:t>
      </w:r>
      <w:r>
        <w:rPr>
          <w:rFonts w:ascii="Arial" w:cs="Arial" w:eastAsia="Arial" w:hAnsi="Arial"/>
          <w:sz w:val="17"/>
          <w:szCs w:val="17"/>
          <w:color w:val="auto"/>
        </w:rPr>
        <w:t xml:space="preserve"> all inventions and other results arrived at by the Team Members as a result of their relationship with TAU are owned by Ramot. This includes all intellectual property, inventions, know-how, technology, methods, data and other results directly relating to the Project arrived at prior to the date of this Agreement during the course of research and development at FMRC (the "Existing Project Technology").</w:t>
      </w:r>
    </w:p>
    <w:p>
      <w:pPr>
        <w:spacing w:after="0" w:line="20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Ramot and BioLineRX Ltd. ("BioLine") have entered into a research and license agreement (the "Research and License Agreement") pursuant to which: (1) Ramot granted BioLine a license with respect to certain patent and other rights relating to the Existing Project Technology, (2) BioLine agreed to fund further research relating to the Project at FMRC by Team Members; and (3) Ramot agreed to cause the performance of such research by Team Members and to grant BioLine a license with respect to the results arrived at in the performance of such research.</w:t>
      </w:r>
    </w:p>
    <w:p>
      <w:pPr>
        <w:spacing w:after="0" w:line="204"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The purpose of this Letter is to set forth the rights and obligations of the Team Members with respect to the Project and the further research relating to the Project to be performed by some or all of the Team Members. Please read this Letter carefully and if you agree with its contents sign in the appropriate place next to your name below.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Sponsored Research.</w:t>
      </w:r>
    </w:p>
    <w:p>
      <w:pPr>
        <w:spacing w:after="0" w:line="242" w:lineRule="exact"/>
        <w:rPr>
          <w:sz w:val="20"/>
          <w:szCs w:val="20"/>
          <w:color w:val="auto"/>
        </w:rPr>
      </w:pPr>
    </w:p>
    <w:p>
      <w:pPr>
        <w:ind w:right="80" w:firstLine="620"/>
        <w:spacing w:after="0" w:line="282" w:lineRule="auto"/>
        <w:tabs>
          <w:tab w:leader="none" w:pos="101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Principal Investigator agrees to supervise and cause the performance at FMRC of further research relating to the Project in accordance with the research program included in Exhibit C to this Letter (as may be amended from time to time by the mutual agreement of Ramot and BioLine, after consultation with the Principal Investigator) and the budget included in Exhibit C to this Letter (as may be amended from time to time by the mutual agreement of Ramot and BioLine, after consultation with the Principal Investigator). Such research is referred to in this Letter as the "Sponsored Research."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55" w:name="page356"/>
    <w:bookmarkEnd w:id="355"/>
    <w:p>
      <w:pPr>
        <w:ind w:left="1040" w:hanging="420"/>
        <w:spacing w:after="0"/>
        <w:tabs>
          <w:tab w:leader="none" w:pos="104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Principal Investigator will keep BioLine reasonably informed concerning the Sponsored Research, its progress and its results.</w:t>
      </w:r>
    </w:p>
    <w:p>
      <w:pPr>
        <w:spacing w:after="0" w:line="241" w:lineRule="exact"/>
        <w:rPr>
          <w:rFonts w:ascii="Arial" w:cs="Arial" w:eastAsia="Arial" w:hAnsi="Arial"/>
          <w:sz w:val="17"/>
          <w:szCs w:val="17"/>
          <w:color w:val="auto"/>
        </w:rPr>
      </w:pPr>
    </w:p>
    <w:p>
      <w:pPr>
        <w:ind w:left="180" w:hanging="177"/>
        <w:spacing w:after="0"/>
        <w:tabs>
          <w:tab w:leader="none" w:pos="1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Intellectual Property Rights.</w:t>
      </w:r>
    </w:p>
    <w:p>
      <w:pPr>
        <w:spacing w:after="0" w:line="241" w:lineRule="exact"/>
        <w:rPr>
          <w:rFonts w:ascii="Arial" w:cs="Arial" w:eastAsia="Arial" w:hAnsi="Arial"/>
          <w:sz w:val="17"/>
          <w:szCs w:val="17"/>
          <w:color w:val="auto"/>
        </w:rPr>
      </w:pPr>
    </w:p>
    <w:p>
      <w:pPr>
        <w:ind w:right="120" w:firstLine="620"/>
        <w:spacing w:after="0" w:line="282" w:lineRule="auto"/>
        <w:tabs>
          <w:tab w:leader="none" w:pos="1022" w:val="left"/>
        </w:tabs>
        <w:numPr>
          <w:ilvl w:val="1"/>
          <w:numId w:val="270"/>
        </w:numPr>
        <w:rPr>
          <w:rFonts w:ascii="Arial" w:cs="Arial" w:eastAsia="Arial" w:hAnsi="Arial"/>
          <w:sz w:val="16"/>
          <w:szCs w:val="16"/>
          <w:color w:val="auto"/>
        </w:rPr>
      </w:pPr>
      <w:r>
        <w:rPr>
          <w:rFonts w:ascii="Arial" w:cs="Arial" w:eastAsia="Arial" w:hAnsi="Arial"/>
          <w:sz w:val="16"/>
          <w:szCs w:val="16"/>
          <w:color w:val="auto"/>
        </w:rPr>
        <w:t>Each of the Team Members acknowledges , confirms and agrees that Ramot is and shall be the sole owner of all rights , title and interest in and to any and all Project Technology and any and all intellectual property rights relating to the Project Technology . "Project Technology" means the Existing Project Technology and any and all inventions , products, materials, methods, processes, techniques, know-how, data, information, discoveries and other results of whatever nature arrived at in the course of the performance of the Sponsored Research, whether at FMRC or elsewhere.</w:t>
      </w:r>
    </w:p>
    <w:p>
      <w:pPr>
        <w:spacing w:after="0" w:line="190" w:lineRule="exact"/>
        <w:rPr>
          <w:rFonts w:ascii="Arial" w:cs="Arial" w:eastAsia="Arial" w:hAnsi="Arial"/>
          <w:sz w:val="16"/>
          <w:szCs w:val="16"/>
          <w:color w:val="auto"/>
        </w:rPr>
      </w:pPr>
    </w:p>
    <w:p>
      <w:pPr>
        <w:ind w:firstLine="620"/>
        <w:spacing w:after="0" w:line="278" w:lineRule="auto"/>
        <w:tabs>
          <w:tab w:leader="none" w:pos="103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Each of the Team Members agrees to sign and deliver to Ramot any documents, and to take any actions , that Ramot believes are needed or desirable in order to best confirm Ramot' s title in the Project Technology.</w:t>
      </w:r>
    </w:p>
    <w:p>
      <w:pPr>
        <w:spacing w:after="0" w:line="190" w:lineRule="exact"/>
        <w:rPr>
          <w:rFonts w:ascii="Arial" w:cs="Arial" w:eastAsia="Arial" w:hAnsi="Arial"/>
          <w:sz w:val="17"/>
          <w:szCs w:val="17"/>
          <w:color w:val="auto"/>
        </w:rPr>
      </w:pPr>
    </w:p>
    <w:p>
      <w:pPr>
        <w:ind w:right="60" w:firstLine="620"/>
        <w:spacing w:after="0" w:line="277" w:lineRule="auto"/>
        <w:tabs>
          <w:tab w:leader="none" w:pos="101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Team Members acknowledge that all patent applications relating to Project Technology, to the extent they cover inventions made by Team Members, will be filed in the name of Ramot, except in cases where Ramot believes that it is necessary that the patent applications be filed in the name of Team Members and then assigned to Ramot . Each of the Team Members agrees, at Ramot's request , to assist Ramot to file and obtain, and if needed to enforce, any patent or patent application relating to the Project Technology in any country requested by Ramot. Such assistance may include signing, verifying and delivering to Ramot such documents , and performing such other acts (including appearances as a witness ), as Ramot may reasonably request for use in applying for , obtaining, perfecting, evidencing, sustaining and enforcing such patents and patent applications and confirming their assignment to Ramot.</w:t>
      </w:r>
    </w:p>
    <w:p>
      <w:pPr>
        <w:spacing w:after="0" w:line="192" w:lineRule="exact"/>
        <w:rPr>
          <w:rFonts w:ascii="Arial" w:cs="Arial" w:eastAsia="Arial" w:hAnsi="Arial"/>
          <w:sz w:val="16"/>
          <w:szCs w:val="16"/>
          <w:color w:val="auto"/>
        </w:rPr>
      </w:pPr>
    </w:p>
    <w:p>
      <w:pPr>
        <w:ind w:right="100" w:firstLine="620"/>
        <w:spacing w:after="0" w:line="259" w:lineRule="auto"/>
        <w:tabs>
          <w:tab w:leader="none" w:pos="103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In the event Ramot is unable for any reason, after reasonable effort, to secure a Team Member's signature on any document needed in connection with the actions specified in this clause 2, such Team Member hereby irrevocably designates and appoints Ramot and its duly authorized officers and agents as such Team Member's agent and attorney in fact, which appointment is coupled with an interest, to act for and in such Team Member's behalf to sign, verify and file any such documents and to do all other lawfully permitted acts to further the purposes of this clause 2 with the same legal force and effect as if executed by such Team Member.</w:t>
      </w:r>
    </w:p>
    <w:p>
      <w:pPr>
        <w:spacing w:after="0" w:line="205" w:lineRule="exact"/>
        <w:rPr>
          <w:rFonts w:ascii="Arial" w:cs="Arial" w:eastAsia="Arial" w:hAnsi="Arial"/>
          <w:sz w:val="17"/>
          <w:szCs w:val="17"/>
          <w:color w:val="auto"/>
        </w:rPr>
      </w:pPr>
    </w:p>
    <w:p>
      <w:pPr>
        <w:ind w:left="180" w:hanging="177"/>
        <w:spacing w:after="0"/>
        <w:tabs>
          <w:tab w:leader="none" w:pos="1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Confidentiality and Publications.</w:t>
      </w:r>
    </w:p>
    <w:p>
      <w:pPr>
        <w:spacing w:after="0" w:line="241" w:lineRule="exact"/>
        <w:rPr>
          <w:rFonts w:ascii="Arial" w:cs="Arial" w:eastAsia="Arial" w:hAnsi="Arial"/>
          <w:sz w:val="17"/>
          <w:szCs w:val="17"/>
          <w:color w:val="auto"/>
        </w:rPr>
      </w:pPr>
    </w:p>
    <w:p>
      <w:pPr>
        <w:ind w:firstLine="620"/>
        <w:spacing w:after="0" w:line="272" w:lineRule="auto"/>
        <w:tabs>
          <w:tab w:leader="none" w:pos="1022" w:val="left"/>
        </w:tabs>
        <w:numPr>
          <w:ilvl w:val="1"/>
          <w:numId w:val="270"/>
        </w:numPr>
        <w:rPr>
          <w:rFonts w:ascii="Arial" w:cs="Arial" w:eastAsia="Arial" w:hAnsi="Arial"/>
          <w:sz w:val="16"/>
          <w:szCs w:val="16"/>
          <w:color w:val="auto"/>
        </w:rPr>
      </w:pPr>
      <w:r>
        <w:rPr>
          <w:rFonts w:ascii="Arial" w:cs="Arial" w:eastAsia="Arial" w:hAnsi="Arial"/>
          <w:sz w:val="16"/>
          <w:szCs w:val="16"/>
          <w:color w:val="auto"/>
        </w:rPr>
        <w:t>Each Team Member undertakes to keep confidential and not to disclose or use (other than for the furtherance of the Project) any Project Technology or BioLine Confidential Information to any person or entity other than a fellow Team Member, an employee of Ramot, or an employee, officer or director of BioLine, except and to the extent that s/he is instructed or authorized to do so by Ramot. This obligation of confidentiality does not apply to any portion of the Project Technology that is in the public domain (other than through the fault of such Team Member), nor does it apply to information included in scientific publications that have been approved by Ramot prior to publication. "BioLine Confidential Information" means any scientific, technical, trade or business information relating to the Sponsored Research designated as confidential or which otherwise should reasonably be construed under the circumstances as being confidential disclosed by or on behalf of BioLine to a Team Member, except to the extent such information: (i) was known to such Team Member at the time it was disclosed, other than by previous disclosure by or on behalf of BioLine, as evidenced by such Team Member's written records at the time of disclosure; (ii) is at the time of disclosure or later becomes publicly known under circumstances involving no breach of this Letter; (iii) is lawfully and in good faith made available to the Team Member by a third party who is not subject to obligations of confidentiality to BioLine or Ramot with respect to such information; or (iv)is independently developed by the Team Member without the use of or reference to BioLine Confidential Information, as demonstrated by documentary evidence.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6" w:name="page357"/>
    <w:bookmarkEnd w:id="356"/>
    <w:p>
      <w:pPr>
        <w:ind w:right="20" w:firstLine="620"/>
        <w:spacing w:after="0" w:line="273" w:lineRule="auto"/>
        <w:tabs>
          <w:tab w:leader="none" w:pos="103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In general, Ramot will endeavor to assist the Team Members in facilitating publications relating to Project Technology and Ramot agrees not to unreasonably withhold its approval of publications, except to the extent described in this paragraph. In order to permit Ramot to comply with its obligations to BioLine and the opportunity to properly protect patent and proprietary rights relating to information included in such proposed publications, the Team Members agree to provide Ramot with a copy of each proposed publication at least forty (40) days in advance of the contemplated submission for publication to permit Ramot to review such submission to determine whether the publication or presentation contains subject matter for which patent protection should be sought prior to publication or presentation. Ramot will review, and shall allow BioLine to review, such proposed publication. If Ramot informs the Principal Investigator within thirty (30) days of the receipt of such proposed publication, that it wishes to seek protection with respect to material included within such proposed publication, then the Team Members will delay the submission of the publication or presentation for a further period of up to sixty (60) days (or longer if Ramot notifies the Team Members that such additional period is required in order to make the necessary patent filings) to enable Ramot to make the necessary patent filings.</w:t>
      </w:r>
    </w:p>
    <w:p>
      <w:pPr>
        <w:spacing w:after="0" w:line="200" w:lineRule="exact"/>
        <w:rPr>
          <w:rFonts w:ascii="Arial" w:cs="Arial" w:eastAsia="Arial" w:hAnsi="Arial"/>
          <w:sz w:val="16"/>
          <w:szCs w:val="16"/>
          <w:color w:val="auto"/>
        </w:rPr>
      </w:pPr>
    </w:p>
    <w:p>
      <w:pPr>
        <w:ind w:right="300" w:firstLine="620"/>
        <w:spacing w:after="0" w:line="311" w:lineRule="auto"/>
        <w:tabs>
          <w:tab w:leader="none" w:pos="102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Each Team Member's obligations under this clause 3 shall continue in full force and effect during the term such Team Member is involved with the Sponsored Research and for a period of seven (7) years after the termination of such Team Member's involvement with the Sponsored Research.</w:t>
      </w:r>
    </w:p>
    <w:p>
      <w:pPr>
        <w:spacing w:after="0" w:line="166" w:lineRule="exact"/>
        <w:rPr>
          <w:rFonts w:ascii="Arial" w:cs="Arial" w:eastAsia="Arial" w:hAnsi="Arial"/>
          <w:sz w:val="16"/>
          <w:szCs w:val="16"/>
          <w:color w:val="auto"/>
        </w:rPr>
      </w:pPr>
    </w:p>
    <w:p>
      <w:pPr>
        <w:ind w:left="180" w:hanging="177"/>
        <w:spacing w:after="0"/>
        <w:tabs>
          <w:tab w:leader="none" w:pos="1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Distributions.</w:t>
      </w:r>
    </w:p>
    <w:p>
      <w:pPr>
        <w:spacing w:after="0" w:line="241" w:lineRule="exact"/>
        <w:rPr>
          <w:rFonts w:ascii="Arial" w:cs="Arial" w:eastAsia="Arial" w:hAnsi="Arial"/>
          <w:sz w:val="17"/>
          <w:szCs w:val="17"/>
          <w:color w:val="auto"/>
        </w:rPr>
      </w:pPr>
    </w:p>
    <w:p>
      <w:pPr>
        <w:ind w:firstLine="620"/>
        <w:spacing w:after="0" w:line="282" w:lineRule="auto"/>
        <w:tabs>
          <w:tab w:leader="none" w:pos="1019"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Those of the Team Members who are inventors of technologies included in patents relating to the Project Technology (together, the "Inventors") will be entitled, together, to receive from the proceeds received by Ramot from the commercialization of Project Technologies the amounts determined in accordance with the rules and regulations in effect at TAU, from time to time, relating to the allocation of the proceeds from the commercialization by Ramot of inventions made by them. The total distributions received by all Team Members according to this clause are referred to in this Agreement as the "Distributions".</w:t>
      </w:r>
    </w:p>
    <w:p>
      <w:pPr>
        <w:spacing w:after="0" w:line="190" w:lineRule="exact"/>
        <w:rPr>
          <w:rFonts w:ascii="Arial" w:cs="Arial" w:eastAsia="Arial" w:hAnsi="Arial"/>
          <w:sz w:val="16"/>
          <w:szCs w:val="16"/>
          <w:color w:val="auto"/>
        </w:rPr>
      </w:pPr>
    </w:p>
    <w:p>
      <w:pPr>
        <w:ind w:right="560" w:firstLine="620"/>
        <w:spacing w:after="0" w:line="265" w:lineRule="auto"/>
        <w:tabs>
          <w:tab w:leader="none" w:pos="1028" w:val="left"/>
        </w:tabs>
        <w:numPr>
          <w:ilvl w:val="1"/>
          <w:numId w:val="272"/>
        </w:numPr>
        <w:rPr>
          <w:rFonts w:ascii="Arial" w:cs="Arial" w:eastAsia="Arial" w:hAnsi="Arial"/>
          <w:sz w:val="17"/>
          <w:szCs w:val="17"/>
          <w:color w:val="auto"/>
        </w:rPr>
      </w:pPr>
      <w:r>
        <w:rPr>
          <w:rFonts w:ascii="Arial" w:cs="Arial" w:eastAsia="Arial" w:hAnsi="Arial"/>
          <w:sz w:val="17"/>
          <w:szCs w:val="17"/>
          <w:color w:val="auto"/>
        </w:rPr>
        <w:t>The Distributions shall be allocated among the Inventors in accordance with the percentages set forth in Exhibit C hereto. The Team Members understand that this allocation of the Distributions among the Inventors is based on the contribution of each Inventor to the inventions included in the Existing Technology.</w:t>
      </w:r>
    </w:p>
    <w:p>
      <w:pPr>
        <w:spacing w:after="0" w:line="201" w:lineRule="exact"/>
        <w:rPr>
          <w:rFonts w:ascii="Arial" w:cs="Arial" w:eastAsia="Arial" w:hAnsi="Arial"/>
          <w:sz w:val="17"/>
          <w:szCs w:val="17"/>
          <w:color w:val="auto"/>
        </w:rPr>
      </w:pPr>
    </w:p>
    <w:p>
      <w:pPr>
        <w:ind w:firstLine="620"/>
        <w:spacing w:after="0" w:line="257" w:lineRule="auto"/>
        <w:tabs>
          <w:tab w:leader="none" w:pos="1022" w:val="left"/>
        </w:tabs>
        <w:numPr>
          <w:ilvl w:val="1"/>
          <w:numId w:val="272"/>
        </w:numPr>
        <w:rPr>
          <w:rFonts w:ascii="Arial" w:cs="Arial" w:eastAsia="Arial" w:hAnsi="Arial"/>
          <w:sz w:val="17"/>
          <w:szCs w:val="17"/>
          <w:color w:val="auto"/>
        </w:rPr>
      </w:pPr>
      <w:r>
        <w:rPr>
          <w:rFonts w:ascii="Arial" w:cs="Arial" w:eastAsia="Arial" w:hAnsi="Arial"/>
          <w:sz w:val="17"/>
          <w:szCs w:val="17"/>
          <w:color w:val="auto"/>
        </w:rPr>
        <w:t>Each of the Team Members agrees that if, in the Principal Investigator's judgment, a change in the Sponsored Research, the composition of the research team or the respective contributions of the Inventors to the Project Technology being commercialized justifies a change in the allocation of the Distributions among the Inventors, the Principal Investigator will decide, at his sole discretion, on an amended allocation of the Distributions. Such change may include: (i) additions of persons to the list of Inventors entitled to a share of the Distributions; (ii) deletion of certain persons from the list of Inventors entitled to Distributions; (iii) changes in the respective share of the Distributions an Inventor is entitled to; and/or (iv) any other change deemed by the Principal Investigator to be appropriate, in his absolute discretion. (d) Ay change made pursuant to clause 4(c) will only affect Distributions paid after the date of the relevant change. It will not affect Distributions distributed to individual Inventors prior to the relevant change.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7" w:name="page358"/>
    <w:bookmarkEnd w:id="357"/>
    <w:p>
      <w:pPr>
        <w:ind w:left="-3" w:firstLine="620"/>
        <w:spacing w:after="0" w:line="261" w:lineRule="auto"/>
        <w:tabs>
          <w:tab w:leader="none" w:pos="1019" w:val="left"/>
        </w:tabs>
        <w:numPr>
          <w:ilvl w:val="1"/>
          <w:numId w:val="273"/>
        </w:numPr>
        <w:rPr>
          <w:rFonts w:ascii="Arial" w:cs="Arial" w:eastAsia="Arial" w:hAnsi="Arial"/>
          <w:sz w:val="17"/>
          <w:szCs w:val="17"/>
          <w:color w:val="auto"/>
        </w:rPr>
      </w:pPr>
      <w:r>
        <w:rPr>
          <w:rFonts w:ascii="Arial" w:cs="Arial" w:eastAsia="Arial" w:hAnsi="Arial"/>
          <w:sz w:val="17"/>
          <w:szCs w:val="17"/>
          <w:color w:val="auto"/>
        </w:rPr>
        <w:t>Each of the Team Members agrees that, if a Team Member disputes a decision made by the Principal Investigator pursuant to this clause 4, or if there is more than one Principal Investigator and they are unable to reach agreement between them regarding the allocation of Distributions among Inventors pursuant to this clause 4, then the matter will be finally resolved by the Vice President and Dean for Research of TAU followed by confirmation of such determination by the President of TAU.</w:t>
      </w:r>
    </w:p>
    <w:p>
      <w:pPr>
        <w:spacing w:after="0" w:line="204" w:lineRule="exact"/>
        <w:rPr>
          <w:rFonts w:ascii="Arial" w:cs="Arial" w:eastAsia="Arial" w:hAnsi="Arial"/>
          <w:sz w:val="17"/>
          <w:szCs w:val="17"/>
          <w:color w:val="auto"/>
        </w:rPr>
      </w:pPr>
    </w:p>
    <w:p>
      <w:pPr>
        <w:ind w:left="-3" w:right="260" w:firstLine="3"/>
        <w:spacing w:after="0" w:line="265" w:lineRule="auto"/>
        <w:tabs>
          <w:tab w:leader="none" w:pos="64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 Other Consideration. Notwithstanding anything to the contrary in the terms of employment of the Team Members, the Team Members agree that they will not be entitled to any consideration or benefits of any nature in connection with or arising out of the commercialization of Project Technology, other than as specifically set forth in clause 4 above with respect to Inventors.</w:t>
      </w:r>
    </w:p>
    <w:p>
      <w:pPr>
        <w:spacing w:after="0" w:line="201" w:lineRule="exact"/>
        <w:rPr>
          <w:rFonts w:ascii="Arial" w:cs="Arial" w:eastAsia="Arial" w:hAnsi="Arial"/>
          <w:sz w:val="17"/>
          <w:szCs w:val="17"/>
          <w:color w:val="auto"/>
        </w:rPr>
      </w:pPr>
    </w:p>
    <w:p>
      <w:pPr>
        <w:ind w:left="-3" w:right="40" w:firstLine="3"/>
        <w:spacing w:after="0" w:line="265" w:lineRule="auto"/>
        <w:tabs>
          <w:tab w:leader="none" w:pos="637"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Taxes. Each Inventor will bear and pay any taxes imposed on such Team Member with respect to his/her share of Distributions. Ramot and TAU will be entitled to withhold, deduct or pay any withholding taxes and/or any other deductions or payments that Ramot or TAU may be required under law to withhold, deduct or pay with respect to any Distributions received by any Team Member.</w:t>
      </w:r>
    </w:p>
    <w:p>
      <w:pPr>
        <w:spacing w:after="0" w:line="201" w:lineRule="exact"/>
        <w:rPr>
          <w:rFonts w:ascii="Arial" w:cs="Arial" w:eastAsia="Arial" w:hAnsi="Arial"/>
          <w:sz w:val="17"/>
          <w:szCs w:val="17"/>
          <w:color w:val="auto"/>
        </w:rPr>
      </w:pPr>
    </w:p>
    <w:p>
      <w:pPr>
        <w:jc w:val="both"/>
        <w:ind w:left="-3" w:right="120" w:firstLine="3"/>
        <w:spacing w:after="0" w:line="282" w:lineRule="auto"/>
        <w:tabs>
          <w:tab w:leader="none" w:pos="6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Execution by New Team Members. The Principal Investigator undertakes to notify Ramot and TAU immediately of any new faculty member, post-doctoral fellow, student or other researcher who is to participate in the performance of the Sponsored Research. After consultation with the Principal Investigator, Ramot will decide whether such new researcher should sign this Letter as a Team Member. If Ramot determines that such new researcher should sign this Letter, the Principal Investigator will cause such new researcher to sign this Letter prior to performing Sponsored Research.</w:t>
      </w:r>
    </w:p>
    <w:p>
      <w:pPr>
        <w:spacing w:after="0" w:line="332"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90" w:right="239" w:bottom="1440" w:gutter="0" w:footer="0" w:header="0"/>
        </w:sectPr>
      </w:pPr>
    </w:p>
    <w:bookmarkStart w:id="358" w:name="page359"/>
    <w:bookmarkEnd w:id="358"/>
    <w:p>
      <w:pPr>
        <w:ind w:right="3660"/>
        <w:spacing w:after="0" w:line="265" w:lineRule="auto"/>
        <w:rPr>
          <w:sz w:val="20"/>
          <w:szCs w:val="20"/>
          <w:color w:val="auto"/>
        </w:rPr>
      </w:pPr>
      <w:r>
        <w:rPr>
          <w:rFonts w:ascii="Arial" w:cs="Arial" w:eastAsia="Arial" w:hAnsi="Arial"/>
          <w:sz w:val="17"/>
          <w:szCs w:val="17"/>
          <w:color w:val="auto"/>
        </w:rPr>
        <w:t>If the terms and provisions of this Letter are acceptable to you, please indicate your acceptance by signing in the space indicated below (if you are the Principal Investigator) or on Exhibit A (if you are a Researcher).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gridSpan w:val="4"/>
          </w:tcPr>
          <w:p>
            <w:pPr>
              <w:spacing w:after="0"/>
              <w:rPr>
                <w:sz w:val="20"/>
                <w:szCs w:val="20"/>
                <w:color w:val="auto"/>
              </w:rPr>
            </w:pPr>
            <w:r>
              <w:rPr>
                <w:rFonts w:ascii="Arial" w:cs="Arial" w:eastAsia="Arial" w:hAnsi="Arial"/>
                <w:sz w:val="17"/>
                <w:szCs w:val="17"/>
                <w:color w:val="auto"/>
              </w:rPr>
              <w:t>Sincerely,</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437"/>
        </w:trPr>
        <w:tc>
          <w:tcPr>
            <w:tcW w:w="4640" w:type="dxa"/>
            <w:vAlign w:val="bottom"/>
            <w:gridSpan w:val="4"/>
          </w:tcPr>
          <w:p>
            <w:pPr>
              <w:spacing w:after="0"/>
              <w:rPr>
                <w:sz w:val="20"/>
                <w:szCs w:val="20"/>
                <w:color w:val="auto"/>
              </w:rPr>
            </w:pPr>
            <w:r>
              <w:rPr>
                <w:rFonts w:ascii="Arial" w:cs="Arial" w:eastAsia="Arial" w:hAnsi="Arial"/>
                <w:sz w:val="17"/>
                <w:szCs w:val="17"/>
                <w:color w:val="auto"/>
              </w:rPr>
              <w:t>Ramot at Tel Aviv University Ltd.</w:t>
            </w:r>
          </w:p>
        </w:tc>
        <w:tc>
          <w:tcPr>
            <w:tcW w:w="5640" w:type="dxa"/>
            <w:vAlign w:val="bottom"/>
            <w:gridSpan w:val="3"/>
          </w:tcPr>
          <w:p>
            <w:pPr>
              <w:ind w:left="1020"/>
              <w:spacing w:after="0"/>
              <w:rPr>
                <w:sz w:val="20"/>
                <w:szCs w:val="20"/>
                <w:color w:val="auto"/>
              </w:rPr>
            </w:pPr>
            <w:r>
              <w:rPr>
                <w:rFonts w:ascii="Arial" w:cs="Arial" w:eastAsia="Arial" w:hAnsi="Arial"/>
                <w:sz w:val="17"/>
                <w:szCs w:val="17"/>
                <w:color w:val="auto"/>
              </w:rPr>
              <w:t>Tel Aviv University</w:t>
            </w:r>
          </w:p>
        </w:tc>
      </w:tr>
      <w:tr>
        <w:trPr>
          <w:trHeight w:val="419"/>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gridSpan w:val="3"/>
          </w:tcPr>
          <w:p>
            <w:pPr>
              <w:spacing w:after="0"/>
              <w:rPr>
                <w:sz w:val="24"/>
                <w:szCs w:val="24"/>
                <w:color w:val="auto"/>
              </w:rPr>
            </w:pPr>
          </w:p>
        </w:tc>
        <w:tc>
          <w:tcPr>
            <w:tcW w:w="1540" w:type="dxa"/>
            <w:vAlign w:val="bottom"/>
          </w:tcPr>
          <w:p>
            <w:pPr>
              <w:ind w:left="1020"/>
              <w:spacing w:after="0"/>
              <w:rPr>
                <w:sz w:val="20"/>
                <w:szCs w:val="20"/>
                <w:color w:val="auto"/>
              </w:rPr>
            </w:pPr>
            <w:r>
              <w:rPr>
                <w:rFonts w:ascii="Arial" w:cs="Arial" w:eastAsia="Arial" w:hAnsi="Arial"/>
                <w:sz w:val="17"/>
                <w:szCs w:val="17"/>
                <w:color w:val="auto"/>
              </w:rPr>
              <w:t>By:</w:t>
            </w:r>
          </w:p>
        </w:tc>
        <w:tc>
          <w:tcPr>
            <w:tcW w:w="4100" w:type="dxa"/>
            <w:vAlign w:val="bottom"/>
            <w:tcBorders>
              <w:bottom w:val="single" w:sz="8" w:color="auto"/>
            </w:tcBorders>
            <w:gridSpan w:val="2"/>
          </w:tcPr>
          <w:p>
            <w:pPr>
              <w:spacing w:after="0"/>
              <w:rPr>
                <w:sz w:val="24"/>
                <w:szCs w:val="24"/>
                <w:color w:val="auto"/>
              </w:rPr>
            </w:pPr>
          </w:p>
        </w:tc>
      </w:tr>
      <w:tr>
        <w:trPr>
          <w:trHeight w:val="443"/>
        </w:trPr>
        <w:tc>
          <w:tcPr>
            <w:tcW w:w="720" w:type="dxa"/>
            <w:vAlign w:val="bottom"/>
            <w:gridSpan w:val="3"/>
          </w:tcPr>
          <w:p>
            <w:pPr>
              <w:spacing w:after="0"/>
              <w:rPr>
                <w:sz w:val="20"/>
                <w:szCs w:val="20"/>
                <w:color w:val="auto"/>
              </w:rPr>
            </w:pPr>
            <w:r>
              <w:rPr>
                <w:rFonts w:ascii="Arial" w:cs="Arial" w:eastAsia="Arial" w:hAnsi="Arial"/>
                <w:sz w:val="17"/>
                <w:szCs w:val="17"/>
                <w:color w:val="auto"/>
              </w:rPr>
              <w:t>Name:</w:t>
            </w:r>
          </w:p>
        </w:tc>
        <w:tc>
          <w:tcPr>
            <w:tcW w:w="3920" w:type="dxa"/>
            <w:vAlign w:val="bottom"/>
            <w:tcBorders>
              <w:bottom w:val="single" w:sz="8" w:color="auto"/>
            </w:tcBorders>
          </w:tcPr>
          <w:p>
            <w:pPr>
              <w:spacing w:after="0"/>
              <w:rPr>
                <w:sz w:val="24"/>
                <w:szCs w:val="24"/>
                <w:color w:val="auto"/>
              </w:rPr>
            </w:pPr>
          </w:p>
        </w:tc>
        <w:tc>
          <w:tcPr>
            <w:tcW w:w="1740" w:type="dxa"/>
            <w:vAlign w:val="bottom"/>
            <w:gridSpan w:val="2"/>
          </w:tcPr>
          <w:p>
            <w:pPr>
              <w:ind w:left="1020"/>
              <w:spacing w:after="0"/>
              <w:rPr>
                <w:sz w:val="20"/>
                <w:szCs w:val="20"/>
                <w:color w:val="auto"/>
              </w:rPr>
            </w:pPr>
            <w:r>
              <w:rPr>
                <w:rFonts w:ascii="Arial" w:cs="Arial" w:eastAsia="Arial" w:hAnsi="Arial"/>
                <w:sz w:val="17"/>
                <w:szCs w:val="17"/>
                <w:color w:val="auto"/>
              </w:rPr>
              <w:t>Name:</w:t>
            </w:r>
          </w:p>
        </w:tc>
        <w:tc>
          <w:tcPr>
            <w:tcW w:w="3900" w:type="dxa"/>
            <w:vAlign w:val="bottom"/>
            <w:tcBorders>
              <w:bottom w:val="single" w:sz="8" w:color="auto"/>
            </w:tcBorders>
          </w:tcPr>
          <w:p>
            <w:pPr>
              <w:spacing w:after="0"/>
              <w:rPr>
                <w:sz w:val="24"/>
                <w:szCs w:val="24"/>
                <w:color w:val="auto"/>
              </w:rPr>
            </w:pPr>
          </w:p>
        </w:tc>
      </w:tr>
      <w:tr>
        <w:trPr>
          <w:trHeight w:val="443"/>
        </w:trPr>
        <w:tc>
          <w:tcPr>
            <w:tcW w:w="620" w:type="dxa"/>
            <w:vAlign w:val="bottom"/>
            <w:gridSpan w:val="2"/>
          </w:tcPr>
          <w:p>
            <w:pPr>
              <w:spacing w:after="0"/>
              <w:rPr>
                <w:sz w:val="20"/>
                <w:szCs w:val="20"/>
                <w:color w:val="auto"/>
              </w:rPr>
            </w:pPr>
            <w:r>
              <w:rPr>
                <w:rFonts w:ascii="Arial" w:cs="Arial" w:eastAsia="Arial" w:hAnsi="Arial"/>
                <w:sz w:val="17"/>
                <w:szCs w:val="17"/>
                <w:color w:val="auto"/>
              </w:rPr>
              <w:t>Title:</w:t>
            </w:r>
          </w:p>
        </w:tc>
        <w:tc>
          <w:tcPr>
            <w:tcW w:w="402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1020"/>
              <w:spacing w:after="0"/>
              <w:rPr>
                <w:sz w:val="20"/>
                <w:szCs w:val="20"/>
                <w:color w:val="auto"/>
              </w:rPr>
            </w:pPr>
            <w:r>
              <w:rPr>
                <w:rFonts w:ascii="Arial" w:cs="Arial" w:eastAsia="Arial" w:hAnsi="Arial"/>
                <w:sz w:val="17"/>
                <w:szCs w:val="17"/>
                <w:color w:val="auto"/>
              </w:rPr>
              <w:t>Title:</w:t>
            </w:r>
          </w:p>
        </w:tc>
        <w:tc>
          <w:tcPr>
            <w:tcW w:w="3900" w:type="dxa"/>
            <w:vAlign w:val="bottom"/>
            <w:tcBorders>
              <w:bottom w:val="single" w:sz="8" w:color="auto"/>
            </w:tcBorders>
          </w:tcPr>
          <w:p>
            <w:pPr>
              <w:spacing w:after="0"/>
              <w:rPr>
                <w:sz w:val="24"/>
                <w:szCs w:val="24"/>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have read this Letter and I understand its contents. I hereby agree to and accept the terms and conditions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218884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8884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Principal Investigator</w:t>
      </w: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80"/>
          </w:cols>
          <w:pgMar w:left="240" w:top="500" w:right="137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7"/>
          <w:szCs w:val="17"/>
          <w:b w:val="1"/>
          <w:bCs w:val="1"/>
          <w:color w:val="auto"/>
        </w:rPr>
        <w:t>Exhibit 9.1.2.2(b)</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BIU Team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Team Agreement</w:t>
      </w:r>
    </w:p>
    <w:p>
      <w:pPr>
        <w:spacing w:after="0" w:line="2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April 15, 2004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Dear Professor Abraham Nudelman (the "Principal Investigator")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Team Agreement Relating to Project</w:t>
      </w:r>
    </w:p>
    <w:p>
      <w:pPr>
        <w:spacing w:after="0" w:line="242"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This letter agreement (this "Letter") is addressed to you and the persons listed in Exhibit A to this Letter (each a "Researcher" and collectively, the "Researchers"). Exhibit A may be amended by the addition of new Researchers as described below. You and the Researchers are referred to collectively in this Letter as the "Team Members".</w:t>
      </w:r>
    </w:p>
    <w:p>
      <w:pPr>
        <w:spacing w:after="0" w:line="201"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The Team Members are or were faculty members, post-doctoral fellows, students or technicians performing research at Bar-Ilan University ("Bar-Ilan"). In such capacity, they have performed research at Bar-Ilan relating to conjugated anti-psychotic drugs and the use thereof (as further described in Exhibit B to this Agreement, the "Project") and/or are members of a team that will perform further research at Bar-Ilan relating to the Project under the supervision of the Principal Investigator.</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By operation of law or under the terms of their employment or other relationships with Bar-Ilan or Bar-Ilan Research and Development Company Ltd. ("BIRAD"), and according to agreements between Bar-Ilan and BIRAD, all rights, title and interest in and to any and all inventions and other results arrived at by the Team Members as a result of their relationship with Bar-Ilan are owned by BIRAD. This includes all intellectual property, inventions, know-how, technology, methods, data and other results directly relating to the Project arrived at prior to the date of this Agreement during the course of research and development at Bar-Ilan (the "Existing Project Technology").</w:t>
      </w:r>
    </w:p>
    <w:p>
      <w:pPr>
        <w:spacing w:after="0" w:line="206"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BIRAD, Ramot at Tel Aviv University Ltd. ("Ramot") and BioLineRX Ltd. ("BioLine") have entered into a research and license agreement (the "Research and License Agreement") pursuant to which: (1) BIRAD granted BioLine a license with respect to certain patent and other rights owned by BIRAD relating to the Existing Project Technology , (2) BioLine agreed to fund further research relating to the Project at Bar-Ilan by Team Members ; and (3) BIRAD agreed to cause the performance of such research by Team Members and to grant BioLine a license with respect to the results arrived at in the performance of such research.</w:t>
      </w:r>
    </w:p>
    <w:p>
      <w:pPr>
        <w:spacing w:after="0" w:line="190"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The purpose of this Letter is to set forth the rights and obligations of the Team Members with respect to the Project and the further research relating to the Project to be performed by some or all of the Team Members. Please read this Letter carefully and if you agree with its contents sign in the appropriate place next to your name below.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60" w:name="page361"/>
    <w:bookmarkEnd w:id="360"/>
    <w:p>
      <w:pPr>
        <w:ind w:left="600" w:hanging="597"/>
        <w:spacing w:after="0"/>
        <w:tabs>
          <w:tab w:leader="none" w:pos="6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Sponsored Research.</w:t>
      </w:r>
    </w:p>
    <w:p>
      <w:pPr>
        <w:spacing w:after="0" w:line="241" w:lineRule="exact"/>
        <w:rPr>
          <w:rFonts w:ascii="Arial" w:cs="Arial" w:eastAsia="Arial" w:hAnsi="Arial"/>
          <w:sz w:val="17"/>
          <w:szCs w:val="17"/>
          <w:color w:val="auto"/>
        </w:rPr>
      </w:pPr>
    </w:p>
    <w:p>
      <w:pPr>
        <w:ind w:firstLine="620"/>
        <w:spacing w:after="0" w:line="282" w:lineRule="auto"/>
        <w:tabs>
          <w:tab w:leader="none" w:pos="85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Principal Investigator agrees to supervise and cause the performance at Bar-Ilan of further research relating to the Project in accordance with the research program included in Exhibit C to this Letter (as may be amended from time to time by the mutual agreement of BIRAD and BioLine, after consultation with the Principal Investigator) and the budget included in Exhibit C to this Letter (as may be amended from time to time by the mutual agreement of BIRAD and BioLine, after consultation with the Principal Investigator ). Such research is referred to in this Letter as the "Sponsored Research."</w:t>
      </w:r>
    </w:p>
    <w:p>
      <w:pPr>
        <w:spacing w:after="0" w:line="190" w:lineRule="exact"/>
        <w:rPr>
          <w:rFonts w:ascii="Arial" w:cs="Arial" w:eastAsia="Arial" w:hAnsi="Arial"/>
          <w:sz w:val="16"/>
          <w:szCs w:val="16"/>
          <w:color w:val="auto"/>
        </w:rPr>
      </w:pPr>
    </w:p>
    <w:p>
      <w:pPr>
        <w:ind w:left="860" w:hanging="240"/>
        <w:spacing w:after="0"/>
        <w:tabs>
          <w:tab w:leader="none" w:pos="86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The Principal Investigator will keep BioLine reasonably informed concerning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Sponsored Research, its progress and its results.</w:t>
      </w:r>
    </w:p>
    <w:p>
      <w:pPr>
        <w:spacing w:after="0" w:line="231" w:lineRule="exact"/>
        <w:rPr>
          <w:sz w:val="20"/>
          <w:szCs w:val="20"/>
          <w:color w:val="auto"/>
        </w:rPr>
      </w:pPr>
    </w:p>
    <w:p>
      <w:pPr>
        <w:ind w:left="180" w:hanging="177"/>
        <w:spacing w:after="0"/>
        <w:tabs>
          <w:tab w:leader="none" w:pos="1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Intellectual Property Rights.</w:t>
      </w:r>
    </w:p>
    <w:p>
      <w:pPr>
        <w:spacing w:after="0" w:line="241" w:lineRule="exact"/>
        <w:rPr>
          <w:rFonts w:ascii="Arial" w:cs="Arial" w:eastAsia="Arial" w:hAnsi="Arial"/>
          <w:sz w:val="17"/>
          <w:szCs w:val="17"/>
          <w:color w:val="auto"/>
        </w:rPr>
      </w:pPr>
    </w:p>
    <w:p>
      <w:pPr>
        <w:ind w:firstLine="620"/>
        <w:spacing w:after="0" w:line="261" w:lineRule="auto"/>
        <w:tabs>
          <w:tab w:leader="none" w:pos="85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Each of the Team Members acknowledges, confirms and agrees that BIRAD is and shall be the sole owner of all rights, title and interest in and to any and all Project Technology and any and all intellectual property rights relating to the Project Technology. "Project Technology" means the Existing Project Technology and any and all inventions, products, materials, methods, processes, techniques, know-how, data, information, discoveries and other results of whatever nature arrived at in the course of the performance of the Sponsored Research, whether at Bar-Ilan or elsewhere.</w:t>
      </w:r>
    </w:p>
    <w:p>
      <w:pPr>
        <w:spacing w:after="0" w:line="204" w:lineRule="exact"/>
        <w:rPr>
          <w:rFonts w:ascii="Arial" w:cs="Arial" w:eastAsia="Arial" w:hAnsi="Arial"/>
          <w:sz w:val="17"/>
          <w:szCs w:val="17"/>
          <w:color w:val="auto"/>
        </w:rPr>
      </w:pPr>
    </w:p>
    <w:p>
      <w:pPr>
        <w:ind w:right="60" w:firstLine="620"/>
        <w:spacing w:after="0" w:line="278" w:lineRule="auto"/>
        <w:tabs>
          <w:tab w:leader="none" w:pos="86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Each of the Team Members agrees to sign and deliver to BIRAD any documents, and to take any actions, that BIRAD believes are needed or desirable in order to best confirm BIRAD's title in the Project Technology.</w:t>
      </w:r>
    </w:p>
    <w:p>
      <w:pPr>
        <w:spacing w:after="0" w:line="190" w:lineRule="exact"/>
        <w:rPr>
          <w:rFonts w:ascii="Arial" w:cs="Arial" w:eastAsia="Arial" w:hAnsi="Arial"/>
          <w:sz w:val="17"/>
          <w:szCs w:val="17"/>
          <w:color w:val="auto"/>
        </w:rPr>
      </w:pPr>
    </w:p>
    <w:p>
      <w:pPr>
        <w:ind w:right="40" w:firstLine="620"/>
        <w:spacing w:after="0" w:line="277" w:lineRule="auto"/>
        <w:tabs>
          <w:tab w:leader="none" w:pos="85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Team Members acknowledge that all patent applications relating to Project Technology, to the extent they cover inventions made by Team Members, will be filed in the name of BIRAD, except in cases where BIRAD believes that it is necessary that the patent applications be filed in the name of Team Members and then assigned to BIRAD. Each of the Team Members agrees, at BIRAD's request, to assist BIRAD to file and obtain, and if needed to enforce, any patent or patent application relating to the Project Technology in any country requested by BIRAD. Such assistance may include signing, verifying and delivering to BIRAD such documents, and performing such other acts (including appearances as a witness), as BIRAD may reasonably request for use in applying for, obtaining, perfecting, evidencing, sustaining and enforcing such patents and patent applications and confirming their assignment to BIRAD.</w:t>
      </w:r>
    </w:p>
    <w:p>
      <w:pPr>
        <w:spacing w:after="0" w:line="192" w:lineRule="exact"/>
        <w:rPr>
          <w:rFonts w:ascii="Arial" w:cs="Arial" w:eastAsia="Arial" w:hAnsi="Arial"/>
          <w:sz w:val="16"/>
          <w:szCs w:val="16"/>
          <w:color w:val="auto"/>
        </w:rPr>
      </w:pPr>
    </w:p>
    <w:p>
      <w:pPr>
        <w:ind w:right="20" w:firstLine="620"/>
        <w:spacing w:after="0" w:line="259" w:lineRule="auto"/>
        <w:tabs>
          <w:tab w:leader="none" w:pos="86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In the event BIRAD is unable for any reason, after reasonable effort, to secure a Team Member's signature on any document needed in connection with the actions specified in this clause 2, such Team Member hereby irrevocably designates and appoints BIRAD and its duly authorized officers and agents as such Team Member's agent and attorney in fact, which appointment is coupled with an interest, to act for and in such Team Member's behalf to sign, verify and file any such documents and to do all other lawfully permitted acts to further the purposes of this clause 2 with the same legal force and effect as if executed by such Team Member.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61" w:name="page362"/>
    <w:bookmarkEnd w:id="361"/>
    <w:p>
      <w:pPr>
        <w:ind w:left="177" w:hanging="177"/>
        <w:spacing w:after="0"/>
        <w:tabs>
          <w:tab w:leader="none" w:pos="17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Confidentiality and Publications.</w:t>
      </w:r>
    </w:p>
    <w:p>
      <w:pPr>
        <w:spacing w:after="0" w:line="241" w:lineRule="exact"/>
        <w:rPr>
          <w:rFonts w:ascii="Arial" w:cs="Arial" w:eastAsia="Arial" w:hAnsi="Arial"/>
          <w:sz w:val="17"/>
          <w:szCs w:val="17"/>
          <w:color w:val="auto"/>
        </w:rPr>
      </w:pPr>
    </w:p>
    <w:p>
      <w:pPr>
        <w:ind w:left="-3" w:right="60" w:firstLine="620"/>
        <w:spacing w:after="0" w:line="292" w:lineRule="auto"/>
        <w:tabs>
          <w:tab w:leader="none" w:pos="847" w:val="left"/>
        </w:tabs>
        <w:numPr>
          <w:ilvl w:val="1"/>
          <w:numId w:val="277"/>
        </w:numPr>
        <w:rPr>
          <w:rFonts w:ascii="Arial" w:cs="Arial" w:eastAsia="Arial" w:hAnsi="Arial"/>
          <w:sz w:val="15"/>
          <w:szCs w:val="15"/>
          <w:color w:val="auto"/>
        </w:rPr>
      </w:pPr>
      <w:r>
        <w:rPr>
          <w:rFonts w:ascii="Arial" w:cs="Arial" w:eastAsia="Arial" w:hAnsi="Arial"/>
          <w:sz w:val="15"/>
          <w:szCs w:val="15"/>
          <w:color w:val="auto"/>
        </w:rPr>
        <w:t>Each Team Member undertakes to keep confidential and not to disclose or use (other than for the furtherance of the Project) any Project Technology or BioLine Confidential Information to any person or entity other than a fellow Team Member, an employee of BIRAD, or an employee, officer or director of BioLine, except and to the extent that s/he is instructed or authorized to do so by BIRAD. This obligation of confidentiality does not apply to any portion of the Project Technology that is in the public domain (other than through the fault of such Team Member), nor does it apply to information included in scientific publications that have been approved by BIRAD prior to publication. "BioLine Confidential Information" means any scientific, technical, trade or business information relating to the Sponsored Research designated as confidential or which otherwise should reasonably be construed under the circumstances as being confidential disclosed by or on behalf of BioLine to a Team Member, except to the extent such information: (i) was known to such Team Member at the time it was disclosed, other than by previous disclosure by or on behalf of BioLine, as evidenced by such Team Member's written records at the time of disclosure; (ii) is at the time of disclosure or later becomes publicly known under circumstances involving no breach of this Letter; (iii) is lawfully and in good faith made available to the Team Member by a third party who is not subject to obligations of confidentiality to BioLine or BIRAD with respect to such information; or (iv) is independently developed by the Team Member without the use of or reference to BioLine Confidential Information, as demonstrated by documentary evidence.</w:t>
      </w:r>
    </w:p>
    <w:p>
      <w:pPr>
        <w:spacing w:after="0" w:line="186" w:lineRule="exact"/>
        <w:rPr>
          <w:rFonts w:ascii="Arial" w:cs="Arial" w:eastAsia="Arial" w:hAnsi="Arial"/>
          <w:sz w:val="15"/>
          <w:szCs w:val="15"/>
          <w:color w:val="auto"/>
        </w:rPr>
      </w:pPr>
    </w:p>
    <w:p>
      <w:pPr>
        <w:ind w:left="-3" w:firstLine="620"/>
        <w:spacing w:after="0" w:line="273" w:lineRule="auto"/>
        <w:tabs>
          <w:tab w:leader="none" w:pos="857"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In general, BIRAD will endeavor to assist the Team Members in facilitating publications relating to Project Technology and BIRAD agrees not to unreasonably withhold its approval of publications, except to the extent described in this paragraph. In order to permit BIRAD to comply with its obligations to BioLine and the opportunity to properly protect patent and proprietary rights relating to information included in such proposed publications, the Team Members agree to provide BIRAD with a copy of each proposed publication at least forty (40) days in advance of the contemplated submission for publication to permit BIRAD to review such submission to determine whether the publication or presentation contains subject matter for which patent protection should be sought prior to publication or presentation. BIRAD will review, and shall allow BioLine to review, such proposed publication. If BIRAD informs the Principal Investigator within thirty (30) days of the receipt of such proposed publication, that it wishes to seek protection with respect to material included within such proposed publication, then the Team Members will delay the submission of the publication or presentation for a further period of up to sixty (60) days (or longer if BIRAD notifies the Team Members that such additional period is required in order to make the necessary patent filings) to enable BIRAD to make the necessary patent filings.</w:t>
      </w:r>
    </w:p>
    <w:p>
      <w:pPr>
        <w:spacing w:after="0" w:line="200" w:lineRule="exact"/>
        <w:rPr>
          <w:rFonts w:ascii="Arial" w:cs="Arial" w:eastAsia="Arial" w:hAnsi="Arial"/>
          <w:sz w:val="16"/>
          <w:szCs w:val="16"/>
          <w:color w:val="auto"/>
        </w:rPr>
      </w:pPr>
    </w:p>
    <w:p>
      <w:pPr>
        <w:ind w:left="-3" w:right="480" w:firstLine="620"/>
        <w:spacing w:after="0" w:line="311" w:lineRule="auto"/>
        <w:tabs>
          <w:tab w:leader="none" w:pos="847"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Each Team Member's obligations under this clause 3 shall continue in full force and effect during the term such Team Member is involved with the Sponsored Research and for a period of seven (7) years after the termination of such Team Member's involvement with the Sponsored Research.</w:t>
      </w:r>
    </w:p>
    <w:p>
      <w:pPr>
        <w:spacing w:after="0" w:line="166" w:lineRule="exact"/>
        <w:rPr>
          <w:rFonts w:ascii="Arial" w:cs="Arial" w:eastAsia="Arial" w:hAnsi="Arial"/>
          <w:sz w:val="16"/>
          <w:szCs w:val="16"/>
          <w:color w:val="auto"/>
        </w:rPr>
      </w:pPr>
    </w:p>
    <w:p>
      <w:pPr>
        <w:ind w:left="177" w:hanging="177"/>
        <w:spacing w:after="0"/>
        <w:tabs>
          <w:tab w:leader="none" w:pos="17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Distributions.</w:t>
      </w:r>
    </w:p>
    <w:p>
      <w:pPr>
        <w:spacing w:after="0" w:line="241" w:lineRule="exact"/>
        <w:rPr>
          <w:rFonts w:ascii="Arial" w:cs="Arial" w:eastAsia="Arial" w:hAnsi="Arial"/>
          <w:sz w:val="17"/>
          <w:szCs w:val="17"/>
          <w:color w:val="auto"/>
        </w:rPr>
      </w:pPr>
    </w:p>
    <w:p>
      <w:pPr>
        <w:jc w:val="both"/>
        <w:ind w:left="-3" w:right="120" w:firstLine="620"/>
        <w:spacing w:after="0" w:line="306" w:lineRule="auto"/>
        <w:tabs>
          <w:tab w:leader="none" w:pos="847" w:val="left"/>
        </w:tabs>
        <w:numPr>
          <w:ilvl w:val="1"/>
          <w:numId w:val="277"/>
        </w:numPr>
        <w:rPr>
          <w:rFonts w:ascii="Arial" w:cs="Arial" w:eastAsia="Arial" w:hAnsi="Arial"/>
          <w:sz w:val="15"/>
          <w:szCs w:val="15"/>
          <w:color w:val="auto"/>
        </w:rPr>
      </w:pPr>
      <w:r>
        <w:rPr>
          <w:rFonts w:ascii="Arial" w:cs="Arial" w:eastAsia="Arial" w:hAnsi="Arial"/>
          <w:sz w:val="15"/>
          <w:szCs w:val="15"/>
          <w:color w:val="auto"/>
        </w:rPr>
        <w:t>Those of the Team Members who are inventors of technologies included in patents relating to the Project Technology (together, the "Inventors") will be entitled, together, to receive from the proceeds received by BIRAD from the commercialization of Project Technologies the amounts determined in accordance with the rules and regulations in effect at Bar-Ilan, from time to time, relating to the allocation of the proceeds from the commercialization by BIRAD of inventions made by them. The total distributions received by all Team Members according to this clause are referred to in this Agreement as the "Distributions".</w:t>
      </w:r>
    </w:p>
    <w:p>
      <w:pPr>
        <w:spacing w:after="0" w:line="175" w:lineRule="exact"/>
        <w:rPr>
          <w:rFonts w:ascii="Arial" w:cs="Arial" w:eastAsia="Arial" w:hAnsi="Arial"/>
          <w:sz w:val="15"/>
          <w:szCs w:val="15"/>
          <w:color w:val="auto"/>
        </w:rPr>
      </w:pPr>
    </w:p>
    <w:p>
      <w:pPr>
        <w:ind w:left="-3" w:firstLine="620"/>
        <w:spacing w:after="0" w:line="347" w:lineRule="auto"/>
        <w:tabs>
          <w:tab w:leader="none" w:pos="857" w:val="left"/>
        </w:tabs>
        <w:numPr>
          <w:ilvl w:val="1"/>
          <w:numId w:val="277"/>
        </w:numPr>
        <w:rPr>
          <w:rFonts w:ascii="Arial" w:cs="Arial" w:eastAsia="Arial" w:hAnsi="Arial"/>
          <w:sz w:val="15"/>
          <w:szCs w:val="15"/>
          <w:color w:val="auto"/>
        </w:rPr>
      </w:pPr>
      <w:r>
        <w:rPr>
          <w:rFonts w:ascii="Arial" w:cs="Arial" w:eastAsia="Arial" w:hAnsi="Arial"/>
          <w:sz w:val="15"/>
          <w:szCs w:val="15"/>
          <w:color w:val="auto"/>
        </w:rPr>
        <w:t>The Distributions shall be allocated among the Inventors in accordance with the percentages set forth in Exhibit C hereto. The Team Members understand that this allocation of the Distributions among the Inventors is based on the contribution of each Inventor to the inventions included in the Existing Technology.</w:t>
      </w:r>
    </w:p>
    <w:p>
      <w:pPr>
        <w:spacing w:after="0" w:line="286"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362" w:name="page363"/>
    <w:bookmarkEnd w:id="362"/>
    <w:p>
      <w:pPr>
        <w:ind w:left="-3" w:firstLine="620"/>
        <w:spacing w:after="0" w:line="257" w:lineRule="auto"/>
        <w:tabs>
          <w:tab w:leader="none" w:pos="847" w:val="left"/>
        </w:tabs>
        <w:numPr>
          <w:ilvl w:val="1"/>
          <w:numId w:val="278"/>
        </w:numPr>
        <w:rPr>
          <w:rFonts w:ascii="Arial" w:cs="Arial" w:eastAsia="Arial" w:hAnsi="Arial"/>
          <w:sz w:val="17"/>
          <w:szCs w:val="17"/>
          <w:color w:val="auto"/>
        </w:rPr>
      </w:pPr>
      <w:r>
        <w:rPr>
          <w:rFonts w:ascii="Arial" w:cs="Arial" w:eastAsia="Arial" w:hAnsi="Arial"/>
          <w:sz w:val="17"/>
          <w:szCs w:val="17"/>
          <w:color w:val="auto"/>
        </w:rPr>
        <w:t>Each of the Team Members agrees that if , in the Principal Investigator ' s judgment, a change in the Sponsored Research; the composition of the research team or the respective contributions of the Inventors to the Project Technology being commercialized justifies a change in the allocation of the Distributions among the Inventors , the Principal Investigator will decide, at his sole discretion , on an amended allocation of the Distributions . Such change may include: (i) additions of persons to the list of inventors entitled to a share of the Distributions; (ii) deletion of certain persons from the list of Inventors entitled to Distributions ; (iii) changes in the respective share of the Distributions an Inventor is entitled to; and/or (iv) any other change deemed by the Principal Investigator to be appropriate, in his absolute discretion.</w:t>
      </w:r>
    </w:p>
    <w:p>
      <w:pPr>
        <w:spacing w:after="0" w:line="210" w:lineRule="exact"/>
        <w:rPr>
          <w:rFonts w:ascii="Arial" w:cs="Arial" w:eastAsia="Arial" w:hAnsi="Arial"/>
          <w:sz w:val="17"/>
          <w:szCs w:val="17"/>
          <w:color w:val="auto"/>
        </w:rPr>
      </w:pPr>
    </w:p>
    <w:p>
      <w:pPr>
        <w:ind w:left="-3" w:right="680" w:firstLine="620"/>
        <w:spacing w:after="0" w:line="278" w:lineRule="auto"/>
        <w:tabs>
          <w:tab w:leader="none" w:pos="857"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Any change made pursuant to clause 4(c) will only affect Distributions paid after the date of the relevant change. It will not affect Distributions distributed to individual Inventors prior to the relevant change.</w:t>
      </w:r>
    </w:p>
    <w:p>
      <w:pPr>
        <w:spacing w:after="0" w:line="190" w:lineRule="exact"/>
        <w:rPr>
          <w:rFonts w:ascii="Arial" w:cs="Arial" w:eastAsia="Arial" w:hAnsi="Arial"/>
          <w:sz w:val="17"/>
          <w:szCs w:val="17"/>
          <w:color w:val="auto"/>
        </w:rPr>
      </w:pPr>
    </w:p>
    <w:p>
      <w:pPr>
        <w:ind w:left="-3" w:right="60" w:firstLine="620"/>
        <w:spacing w:after="0" w:line="261" w:lineRule="auto"/>
        <w:tabs>
          <w:tab w:leader="none" w:pos="847" w:val="left"/>
        </w:tabs>
        <w:numPr>
          <w:ilvl w:val="1"/>
          <w:numId w:val="278"/>
        </w:numPr>
        <w:rPr>
          <w:rFonts w:ascii="Arial" w:cs="Arial" w:eastAsia="Arial" w:hAnsi="Arial"/>
          <w:sz w:val="17"/>
          <w:szCs w:val="17"/>
          <w:color w:val="auto"/>
        </w:rPr>
      </w:pPr>
      <w:r>
        <w:rPr>
          <w:rFonts w:ascii="Arial" w:cs="Arial" w:eastAsia="Arial" w:hAnsi="Arial"/>
          <w:sz w:val="17"/>
          <w:szCs w:val="17"/>
          <w:color w:val="auto"/>
        </w:rPr>
        <w:t>Each of the Team Members agrees that, if a Team Member disputes a decision made by the Principal Investigator pursuant to this clause 4, or if there is more than one Principal Investigator and they are unable to reach agreement between them regarding the allocation of Distributions among Inventors pursuant to this clause 4, then the matter will be finally resolved by the Vice President and Dean for Research of Bar-Ilan followed by confirmation of such determination by the President of Bar-Ilan.</w:t>
      </w:r>
    </w:p>
    <w:p>
      <w:pPr>
        <w:spacing w:after="0" w:line="204" w:lineRule="exact"/>
        <w:rPr>
          <w:rFonts w:ascii="Arial" w:cs="Arial" w:eastAsia="Arial" w:hAnsi="Arial"/>
          <w:sz w:val="17"/>
          <w:szCs w:val="17"/>
          <w:color w:val="auto"/>
        </w:rPr>
      </w:pPr>
    </w:p>
    <w:p>
      <w:pPr>
        <w:jc w:val="both"/>
        <w:ind w:left="-3" w:right="120" w:firstLine="3"/>
        <w:spacing w:after="0" w:line="265" w:lineRule="auto"/>
        <w:tabs>
          <w:tab w:leader="none" w:pos="1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No Other Consideration. Notwithstanding anything to the contrary in the terms of employment of the Team Members, the Team Members agree that they will not be entitled to any consideration or benefits of any nature in connection with or arising out of the commercialization of Project Technology, other than as specifically set forth in clause 4 above with respect to Inventors.</w:t>
      </w:r>
    </w:p>
    <w:p>
      <w:pPr>
        <w:spacing w:after="0" w:line="201" w:lineRule="exact"/>
        <w:rPr>
          <w:rFonts w:ascii="Arial" w:cs="Arial" w:eastAsia="Arial" w:hAnsi="Arial"/>
          <w:sz w:val="17"/>
          <w:szCs w:val="17"/>
          <w:color w:val="auto"/>
        </w:rPr>
      </w:pPr>
    </w:p>
    <w:p>
      <w:pPr>
        <w:ind w:left="-3" w:right="200" w:firstLine="3"/>
        <w:spacing w:after="0" w:line="265" w:lineRule="auto"/>
        <w:tabs>
          <w:tab w:leader="none" w:pos="1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Taxes. Each Inventor will bear and pay any taxes imposed on such Team Member with respect to his/her share of Distributions. BIRAD and Bar-Ilan will be entitled to withhold, deduct or pay any withholding taxes and/or any other deductions or payments that BIRAD or Bar-Ilan may be required under law to withhold, deduct or pay with respect to any Distributions received by any Team Member.</w:t>
      </w:r>
    </w:p>
    <w:p>
      <w:pPr>
        <w:spacing w:after="0" w:line="201" w:lineRule="exact"/>
        <w:rPr>
          <w:rFonts w:ascii="Arial" w:cs="Arial" w:eastAsia="Arial" w:hAnsi="Arial"/>
          <w:sz w:val="17"/>
          <w:szCs w:val="17"/>
          <w:color w:val="auto"/>
        </w:rPr>
      </w:pPr>
    </w:p>
    <w:p>
      <w:pPr>
        <w:ind w:left="-3" w:right="20" w:firstLine="3"/>
        <w:spacing w:after="0" w:line="261" w:lineRule="auto"/>
        <w:tabs>
          <w:tab w:leader="none" w:pos="1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Execution by New Team Members. The Principal Investigator undertakes to notify BIRAD and Bar-Ilan immediately of any new faculty member, post-doctoral fellow, student or other researcher who is to participate in the performance of the Sponsored Research. After consultation with the Principal Investigator, BIRAD will decide whether such new researcher should, sign this Letter as a Team Member. If BIRAD determines that such new researcher should sign this Letter, the Principal Investigator will cause such new researcher to sign this Letter prior to performing Sponsored Research.</w:t>
      </w:r>
    </w:p>
    <w:p>
      <w:pPr>
        <w:spacing w:after="0" w:line="346"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77"/>
          </w:cols>
          <w:pgMar w:left="243" w:top="500" w:right="279" w:bottom="1440" w:gutter="0" w:footer="0" w:header="0"/>
        </w:sectPr>
      </w:pPr>
    </w:p>
    <w:bookmarkStart w:id="363" w:name="page364"/>
    <w:bookmarkEnd w:id="363"/>
    <w:p>
      <w:pPr>
        <w:spacing w:after="0" w:line="278" w:lineRule="auto"/>
        <w:rPr>
          <w:sz w:val="20"/>
          <w:szCs w:val="20"/>
          <w:color w:val="auto"/>
        </w:rPr>
      </w:pPr>
      <w:r>
        <w:rPr>
          <w:rFonts w:ascii="Arial" w:cs="Arial" w:eastAsia="Arial" w:hAnsi="Arial"/>
          <w:sz w:val="17"/>
          <w:szCs w:val="17"/>
          <w:color w:val="auto"/>
        </w:rPr>
        <w:t>If the terms and provisions of this Letter are acceptable to you, please indicate your acceptance by signing in the space indicated below (if you are the Principal Investigator) or on Exhibit A (if you are a Researcher).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gridSpan w:val="4"/>
          </w:tcPr>
          <w:p>
            <w:pPr>
              <w:spacing w:after="0"/>
              <w:rPr>
                <w:sz w:val="20"/>
                <w:szCs w:val="20"/>
                <w:color w:val="auto"/>
              </w:rPr>
            </w:pPr>
            <w:r>
              <w:rPr>
                <w:rFonts w:ascii="Arial" w:cs="Arial" w:eastAsia="Arial" w:hAnsi="Arial"/>
                <w:sz w:val="17"/>
                <w:szCs w:val="17"/>
                <w:color w:val="auto"/>
              </w:rPr>
              <w:t>Sincerely,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426"/>
        </w:trPr>
        <w:tc>
          <w:tcPr>
            <w:tcW w:w="4640" w:type="dxa"/>
            <w:vAlign w:val="bottom"/>
            <w:gridSpan w:val="4"/>
          </w:tcPr>
          <w:p>
            <w:pPr>
              <w:spacing w:after="0"/>
              <w:rPr>
                <w:sz w:val="20"/>
                <w:szCs w:val="20"/>
                <w:color w:val="auto"/>
              </w:rPr>
            </w:pPr>
            <w:r>
              <w:rPr>
                <w:rFonts w:ascii="Arial" w:cs="Arial" w:eastAsia="Arial" w:hAnsi="Arial"/>
                <w:sz w:val="17"/>
                <w:szCs w:val="17"/>
                <w:color w:val="auto"/>
              </w:rPr>
              <w:t>Bar-Ilan Research and Development</w:t>
            </w:r>
          </w:p>
        </w:tc>
        <w:tc>
          <w:tcPr>
            <w:tcW w:w="5640" w:type="dxa"/>
            <w:vAlign w:val="bottom"/>
            <w:gridSpan w:val="4"/>
          </w:tcPr>
          <w:p>
            <w:pPr>
              <w:ind w:left="1020"/>
              <w:spacing w:after="0"/>
              <w:rPr>
                <w:sz w:val="20"/>
                <w:szCs w:val="20"/>
                <w:color w:val="auto"/>
              </w:rPr>
            </w:pPr>
            <w:r>
              <w:rPr>
                <w:rFonts w:ascii="Arial" w:cs="Arial" w:eastAsia="Arial" w:hAnsi="Arial"/>
                <w:sz w:val="17"/>
                <w:szCs w:val="17"/>
                <w:color w:val="auto"/>
              </w:rPr>
              <w:t>Bar-Ilan University</w:t>
            </w:r>
          </w:p>
        </w:tc>
      </w:tr>
      <w:tr>
        <w:trPr>
          <w:trHeight w:val="217"/>
        </w:trPr>
        <w:tc>
          <w:tcPr>
            <w:tcW w:w="4640" w:type="dxa"/>
            <w:vAlign w:val="bottom"/>
            <w:gridSpan w:val="4"/>
          </w:tcPr>
          <w:p>
            <w:pPr>
              <w:spacing w:after="0"/>
              <w:rPr>
                <w:sz w:val="20"/>
                <w:szCs w:val="20"/>
                <w:color w:val="auto"/>
              </w:rPr>
            </w:pPr>
            <w:r>
              <w:rPr>
                <w:rFonts w:ascii="Arial" w:cs="Arial" w:eastAsia="Arial" w:hAnsi="Arial"/>
                <w:sz w:val="17"/>
                <w:szCs w:val="17"/>
                <w:color w:val="auto"/>
              </w:rPr>
              <w:t>Company Ltd.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419"/>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gridSpan w:val="3"/>
          </w:tcPr>
          <w:p>
            <w:pPr>
              <w:spacing w:after="0"/>
              <w:rPr>
                <w:sz w:val="24"/>
                <w:szCs w:val="24"/>
                <w:color w:val="auto"/>
              </w:rPr>
            </w:pPr>
          </w:p>
        </w:tc>
        <w:tc>
          <w:tcPr>
            <w:tcW w:w="1540" w:type="dxa"/>
            <w:vAlign w:val="bottom"/>
          </w:tcPr>
          <w:p>
            <w:pPr>
              <w:ind w:left="1020"/>
              <w:spacing w:after="0"/>
              <w:rPr>
                <w:sz w:val="20"/>
                <w:szCs w:val="20"/>
                <w:color w:val="auto"/>
              </w:rPr>
            </w:pPr>
            <w:r>
              <w:rPr>
                <w:rFonts w:ascii="Arial" w:cs="Arial" w:eastAsia="Arial" w:hAnsi="Arial"/>
                <w:sz w:val="17"/>
                <w:szCs w:val="17"/>
                <w:color w:val="auto"/>
              </w:rPr>
              <w:t>By:</w:t>
            </w:r>
          </w:p>
        </w:tc>
        <w:tc>
          <w:tcPr>
            <w:tcW w:w="4100" w:type="dxa"/>
            <w:vAlign w:val="bottom"/>
            <w:tcBorders>
              <w:bottom w:val="single" w:sz="8" w:color="auto"/>
            </w:tcBorders>
            <w:gridSpan w:val="3"/>
          </w:tcPr>
          <w:p>
            <w:pPr>
              <w:spacing w:after="0"/>
              <w:rPr>
                <w:sz w:val="24"/>
                <w:szCs w:val="24"/>
                <w:color w:val="auto"/>
              </w:rPr>
            </w:pPr>
          </w:p>
        </w:tc>
      </w:tr>
      <w:tr>
        <w:trPr>
          <w:trHeight w:val="443"/>
        </w:trPr>
        <w:tc>
          <w:tcPr>
            <w:tcW w:w="720" w:type="dxa"/>
            <w:vAlign w:val="bottom"/>
            <w:gridSpan w:val="3"/>
          </w:tcPr>
          <w:p>
            <w:pPr>
              <w:spacing w:after="0"/>
              <w:rPr>
                <w:sz w:val="20"/>
                <w:szCs w:val="20"/>
                <w:color w:val="auto"/>
              </w:rPr>
            </w:pPr>
            <w:r>
              <w:rPr>
                <w:rFonts w:ascii="Arial" w:cs="Arial" w:eastAsia="Arial" w:hAnsi="Arial"/>
                <w:sz w:val="17"/>
                <w:szCs w:val="17"/>
                <w:color w:val="auto"/>
              </w:rPr>
              <w:t>Name:</w:t>
            </w:r>
          </w:p>
        </w:tc>
        <w:tc>
          <w:tcPr>
            <w:tcW w:w="3920" w:type="dxa"/>
            <w:vAlign w:val="bottom"/>
            <w:tcBorders>
              <w:bottom w:val="single" w:sz="8" w:color="auto"/>
            </w:tcBorders>
          </w:tcPr>
          <w:p>
            <w:pPr>
              <w:spacing w:after="0"/>
              <w:rPr>
                <w:sz w:val="24"/>
                <w:szCs w:val="24"/>
                <w:color w:val="auto"/>
              </w:rPr>
            </w:pPr>
          </w:p>
        </w:tc>
        <w:tc>
          <w:tcPr>
            <w:tcW w:w="1740" w:type="dxa"/>
            <w:vAlign w:val="bottom"/>
            <w:gridSpan w:val="3"/>
          </w:tcPr>
          <w:p>
            <w:pPr>
              <w:ind w:left="1020"/>
              <w:spacing w:after="0"/>
              <w:rPr>
                <w:sz w:val="20"/>
                <w:szCs w:val="20"/>
                <w:color w:val="auto"/>
              </w:rPr>
            </w:pPr>
            <w:r>
              <w:rPr>
                <w:rFonts w:ascii="Arial" w:cs="Arial" w:eastAsia="Arial" w:hAnsi="Arial"/>
                <w:sz w:val="17"/>
                <w:szCs w:val="17"/>
                <w:color w:val="auto"/>
              </w:rPr>
              <w:t>Name:</w:t>
            </w:r>
          </w:p>
        </w:tc>
        <w:tc>
          <w:tcPr>
            <w:tcW w:w="3900" w:type="dxa"/>
            <w:vAlign w:val="bottom"/>
            <w:tcBorders>
              <w:bottom w:val="single" w:sz="8" w:color="auto"/>
            </w:tcBorders>
          </w:tcPr>
          <w:p>
            <w:pPr>
              <w:spacing w:after="0"/>
              <w:rPr>
                <w:sz w:val="24"/>
                <w:szCs w:val="24"/>
                <w:color w:val="auto"/>
              </w:rPr>
            </w:pPr>
          </w:p>
        </w:tc>
      </w:tr>
      <w:tr>
        <w:trPr>
          <w:trHeight w:val="443"/>
        </w:trPr>
        <w:tc>
          <w:tcPr>
            <w:tcW w:w="620" w:type="dxa"/>
            <w:vAlign w:val="bottom"/>
            <w:gridSpan w:val="2"/>
          </w:tcPr>
          <w:p>
            <w:pPr>
              <w:spacing w:after="0"/>
              <w:rPr>
                <w:sz w:val="20"/>
                <w:szCs w:val="20"/>
                <w:color w:val="auto"/>
              </w:rPr>
            </w:pPr>
            <w:r>
              <w:rPr>
                <w:rFonts w:ascii="Arial" w:cs="Arial" w:eastAsia="Arial" w:hAnsi="Arial"/>
                <w:sz w:val="17"/>
                <w:szCs w:val="17"/>
                <w:color w:val="auto"/>
              </w:rPr>
              <w:t>Title:</w:t>
            </w:r>
          </w:p>
        </w:tc>
        <w:tc>
          <w:tcPr>
            <w:tcW w:w="4020" w:type="dxa"/>
            <w:vAlign w:val="bottom"/>
            <w:tcBorders>
              <w:bottom w:val="single" w:sz="8" w:color="auto"/>
            </w:tcBorders>
            <w:gridSpan w:val="2"/>
          </w:tcPr>
          <w:p>
            <w:pPr>
              <w:spacing w:after="0"/>
              <w:rPr>
                <w:sz w:val="24"/>
                <w:szCs w:val="24"/>
                <w:color w:val="auto"/>
              </w:rPr>
            </w:pPr>
          </w:p>
        </w:tc>
        <w:tc>
          <w:tcPr>
            <w:tcW w:w="1640" w:type="dxa"/>
            <w:vAlign w:val="bottom"/>
            <w:gridSpan w:val="2"/>
          </w:tcPr>
          <w:p>
            <w:pPr>
              <w:ind w:left="1020"/>
              <w:spacing w:after="0"/>
              <w:rPr>
                <w:sz w:val="20"/>
                <w:szCs w:val="20"/>
                <w:color w:val="auto"/>
              </w:rPr>
            </w:pPr>
            <w:r>
              <w:rPr>
                <w:rFonts w:ascii="Arial" w:cs="Arial" w:eastAsia="Arial" w:hAnsi="Arial"/>
                <w:sz w:val="17"/>
                <w:szCs w:val="17"/>
                <w:color w:val="auto"/>
              </w:rPr>
              <w:t>Title:</w:t>
            </w:r>
          </w:p>
        </w:tc>
        <w:tc>
          <w:tcPr>
            <w:tcW w:w="4000" w:type="dxa"/>
            <w:vAlign w:val="bottom"/>
            <w:tcBorders>
              <w:bottom w:val="single" w:sz="8" w:color="auto"/>
            </w:tcBorders>
            <w:gridSpan w:val="2"/>
          </w:tcPr>
          <w:p>
            <w:pPr>
              <w:spacing w:after="0"/>
              <w:rPr>
                <w:sz w:val="24"/>
                <w:szCs w:val="24"/>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have read this Letter and I understand its contents. I hereby agree to and accept the terms and conditions of this Letter.</w:t>
      </w:r>
    </w:p>
    <w:p>
      <w:pPr>
        <w:spacing w:after="0" w:line="38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940"/>
          </w:cols>
          <w:pgMar w:left="240" w:top="500" w:right="719" w:bottom="1440" w:gutter="0" w:footer="0" w:header="0"/>
        </w:sectPr>
      </w:pPr>
    </w:p>
    <w:bookmarkStart w:id="364" w:name="page365"/>
    <w:bookmarkEnd w:id="364"/>
    <w:p>
      <w:pPr>
        <w:jc w:val="right"/>
        <w:spacing w:after="0"/>
        <w:rPr>
          <w:sz w:val="20"/>
          <w:szCs w:val="20"/>
          <w:color w:val="auto"/>
        </w:rPr>
      </w:pPr>
      <w:r>
        <w:rPr>
          <w:rFonts w:ascii="Arial" w:cs="Arial" w:eastAsia="Arial" w:hAnsi="Arial"/>
          <w:sz w:val="17"/>
          <w:szCs w:val="17"/>
          <w:color w:val="auto"/>
        </w:rPr>
        <w:t>EXHIBIT 4.9</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June __, 2004</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Hartum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91450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Attn: CEO</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42" w:lineRule="exact"/>
        <w:rPr>
          <w:sz w:val="20"/>
          <w:szCs w:val="20"/>
          <w:color w:val="auto"/>
        </w:rPr>
      </w:pPr>
    </w:p>
    <w:p>
      <w:pPr>
        <w:ind w:left="1080" w:right="80" w:hanging="459"/>
        <w:spacing w:after="0" w:line="278" w:lineRule="auto"/>
        <w:tabs>
          <w:tab w:leader="none" w:pos="106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First Amendment of Research and License Agreement, Dated April 15, 2004, by and Among BioLineRX Ltd., Ramot at Tel Aviv University, Ltd and Bar-Ilan Research and Development Company Ltd. the "Agreement")</w:t>
      </w:r>
    </w:p>
    <w:p>
      <w:pPr>
        <w:spacing w:after="0" w:line="190"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You have brought to our attention the fact that Section 9.1.1 of the Agreement (Licensor Confidential Information) has created a problem with respect to your ability to enter into agreements with potential contractors/collaborators and to attract investors. Specifically, the provision states that your obligations of confidentiality and non-use (other than for the purposes of the Agreement) remain in effect during the term of the agreement, and for five (5) years thereafter. As you have explained to us, potential contractors/collaborators are unwilling to be bound by such confidentiality and non-use obligations with respect to the Confidential Information (as defined in the Agreement) for such undefined term. Therefore, in order to enable you to continue to develop Licensed Product (as defined in the Agreement) and to exercise your rights and fulfill your obligations under the Agreement, we hereby agree to amend the agreement as follows, effective immediately: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shall be inserted at the end of Section 9.1.1:</w:t>
      </w:r>
    </w:p>
    <w:p>
      <w:pPr>
        <w:spacing w:after="0" w:line="24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"Notwithstanding anything to the contrary in this Section 9.1.1, Bioline may disclose Licensor Confidential Information to actual and potential business partners, collaborators, investors, contractors, service providers and consultants, provided, in each case, that such recipient of Confidential Information first enters into a legally binding agreement with BioLine which imposes confidentiality and non-use obligations with respect to Confidential Information comparable to those set forth in this Agreement for a period of least five (5) from the date of disclosure of Licensor Confidential Information to such recipient."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All other provisions of the Agreement shall remain unchanged.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agreement to the above amendment to the Agreement by signing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7"/>
                <w:szCs w:val="17"/>
                <w:color w:val="auto"/>
              </w:rPr>
              <w:t>Sincerely,</w:t>
            </w:r>
          </w:p>
        </w:tc>
        <w:tc>
          <w:tcPr>
            <w:tcW w:w="1380" w:type="dxa"/>
            <w:vAlign w:val="bottom"/>
          </w:tcPr>
          <w:p>
            <w:pPr>
              <w:spacing w:after="0"/>
              <w:rPr>
                <w:sz w:val="18"/>
                <w:szCs w:val="18"/>
                <w:color w:val="auto"/>
              </w:rPr>
            </w:pPr>
          </w:p>
        </w:tc>
      </w:tr>
      <w:tr>
        <w:trPr>
          <w:trHeight w:val="401"/>
        </w:trPr>
        <w:tc>
          <w:tcPr>
            <w:tcW w:w="4920" w:type="dxa"/>
            <w:vAlign w:val="bottom"/>
            <w:gridSpan w:val="4"/>
          </w:tcPr>
          <w:p>
            <w:pPr>
              <w:spacing w:after="0"/>
              <w:rPr>
                <w:sz w:val="20"/>
                <w:szCs w:val="20"/>
                <w:color w:val="auto"/>
              </w:rPr>
            </w:pPr>
            <w:r>
              <w:rPr>
                <w:rFonts w:ascii="Arial" w:cs="Arial" w:eastAsia="Arial" w:hAnsi="Arial"/>
                <w:sz w:val="17"/>
                <w:szCs w:val="17"/>
                <w:color w:val="auto"/>
              </w:rPr>
              <w:t>Ramot at Tel Aviv University Ltd.</w:t>
            </w:r>
          </w:p>
        </w:tc>
        <w:tc>
          <w:tcPr>
            <w:tcW w:w="5120" w:type="dxa"/>
            <w:vAlign w:val="bottom"/>
            <w:gridSpan w:val="3"/>
          </w:tcPr>
          <w:p>
            <w:pPr>
              <w:ind w:left="220"/>
              <w:spacing w:after="0"/>
              <w:rPr>
                <w:sz w:val="20"/>
                <w:szCs w:val="20"/>
                <w:color w:val="auto"/>
              </w:rPr>
            </w:pPr>
            <w:r>
              <w:rPr>
                <w:rFonts w:ascii="Arial" w:cs="Arial" w:eastAsia="Arial" w:hAnsi="Arial"/>
                <w:sz w:val="17"/>
                <w:szCs w:val="17"/>
                <w:color w:val="auto"/>
              </w:rPr>
              <w:t>Bar-Ilan Research and Development</w:t>
            </w:r>
          </w:p>
        </w:tc>
        <w:tc>
          <w:tcPr>
            <w:tcW w:w="1380" w:type="dxa"/>
            <w:vAlign w:val="bottom"/>
          </w:tcPr>
          <w:p>
            <w:pPr>
              <w:spacing w:after="0"/>
              <w:rPr>
                <w:sz w:val="24"/>
                <w:szCs w:val="24"/>
                <w:color w:val="auto"/>
              </w:rPr>
            </w:pPr>
          </w:p>
        </w:tc>
      </w:tr>
      <w:tr>
        <w:trPr>
          <w:trHeight w:val="217"/>
        </w:trPr>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7"/>
                <w:szCs w:val="17"/>
                <w:color w:val="auto"/>
              </w:rPr>
              <w:t>Company Ltd.</w:t>
            </w:r>
          </w:p>
        </w:tc>
        <w:tc>
          <w:tcPr>
            <w:tcW w:w="1380" w:type="dxa"/>
            <w:vAlign w:val="bottom"/>
          </w:tcPr>
          <w:p>
            <w:pPr>
              <w:spacing w:after="0"/>
              <w:rPr>
                <w:sz w:val="18"/>
                <w:szCs w:val="18"/>
                <w:color w:val="auto"/>
              </w:rPr>
            </w:pPr>
          </w:p>
        </w:tc>
      </w:tr>
      <w:tr>
        <w:trPr>
          <w:trHeight w:val="419"/>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43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/s/ ISAAC KOHLBERG</w:t>
            </w:r>
          </w:p>
        </w:tc>
        <w:tc>
          <w:tcPr>
            <w:tcW w:w="820" w:type="dxa"/>
            <w:vAlign w:val="bottom"/>
            <w:gridSpan w:val="2"/>
          </w:tcPr>
          <w:p>
            <w:pPr>
              <w:ind w:left="220"/>
              <w:spacing w:after="0"/>
              <w:rPr>
                <w:sz w:val="20"/>
                <w:szCs w:val="20"/>
                <w:color w:val="auto"/>
              </w:rPr>
            </w:pPr>
            <w:r>
              <w:rPr>
                <w:rFonts w:ascii="Arial" w:cs="Arial" w:eastAsia="Arial" w:hAnsi="Arial"/>
                <w:sz w:val="17"/>
                <w:szCs w:val="17"/>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 GABRIEL KENAN</w:t>
            </w:r>
          </w:p>
        </w:tc>
        <w:tc>
          <w:tcPr>
            <w:tcW w:w="1380" w:type="dxa"/>
            <w:vAlign w:val="bottom"/>
          </w:tcPr>
          <w:p>
            <w:pPr>
              <w:spacing w:after="0"/>
              <w:rPr>
                <w:sz w:val="24"/>
                <w:szCs w:val="24"/>
                <w:color w:val="auto"/>
              </w:rPr>
            </w:pPr>
          </w:p>
        </w:tc>
      </w:tr>
      <w:tr>
        <w:trPr>
          <w:trHeight w:val="417"/>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3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ISAAC KOHLBERG</w:t>
            </w:r>
          </w:p>
        </w:tc>
        <w:tc>
          <w:tcPr>
            <w:tcW w:w="820" w:type="dxa"/>
            <w:vAlign w:val="bottom"/>
            <w:gridSpan w:val="2"/>
          </w:tcPr>
          <w:p>
            <w:pPr>
              <w:ind w:left="220"/>
              <w:spacing w:after="0"/>
              <w:rPr>
                <w:sz w:val="20"/>
                <w:szCs w:val="20"/>
                <w:color w:val="auto"/>
              </w:rPr>
            </w:pPr>
            <w:r>
              <w:rPr>
                <w:rFonts w:ascii="Arial" w:cs="Arial" w:eastAsia="Arial" w:hAnsi="Arial"/>
                <w:sz w:val="17"/>
                <w:szCs w:val="17"/>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GABRIEL KENAN</w:t>
            </w:r>
          </w:p>
        </w:tc>
        <w:tc>
          <w:tcPr>
            <w:tcW w:w="1380" w:type="dxa"/>
            <w:vAlign w:val="bottom"/>
          </w:tcPr>
          <w:p>
            <w:pPr>
              <w:spacing w:after="0"/>
              <w:rPr>
                <w:sz w:val="24"/>
                <w:szCs w:val="24"/>
                <w:color w:val="auto"/>
              </w:rPr>
            </w:pPr>
          </w:p>
        </w:tc>
      </w:tr>
      <w:tr>
        <w:trPr>
          <w:trHeight w:val="417"/>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CEO</w:t>
            </w:r>
          </w:p>
        </w:tc>
        <w:tc>
          <w:tcPr>
            <w:tcW w:w="2920" w:type="dxa"/>
            <w:vAlign w:val="bottom"/>
            <w:tcBorders>
              <w:bottom w:val="single" w:sz="8" w:color="auto"/>
            </w:tcBorders>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7"/>
                <w:szCs w:val="17"/>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CEO</w:t>
            </w:r>
          </w:p>
        </w:tc>
        <w:tc>
          <w:tcPr>
            <w:tcW w:w="1380" w:type="dxa"/>
            <w:vAlign w:val="bottom"/>
          </w:tcPr>
          <w:p>
            <w:pPr>
              <w:spacing w:after="0"/>
              <w:rPr>
                <w:sz w:val="24"/>
                <w:szCs w:val="24"/>
                <w:color w:val="auto"/>
              </w:rPr>
            </w:pPr>
          </w:p>
        </w:tc>
      </w:tr>
      <w:tr>
        <w:trPr>
          <w:trHeight w:val="436"/>
        </w:trPr>
        <w:tc>
          <w:tcPr>
            <w:tcW w:w="2000" w:type="dxa"/>
            <w:vAlign w:val="bottom"/>
            <w:gridSpan w:val="3"/>
          </w:tcPr>
          <w:p>
            <w:pPr>
              <w:spacing w:after="0"/>
              <w:rPr>
                <w:sz w:val="20"/>
                <w:szCs w:val="20"/>
                <w:color w:val="auto"/>
              </w:rPr>
            </w:pPr>
            <w:r>
              <w:rPr>
                <w:rFonts w:ascii="Arial" w:cs="Arial" w:eastAsia="Arial" w:hAnsi="Arial"/>
                <w:sz w:val="17"/>
                <w:szCs w:val="17"/>
                <w:b w:val="1"/>
                <w:bCs w:val="1"/>
                <w:color w:val="auto"/>
                <w:w w:val="98"/>
              </w:rPr>
              <w:t>Agreed to and Accepted:</w:t>
            </w:r>
          </w:p>
        </w:tc>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7"/>
        </w:trPr>
        <w:tc>
          <w:tcPr>
            <w:tcW w:w="2000" w:type="dxa"/>
            <w:vAlign w:val="bottom"/>
            <w:gridSpan w:val="3"/>
          </w:tcPr>
          <w:p>
            <w:pPr>
              <w:spacing w:after="0"/>
              <w:rPr>
                <w:sz w:val="20"/>
                <w:szCs w:val="20"/>
                <w:color w:val="auto"/>
              </w:rPr>
            </w:pPr>
            <w:r>
              <w:rPr>
                <w:rFonts w:ascii="Arial" w:cs="Arial" w:eastAsia="Arial" w:hAnsi="Arial"/>
                <w:sz w:val="17"/>
                <w:szCs w:val="17"/>
                <w:color w:val="auto"/>
              </w:rPr>
              <w:t>BioLineRx Ltd.</w:t>
            </w:r>
          </w:p>
        </w:tc>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 Yuri Shoshan</w:t>
            </w:r>
          </w:p>
        </w:tc>
        <w:tc>
          <w:tcPr>
            <w:tcW w:w="29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Morris Laster</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7"/>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2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Yuri Shoshan</w:t>
            </w:r>
          </w:p>
        </w:tc>
        <w:tc>
          <w:tcPr>
            <w:tcW w:w="29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Morris Laster</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7"/>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2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VP Finance</w:t>
            </w:r>
          </w:p>
        </w:tc>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CEO</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27"/>
        </w:trPr>
        <w:tc>
          <w:tcPr>
            <w:tcW w:w="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7"/>
          <w:szCs w:val="17"/>
          <w:color w:val="auto"/>
        </w:rPr>
        <w:t>EXHIBIT 4.10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AGREEMENT</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color w:val="auto"/>
        </w:rPr>
        <w:t>THIS AMENDMENT AGREEMENT, dated as of the 20th day of December, 2005, (the “</w:t>
      </w:r>
      <w:r>
        <w:rPr>
          <w:rFonts w:ascii="Arial" w:cs="Arial" w:eastAsia="Arial" w:hAnsi="Arial"/>
          <w:sz w:val="17"/>
          <w:szCs w:val="17"/>
          <w:b w:val="1"/>
          <w:bCs w:val="1"/>
          <w:color w:val="auto"/>
        </w:rPr>
        <w:t>Effective Date</w:t>
      </w:r>
      <w:r>
        <w:rPr>
          <w:rFonts w:ascii="Arial" w:cs="Arial" w:eastAsia="Arial" w:hAnsi="Arial"/>
          <w:sz w:val="17"/>
          <w:szCs w:val="17"/>
          <w:color w:val="auto"/>
        </w:rPr>
        <w:t>”), is entered into by and between BioLineRx Ltd. (“</w:t>
      </w:r>
      <w:r>
        <w:rPr>
          <w:rFonts w:ascii="Arial" w:cs="Arial" w:eastAsia="Arial" w:hAnsi="Arial"/>
          <w:sz w:val="17"/>
          <w:szCs w:val="17"/>
          <w:b w:val="1"/>
          <w:bCs w:val="1"/>
          <w:color w:val="auto"/>
        </w:rPr>
        <w:t>BioLine</w:t>
      </w:r>
      <w:r>
        <w:rPr>
          <w:rFonts w:ascii="Arial" w:cs="Arial" w:eastAsia="Arial" w:hAnsi="Arial"/>
          <w:sz w:val="17"/>
          <w:szCs w:val="17"/>
          <w:color w:val="auto"/>
        </w:rPr>
        <w:t>”), Bar-Ilan Research and Development Company Ltd. (“</w:t>
      </w:r>
      <w:r>
        <w:rPr>
          <w:rFonts w:ascii="Arial" w:cs="Arial" w:eastAsia="Arial" w:hAnsi="Arial"/>
          <w:sz w:val="17"/>
          <w:szCs w:val="17"/>
          <w:b w:val="1"/>
          <w:bCs w:val="1"/>
          <w:color w:val="auto"/>
        </w:rPr>
        <w:t>BIRAD</w:t>
      </w:r>
      <w:r>
        <w:rPr>
          <w:rFonts w:ascii="Arial" w:cs="Arial" w:eastAsia="Arial" w:hAnsi="Arial"/>
          <w:sz w:val="17"/>
          <w:szCs w:val="17"/>
          <w:color w:val="auto"/>
        </w:rPr>
        <w:t>”) and Ramot at Tel Aviv University Ltd. (“</w:t>
      </w:r>
      <w:r>
        <w:rPr>
          <w:rFonts w:ascii="Arial" w:cs="Arial" w:eastAsia="Arial" w:hAnsi="Arial"/>
          <w:sz w:val="17"/>
          <w:szCs w:val="17"/>
          <w:b w:val="1"/>
          <w:bCs w:val="1"/>
          <w:color w:val="auto"/>
        </w:rPr>
        <w:t>Ramot</w:t>
      </w:r>
      <w:r>
        <w:rPr>
          <w:rFonts w:ascii="Arial" w:cs="Arial" w:eastAsia="Arial" w:hAnsi="Arial"/>
          <w:sz w:val="17"/>
          <w:szCs w:val="17"/>
          <w:color w:val="auto"/>
        </w:rPr>
        <w:t>”, and together with BIRAD, the “</w:t>
      </w:r>
      <w:r>
        <w:rPr>
          <w:rFonts w:ascii="Arial" w:cs="Arial" w:eastAsia="Arial" w:hAnsi="Arial"/>
          <w:sz w:val="17"/>
          <w:szCs w:val="17"/>
          <w:b w:val="1"/>
          <w:bCs w:val="1"/>
          <w:color w:val="auto"/>
        </w:rPr>
        <w:t>Licensors</w:t>
      </w:r>
      <w:r>
        <w:rPr>
          <w:rFonts w:ascii="Arial" w:cs="Arial" w:eastAsia="Arial" w:hAnsi="Arial"/>
          <w:sz w:val="17"/>
          <w:szCs w:val="17"/>
          <w:color w:val="auto"/>
        </w:rPr>
        <w:t>”).</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color w:val="auto"/>
        </w:rPr>
        <w:t>WHEREAS, BioLine and the Licensors entered into that certain Research and License Agreement dated as of April 15, 2004 (the “</w:t>
      </w:r>
      <w:r>
        <w:rPr>
          <w:rFonts w:ascii="Arial" w:cs="Arial" w:eastAsia="Arial" w:hAnsi="Arial"/>
          <w:sz w:val="17"/>
          <w:szCs w:val="17"/>
          <w:b w:val="1"/>
          <w:bCs w:val="1"/>
          <w:color w:val="auto"/>
        </w:rPr>
        <w:t>Research and License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parties desire to amend the Research and License Agreement as set out herein;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the parties agree as follows:</w:t>
      </w:r>
    </w:p>
    <w:p>
      <w:pPr>
        <w:spacing w:after="0" w:line="242" w:lineRule="exact"/>
        <w:rPr>
          <w:sz w:val="20"/>
          <w:szCs w:val="20"/>
          <w:color w:val="auto"/>
        </w:rPr>
      </w:pPr>
    </w:p>
    <w:p>
      <w:pPr>
        <w:ind w:left="640" w:hanging="637"/>
        <w:spacing w:after="0"/>
        <w:tabs>
          <w:tab w:leader="none" w:pos="6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Capitalized terms used but not otherwise defined herein shall have the meanings ascribed to them in the Research and License Agreement.</w:t>
      </w:r>
    </w:p>
    <w:p>
      <w:pPr>
        <w:spacing w:after="0" w:line="241" w:lineRule="exact"/>
        <w:rPr>
          <w:rFonts w:ascii="Arial" w:cs="Arial" w:eastAsia="Arial" w:hAnsi="Arial"/>
          <w:sz w:val="17"/>
          <w:szCs w:val="17"/>
          <w:color w:val="auto"/>
        </w:rPr>
      </w:pPr>
    </w:p>
    <w:p>
      <w:pPr>
        <w:ind w:left="640" w:hanging="637"/>
        <w:spacing w:after="0"/>
        <w:tabs>
          <w:tab w:leader="none" w:pos="64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Section 13.4.3 of the Resarch and License Agreement shall be deleted in its entirety and replaced with the following:</w:t>
      </w:r>
    </w:p>
    <w:p>
      <w:pPr>
        <w:spacing w:after="0" w:line="242" w:lineRule="exact"/>
        <w:rPr>
          <w:sz w:val="20"/>
          <w:szCs w:val="20"/>
          <w:color w:val="auto"/>
        </w:rPr>
      </w:pPr>
    </w:p>
    <w:p>
      <w:pPr>
        <w:jc w:val="both"/>
        <w:ind w:left="620" w:firstLine="617"/>
        <w:spacing w:after="0" w:line="273"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13.4.3. Transfer of Regulatory Filings and Know How.</w:t>
      </w:r>
      <w:r>
        <w:rPr>
          <w:rFonts w:ascii="Arial" w:cs="Arial" w:eastAsia="Arial" w:hAnsi="Arial"/>
          <w:sz w:val="16"/>
          <w:szCs w:val="16"/>
          <w:i w:val="1"/>
          <w:iCs w:val="1"/>
          <w:color w:val="auto"/>
        </w:rPr>
        <w:t xml:space="preserve"> In the event BioLine terminates this Agreement pursuant to Section 13.3.1 or Ramot terminates this Agreement pursuant to Section 6.4, 13.3.2 or 13.3.3 (except in the circumstances set out in Section 13.3.3.2), BioLine shall promptly deliver and assign to Licensors (a) all documents and other materials filed by or on behalf of BioLine and its Affiliates with Regulatory Agencies in furtherance of applications for Regulatory Approval in the relevant country with respect to Licensed Products; and (b) all intellectual property, inventions, conceptions, compositions, materials, methods, processes, data, information, records, results, studies and analyses, discovered or acquired by, or on behalf of BioLine and its Affiliates which relate directly to actual or potential Licensed Products;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 that to the extent that any of the items set forth in clauses (a) or (b) were developed using funds granted by the Office of Chief Scientist of the Israel Ministry of Industry, Trade and Labor (the “OCS”), such items are and remain subject to the rules and regulations of the OCS, including without limitation, the Law for the Encouragement of Industrial Research &amp; Development, 1984. The Licensors, the TAU Team and the BIU Team shall be entitled to freely use and to grant others the right to use all such materials, documents and know-how delivered pursuant to this 13.4.3.”</w:t>
      </w:r>
    </w:p>
    <w:p>
      <w:pPr>
        <w:spacing w:after="0" w:line="197" w:lineRule="exact"/>
        <w:rPr>
          <w:sz w:val="20"/>
          <w:szCs w:val="20"/>
          <w:color w:val="auto"/>
        </w:rPr>
      </w:pPr>
    </w:p>
    <w:p>
      <w:pPr>
        <w:ind w:left="640" w:hanging="637"/>
        <w:spacing w:after="0"/>
        <w:tabs>
          <w:tab w:leader="none" w:pos="6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Except as amended pursuant to this Amendment Agreement, the terms of the Research and License Agreement shall remain in full force and effect.</w:t>
      </w:r>
    </w:p>
    <w:p>
      <w:pPr>
        <w:spacing w:after="0" w:line="253" w:lineRule="exact"/>
        <w:rPr>
          <w:rFonts w:ascii="Arial" w:cs="Arial" w:eastAsia="Arial" w:hAnsi="Arial"/>
          <w:sz w:val="16"/>
          <w:szCs w:val="16"/>
          <w:color w:val="auto"/>
        </w:rPr>
      </w:pPr>
    </w:p>
    <w:p>
      <w:pPr>
        <w:ind w:left="3320"/>
        <w:spacing w:after="0"/>
        <w:rPr>
          <w:rFonts w:ascii="Arial" w:cs="Arial" w:eastAsia="Arial" w:hAnsi="Arial"/>
          <w:sz w:val="16"/>
          <w:szCs w:val="16"/>
          <w:color w:val="auto"/>
        </w:rPr>
      </w:pPr>
      <w:r>
        <w:rPr>
          <w:rFonts w:ascii="Arial" w:cs="Arial" w:eastAsia="Arial" w:hAnsi="Arial"/>
          <w:sz w:val="17"/>
          <w:szCs w:val="17"/>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366" w:name="page367"/>
    <w:bookmarkEnd w:id="366"/>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duly authorized representatives as of the date first written above.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0" w:type="dxa"/>
            <w:vAlign w:val="bottom"/>
          </w:tcPr>
          <w:p>
            <w:pPr>
              <w:spacing w:after="0"/>
              <w:rPr>
                <w:sz w:val="20"/>
                <w:szCs w:val="20"/>
                <w:color w:val="auto"/>
              </w:rPr>
            </w:pPr>
            <w:r>
              <w:rPr>
                <w:rFonts w:ascii="Arial" w:cs="Arial" w:eastAsia="Arial" w:hAnsi="Arial"/>
                <w:sz w:val="17"/>
                <w:szCs w:val="17"/>
                <w:b w:val="1"/>
                <w:bCs w:val="1"/>
                <w:color w:val="auto"/>
              </w:rPr>
              <w:t>Ramot at Tel Aviv University Ltd.</w:t>
            </w:r>
          </w:p>
        </w:tc>
        <w:tc>
          <w:tcPr>
            <w:tcW w:w="6620" w:type="dxa"/>
            <w:vAlign w:val="bottom"/>
          </w:tcPr>
          <w:p>
            <w:pPr>
              <w:ind w:left="1020"/>
              <w:spacing w:after="0"/>
              <w:rPr>
                <w:sz w:val="20"/>
                <w:szCs w:val="20"/>
                <w:color w:val="auto"/>
              </w:rPr>
            </w:pPr>
            <w:r>
              <w:rPr>
                <w:rFonts w:ascii="Arial" w:cs="Arial" w:eastAsia="Arial" w:hAnsi="Arial"/>
                <w:sz w:val="17"/>
                <w:szCs w:val="17"/>
                <w:b w:val="1"/>
                <w:bCs w:val="1"/>
                <w:color w:val="auto"/>
              </w:rPr>
              <w:t>BioLineRx Ltd.</w:t>
            </w: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By: /s/ Ze’ev Weinfeld, Ph.D.</w:t>
            </w:r>
          </w:p>
        </w:tc>
        <w:tc>
          <w:tcPr>
            <w:tcW w:w="6620" w:type="dxa"/>
            <w:vAlign w:val="bottom"/>
          </w:tcPr>
          <w:p>
            <w:pPr>
              <w:ind w:left="1020"/>
              <w:spacing w:after="0"/>
              <w:rPr>
                <w:sz w:val="20"/>
                <w:szCs w:val="20"/>
                <w:color w:val="auto"/>
              </w:rPr>
            </w:pPr>
            <w:r>
              <w:rPr>
                <w:rFonts w:ascii="Arial" w:cs="Arial" w:eastAsia="Arial" w:hAnsi="Arial"/>
                <w:sz w:val="17"/>
                <w:szCs w:val="17"/>
                <w:color w:val="auto"/>
              </w:rPr>
              <w:t>By: /s/ Yuri Shoshan</w:t>
            </w: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Name: Ze’ev Weinfeld, Ph.D.</w:t>
            </w:r>
          </w:p>
        </w:tc>
        <w:tc>
          <w:tcPr>
            <w:tcW w:w="6620" w:type="dxa"/>
            <w:vAlign w:val="bottom"/>
          </w:tcPr>
          <w:p>
            <w:pPr>
              <w:ind w:left="1020"/>
              <w:spacing w:after="0"/>
              <w:rPr>
                <w:sz w:val="20"/>
                <w:szCs w:val="20"/>
                <w:color w:val="auto"/>
              </w:rPr>
            </w:pPr>
            <w:r>
              <w:rPr>
                <w:rFonts w:ascii="Arial" w:cs="Arial" w:eastAsia="Arial" w:hAnsi="Arial"/>
                <w:sz w:val="17"/>
                <w:szCs w:val="17"/>
                <w:color w:val="auto"/>
              </w:rPr>
              <w:t>Name: Yuri Shoshan</w:t>
            </w:r>
          </w:p>
        </w:tc>
      </w:tr>
      <w:tr>
        <w:trPr>
          <w:trHeight w:val="401"/>
        </w:trPr>
        <w:tc>
          <w:tcPr>
            <w:tcW w:w="4800" w:type="dxa"/>
            <w:vAlign w:val="bottom"/>
          </w:tcPr>
          <w:p>
            <w:pPr>
              <w:spacing w:after="0"/>
              <w:rPr>
                <w:sz w:val="20"/>
                <w:szCs w:val="20"/>
                <w:color w:val="auto"/>
              </w:rPr>
            </w:pPr>
            <w:r>
              <w:rPr>
                <w:rFonts w:ascii="Arial" w:cs="Arial" w:eastAsia="Arial" w:hAnsi="Arial"/>
                <w:sz w:val="17"/>
                <w:szCs w:val="17"/>
                <w:color w:val="auto"/>
              </w:rPr>
              <w:t>Title: Executive Vice President</w:t>
            </w:r>
          </w:p>
        </w:tc>
        <w:tc>
          <w:tcPr>
            <w:tcW w:w="6620" w:type="dxa"/>
            <w:vAlign w:val="bottom"/>
          </w:tcPr>
          <w:p>
            <w:pPr>
              <w:ind w:left="1020"/>
              <w:spacing w:after="0"/>
              <w:rPr>
                <w:sz w:val="20"/>
                <w:szCs w:val="20"/>
                <w:color w:val="auto"/>
              </w:rPr>
            </w:pPr>
            <w:r>
              <w:rPr>
                <w:rFonts w:ascii="Arial" w:cs="Arial" w:eastAsia="Arial" w:hAnsi="Arial"/>
                <w:sz w:val="17"/>
                <w:szCs w:val="17"/>
                <w:color w:val="auto"/>
              </w:rPr>
              <w:t>Title: Vice President</w:t>
            </w:r>
          </w:p>
        </w:tc>
      </w:tr>
      <w:tr>
        <w:trPr>
          <w:trHeight w:val="217"/>
        </w:trPr>
        <w:tc>
          <w:tcPr>
            <w:tcW w:w="4800" w:type="dxa"/>
            <w:vAlign w:val="bottom"/>
          </w:tcPr>
          <w:p>
            <w:pPr>
              <w:ind w:left="440"/>
              <w:spacing w:after="0"/>
              <w:rPr>
                <w:sz w:val="20"/>
                <w:szCs w:val="20"/>
                <w:color w:val="auto"/>
              </w:rPr>
            </w:pPr>
            <w:r>
              <w:rPr>
                <w:rFonts w:ascii="Arial" w:cs="Arial" w:eastAsia="Arial" w:hAnsi="Arial"/>
                <w:sz w:val="17"/>
                <w:szCs w:val="17"/>
                <w:color w:val="auto"/>
              </w:rPr>
              <w:t>Business Development</w:t>
            </w:r>
          </w:p>
        </w:tc>
        <w:tc>
          <w:tcPr>
            <w:tcW w:w="6620" w:type="dxa"/>
            <w:vAlign w:val="bottom"/>
          </w:tcPr>
          <w:p>
            <w:pPr>
              <w:ind w:left="1020"/>
              <w:spacing w:after="0"/>
              <w:rPr>
                <w:sz w:val="20"/>
                <w:szCs w:val="20"/>
                <w:color w:val="auto"/>
              </w:rPr>
            </w:pPr>
            <w:r>
              <w:rPr>
                <w:rFonts w:ascii="Arial" w:cs="Arial" w:eastAsia="Arial" w:hAnsi="Arial"/>
                <w:sz w:val="17"/>
                <w:szCs w:val="17"/>
                <w:color w:val="auto"/>
              </w:rPr>
              <w:t>Finance and Corporate Development</w:t>
            </w:r>
          </w:p>
        </w:tc>
      </w:tr>
      <w:tr>
        <w:trPr>
          <w:trHeight w:val="412"/>
        </w:trPr>
        <w:tc>
          <w:tcPr>
            <w:tcW w:w="4800" w:type="dxa"/>
            <w:vAlign w:val="bottom"/>
          </w:tcPr>
          <w:p>
            <w:pPr>
              <w:spacing w:after="0"/>
              <w:rPr>
                <w:sz w:val="20"/>
                <w:szCs w:val="20"/>
                <w:color w:val="auto"/>
              </w:rPr>
            </w:pPr>
            <w:r>
              <w:rPr>
                <w:rFonts w:ascii="Arial" w:cs="Arial" w:eastAsia="Arial" w:hAnsi="Arial"/>
                <w:sz w:val="17"/>
                <w:szCs w:val="17"/>
                <w:b w:val="1"/>
                <w:bCs w:val="1"/>
                <w:color w:val="auto"/>
              </w:rPr>
              <w:t>Bar-Ilan Research and Development Company Ltd.</w:t>
            </w:r>
          </w:p>
        </w:tc>
        <w:tc>
          <w:tcPr>
            <w:tcW w:w="6620" w:type="dxa"/>
            <w:vAlign w:val="bottom"/>
          </w:tcPr>
          <w:p>
            <w:pPr>
              <w:spacing w:after="0"/>
              <w:rPr>
                <w:sz w:val="24"/>
                <w:szCs w:val="24"/>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By: /s/ Gabriel Kenan</w:t>
            </w:r>
          </w:p>
        </w:tc>
        <w:tc>
          <w:tcPr>
            <w:tcW w:w="6620" w:type="dxa"/>
            <w:vAlign w:val="bottom"/>
          </w:tcPr>
          <w:p>
            <w:pPr>
              <w:spacing w:after="0"/>
              <w:rPr>
                <w:sz w:val="24"/>
                <w:szCs w:val="24"/>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Name:Gabriel Kenan</w:t>
            </w:r>
          </w:p>
        </w:tc>
        <w:tc>
          <w:tcPr>
            <w:tcW w:w="6620" w:type="dxa"/>
            <w:vAlign w:val="bottom"/>
          </w:tcPr>
          <w:p>
            <w:pPr>
              <w:spacing w:after="0"/>
              <w:rPr>
                <w:sz w:val="24"/>
                <w:szCs w:val="24"/>
                <w:color w:val="auto"/>
              </w:rPr>
            </w:pPr>
          </w:p>
        </w:tc>
      </w:tr>
      <w:tr>
        <w:trPr>
          <w:trHeight w:val="412"/>
        </w:trPr>
        <w:tc>
          <w:tcPr>
            <w:tcW w:w="4800" w:type="dxa"/>
            <w:vAlign w:val="bottom"/>
          </w:tcPr>
          <w:p>
            <w:pPr>
              <w:spacing w:after="0"/>
              <w:rPr>
                <w:sz w:val="20"/>
                <w:szCs w:val="20"/>
                <w:color w:val="auto"/>
              </w:rPr>
            </w:pPr>
            <w:r>
              <w:rPr>
                <w:rFonts w:ascii="Arial" w:cs="Arial" w:eastAsia="Arial" w:hAnsi="Arial"/>
                <w:sz w:val="17"/>
                <w:szCs w:val="17"/>
                <w:color w:val="auto"/>
              </w:rPr>
              <w:t>Title: CEO</w:t>
            </w:r>
          </w:p>
        </w:tc>
        <w:tc>
          <w:tcPr>
            <w:tcW w:w="6620" w:type="dxa"/>
            <w:vAlign w:val="bottom"/>
          </w:tcPr>
          <w:p>
            <w:pPr>
              <w:spacing w:after="0"/>
              <w:rPr>
                <w:sz w:val="24"/>
                <w:szCs w:val="24"/>
                <w:color w:val="auto"/>
              </w:rPr>
            </w:pPr>
          </w:p>
        </w:tc>
      </w:tr>
      <w:tr>
        <w:trPr>
          <w:trHeight w:val="628"/>
        </w:trPr>
        <w:tc>
          <w:tcPr>
            <w:tcW w:w="4800" w:type="dxa"/>
            <w:vAlign w:val="bottom"/>
            <w:tcBorders>
              <w:bottom w:val="single" w:sz="8" w:color="808080"/>
            </w:tcBorders>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7"/>
          <w:szCs w:val="17"/>
          <w:color w:val="auto"/>
        </w:rPr>
        <w:t>EXHIBIT 4.11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AGREEMENT</w:t>
      </w:r>
    </w:p>
    <w:p>
      <w:pPr>
        <w:spacing w:after="0" w:line="242" w:lineRule="exact"/>
        <w:rPr>
          <w:sz w:val="20"/>
          <w:szCs w:val="20"/>
          <w:color w:val="auto"/>
        </w:rPr>
      </w:pPr>
    </w:p>
    <w:p>
      <w:pPr>
        <w:ind w:right="500" w:firstLine="617"/>
        <w:spacing w:after="0" w:line="298" w:lineRule="auto"/>
        <w:rPr>
          <w:sz w:val="20"/>
          <w:szCs w:val="20"/>
          <w:color w:val="auto"/>
        </w:rPr>
      </w:pPr>
      <w:r>
        <w:rPr>
          <w:rFonts w:ascii="Arial" w:cs="Arial" w:eastAsia="Arial" w:hAnsi="Arial"/>
          <w:sz w:val="15"/>
          <w:szCs w:val="15"/>
          <w:color w:val="auto"/>
        </w:rPr>
        <w:t>THIS AMENDMENT AGREEMENT, dated as of the 7th day of March, 2006, (the "</w:t>
      </w:r>
      <w:r>
        <w:rPr>
          <w:rFonts w:ascii="Arial" w:cs="Arial" w:eastAsia="Arial" w:hAnsi="Arial"/>
          <w:sz w:val="15"/>
          <w:szCs w:val="15"/>
          <w:b w:val="1"/>
          <w:bCs w:val="1"/>
          <w:color w:val="auto"/>
        </w:rPr>
        <w:t>Effective Date</w:t>
      </w:r>
      <w:r>
        <w:rPr>
          <w:rFonts w:ascii="Arial" w:cs="Arial" w:eastAsia="Arial" w:hAnsi="Arial"/>
          <w:sz w:val="15"/>
          <w:szCs w:val="15"/>
          <w:color w:val="auto"/>
        </w:rPr>
        <w:t>"), is entered into by and between BioLineRx Ltd. ("</w:t>
      </w:r>
      <w:r>
        <w:rPr>
          <w:rFonts w:ascii="Arial" w:cs="Arial" w:eastAsia="Arial" w:hAnsi="Arial"/>
          <w:sz w:val="15"/>
          <w:szCs w:val="15"/>
          <w:b w:val="1"/>
          <w:bCs w:val="1"/>
          <w:color w:val="auto"/>
        </w:rPr>
        <w:t>BioLine</w:t>
      </w:r>
      <w:r>
        <w:rPr>
          <w:rFonts w:ascii="Arial" w:cs="Arial" w:eastAsia="Arial" w:hAnsi="Arial"/>
          <w:sz w:val="15"/>
          <w:szCs w:val="15"/>
          <w:color w:val="auto"/>
        </w:rPr>
        <w:t>"), Bar-Ilan Research and Development Company Ltd. ("</w:t>
      </w:r>
      <w:r>
        <w:rPr>
          <w:rFonts w:ascii="Arial" w:cs="Arial" w:eastAsia="Arial" w:hAnsi="Arial"/>
          <w:sz w:val="15"/>
          <w:szCs w:val="15"/>
          <w:b w:val="1"/>
          <w:bCs w:val="1"/>
          <w:color w:val="auto"/>
        </w:rPr>
        <w:t>BIRAD</w:t>
      </w:r>
      <w:r>
        <w:rPr>
          <w:rFonts w:ascii="Arial" w:cs="Arial" w:eastAsia="Arial" w:hAnsi="Arial"/>
          <w:sz w:val="15"/>
          <w:szCs w:val="15"/>
          <w:color w:val="auto"/>
        </w:rPr>
        <w:t>") and Ramot at Tel Aviv University Ltd. ("</w:t>
      </w:r>
      <w:r>
        <w:rPr>
          <w:rFonts w:ascii="Arial" w:cs="Arial" w:eastAsia="Arial" w:hAnsi="Arial"/>
          <w:sz w:val="15"/>
          <w:szCs w:val="15"/>
          <w:b w:val="1"/>
          <w:bCs w:val="1"/>
          <w:color w:val="auto"/>
        </w:rPr>
        <w:t>Ramot</w:t>
      </w:r>
      <w:r>
        <w:rPr>
          <w:rFonts w:ascii="Arial" w:cs="Arial" w:eastAsia="Arial" w:hAnsi="Arial"/>
          <w:sz w:val="15"/>
          <w:szCs w:val="15"/>
          <w:color w:val="auto"/>
        </w:rPr>
        <w:t>", and together with BIRAD, the</w:t>
      </w:r>
    </w:p>
    <w:p>
      <w:pPr>
        <w:spacing w:after="0"/>
        <w:rPr>
          <w:sz w:val="20"/>
          <w:szCs w:val="20"/>
          <w:color w:val="auto"/>
        </w:rPr>
      </w:pPr>
      <w:r>
        <w:rPr>
          <w:rFonts w:ascii="Arial" w:cs="Arial" w:eastAsia="Arial" w:hAnsi="Arial"/>
          <w:sz w:val="17"/>
          <w:szCs w:val="17"/>
          <w:b w:val="1"/>
          <w:bCs w:val="1"/>
          <w:color w:val="auto"/>
        </w:rPr>
        <w:t>"Licensors").</w:t>
      </w:r>
    </w:p>
    <w:p>
      <w:pPr>
        <w:spacing w:after="0" w:line="225" w:lineRule="exact"/>
        <w:rPr>
          <w:sz w:val="20"/>
          <w:szCs w:val="20"/>
          <w:color w:val="auto"/>
        </w:rPr>
      </w:pPr>
    </w:p>
    <w:p>
      <w:pPr>
        <w:ind w:right="180" w:firstLine="617"/>
        <w:spacing w:after="0" w:line="286" w:lineRule="auto"/>
        <w:rPr>
          <w:sz w:val="20"/>
          <w:szCs w:val="20"/>
          <w:color w:val="auto"/>
        </w:rPr>
      </w:pPr>
      <w:r>
        <w:rPr>
          <w:rFonts w:ascii="Arial" w:cs="Arial" w:eastAsia="Arial" w:hAnsi="Arial"/>
          <w:sz w:val="17"/>
          <w:szCs w:val="17"/>
          <w:color w:val="auto"/>
        </w:rPr>
        <w:t>WHEREAS, BioLine and the Licensors entered into that certain Research and License Agreement dated as of April 15, 2004 (</w:t>
      </w:r>
      <w:r>
        <w:rPr>
          <w:rFonts w:ascii="Arial" w:cs="Arial" w:eastAsia="Arial" w:hAnsi="Arial"/>
          <w:sz w:val="17"/>
          <w:szCs w:val="17"/>
          <w:b w:val="1"/>
          <w:bCs w:val="1"/>
          <w:color w:val="auto"/>
        </w:rPr>
        <w:t>the "Research and License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Agreement"); </w:t>
      </w:r>
      <w:r>
        <w:rPr>
          <w:rFonts w:ascii="Arial" w:cs="Arial" w:eastAsia="Arial" w:hAnsi="Arial"/>
          <w:sz w:val="17"/>
          <w:szCs w:val="17"/>
          <w:color w:val="auto"/>
        </w:rPr>
        <w:t>and</w:t>
      </w:r>
    </w:p>
    <w:p>
      <w:pPr>
        <w:spacing w:after="0" w:line="177" w:lineRule="exact"/>
        <w:rPr>
          <w:sz w:val="20"/>
          <w:szCs w:val="20"/>
          <w:color w:val="auto"/>
        </w:rPr>
      </w:pPr>
    </w:p>
    <w:p>
      <w:pPr>
        <w:ind w:right="620" w:firstLine="617"/>
        <w:spacing w:after="0" w:line="286" w:lineRule="auto"/>
        <w:rPr>
          <w:sz w:val="20"/>
          <w:szCs w:val="20"/>
          <w:color w:val="auto"/>
        </w:rPr>
      </w:pPr>
      <w:r>
        <w:rPr>
          <w:rFonts w:ascii="Arial" w:cs="Arial" w:eastAsia="Arial" w:hAnsi="Arial"/>
          <w:sz w:val="17"/>
          <w:szCs w:val="17"/>
          <w:color w:val="auto"/>
        </w:rPr>
        <w:t>WHEREAS, BioLine and the Licensors entered into an amendment agreement dated June 2004 (the "</w:t>
      </w:r>
      <w:r>
        <w:rPr>
          <w:rFonts w:ascii="Arial" w:cs="Arial" w:eastAsia="Arial" w:hAnsi="Arial"/>
          <w:sz w:val="17"/>
          <w:szCs w:val="17"/>
          <w:b w:val="1"/>
          <w:bCs w:val="1"/>
          <w:color w:val="auto"/>
        </w:rPr>
        <w:t>First Amendment Agreement</w:t>
      </w:r>
      <w:r>
        <w:rPr>
          <w:rFonts w:ascii="Arial" w:cs="Arial" w:eastAsia="Arial" w:hAnsi="Arial"/>
          <w:sz w:val="17"/>
          <w:szCs w:val="17"/>
          <w:color w:val="auto"/>
        </w:rPr>
        <w:t>") to amend the Research and License Agreement; and</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BioLine and the Licensors desire to further amend the Research and License Agreement as set out herein;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the parties agree as follows:</w:t>
      </w:r>
    </w:p>
    <w:p>
      <w:pPr>
        <w:spacing w:after="0" w:line="242" w:lineRule="exact"/>
        <w:rPr>
          <w:sz w:val="20"/>
          <w:szCs w:val="20"/>
          <w:color w:val="auto"/>
        </w:rPr>
      </w:pPr>
    </w:p>
    <w:p>
      <w:pPr>
        <w:ind w:left="180" w:hanging="177"/>
        <w:spacing w:after="0"/>
        <w:tabs>
          <w:tab w:leader="none" w:pos="1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Capitalized terms used but not otherwise defined herein shall have the meanings ascribed to them in the Research and License Agreement.</w:t>
      </w:r>
    </w:p>
    <w:p>
      <w:pPr>
        <w:spacing w:after="0" w:line="241" w:lineRule="exact"/>
        <w:rPr>
          <w:rFonts w:ascii="Arial" w:cs="Arial" w:eastAsia="Arial" w:hAnsi="Arial"/>
          <w:sz w:val="17"/>
          <w:szCs w:val="17"/>
          <w:color w:val="auto"/>
        </w:rPr>
      </w:pPr>
    </w:p>
    <w:p>
      <w:pPr>
        <w:ind w:left="180" w:hanging="177"/>
        <w:spacing w:after="0"/>
        <w:tabs>
          <w:tab w:leader="none" w:pos="1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Section 1.21 of the Resarch and License Agreement shall be deleted in its entirety and replaced with the following:</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"1.21 "Li</w:t>
      </w:r>
      <w:r>
        <w:rPr>
          <w:rFonts w:ascii="Arial" w:cs="Arial" w:eastAsia="Arial" w:hAnsi="Arial"/>
          <w:sz w:val="17"/>
          <w:szCs w:val="17"/>
          <w:b w:val="1"/>
          <w:bCs w:val="1"/>
          <w:i w:val="1"/>
          <w:iCs w:val="1"/>
          <w:color w:val="auto"/>
        </w:rPr>
        <w:t>censed P</w:t>
      </w:r>
      <w:r>
        <w:rPr>
          <w:rFonts w:ascii="Arial" w:cs="Arial" w:eastAsia="Arial" w:hAnsi="Arial"/>
          <w:sz w:val="17"/>
          <w:szCs w:val="17"/>
          <w:i w:val="1"/>
          <w:iCs w:val="1"/>
          <w:color w:val="auto"/>
        </w:rPr>
        <w:t>r</w:t>
      </w:r>
      <w:r>
        <w:rPr>
          <w:rFonts w:ascii="Arial" w:cs="Arial" w:eastAsia="Arial" w:hAnsi="Arial"/>
          <w:sz w:val="17"/>
          <w:szCs w:val="17"/>
          <w:b w:val="1"/>
          <w:bCs w:val="1"/>
          <w:i w:val="1"/>
          <w:iCs w:val="1"/>
          <w:color w:val="auto"/>
        </w:rPr>
        <w:t>oduct"</w:t>
      </w:r>
      <w:r>
        <w:rPr>
          <w:rFonts w:ascii="Arial" w:cs="Arial" w:eastAsia="Arial" w:hAnsi="Arial"/>
          <w:sz w:val="17"/>
          <w:szCs w:val="17"/>
          <w:i w:val="1"/>
          <w:iCs w:val="1"/>
          <w:color w:val="auto"/>
        </w:rPr>
        <w:t xml:space="preserve"> shall mean any of the following:</w:t>
      </w:r>
    </w:p>
    <w:p>
      <w:pPr>
        <w:spacing w:after="0" w:line="242" w:lineRule="exact"/>
        <w:rPr>
          <w:sz w:val="20"/>
          <w:szCs w:val="20"/>
          <w:color w:val="auto"/>
        </w:rPr>
      </w:pPr>
    </w:p>
    <w:p>
      <w:pPr>
        <w:ind w:left="820" w:hanging="200"/>
        <w:spacing w:after="0"/>
        <w:tabs>
          <w:tab w:leader="none" w:pos="820" w:val="left"/>
        </w:tabs>
        <w:numPr>
          <w:ilvl w:val="1"/>
          <w:numId w:val="283"/>
        </w:numPr>
        <w:rPr>
          <w:rFonts w:ascii="Arial" w:cs="Arial" w:eastAsia="Arial" w:hAnsi="Arial"/>
          <w:sz w:val="17"/>
          <w:szCs w:val="17"/>
          <w:i w:val="1"/>
          <w:iCs w:val="1"/>
          <w:color w:val="auto"/>
        </w:rPr>
      </w:pPr>
      <w:r>
        <w:rPr>
          <w:rFonts w:ascii="Arial" w:cs="Arial" w:eastAsia="Arial" w:hAnsi="Arial"/>
          <w:sz w:val="17"/>
          <w:szCs w:val="17"/>
          <w:i w:val="1"/>
          <w:iCs w:val="1"/>
          <w:color w:val="auto"/>
        </w:rPr>
        <w:t>any therapeutic product that comprises, contains or incorporates Licensor Technology; or</w:t>
      </w:r>
    </w:p>
    <w:p>
      <w:pPr>
        <w:spacing w:after="0" w:line="21" w:lineRule="exact"/>
        <w:rPr>
          <w:rFonts w:ascii="Arial" w:cs="Arial" w:eastAsia="Arial" w:hAnsi="Arial"/>
          <w:sz w:val="17"/>
          <w:szCs w:val="17"/>
          <w:i w:val="1"/>
          <w:iCs w:val="1"/>
          <w:color w:val="auto"/>
        </w:rPr>
      </w:pPr>
    </w:p>
    <w:p>
      <w:pPr>
        <w:ind w:left="880" w:hanging="260"/>
        <w:spacing w:after="0"/>
        <w:tabs>
          <w:tab w:leader="none" w:pos="880" w:val="left"/>
        </w:tabs>
        <w:numPr>
          <w:ilvl w:val="1"/>
          <w:numId w:val="283"/>
        </w:numPr>
        <w:rPr>
          <w:rFonts w:ascii="Arial" w:cs="Arial" w:eastAsia="Arial" w:hAnsi="Arial"/>
          <w:sz w:val="15"/>
          <w:szCs w:val="15"/>
          <w:i w:val="1"/>
          <w:iCs w:val="1"/>
          <w:color w:val="auto"/>
        </w:rPr>
      </w:pPr>
      <w:r>
        <w:rPr>
          <w:rFonts w:ascii="Arial" w:cs="Arial" w:eastAsia="Arial" w:hAnsi="Arial"/>
          <w:sz w:val="15"/>
          <w:szCs w:val="15"/>
          <w:i w:val="1"/>
          <w:iCs w:val="1"/>
          <w:color w:val="auto"/>
        </w:rPr>
        <w:t>Any therapeutic product that comprises, contains, or incorporates any compound that is covered by a Valid Patent Claim under the Joint Patent Rights.</w:t>
      </w:r>
    </w:p>
    <w:p>
      <w:pPr>
        <w:spacing w:after="0" w:line="253" w:lineRule="exact"/>
        <w:rPr>
          <w:rFonts w:ascii="Arial" w:cs="Arial" w:eastAsia="Arial" w:hAnsi="Arial"/>
          <w:sz w:val="15"/>
          <w:szCs w:val="15"/>
          <w:i w:val="1"/>
          <w:iCs w:val="1"/>
          <w:color w:val="auto"/>
        </w:rPr>
      </w:pPr>
    </w:p>
    <w:p>
      <w:pPr>
        <w:ind w:left="180" w:hanging="177"/>
        <w:spacing w:after="0"/>
        <w:tabs>
          <w:tab w:leader="none" w:pos="18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following new Section 1 .41 shall be added following Section 1.40:</w:t>
      </w:r>
    </w:p>
    <w:p>
      <w:pPr>
        <w:spacing w:after="0" w:line="242" w:lineRule="exact"/>
        <w:rPr>
          <w:sz w:val="20"/>
          <w:szCs w:val="20"/>
          <w:color w:val="auto"/>
        </w:rPr>
      </w:pPr>
    </w:p>
    <w:p>
      <w:pPr>
        <w:ind w:right="580"/>
        <w:spacing w:after="0" w:line="347" w:lineRule="auto"/>
        <w:rPr>
          <w:sz w:val="20"/>
          <w:szCs w:val="20"/>
          <w:color w:val="auto"/>
        </w:rPr>
      </w:pPr>
      <w:r>
        <w:rPr>
          <w:rFonts w:ascii="Arial" w:cs="Arial" w:eastAsia="Arial" w:hAnsi="Arial"/>
          <w:sz w:val="15"/>
          <w:szCs w:val="15"/>
          <w:i w:val="1"/>
          <w:iCs w:val="1"/>
          <w:color w:val="auto"/>
        </w:rPr>
        <w:t>"1.41 "</w:t>
      </w:r>
      <w:r>
        <w:rPr>
          <w:rFonts w:ascii="Arial" w:cs="Arial" w:eastAsia="Arial" w:hAnsi="Arial"/>
          <w:sz w:val="15"/>
          <w:szCs w:val="15"/>
          <w:b w:val="1"/>
          <w:bCs w:val="1"/>
          <w:i w:val="1"/>
          <w:iCs w:val="1"/>
          <w:color w:val="auto"/>
        </w:rPr>
        <w:t>Valid Patent Claim</w:t>
      </w:r>
      <w:r>
        <w:rPr>
          <w:rFonts w:ascii="Arial" w:cs="Arial" w:eastAsia="Arial" w:hAnsi="Arial"/>
          <w:sz w:val="15"/>
          <w:szCs w:val="15"/>
          <w:i w:val="1"/>
          <w:iCs w:val="1"/>
          <w:color w:val="auto"/>
        </w:rPr>
        <w:t xml:space="preserve"> " shall mean a claim of a Licensed Patent Right for as long as such claim shall not have expired or been held invalid in a final non appealable court judgment or patent office decision in the relevant jurisdiction, or an appeal for it has not been filed within the time allowed for an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7257415" cy="209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68" w:name="page369"/>
    <w:bookmarkEnd w:id="368"/>
    <w:p>
      <w:pPr>
        <w:spacing w:after="0"/>
        <w:rPr>
          <w:sz w:val="20"/>
          <w:szCs w:val="20"/>
          <w:color w:val="auto"/>
        </w:rPr>
      </w:pPr>
      <w:r>
        <w:rPr>
          <w:rFonts w:ascii="Arial" w:cs="Arial" w:eastAsia="Arial" w:hAnsi="Arial"/>
          <w:sz w:val="17"/>
          <w:szCs w:val="17"/>
          <w:color w:val="auto"/>
        </w:rPr>
        <w:t>4. The following shall be added at the end of the last sentence of section 5.1:</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 and </w:t>
      </w:r>
      <w:r>
        <w:rPr>
          <w:rFonts w:ascii="Arial" w:cs="Arial" w:eastAsia="Arial" w:hAnsi="Arial"/>
          <w:sz w:val="17"/>
          <w:szCs w:val="17"/>
          <w:i w:val="1"/>
          <w:iCs w:val="1"/>
          <w:color w:val="auto"/>
        </w:rPr>
        <w:t>subject further,</w:t>
      </w:r>
      <w:r>
        <w:rPr>
          <w:rFonts w:ascii="Arial" w:cs="Arial" w:eastAsia="Arial" w:hAnsi="Arial"/>
          <w:sz w:val="17"/>
          <w:szCs w:val="17"/>
          <w:color w:val="auto"/>
        </w:rPr>
        <w:t xml:space="preserve"> to the rights of employees, students and other researchers of TAU and BIU to practice and utilize such rights and licenses solely for academic research purposes within TAU and BIU (the "Academic Research"). Notwithstanding the foregoing, any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experimentation that may be included within the scope of Academic Research that is conducted by, or on behalf of Ramot or BIRAD, shall require the prior written approval of BioLine if and to the extent that such research involves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experimentation of compounds that are currently being developed as Licensed Products by BioLine, such approval not to be unreasonably delayed or withheld. For the removal of doubt, Ramot, Tel Aviv University, BIRAD and BIU shall not obtain funding for Academic Research from any party on terms that (i) give such party any rights to the Licensed Technology that are inconsistent with the rights granted to BioLine hereunder, or (ii) limit in any manner the scope or terms of the license and rights granted to BioLine hereunder.</w:t>
      </w:r>
    </w:p>
    <w:p>
      <w:pPr>
        <w:spacing w:after="0" w:line="207" w:lineRule="exact"/>
        <w:rPr>
          <w:sz w:val="20"/>
          <w:szCs w:val="20"/>
          <w:color w:val="auto"/>
        </w:rPr>
      </w:pPr>
    </w:p>
    <w:p>
      <w:pPr>
        <w:ind w:right="140" w:firstLine="3"/>
        <w:spacing w:after="0" w:line="278" w:lineRule="auto"/>
        <w:tabs>
          <w:tab w:leader="none" w:pos="17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Except as amended pursuant to this Amendment Agreement, the terms of the Research and License Agreement and the First Amendment Agreement shall remain in full force and effect.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69" w:name="page370"/>
    <w:bookmarkEnd w:id="36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 as of the date first written above.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Ramot at Tel Aviv Univ ty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/s/ Ze’ev Weinfeld, Ph.D.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 Ze’ev Weinfeld, Ph.D.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Executive Vice President, Business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/s/ Yuri Shoshan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 Yuri Shoshan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 Finance and Corporate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Bar-Ilan Research and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/s/ Gabriel Kenan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 Gabriel Kenan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C.E.O. Bar-Ilan Research &amp; Development Company Ltd.</w:t>
      </w:r>
    </w:p>
    <w:p>
      <w:pPr>
        <w:spacing w:after="0" w:line="23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We, the undersigned, hereby confirm that we have read the Amendment Agreement, that its contents are acceptable to us and that we will act in accordance with its terms.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 lrit Gil-Ad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626485" cy="165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2648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Dr.lrit Gil-Ad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Abraham Weizman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626485" cy="165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62648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Professor Abraham Weizman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Ada Rephaeli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626485" cy="165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62648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Dr. Ada Rephaeli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Abraham Nudelman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626485" cy="165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626485" cy="165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Professor Abraham Nudelman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494" w:right="4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7"/>
          <w:szCs w:val="17"/>
          <w:color w:val="auto"/>
        </w:rPr>
        <w:t>EXHIBIT 4.12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AGREEMENT</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color w:val="auto"/>
        </w:rPr>
        <w:t>This Assignment Agreement, dated as of the 2 day of July, 2006 , (the “</w:t>
      </w:r>
      <w:r>
        <w:rPr>
          <w:rFonts w:ascii="Arial" w:cs="Arial" w:eastAsia="Arial" w:hAnsi="Arial"/>
          <w:sz w:val="17"/>
          <w:szCs w:val="17"/>
          <w:b w:val="1"/>
          <w:bCs w:val="1"/>
          <w:color w:val="auto"/>
        </w:rPr>
        <w:t>Effective Date</w:t>
      </w:r>
      <w:r>
        <w:rPr>
          <w:rFonts w:ascii="Arial" w:cs="Arial" w:eastAsia="Arial" w:hAnsi="Arial"/>
          <w:sz w:val="17"/>
          <w:szCs w:val="17"/>
          <w:color w:val="auto"/>
        </w:rPr>
        <w:t>”), is entered into by and between BioLineRx Ltd. (“</w:t>
      </w:r>
      <w:r>
        <w:rPr>
          <w:rFonts w:ascii="Arial" w:cs="Arial" w:eastAsia="Arial" w:hAnsi="Arial"/>
          <w:sz w:val="17"/>
          <w:szCs w:val="17"/>
          <w:b w:val="1"/>
          <w:bCs w:val="1"/>
          <w:color w:val="auto"/>
        </w:rPr>
        <w:t>BioLine</w:t>
      </w:r>
      <w:r>
        <w:rPr>
          <w:rFonts w:ascii="Arial" w:cs="Arial" w:eastAsia="Arial" w:hAnsi="Arial"/>
          <w:sz w:val="17"/>
          <w:szCs w:val="17"/>
          <w:color w:val="auto"/>
        </w:rPr>
        <w:t>”), BioLine Innovations Jerusalem, LP (“</w:t>
      </w:r>
      <w:r>
        <w:rPr>
          <w:rFonts w:ascii="Arial" w:cs="Arial" w:eastAsia="Arial" w:hAnsi="Arial"/>
          <w:sz w:val="17"/>
          <w:szCs w:val="17"/>
          <w:b w:val="1"/>
          <w:bCs w:val="1"/>
          <w:color w:val="auto"/>
        </w:rPr>
        <w:t>BIJ</w:t>
      </w:r>
      <w:r>
        <w:rPr>
          <w:rFonts w:ascii="Arial" w:cs="Arial" w:eastAsia="Arial" w:hAnsi="Arial"/>
          <w:sz w:val="17"/>
          <w:szCs w:val="17"/>
          <w:color w:val="auto"/>
        </w:rPr>
        <w:t>”), Bar-Ilan Research and Development Company Ltd. (“</w:t>
      </w:r>
      <w:r>
        <w:rPr>
          <w:rFonts w:ascii="Arial" w:cs="Arial" w:eastAsia="Arial" w:hAnsi="Arial"/>
          <w:sz w:val="17"/>
          <w:szCs w:val="17"/>
          <w:b w:val="1"/>
          <w:bCs w:val="1"/>
          <w:color w:val="auto"/>
        </w:rPr>
        <w:t>BIRAD</w:t>
      </w:r>
      <w:r>
        <w:rPr>
          <w:rFonts w:ascii="Arial" w:cs="Arial" w:eastAsia="Arial" w:hAnsi="Arial"/>
          <w:sz w:val="17"/>
          <w:szCs w:val="17"/>
          <w:color w:val="auto"/>
        </w:rPr>
        <w:t>”) and Ramot at Tel Aviv University Ltd. (“</w:t>
      </w:r>
      <w:r>
        <w:rPr>
          <w:rFonts w:ascii="Arial" w:cs="Arial" w:eastAsia="Arial" w:hAnsi="Arial"/>
          <w:sz w:val="17"/>
          <w:szCs w:val="17"/>
          <w:b w:val="1"/>
          <w:bCs w:val="1"/>
          <w:color w:val="auto"/>
        </w:rPr>
        <w:t>Ramot</w:t>
      </w:r>
      <w:r>
        <w:rPr>
          <w:rFonts w:ascii="Arial" w:cs="Arial" w:eastAsia="Arial" w:hAnsi="Arial"/>
          <w:sz w:val="17"/>
          <w:szCs w:val="17"/>
          <w:color w:val="auto"/>
        </w:rPr>
        <w:t>”, and together with BIRAD, the “</w:t>
      </w:r>
      <w:r>
        <w:rPr>
          <w:rFonts w:ascii="Arial" w:cs="Arial" w:eastAsia="Arial" w:hAnsi="Arial"/>
          <w:sz w:val="17"/>
          <w:szCs w:val="17"/>
          <w:b w:val="1"/>
          <w:bCs w:val="1"/>
          <w:color w:val="auto"/>
        </w:rPr>
        <w:t>Licensors</w:t>
      </w:r>
      <w:r>
        <w:rPr>
          <w:rFonts w:ascii="Arial" w:cs="Arial" w:eastAsia="Arial" w:hAnsi="Arial"/>
          <w:sz w:val="17"/>
          <w:szCs w:val="17"/>
          <w:color w:val="auto"/>
        </w:rPr>
        <w:t>”).</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color w:val="auto"/>
        </w:rPr>
        <w:t>WHEREAS, BioLine and the Licensors entered into that certain Research and License Agreement dated as of April 15, 2004 (the “</w:t>
      </w:r>
      <w:r>
        <w:rPr>
          <w:rFonts w:ascii="Arial" w:cs="Arial" w:eastAsia="Arial" w:hAnsi="Arial"/>
          <w:sz w:val="17"/>
          <w:szCs w:val="17"/>
          <w:b w:val="1"/>
          <w:bCs w:val="1"/>
          <w:color w:val="auto"/>
        </w:rPr>
        <w:t>Research and License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color w:val="auto"/>
        </w:rPr>
        <w:t>WHEREAS, BioLine and the Licensors entered into an amendment agreement dated as od December, 2005 (the “</w:t>
      </w:r>
      <w:r>
        <w:rPr>
          <w:rFonts w:ascii="Arial" w:cs="Arial" w:eastAsia="Arial" w:hAnsi="Arial"/>
          <w:sz w:val="17"/>
          <w:szCs w:val="17"/>
          <w:b w:val="1"/>
          <w:bCs w:val="1"/>
          <w:color w:val="auto"/>
        </w:rPr>
        <w:t>First Amendment Agreement</w:t>
      </w:r>
      <w:r>
        <w:rPr>
          <w:rFonts w:ascii="Arial" w:cs="Arial" w:eastAsia="Arial" w:hAnsi="Arial"/>
          <w:sz w:val="17"/>
          <w:szCs w:val="17"/>
          <w:color w:val="auto"/>
        </w:rPr>
        <w:t>”) to amend the Research and License Agreement; and</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color w:val="auto"/>
        </w:rPr>
        <w:t>WHEREAS, BioLine and the Licensors entered into an amendment agreement dated the 7th day of March, 2006 (the “</w:t>
      </w:r>
      <w:r>
        <w:rPr>
          <w:rFonts w:ascii="Arial" w:cs="Arial" w:eastAsia="Arial" w:hAnsi="Arial"/>
          <w:sz w:val="17"/>
          <w:szCs w:val="17"/>
          <w:b w:val="1"/>
          <w:bCs w:val="1"/>
          <w:color w:val="auto"/>
        </w:rPr>
        <w:t>Second Amendment Agreement</w:t>
      </w:r>
      <w:r>
        <w:rPr>
          <w:rFonts w:ascii="Arial" w:cs="Arial" w:eastAsia="Arial" w:hAnsi="Arial"/>
          <w:sz w:val="17"/>
          <w:szCs w:val="17"/>
          <w:color w:val="auto"/>
        </w:rPr>
        <w:t>”) to further amend the Research and License Agreement (the Research and License Agreement as amended by the First Amendment Agreement and the Second Amendment Agreement shall be hereinafter referred to as the “</w:t>
      </w:r>
      <w:r>
        <w:rPr>
          <w:rFonts w:ascii="Arial" w:cs="Arial" w:eastAsia="Arial" w:hAnsi="Arial"/>
          <w:sz w:val="17"/>
          <w:szCs w:val="17"/>
          <w:b w:val="1"/>
          <w:bCs w:val="1"/>
          <w:color w:val="auto"/>
        </w:rPr>
        <w:t>Agreement</w:t>
      </w:r>
      <w:r>
        <w:rPr>
          <w:rFonts w:ascii="Arial" w:cs="Arial" w:eastAsia="Arial" w:hAnsi="Arial"/>
          <w:sz w:val="17"/>
          <w:szCs w:val="17"/>
          <w:color w:val="auto"/>
        </w:rPr>
        <w:t>”); and</w:t>
      </w:r>
    </w:p>
    <w:p>
      <w:pPr>
        <w:spacing w:after="0" w:line="198"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 xml:space="preserve">WHEREAS, certain Research Results have been generated in the course of performing the Agreement for which patent protection is currently being sought, as more particularly detailed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(hereinafter referred to as the “</w:t>
      </w:r>
      <w:r>
        <w:rPr>
          <w:rFonts w:ascii="Arial" w:cs="Arial" w:eastAsia="Arial" w:hAnsi="Arial"/>
          <w:sz w:val="17"/>
          <w:szCs w:val="17"/>
          <w:b w:val="1"/>
          <w:bCs w:val="1"/>
          <w:color w:val="auto"/>
        </w:rPr>
        <w:t>Selected Compounds</w:t>
      </w:r>
      <w:r>
        <w:rPr>
          <w:rFonts w:ascii="Arial" w:cs="Arial" w:eastAsia="Arial" w:hAnsi="Arial"/>
          <w:sz w:val="17"/>
          <w:szCs w:val="17"/>
          <w:color w:val="auto"/>
        </w:rPr>
        <w:t>” );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the Selected Compound forms part of the Licensed Technology licensed to BioLine pursuant to the Agreement; and</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WHEREAS, BioLine desires to assign all of its rights and obligations under Agreement with respect to the Selected Compounds to BIJ according to Section 14.10 of the Agreement;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BioLine and the Licensors have agreed to certain additional arrangements in respect of such assignment as set out herein;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the parties agree as follows:</w:t>
      </w:r>
    </w:p>
    <w:p>
      <w:pPr>
        <w:spacing w:after="0" w:line="242" w:lineRule="exact"/>
        <w:rPr>
          <w:sz w:val="20"/>
          <w:szCs w:val="20"/>
          <w:color w:val="auto"/>
        </w:rPr>
      </w:pPr>
    </w:p>
    <w:p>
      <w:pPr>
        <w:ind w:left="640" w:hanging="637"/>
        <w:spacing w:after="0"/>
        <w:tabs>
          <w:tab w:leader="none" w:pos="6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Capitalized terms used but not otherwise defined herein shall have the meanings ascribed to them in the Agreement.</w:t>
      </w:r>
    </w:p>
    <w:p>
      <w:pPr>
        <w:spacing w:after="0" w:line="241" w:lineRule="exact"/>
        <w:rPr>
          <w:rFonts w:ascii="Arial" w:cs="Arial" w:eastAsia="Arial" w:hAnsi="Arial"/>
          <w:sz w:val="17"/>
          <w:szCs w:val="17"/>
          <w:color w:val="auto"/>
        </w:rPr>
      </w:pPr>
    </w:p>
    <w:p>
      <w:pPr>
        <w:ind w:firstLine="3"/>
        <w:spacing w:after="0" w:line="278" w:lineRule="auto"/>
        <w:tabs>
          <w:tab w:leader="none" w:pos="81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Licensors hereby acknowledge and agree to the assignment of BioLine’s rights and obligations under the Agreement with respect to the Assigned Technology to BIJ effective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71" w:name="page372"/>
    <w:bookmarkEnd w:id="371"/>
    <w:p>
      <w:pPr>
        <w:jc w:val="both"/>
        <w:ind w:firstLine="3"/>
        <w:spacing w:after="0" w:line="272" w:lineRule="auto"/>
        <w:tabs>
          <w:tab w:leader="none" w:pos="87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the parties hereby acknowledge and agree that (i) all rights, title and interest in and to the Selected Compounds shall be retained by the owners thereof as determined in accordance with Section 3 of the Agreement and, following the assignment of BioLine’s rights under the Agreement with respect to the Selected Compounds as contemplated in Section 2 above, the exclusive license granted to BioLine with respect to the Selected Compounds pursuant to the Agreement shall be assigned to BIJ; and (ii) all rights, title and interest in and to the Development Results shall be owned solely and exclusively by BIJ. For the purpose hereof, the term “</w:t>
      </w:r>
      <w:r>
        <w:rPr>
          <w:rFonts w:ascii="Arial" w:cs="Arial" w:eastAsia="Arial" w:hAnsi="Arial"/>
          <w:sz w:val="16"/>
          <w:szCs w:val="16"/>
          <w:b w:val="1"/>
          <w:bCs w:val="1"/>
          <w:color w:val="auto"/>
        </w:rPr>
        <w:t>Development Results</w:t>
      </w:r>
      <w:r>
        <w:rPr>
          <w:rFonts w:ascii="Arial" w:cs="Arial" w:eastAsia="Arial" w:hAnsi="Arial"/>
          <w:sz w:val="16"/>
          <w:szCs w:val="16"/>
          <w:color w:val="auto"/>
        </w:rPr>
        <w:t>” shall mean all intellectual property, inventions, conceptions, compositions, materials, methods, processes, data, information, filings, records, results, studies and analyses, and other results and information of any kind relating to the Selected Compounds generated, discovered or acquired solely by employees, subcontractors or consultants of BIJ (other than members of the TAU Team, as defined in the Agreement) in the continued development and commercialization of the Selected Compounds. For purpose of clarity and without derogating from the generality of the foregoing, procedures and experiments developed by BIJ in the course of such development, including methods of chemical synthesis, drug administration modes, efficacy studies in animal models, formulations, toxicology, safety, pharmacology, stability, clinical studies and production and the results of all the foregoing shall be considered “Development Results”.</w:t>
      </w:r>
    </w:p>
    <w:p>
      <w:pPr>
        <w:spacing w:after="0" w:line="201" w:lineRule="exact"/>
        <w:rPr>
          <w:rFonts w:ascii="Arial" w:cs="Arial" w:eastAsia="Arial" w:hAnsi="Arial"/>
          <w:sz w:val="16"/>
          <w:szCs w:val="16"/>
          <w:color w:val="auto"/>
        </w:rPr>
      </w:pPr>
    </w:p>
    <w:p>
      <w:pPr>
        <w:jc w:val="both"/>
        <w:ind w:firstLine="3"/>
        <w:spacing w:after="0" w:line="275" w:lineRule="auto"/>
        <w:tabs>
          <w:tab w:leader="none" w:pos="69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BIJ may apply for grants and other funding from the Biotech Incubators Program of the Office of the Chief Scientist of the Israeli Ministry of Industry and Trade (the “</w:t>
      </w:r>
      <w:r>
        <w:rPr>
          <w:rFonts w:ascii="Arial" w:cs="Arial" w:eastAsia="Arial" w:hAnsi="Arial"/>
          <w:sz w:val="16"/>
          <w:szCs w:val="16"/>
          <w:b w:val="1"/>
          <w:bCs w:val="1"/>
          <w:color w:val="auto"/>
        </w:rPr>
        <w:t>OCS</w:t>
      </w:r>
      <w:r>
        <w:rPr>
          <w:rFonts w:ascii="Arial" w:cs="Arial" w:eastAsia="Arial" w:hAnsi="Arial"/>
          <w:sz w:val="16"/>
          <w:szCs w:val="16"/>
          <w:color w:val="auto"/>
        </w:rPr>
        <w:t>”) for the continued development of the Selected Compounds. If BIJ receives such grants, the development and commercialization of the Selected Compounds will become subject to the applicable laws and regulations governing such grants including, without limitation, the Law for the Encouragement of Industrial Research and Development, 5744-1984 as amended or supplemented from time to time and all regulations promulgated thereunder, the rules and regulations of the OCS and the relevant directives of the Director General of the Ministry of Trade, Industry and Employment (including Directive 8.4), and the rules and regulations of the Incubator Program of the OCS (together, the “</w:t>
      </w:r>
      <w:r>
        <w:rPr>
          <w:rFonts w:ascii="Arial" w:cs="Arial" w:eastAsia="Arial" w:hAnsi="Arial"/>
          <w:sz w:val="16"/>
          <w:szCs w:val="16"/>
          <w:b w:val="1"/>
          <w:bCs w:val="1"/>
          <w:color w:val="auto"/>
        </w:rPr>
        <w:t>Applicable Law</w:t>
      </w:r>
      <w:r>
        <w:rPr>
          <w:rFonts w:ascii="Arial" w:cs="Arial" w:eastAsia="Arial" w:hAnsi="Arial"/>
          <w:sz w:val="16"/>
          <w:szCs w:val="16"/>
          <w:color w:val="auto"/>
        </w:rPr>
        <w:t>”). Except as set forth in Section 5 below, BIJ alone shall be responsible for meeting the the requirements of the Applicable Law with respect to the Development Results.</w:t>
      </w:r>
    </w:p>
    <w:p>
      <w:pPr>
        <w:spacing w:after="0" w:line="196" w:lineRule="exact"/>
        <w:rPr>
          <w:rFonts w:ascii="Arial" w:cs="Arial" w:eastAsia="Arial" w:hAnsi="Arial"/>
          <w:sz w:val="16"/>
          <w:szCs w:val="16"/>
          <w:color w:val="auto"/>
        </w:rPr>
      </w:pPr>
    </w:p>
    <w:p>
      <w:pPr>
        <w:jc w:val="both"/>
        <w:ind w:firstLine="3"/>
        <w:spacing w:after="0" w:line="257" w:lineRule="auto"/>
        <w:tabs>
          <w:tab w:leader="none" w:pos="857"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In the event the Agreement is terminated for any of the reasons set out in 13.4.3 of the Agreement, BIJ shall transfer and assign to the Licensors all Development Results and all rights, title and interest therein and thereto; </w:t>
      </w:r>
      <w:r>
        <w:rPr>
          <w:rFonts w:ascii="Arial" w:cs="Arial" w:eastAsia="Arial" w:hAnsi="Arial"/>
          <w:sz w:val="17"/>
          <w:szCs w:val="17"/>
          <w:i w:val="1"/>
          <w:iCs w:val="1"/>
          <w:color w:val="auto"/>
        </w:rPr>
        <w:t>subject, however</w:t>
      </w:r>
      <w:r>
        <w:rPr>
          <w:rFonts w:ascii="Arial" w:cs="Arial" w:eastAsia="Arial" w:hAnsi="Arial"/>
          <w:sz w:val="17"/>
          <w:szCs w:val="17"/>
          <w:color w:val="auto"/>
        </w:rPr>
        <w:t>, to any conditions governing such transfer and assignment set out in the Applicable Law (collectively, the “</w:t>
      </w:r>
      <w:r>
        <w:rPr>
          <w:rFonts w:ascii="Arial" w:cs="Arial" w:eastAsia="Arial" w:hAnsi="Arial"/>
          <w:sz w:val="17"/>
          <w:szCs w:val="17"/>
          <w:b w:val="1"/>
          <w:bCs w:val="1"/>
          <w:color w:val="auto"/>
        </w:rPr>
        <w:t>Grant Transfer Conditions</w:t>
      </w:r>
      <w:r>
        <w:rPr>
          <w:rFonts w:ascii="Arial" w:cs="Arial" w:eastAsia="Arial" w:hAnsi="Arial"/>
          <w:sz w:val="17"/>
          <w:szCs w:val="17"/>
          <w:color w:val="auto"/>
        </w:rPr>
        <w:t xml:space="preserve">”), in which case BIJ will not be required to transfer and assign the Development Results as contemplated above </w:t>
      </w:r>
      <w:r>
        <w:rPr>
          <w:rFonts w:ascii="Arial" w:cs="Arial" w:eastAsia="Arial" w:hAnsi="Arial"/>
          <w:sz w:val="17"/>
          <w:szCs w:val="17"/>
          <w:i w:val="1"/>
          <w:iCs w:val="1"/>
          <w:color w:val="auto"/>
        </w:rPr>
        <w:t>unless and until</w:t>
      </w:r>
      <w:r>
        <w:rPr>
          <w:rFonts w:ascii="Arial" w:cs="Arial" w:eastAsia="Arial" w:hAnsi="Arial"/>
          <w:sz w:val="17"/>
          <w:szCs w:val="17"/>
          <w:color w:val="auto"/>
        </w:rPr>
        <w:t xml:space="preserve"> the Licensors either (i) agree in writing to assume all obligations required by the Grant Transfer Conditions, or (ii) reach another arrangement with the OCS which absolves BioLine and BIJ of any liability to such grantors with respect to the transfer and/or assignment of the Development Results.</w:t>
      </w:r>
    </w:p>
    <w:p>
      <w:pPr>
        <w:spacing w:after="0" w:line="210" w:lineRule="exact"/>
        <w:rPr>
          <w:rFonts w:ascii="Arial" w:cs="Arial" w:eastAsia="Arial" w:hAnsi="Arial"/>
          <w:sz w:val="17"/>
          <w:szCs w:val="17"/>
          <w:color w:val="auto"/>
        </w:rPr>
      </w:pPr>
    </w:p>
    <w:p>
      <w:pPr>
        <w:ind w:left="640" w:hanging="637"/>
        <w:spacing w:after="0"/>
        <w:tabs>
          <w:tab w:leader="none" w:pos="6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Except as otherwise provided herein , the terms of the Agreement shall remain in full force and effect.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72" w:name="page373"/>
    <w:bookmarkEnd w:id="372"/>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caused this Agreement to be executed by their duly authorized representatives as of the date first written above.</w:t>
      </w:r>
    </w:p>
    <w:p>
      <w:pPr>
        <w:sectPr>
          <w:pgSz w:w="11900" w:h="16838" w:orient="portrait"/>
          <w:cols w:equalWidth="0" w:num="1">
            <w:col w:w="11420"/>
          </w:cols>
          <w:pgMar w:left="240" w:top="494"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Ramot at Tel Aviv University Ltd.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By: /s/ Ze’ev Weinfeld, Ph.D.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 Ze’ev Weinfeld, Ph.D.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Executive Vice President,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Business Development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BioLineRx Ltd.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By: /s/ Yuri Shoshan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Name: Yuri Shoshan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Vice President,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Finance and Corporate Development</w:t>
      </w:r>
    </w:p>
    <w:p>
      <w:pPr>
        <w:spacing w:after="0" w:line="222" w:lineRule="exact"/>
        <w:rPr>
          <w:sz w:val="20"/>
          <w:szCs w:val="20"/>
          <w:color w:val="auto"/>
        </w:rPr>
      </w:pPr>
    </w:p>
    <w:p>
      <w:pPr>
        <w:sectPr>
          <w:pgSz w:w="11900" w:h="16838" w:orient="portrait"/>
          <w:cols w:equalWidth="0" w:num="2">
            <w:col w:w="5680" w:space="720"/>
            <w:col w:w="5020"/>
          </w:cols>
          <w:pgMar w:left="240" w:top="494"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80" w:type="dxa"/>
            <w:vAlign w:val="bottom"/>
          </w:tcPr>
          <w:p>
            <w:pPr>
              <w:spacing w:after="0"/>
              <w:rPr>
                <w:sz w:val="20"/>
                <w:szCs w:val="20"/>
                <w:color w:val="auto"/>
              </w:rPr>
            </w:pPr>
            <w:r>
              <w:rPr>
                <w:rFonts w:ascii="Arial" w:cs="Arial" w:eastAsia="Arial" w:hAnsi="Arial"/>
                <w:sz w:val="17"/>
                <w:szCs w:val="17"/>
                <w:b w:val="1"/>
                <w:bCs w:val="1"/>
                <w:color w:val="auto"/>
              </w:rPr>
              <w:t>Bar-Ilan Research and Development</w:t>
            </w:r>
          </w:p>
        </w:tc>
        <w:tc>
          <w:tcPr>
            <w:tcW w:w="6040" w:type="dxa"/>
            <w:vAlign w:val="bottom"/>
          </w:tcPr>
          <w:p>
            <w:pPr>
              <w:ind w:left="1020"/>
              <w:spacing w:after="0"/>
              <w:rPr>
                <w:sz w:val="20"/>
                <w:szCs w:val="20"/>
                <w:color w:val="auto"/>
              </w:rPr>
            </w:pPr>
            <w:r>
              <w:rPr>
                <w:rFonts w:ascii="Arial" w:cs="Arial" w:eastAsia="Arial" w:hAnsi="Arial"/>
                <w:sz w:val="17"/>
                <w:szCs w:val="17"/>
                <w:b w:val="1"/>
                <w:bCs w:val="1"/>
                <w:color w:val="auto"/>
              </w:rPr>
              <w:t>BioLine Innovations Jerusalem, LP</w:t>
            </w:r>
          </w:p>
        </w:tc>
      </w:tr>
      <w:tr>
        <w:trPr>
          <w:trHeight w:val="212"/>
        </w:trPr>
        <w:tc>
          <w:tcPr>
            <w:tcW w:w="5380" w:type="dxa"/>
            <w:vAlign w:val="bottom"/>
          </w:tcPr>
          <w:p>
            <w:pPr>
              <w:spacing w:after="0"/>
              <w:rPr>
                <w:sz w:val="20"/>
                <w:szCs w:val="20"/>
                <w:color w:val="auto"/>
              </w:rPr>
            </w:pPr>
            <w:r>
              <w:rPr>
                <w:rFonts w:ascii="Arial" w:cs="Arial" w:eastAsia="Arial" w:hAnsi="Arial"/>
                <w:sz w:val="17"/>
                <w:szCs w:val="17"/>
                <w:b w:val="1"/>
                <w:bCs w:val="1"/>
                <w:color w:val="auto"/>
              </w:rPr>
              <w:t>Company Ltd.</w:t>
            </w:r>
          </w:p>
        </w:tc>
        <w:tc>
          <w:tcPr>
            <w:tcW w:w="6040" w:type="dxa"/>
            <w:vAlign w:val="bottom"/>
          </w:tcPr>
          <w:p>
            <w:pPr>
              <w:spacing w:after="0"/>
              <w:rPr>
                <w:sz w:val="18"/>
                <w:szCs w:val="18"/>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7"/>
                <w:szCs w:val="17"/>
                <w:color w:val="auto"/>
              </w:rPr>
              <w:t>By: /s/ Gabriel Kenan</w:t>
            </w:r>
          </w:p>
        </w:tc>
        <w:tc>
          <w:tcPr>
            <w:tcW w:w="6040" w:type="dxa"/>
            <w:vAlign w:val="bottom"/>
          </w:tcPr>
          <w:p>
            <w:pPr>
              <w:ind w:left="1020"/>
              <w:spacing w:after="0"/>
              <w:rPr>
                <w:sz w:val="20"/>
                <w:szCs w:val="20"/>
                <w:color w:val="auto"/>
              </w:rPr>
            </w:pPr>
            <w:r>
              <w:rPr>
                <w:rFonts w:ascii="Arial" w:cs="Arial" w:eastAsia="Arial" w:hAnsi="Arial"/>
                <w:sz w:val="17"/>
                <w:szCs w:val="17"/>
                <w:color w:val="auto"/>
              </w:rPr>
              <w:t>By: /s/ Kinneret Savitsky</w:t>
            </w:r>
          </w:p>
        </w:tc>
      </w:tr>
      <w:tr>
        <w:trPr>
          <w:trHeight w:val="206"/>
        </w:trPr>
        <w:tc>
          <w:tcPr>
            <w:tcW w:w="5380" w:type="dxa"/>
            <w:vAlign w:val="bottom"/>
          </w:tcPr>
          <w:p>
            <w:pPr>
              <w:spacing w:after="0"/>
              <w:rPr>
                <w:sz w:val="20"/>
                <w:szCs w:val="20"/>
                <w:color w:val="auto"/>
              </w:rPr>
            </w:pPr>
            <w:r>
              <w:rPr>
                <w:rFonts w:ascii="Arial" w:cs="Arial" w:eastAsia="Arial" w:hAnsi="Arial"/>
                <w:sz w:val="17"/>
                <w:szCs w:val="17"/>
                <w:color w:val="auto"/>
              </w:rPr>
              <w:t>Name: Gabriel Kenan</w:t>
            </w:r>
          </w:p>
        </w:tc>
        <w:tc>
          <w:tcPr>
            <w:tcW w:w="6040" w:type="dxa"/>
            <w:vAlign w:val="bottom"/>
          </w:tcPr>
          <w:p>
            <w:pPr>
              <w:ind w:left="1020"/>
              <w:spacing w:after="0"/>
              <w:rPr>
                <w:sz w:val="20"/>
                <w:szCs w:val="20"/>
                <w:color w:val="auto"/>
              </w:rPr>
            </w:pPr>
            <w:r>
              <w:rPr>
                <w:rFonts w:ascii="Arial" w:cs="Arial" w:eastAsia="Arial" w:hAnsi="Arial"/>
                <w:sz w:val="17"/>
                <w:szCs w:val="17"/>
                <w:color w:val="auto"/>
              </w:rPr>
              <w:t>Name: Kinneret Savitsky</w:t>
            </w:r>
          </w:p>
        </w:tc>
      </w:tr>
      <w:tr>
        <w:trPr>
          <w:trHeight w:val="217"/>
        </w:trPr>
        <w:tc>
          <w:tcPr>
            <w:tcW w:w="5380" w:type="dxa"/>
            <w:vAlign w:val="bottom"/>
          </w:tcPr>
          <w:p>
            <w:pPr>
              <w:spacing w:after="0"/>
              <w:rPr>
                <w:sz w:val="20"/>
                <w:szCs w:val="20"/>
                <w:color w:val="auto"/>
              </w:rPr>
            </w:pPr>
            <w:r>
              <w:rPr>
                <w:rFonts w:ascii="Arial" w:cs="Arial" w:eastAsia="Arial" w:hAnsi="Arial"/>
                <w:sz w:val="17"/>
                <w:szCs w:val="17"/>
                <w:color w:val="auto"/>
              </w:rPr>
              <w:t>Title: C.E.O., Bar-Ilan Research &amp; Development Company Ltd</w:t>
            </w:r>
          </w:p>
        </w:tc>
        <w:tc>
          <w:tcPr>
            <w:tcW w:w="6040" w:type="dxa"/>
            <w:vAlign w:val="bottom"/>
          </w:tcPr>
          <w:p>
            <w:pPr>
              <w:ind w:left="1020"/>
              <w:spacing w:after="0"/>
              <w:rPr>
                <w:sz w:val="20"/>
                <w:szCs w:val="20"/>
                <w:color w:val="auto"/>
              </w:rPr>
            </w:pPr>
            <w:r>
              <w:rPr>
                <w:rFonts w:ascii="Arial" w:cs="Arial" w:eastAsia="Arial" w:hAnsi="Arial"/>
                <w:sz w:val="17"/>
                <w:szCs w:val="17"/>
                <w:color w:val="auto"/>
              </w:rPr>
              <w:t>Title: Director, BioLine Innovations Jerusalem, LP</w:t>
            </w:r>
          </w:p>
        </w:tc>
      </w:tr>
      <w:tr>
        <w:trPr>
          <w:trHeight w:val="808"/>
        </w:trPr>
        <w:tc>
          <w:tcPr>
            <w:tcW w:w="538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373" w:name="page374"/>
    <w:bookmarkEnd w:id="373"/>
    <w:p>
      <w:pPr>
        <w:jc w:val="center"/>
        <w:ind w:right="-1200"/>
        <w:spacing w:after="0"/>
        <w:rPr>
          <w:sz w:val="20"/>
          <w:szCs w:val="20"/>
          <w:color w:val="auto"/>
        </w:rPr>
      </w:pPr>
      <w:r>
        <w:rPr>
          <w:rFonts w:ascii="Arial" w:cs="Arial" w:eastAsia="Arial" w:hAnsi="Arial"/>
          <w:sz w:val="17"/>
          <w:szCs w:val="17"/>
          <w:b w:val="1"/>
          <w:bCs w:val="1"/>
          <w:color w:val="auto"/>
        </w:rPr>
        <w:t>Exhibit 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Selected Compounds</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24" w:lineRule="exact"/>
        <w:rPr>
          <w:sz w:val="20"/>
          <w:szCs w:val="20"/>
          <w:color w:val="auto"/>
        </w:rPr>
      </w:pPr>
    </w:p>
    <w:p>
      <w:pPr>
        <w:ind w:left="420" w:hanging="417"/>
        <w:spacing w:after="0"/>
        <w:tabs>
          <w:tab w:leader="none" w:pos="420" w:val="left"/>
        </w:tabs>
        <w:numPr>
          <w:ilvl w:val="0"/>
          <w:numId w:val="288"/>
        </w:numPr>
        <w:rPr>
          <w:rFonts w:ascii="Arial" w:cs="Arial" w:eastAsia="Arial" w:hAnsi="Arial"/>
          <w:sz w:val="15"/>
          <w:szCs w:val="15"/>
          <w:color w:val="auto"/>
        </w:rPr>
      </w:pPr>
      <w:r>
        <w:rPr>
          <w:rFonts w:ascii="Arial" w:cs="Arial" w:eastAsia="Arial" w:hAnsi="Arial"/>
          <w:sz w:val="15"/>
          <w:szCs w:val="15"/>
          <w:b w:val="1"/>
          <w:bCs w:val="1"/>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257415" cy="209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74" w:name="page375"/>
    <w:bookmarkEnd w:id="374"/>
    <w:p>
      <w:pPr>
        <w:jc w:val="right"/>
        <w:spacing w:after="0"/>
        <w:rPr>
          <w:sz w:val="20"/>
          <w:szCs w:val="20"/>
          <w:color w:val="auto"/>
        </w:rPr>
      </w:pPr>
      <w:r>
        <w:rPr>
          <w:rFonts w:ascii="Arial" w:cs="Arial" w:eastAsia="Arial" w:hAnsi="Arial"/>
          <w:sz w:val="17"/>
          <w:szCs w:val="17"/>
          <w:color w:val="auto"/>
        </w:rPr>
        <w:t>EXHIBIT 4.13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TRANSLATION FROM HEBREW</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 of Israel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Ministry of Industry and Trade, Office of the Chief Scientist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Technological Innovation Incubator Program Administration</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 August 18, 2005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Registered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Kinneret Savitsky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BioLine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Agreement to Establish a Center run as an Incubator: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File: 35583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Enclosed please find an agreement/amendment to an agreement for the operation of a technological innovation center as an incubator, signed by all parties.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Please confirm the receipt of this agreement in writing.</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&lt;Signature&gt;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Rina Pridor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Director, Technological Innovation Incubator Program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Rubber stamp: Received: 8-28-2005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5" w:name="page376"/>
    <w:bookmarkEnd w:id="375"/>
    <w:p>
      <w:pPr>
        <w:jc w:val="center"/>
        <w:ind w:right="-39"/>
        <w:spacing w:after="0"/>
        <w:rPr>
          <w:sz w:val="20"/>
          <w:szCs w:val="20"/>
          <w:color w:val="auto"/>
        </w:rPr>
      </w:pPr>
      <w:r>
        <w:rPr>
          <w:rFonts w:ascii="Arial" w:cs="Arial" w:eastAsia="Arial" w:hAnsi="Arial"/>
          <w:sz w:val="17"/>
          <w:szCs w:val="17"/>
          <w:i w:val="1"/>
          <w:iCs w:val="1"/>
          <w:color w:val="auto"/>
        </w:rPr>
        <w:t>Agreement to Operate a Biotechnology Incubator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Drawn up and signed in Jerusalem on _________</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4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Government of Israel, on behalf of the State of Israel, represented by the Chief Scientist and the Controller of the Ministry of Industry, Trade, and Employment (hereinafter “the State”);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BioLine Innovations Jerusalem Limited Partnership Biotechnology Incubator, corporate No. 550218853</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by Yuri Shoshan, ID No. 321101347</w:t>
      </w:r>
    </w:p>
    <w:p>
      <w:pPr>
        <w:spacing w:after="0" w:line="242" w:lineRule="exact"/>
        <w:rPr>
          <w:sz w:val="20"/>
          <w:szCs w:val="20"/>
          <w:color w:val="auto"/>
        </w:rPr>
      </w:pPr>
    </w:p>
    <w:p>
      <w:pPr>
        <w:jc w:val="center"/>
        <w:ind w:right="7560"/>
        <w:spacing w:after="0"/>
        <w:rPr>
          <w:sz w:val="20"/>
          <w:szCs w:val="20"/>
          <w:color w:val="auto"/>
        </w:rPr>
      </w:pPr>
      <w:r>
        <w:rPr>
          <w:rFonts w:ascii="Arial" w:cs="Arial" w:eastAsia="Arial" w:hAnsi="Arial"/>
          <w:sz w:val="17"/>
          <w:szCs w:val="17"/>
          <w:color w:val="auto"/>
        </w:rPr>
        <w:t>and Morris Laster, ID No. 069455137</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Its authorized signatories (hereinafter “the Incubator”);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Incubator is a center for biotechnological research and development run as an incubator, as designated in the operating plan attached to this agreement, marked Appendix 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whereas</w:t>
      </w:r>
    </w:p>
    <w:p>
      <w:pPr>
        <w:spacing w:after="0" w:line="24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The Incubator commits itself to operate as a Type-2 Incubator, pursuant to the Guidelines issued by the director general of the Ministry of Industry and Trade, No. 8.4 (hereinafter “the director general’s Guidelines”), the provisions of this agreement, the operating plan, the certificate of approval, and the statement of commitment to the entire project and the directives of the Biotechnology Incubator Committee (all of them together: “the Provisions”);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whereas</w:t>
      </w:r>
    </w:p>
    <w:p>
      <w:pPr>
        <w:spacing w:after="0" w:line="248"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The State is interested in the operation of the incubator as a physical, organizational, professional, marketing, and business framework for research and development projects in the field of biotechnology with commercial purposes, and all of this, as detailed in the present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Now therefore be it stated, agreed, and stipulated by the parties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pacing w:after="0" w:line="21" w:lineRule="exact"/>
        <w:rPr>
          <w:sz w:val="20"/>
          <w:szCs w:val="20"/>
          <w:color w:val="auto"/>
        </w:rPr>
      </w:pPr>
    </w:p>
    <w:p>
      <w:pPr>
        <w:ind w:left="320"/>
        <w:spacing w:after="0"/>
        <w:tabs>
          <w:tab w:leader="none" w:pos="7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preamble to this agreement and its appendices are integral parts thereof.</w:t>
      </w:r>
    </w:p>
    <w:p>
      <w:pPr>
        <w:spacing w:after="0" w:line="25" w:lineRule="exact"/>
        <w:rPr>
          <w:sz w:val="20"/>
          <w:szCs w:val="20"/>
          <w:color w:val="auto"/>
        </w:rPr>
      </w:pPr>
    </w:p>
    <w:p>
      <w:pPr>
        <w:ind w:left="320"/>
        <w:spacing w:after="0"/>
        <w:tabs>
          <w:tab w:leader="none" w:pos="7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All definitions not stated in this agreement are to be understood as defined in the director general’s Guidelines.</w:t>
      </w:r>
    </w:p>
    <w:p>
      <w:pPr>
        <w:spacing w:after="0" w:line="36" w:lineRule="exact"/>
        <w:rPr>
          <w:sz w:val="20"/>
          <w:szCs w:val="20"/>
          <w:color w:val="auto"/>
        </w:rPr>
      </w:pPr>
    </w:p>
    <w:p>
      <w:pPr>
        <w:ind w:left="320" w:hanging="317"/>
        <w:spacing w:after="0" w:line="259" w:lineRule="auto"/>
        <w:tabs>
          <w:tab w:leader="none" w:pos="3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representative of the State for the purposes of this agreement is the Chief Scientist of the Ministry of Industry and Trade (hereinafter “the Chief Scientist”) or his representative.</w:t>
      </w:r>
    </w:p>
    <w:p>
      <w:pPr>
        <w:ind w:left="320" w:right="260" w:hanging="317"/>
        <w:spacing w:after="0" w:line="259" w:lineRule="auto"/>
        <w:tabs>
          <w:tab w:leader="none" w:pos="3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purpose of this agreement is to govern the State’s support for the operation of the incubator, which will provide a physical, organizational, professional, marketing, and business framework for research and development projects in the field of biotechnology with commercial purposes (hereinafter “the Incubator Project” or “the Incubator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257415" cy="209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376" w:name="page377"/>
    <w:bookmarkEnd w:id="376"/>
    <w:p>
      <w:pPr>
        <w:ind w:left="317" w:hanging="317"/>
        <w:spacing w:after="0" w:line="288" w:lineRule="auto"/>
        <w:tabs>
          <w:tab w:leader="none" w:pos="317" w:val="left"/>
        </w:tabs>
        <w:numPr>
          <w:ilvl w:val="0"/>
          <w:numId w:val="290"/>
        </w:numPr>
        <w:rPr>
          <w:rFonts w:ascii="Arial" w:cs="Arial" w:eastAsia="Arial" w:hAnsi="Arial"/>
          <w:sz w:val="15"/>
          <w:szCs w:val="15"/>
          <w:color w:val="auto"/>
        </w:rPr>
      </w:pPr>
      <w:r>
        <w:rPr>
          <w:rFonts w:ascii="Arial" w:cs="Arial" w:eastAsia="Arial" w:hAnsi="Arial"/>
          <w:sz w:val="15"/>
          <w:szCs w:val="15"/>
          <w:color w:val="auto"/>
        </w:rPr>
        <w:t>The term of this agreement shall be a period of six years, beginning on January 1, 2005, and concluding on December 31, 2010 (hereinafter “the Term of the Agreement”). The Incubator will be entitled to submit, after the lapse of 48 months from the beginning of the Term of the Agreement, a request to extend the Term of the Agreement by three additional years. Should such a request be submitted, the Biotechnology Incubators Committee, as defined below, is entitled to reject it or approve it, to stipulate conditions, or to introduced amendments to this agreement or to set a shorter extension period. The Biotechnology Incubators Committee shall notify the Incubator in writing of its decision on the request for an extension within 90 days. Should the extension of the Term of the Agreement be approved, the Incubator shall be entitled to sign the extension document within 30 days of receiving notification from the committee.</w:t>
      </w:r>
    </w:p>
    <w:p>
      <w:pPr>
        <w:spacing w:after="0" w:line="3" w:lineRule="exact"/>
        <w:rPr>
          <w:rFonts w:ascii="Arial" w:cs="Arial" w:eastAsia="Arial" w:hAnsi="Arial"/>
          <w:sz w:val="15"/>
          <w:szCs w:val="15"/>
          <w:color w:val="auto"/>
        </w:rPr>
      </w:pPr>
    </w:p>
    <w:p>
      <w:pPr>
        <w:ind w:left="317" w:hanging="317"/>
        <w:spacing w:after="0"/>
        <w:tabs>
          <w:tab w:leader="none" w:pos="31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10" w:lineRule="exact"/>
        <w:rPr>
          <w:rFonts w:ascii="Arial" w:cs="Arial" w:eastAsia="Arial" w:hAnsi="Arial"/>
          <w:sz w:val="17"/>
          <w:szCs w:val="17"/>
          <w:color w:val="auto"/>
        </w:rPr>
      </w:pPr>
    </w:p>
    <w:p>
      <w:pPr>
        <w:ind w:left="777" w:right="660" w:hanging="463"/>
        <w:spacing w:after="0" w:line="252" w:lineRule="auto"/>
        <w:rPr>
          <w:rFonts w:ascii="Arial" w:cs="Arial" w:eastAsia="Arial" w:hAnsi="Arial"/>
          <w:sz w:val="17"/>
          <w:szCs w:val="17"/>
          <w:color w:val="auto"/>
        </w:rPr>
      </w:pPr>
      <w:r>
        <w:rPr>
          <w:rFonts w:ascii="Arial" w:cs="Arial" w:eastAsia="Arial" w:hAnsi="Arial"/>
          <w:sz w:val="17"/>
          <w:szCs w:val="17"/>
          <w:color w:val="auto"/>
        </w:rPr>
        <w:t>5.1 State Loan: The loan approved by the Biotechnology Incubators Committee for the Incubator for a project for its implementation, pursuant to the Certificate of Approval for the implementation of that project and in keeping with the Provisions.</w:t>
      </w:r>
    </w:p>
    <w:p>
      <w:pPr>
        <w:spacing w:after="0" w:line="1"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5.2   Project agreement: an agreement between a Type-1 Biotechnology Incubator and the Project Company, as defined below.</w:t>
      </w:r>
    </w:p>
    <w:p>
      <w:pPr>
        <w:spacing w:after="0" w:line="25"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5.3   The Biotechnology Incubators Committee: as defined in section 2.4 of the director general’s Guidelines (hereinafter “the Committee”).</w:t>
      </w:r>
    </w:p>
    <w:p>
      <w:pPr>
        <w:spacing w:after="0" w:line="36"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5.4   Franchise holder: as defined in section 2.4 of the director general’s Guidelines.</w:t>
      </w:r>
    </w:p>
    <w:p>
      <w:pPr>
        <w:spacing w:after="0" w:line="36"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5.5   Project company: as defined in section 2.5 of the director general’s Guidelines.</w:t>
      </w:r>
    </w:p>
    <w:p>
      <w:pPr>
        <w:spacing w:after="0" w:line="36"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5.6   Type-1 Biotechnology Incubator: as defined in section 2.3.1 of the director general’s Guidelines.</w:t>
      </w:r>
    </w:p>
    <w:p>
      <w:pPr>
        <w:spacing w:after="0" w:line="36"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5.7   Type-2 Biotechnology Incubator: as defined in section 2.3.2 of the director general’s Guidelines.</w:t>
      </w:r>
    </w:p>
    <w:p>
      <w:pPr>
        <w:spacing w:after="0" w:line="36"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5.8   Incubator: a type-1 or type-2 Biotechnology Incubator as defined above.</w:t>
      </w:r>
    </w:p>
    <w:p>
      <w:pPr>
        <w:spacing w:after="0" w:line="36"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5.9   Entrepreneur: as defined in section 2.2 of the director general’s Guidelines.</w:t>
      </w:r>
    </w:p>
    <w:p>
      <w:pPr>
        <w:spacing w:after="0" w:line="36" w:lineRule="exact"/>
        <w:rPr>
          <w:rFonts w:ascii="Arial" w:cs="Arial" w:eastAsia="Arial" w:hAnsi="Arial"/>
          <w:sz w:val="17"/>
          <w:szCs w:val="17"/>
          <w:color w:val="auto"/>
        </w:rPr>
      </w:pPr>
    </w:p>
    <w:p>
      <w:pPr>
        <w:ind w:left="777" w:right="200" w:hanging="463"/>
        <w:spacing w:after="0" w:line="257" w:lineRule="auto"/>
        <w:rPr>
          <w:rFonts w:ascii="Arial" w:cs="Arial" w:eastAsia="Arial" w:hAnsi="Arial"/>
          <w:sz w:val="17"/>
          <w:szCs w:val="17"/>
          <w:color w:val="auto"/>
        </w:rPr>
      </w:pPr>
      <w:r>
        <w:rPr>
          <w:rFonts w:ascii="Arial" w:cs="Arial" w:eastAsia="Arial" w:hAnsi="Arial"/>
          <w:sz w:val="17"/>
          <w:szCs w:val="17"/>
          <w:color w:val="auto"/>
        </w:rPr>
        <w:t>5.10 Certificate of Approval: A certificate signed by the Chief Scientist, stipulating the conditions of implementation of the R&amp;D work by every Project Company and/or Project that is housed in the Incubator, and governing the issuing of state loans to the Incubator and/or the Project Company and/or the Project.</w:t>
      </w:r>
    </w:p>
    <w:p>
      <w:pPr>
        <w:ind w:left="317"/>
        <w:spacing w:after="0"/>
        <w:rPr>
          <w:rFonts w:ascii="Arial" w:cs="Arial" w:eastAsia="Arial" w:hAnsi="Arial"/>
          <w:sz w:val="17"/>
          <w:szCs w:val="17"/>
          <w:color w:val="auto"/>
        </w:rPr>
      </w:pPr>
      <w:r>
        <w:rPr>
          <w:rFonts w:ascii="Arial" w:cs="Arial" w:eastAsia="Arial" w:hAnsi="Arial"/>
          <w:sz w:val="17"/>
          <w:szCs w:val="17"/>
          <w:color w:val="auto"/>
        </w:rPr>
        <w:t>5.11  Encumbered Project Assets: As defined in section 5.14 of the director general’s Guidelines.</w:t>
      </w:r>
    </w:p>
    <w:p>
      <w:pPr>
        <w:spacing w:after="0" w:line="25"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5.12  Incubator Project: As defined in section 2.6 of the director general’s Guidelines.</w:t>
      </w:r>
    </w:p>
    <w:p>
      <w:pPr>
        <w:spacing w:after="0" w:line="36" w:lineRule="exact"/>
        <w:rPr>
          <w:rFonts w:ascii="Arial" w:cs="Arial" w:eastAsia="Arial" w:hAnsi="Arial"/>
          <w:sz w:val="17"/>
          <w:szCs w:val="17"/>
          <w:color w:val="auto"/>
        </w:rPr>
      </w:pPr>
    </w:p>
    <w:p>
      <w:pPr>
        <w:ind w:left="777" w:right="60" w:hanging="463"/>
        <w:spacing w:after="0" w:line="257" w:lineRule="auto"/>
        <w:rPr>
          <w:rFonts w:ascii="Arial" w:cs="Arial" w:eastAsia="Arial" w:hAnsi="Arial"/>
          <w:sz w:val="17"/>
          <w:szCs w:val="17"/>
          <w:color w:val="auto"/>
        </w:rPr>
      </w:pPr>
      <w:r>
        <w:rPr>
          <w:rFonts w:ascii="Arial" w:cs="Arial" w:eastAsia="Arial" w:hAnsi="Arial"/>
          <w:sz w:val="17"/>
          <w:szCs w:val="17"/>
          <w:color w:val="auto"/>
        </w:rPr>
        <w:t>5.13 Intellectual Property: The expertise and experience accumulated by the Incubator and/or the Project Company and/or anyone acting on their behalf, the trade secrets that are relevant, directly and/or indirectly, to the operation of the Incubator and/or the Project Company and/or the Project, as well as the patents, copyrights, trademarks, trade names, trade secrets, inventions, samples, processes, computer programs, technical data, any agreement and/or license for implementing the project in any stage whatsoever, specific trials on an animal model, synthesis of compounds, preclinical trials and their outcomes, and any other intangible rights, whether registered or not registered, associated with the operation of the Incubator and/or the Project Company and/or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7415" cy="209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77"/>
          </w:cols>
          <w:pgMar w:left="243" w:top="500" w:right="279" w:bottom="1440" w:gutter="0" w:footer="0" w:header="0"/>
        </w:sectPr>
      </w:pPr>
    </w:p>
    <w:bookmarkStart w:id="377" w:name="page378"/>
    <w:bookmarkEnd w:id="377"/>
    <w:p>
      <w:pPr>
        <w:ind w:left="317"/>
        <w:spacing w:after="0"/>
        <w:tabs>
          <w:tab w:leader="none" w:pos="757" w:val="left"/>
        </w:tabs>
        <w:rPr>
          <w:sz w:val="20"/>
          <w:szCs w:val="20"/>
          <w:color w:val="auto"/>
        </w:rPr>
      </w:pPr>
      <w:r>
        <w:rPr>
          <w:rFonts w:ascii="Arial" w:cs="Arial" w:eastAsia="Arial" w:hAnsi="Arial"/>
          <w:sz w:val="17"/>
          <w:szCs w:val="17"/>
          <w:color w:val="auto"/>
        </w:rPr>
        <w:t>5.14</w:t>
      </w:r>
      <w:r>
        <w:rPr>
          <w:sz w:val="20"/>
          <w:szCs w:val="20"/>
          <w:color w:val="auto"/>
        </w:rPr>
        <w:tab/>
      </w:r>
      <w:r>
        <w:rPr>
          <w:rFonts w:ascii="Arial" w:cs="Arial" w:eastAsia="Arial" w:hAnsi="Arial"/>
          <w:sz w:val="15"/>
          <w:szCs w:val="15"/>
          <w:color w:val="auto"/>
        </w:rPr>
        <w:t>Interest: As per the interest rate set in the Award of Interest and Linkage Law 5721-1961.</w:t>
      </w:r>
    </w:p>
    <w:p>
      <w:pPr>
        <w:spacing w:after="0" w:line="36" w:lineRule="exact"/>
        <w:rPr>
          <w:sz w:val="20"/>
          <w:szCs w:val="20"/>
          <w:color w:val="auto"/>
        </w:rPr>
      </w:pPr>
    </w:p>
    <w:p>
      <w:pPr>
        <w:ind w:left="777" w:right="140" w:hanging="462"/>
        <w:spacing w:after="0" w:line="259" w:lineRule="auto"/>
        <w:tabs>
          <w:tab w:leader="none" w:pos="757" w:val="left"/>
        </w:tabs>
        <w:rPr>
          <w:sz w:val="20"/>
          <w:szCs w:val="20"/>
          <w:color w:val="auto"/>
        </w:rPr>
      </w:pPr>
      <w:r>
        <w:rPr>
          <w:rFonts w:ascii="Arial" w:cs="Arial" w:eastAsia="Arial" w:hAnsi="Arial"/>
          <w:sz w:val="17"/>
          <w:szCs w:val="17"/>
          <w:color w:val="auto"/>
        </w:rPr>
        <w:t>5.15</w:t>
        <w:tab/>
        <w:t>Operating plan: the plan for operating the incubator submitted to and approved by the Committee and/or as it may be updated from time to time with the approval of the Committee, including the operating budget of the Incubator, all as stipulated in Appendix A.</w:t>
      </w:r>
    </w:p>
    <w:p>
      <w:pPr>
        <w:spacing w:after="0" w:line="1" w:lineRule="exact"/>
        <w:rPr>
          <w:sz w:val="20"/>
          <w:szCs w:val="20"/>
          <w:color w:val="auto"/>
        </w:rPr>
      </w:pPr>
    </w:p>
    <w:p>
      <w:pPr>
        <w:ind w:left="317"/>
        <w:spacing w:after="0"/>
        <w:tabs>
          <w:tab w:leader="none" w:pos="757" w:val="left"/>
        </w:tabs>
        <w:rPr>
          <w:sz w:val="20"/>
          <w:szCs w:val="20"/>
          <w:color w:val="auto"/>
        </w:rPr>
      </w:pPr>
      <w:r>
        <w:rPr>
          <w:rFonts w:ascii="Arial" w:cs="Arial" w:eastAsia="Arial" w:hAnsi="Arial"/>
          <w:sz w:val="17"/>
          <w:szCs w:val="17"/>
          <w:color w:val="auto"/>
        </w:rPr>
        <w:t>5.16</w:t>
      </w:r>
      <w:r>
        <w:rPr>
          <w:sz w:val="20"/>
          <w:szCs w:val="20"/>
          <w:color w:val="auto"/>
        </w:rPr>
        <w:tab/>
      </w:r>
      <w:r>
        <w:rPr>
          <w:rFonts w:ascii="Arial" w:cs="Arial" w:eastAsia="Arial" w:hAnsi="Arial"/>
          <w:sz w:val="15"/>
          <w:szCs w:val="15"/>
          <w:color w:val="auto"/>
        </w:rPr>
        <w:t>Project Implementation: As defined in the Certificate of Approval for that Project and pursuant to the director general’s Guidelines.</w:t>
      </w:r>
    </w:p>
    <w:p>
      <w:pPr>
        <w:spacing w:after="0" w:line="25" w:lineRule="exact"/>
        <w:rPr>
          <w:sz w:val="20"/>
          <w:szCs w:val="20"/>
          <w:color w:val="auto"/>
        </w:rPr>
      </w:pPr>
    </w:p>
    <w:p>
      <w:pPr>
        <w:ind w:left="777" w:right="100" w:hanging="462"/>
        <w:spacing w:after="0" w:line="259" w:lineRule="auto"/>
        <w:tabs>
          <w:tab w:leader="none" w:pos="757" w:val="left"/>
        </w:tabs>
        <w:rPr>
          <w:sz w:val="20"/>
          <w:szCs w:val="20"/>
          <w:color w:val="auto"/>
        </w:rPr>
      </w:pPr>
      <w:r>
        <w:rPr>
          <w:rFonts w:ascii="Arial" w:cs="Arial" w:eastAsia="Arial" w:hAnsi="Arial"/>
          <w:sz w:val="17"/>
          <w:szCs w:val="17"/>
          <w:color w:val="auto"/>
        </w:rPr>
        <w:t>5.17</w:t>
        <w:tab/>
        <w:t>Allowed Overhead: A payment by a Project Company and/or Project to the Incubator on account of outlays for project overhead, in a total amount not to exceed 20% (twenty percent) of the labor costs in the approved budget of that Project Company and/or Project.</w:t>
      </w:r>
    </w:p>
    <w:p>
      <w:pPr>
        <w:spacing w:after="0" w:line="1" w:lineRule="exact"/>
        <w:rPr>
          <w:sz w:val="20"/>
          <w:szCs w:val="20"/>
          <w:color w:val="auto"/>
        </w:rPr>
      </w:pPr>
    </w:p>
    <w:p>
      <w:pPr>
        <w:ind w:left="317" w:hanging="317"/>
        <w:spacing w:after="0"/>
        <w:tabs>
          <w:tab w:leader="none" w:pos="31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Incubator hereby affirms as follows:</w:t>
      </w:r>
    </w:p>
    <w:p>
      <w:pPr>
        <w:spacing w:after="0" w:line="10" w:lineRule="exact"/>
        <w:rPr>
          <w:rFonts w:ascii="Arial" w:cs="Arial" w:eastAsia="Arial" w:hAnsi="Arial"/>
          <w:sz w:val="17"/>
          <w:szCs w:val="17"/>
          <w:color w:val="auto"/>
        </w:rPr>
      </w:pPr>
    </w:p>
    <w:p>
      <w:pPr>
        <w:ind w:left="777" w:right="420" w:hanging="463"/>
        <w:spacing w:after="0" w:line="286" w:lineRule="auto"/>
        <w:rPr>
          <w:rFonts w:ascii="Arial" w:cs="Arial" w:eastAsia="Arial" w:hAnsi="Arial"/>
          <w:sz w:val="17"/>
          <w:szCs w:val="17"/>
          <w:color w:val="auto"/>
        </w:rPr>
      </w:pPr>
      <w:r>
        <w:rPr>
          <w:rFonts w:ascii="Arial" w:cs="Arial" w:eastAsia="Arial" w:hAnsi="Arial"/>
          <w:sz w:val="15"/>
          <w:szCs w:val="15"/>
          <w:color w:val="auto"/>
        </w:rPr>
        <w:t>6.1 That it is organized and registered as an Israeli for-profit corporation whose goal is the successful operation of the Incubator. The details of its incorporation, including its certificate of incorporation and an up-to-date report from the Office of the Registrar of Companies, its bylaws, founders’ agreement, and statement of signatory rights certified by the Incubator’s attorney are attached to the present agreement as Appendix B.</w:t>
      </w:r>
    </w:p>
    <w:p>
      <w:pPr>
        <w:ind w:left="777" w:hanging="463"/>
        <w:spacing w:after="0" w:line="252" w:lineRule="auto"/>
        <w:rPr>
          <w:rFonts w:ascii="Arial" w:cs="Arial" w:eastAsia="Arial" w:hAnsi="Arial"/>
          <w:sz w:val="17"/>
          <w:szCs w:val="17"/>
          <w:color w:val="auto"/>
        </w:rPr>
      </w:pPr>
      <w:r>
        <w:rPr>
          <w:rFonts w:ascii="Arial" w:cs="Arial" w:eastAsia="Arial" w:hAnsi="Arial"/>
          <w:sz w:val="17"/>
          <w:szCs w:val="17"/>
          <w:color w:val="auto"/>
        </w:rPr>
        <w:t>6.2 That, no later than the end of three months from the date of signing of this agreement, the Incubator will operate and be the owner or have leasehold rights of an appropriate structure approved in advance by the Committee for the housing and implementation of at least eight projects with approximately five employees per project. The structure will also include the infrastructure appropriate for the operation of a central equipment lab, as detailed in section 7.6 of the present agreement (hereinafter “the Structure”). Any change in the identity and/or nature of the leasehold shall require the advance approval of the Incubators Committee.</w:t>
      </w:r>
    </w:p>
    <w:p>
      <w:pPr>
        <w:spacing w:after="0" w:line="2" w:lineRule="exact"/>
        <w:rPr>
          <w:rFonts w:ascii="Arial" w:cs="Arial" w:eastAsia="Arial" w:hAnsi="Arial"/>
          <w:sz w:val="17"/>
          <w:szCs w:val="17"/>
          <w:color w:val="auto"/>
        </w:rPr>
      </w:pPr>
    </w:p>
    <w:p>
      <w:pPr>
        <w:ind w:left="777" w:right="100" w:hanging="463"/>
        <w:spacing w:after="0" w:line="252" w:lineRule="auto"/>
        <w:rPr>
          <w:rFonts w:ascii="Arial" w:cs="Arial" w:eastAsia="Arial" w:hAnsi="Arial"/>
          <w:sz w:val="17"/>
          <w:szCs w:val="17"/>
          <w:color w:val="auto"/>
        </w:rPr>
      </w:pPr>
      <w:r>
        <w:rPr>
          <w:rFonts w:ascii="Arial" w:cs="Arial" w:eastAsia="Arial" w:hAnsi="Arial"/>
          <w:sz w:val="17"/>
          <w:szCs w:val="17"/>
          <w:color w:val="auto"/>
        </w:rPr>
        <w:t>6.3 That it has the expertise, experience, and professional and economic capacity to manage the incubator pursuant to this agreement and the Provisions, and to provide the Project or Projects with a physical, organizational, professional, marketing, and business environment for conducting research and development in the field of biotechnology for commercial purposes.</w:t>
      </w:r>
    </w:p>
    <w:p>
      <w:pPr>
        <w:spacing w:after="0" w:line="1" w:lineRule="exact"/>
        <w:rPr>
          <w:rFonts w:ascii="Arial" w:cs="Arial" w:eastAsia="Arial" w:hAnsi="Arial"/>
          <w:sz w:val="17"/>
          <w:szCs w:val="17"/>
          <w:color w:val="auto"/>
        </w:rPr>
      </w:pPr>
    </w:p>
    <w:p>
      <w:pPr>
        <w:ind w:left="777" w:right="100" w:hanging="463"/>
        <w:spacing w:after="0" w:line="252" w:lineRule="auto"/>
        <w:rPr>
          <w:rFonts w:ascii="Arial" w:cs="Arial" w:eastAsia="Arial" w:hAnsi="Arial"/>
          <w:sz w:val="17"/>
          <w:szCs w:val="17"/>
          <w:color w:val="auto"/>
        </w:rPr>
      </w:pPr>
      <w:r>
        <w:rPr>
          <w:rFonts w:ascii="Arial" w:cs="Arial" w:eastAsia="Arial" w:hAnsi="Arial"/>
          <w:sz w:val="17"/>
          <w:szCs w:val="17"/>
          <w:color w:val="auto"/>
        </w:rPr>
        <w:t>6.4 That it has access to first-class consulting services, including in the following fields: legal counsel, patents, quality control, regulatory affairs and clinical trials, information management, and bookkeeping and financial advice.</w:t>
      </w:r>
    </w:p>
    <w:p>
      <w:pPr>
        <w:spacing w:after="0" w:line="1" w:lineRule="exact"/>
        <w:rPr>
          <w:rFonts w:ascii="Arial" w:cs="Arial" w:eastAsia="Arial" w:hAnsi="Arial"/>
          <w:sz w:val="17"/>
          <w:szCs w:val="17"/>
          <w:color w:val="auto"/>
        </w:rPr>
      </w:pPr>
    </w:p>
    <w:p>
      <w:pPr>
        <w:ind w:left="317" w:hanging="317"/>
        <w:spacing w:after="0"/>
        <w:tabs>
          <w:tab w:leader="none" w:pos="31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Incubator undertakes:</w:t>
      </w:r>
    </w:p>
    <w:p>
      <w:pPr>
        <w:spacing w:after="0" w:line="10"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7.1   To prepare the structure and make it suitable for the needs of running the Project or Projects, as may be required.</w:t>
      </w:r>
    </w:p>
    <w:p>
      <w:pPr>
        <w:spacing w:after="0" w:line="25" w:lineRule="exact"/>
        <w:rPr>
          <w:rFonts w:ascii="Arial" w:cs="Arial" w:eastAsia="Arial" w:hAnsi="Arial"/>
          <w:sz w:val="17"/>
          <w:szCs w:val="17"/>
          <w:color w:val="auto"/>
        </w:rPr>
      </w:pPr>
    </w:p>
    <w:p>
      <w:pPr>
        <w:ind w:left="777" w:right="500" w:hanging="463"/>
        <w:spacing w:after="0" w:line="259" w:lineRule="auto"/>
        <w:rPr>
          <w:rFonts w:ascii="Arial" w:cs="Arial" w:eastAsia="Arial" w:hAnsi="Arial"/>
          <w:sz w:val="17"/>
          <w:szCs w:val="17"/>
          <w:color w:val="auto"/>
        </w:rPr>
      </w:pPr>
      <w:r>
        <w:rPr>
          <w:rFonts w:ascii="Arial" w:cs="Arial" w:eastAsia="Arial" w:hAnsi="Arial"/>
          <w:sz w:val="17"/>
          <w:szCs w:val="17"/>
          <w:color w:val="auto"/>
        </w:rPr>
        <w:t>7.2 To manage the incubator, with all its functions, by means of an administrative staff, in a professional manner, in keeping with the Provisions and to faithfully satisfy all provisions that may be in force at that time.</w:t>
      </w:r>
    </w:p>
    <w:p>
      <w:pPr>
        <w:ind w:left="317"/>
        <w:spacing w:after="0"/>
        <w:rPr>
          <w:rFonts w:ascii="Arial" w:cs="Arial" w:eastAsia="Arial" w:hAnsi="Arial"/>
          <w:sz w:val="17"/>
          <w:szCs w:val="17"/>
          <w:color w:val="auto"/>
        </w:rPr>
      </w:pPr>
      <w:r>
        <w:rPr>
          <w:rFonts w:ascii="Arial" w:cs="Arial" w:eastAsia="Arial" w:hAnsi="Arial"/>
          <w:sz w:val="17"/>
          <w:szCs w:val="17"/>
          <w:color w:val="auto"/>
        </w:rPr>
        <w:t>7.3   To employ a fulltime general manager for the incubator, with the appropriate skills (hereinafter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7415" cy="209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57"/>
          </w:cols>
          <w:pgMar w:left="243" w:top="500" w:right="299" w:bottom="1440" w:gutter="0" w:footer="0" w:header="0"/>
        </w:sectPr>
      </w:pPr>
    </w:p>
    <w:bookmarkStart w:id="378" w:name="page379"/>
    <w:bookmarkEnd w:id="378"/>
    <w:p>
      <w:pPr>
        <w:ind w:left="460" w:right="40" w:hanging="462"/>
        <w:spacing w:after="0" w:line="259" w:lineRule="auto"/>
        <w:tabs>
          <w:tab w:leader="none" w:pos="44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To employ a fulltime administrative director for the incubator, as well as a secretarial and bookkeeping staff with the appropriate skills, proportional to the scale of the incubator’s activities.</w:t>
      </w:r>
    </w:p>
    <w:p>
      <w:pPr>
        <w:spacing w:after="0" w:line="1" w:lineRule="exact"/>
        <w:rPr>
          <w:sz w:val="20"/>
          <w:szCs w:val="20"/>
          <w:color w:val="auto"/>
        </w:rPr>
      </w:pPr>
    </w:p>
    <w:p>
      <w:pPr>
        <w:ind w:left="460" w:right="60" w:hanging="462"/>
        <w:spacing w:after="0" w:line="252" w:lineRule="auto"/>
        <w:tabs>
          <w:tab w:leader="none" w:pos="44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To employ, in addition to the above, one assistant manager with the professional and business skills appropriate for the field for every three projects being carried out in the incubator, starting from the first project.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5"/>
          <w:szCs w:val="15"/>
          <w:color w:val="auto"/>
        </w:rPr>
        <w:t>To establish and operate a central lab for all the projects (hereinafter “the Lab”).</w:t>
      </w:r>
    </w:p>
    <w:p>
      <w:pPr>
        <w:spacing w:after="0" w:line="25" w:lineRule="exact"/>
        <w:rPr>
          <w:sz w:val="20"/>
          <w:szCs w:val="20"/>
          <w:color w:val="auto"/>
        </w:rPr>
      </w:pPr>
    </w:p>
    <w:p>
      <w:pPr>
        <w:ind w:left="640" w:right="320" w:hanging="346"/>
        <w:spacing w:after="0" w:line="259" w:lineRule="auto"/>
        <w:rPr>
          <w:sz w:val="20"/>
          <w:szCs w:val="20"/>
          <w:color w:val="auto"/>
        </w:rPr>
      </w:pPr>
      <w:r>
        <w:rPr>
          <w:rFonts w:ascii="Arial" w:cs="Arial" w:eastAsia="Arial" w:hAnsi="Arial"/>
          <w:sz w:val="17"/>
          <w:szCs w:val="17"/>
          <w:color w:val="auto"/>
        </w:rPr>
        <w:t>7.6.1 To employ a fulltime manager or operator of the central Lab, with the appropriate skills. During its first year of activity the Incubator is entitled to satisfy this obligation by means of an outside contractor that runs the Lab and/or to employ a part-time manager only.</w:t>
      </w:r>
    </w:p>
    <w:p>
      <w:pPr>
        <w:spacing w:after="0" w:line="1" w:lineRule="exact"/>
        <w:rPr>
          <w:sz w:val="20"/>
          <w:szCs w:val="20"/>
          <w:color w:val="auto"/>
        </w:rPr>
      </w:pPr>
    </w:p>
    <w:p>
      <w:pPr>
        <w:ind w:left="640" w:right="260" w:hanging="346"/>
        <w:spacing w:after="0" w:line="252" w:lineRule="auto"/>
        <w:rPr>
          <w:sz w:val="20"/>
          <w:szCs w:val="20"/>
          <w:color w:val="auto"/>
        </w:rPr>
      </w:pPr>
      <w:r>
        <w:rPr>
          <w:rFonts w:ascii="Arial" w:cs="Arial" w:eastAsia="Arial" w:hAnsi="Arial"/>
          <w:sz w:val="17"/>
          <w:szCs w:val="17"/>
          <w:color w:val="auto"/>
        </w:rPr>
        <w:t>7.6.2 To set up and operate the Lab no later than the end of the first year of the Incubator’s activity, as per the requirements included in section 4.2 of the director general’s Guidelines.</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color w:val="auto"/>
        </w:rPr>
        <w:t>To train the project managers to work according to quality principles.</w:t>
      </w:r>
    </w:p>
    <w:p>
      <w:pPr>
        <w:spacing w:after="0" w:line="25" w:lineRule="exact"/>
        <w:rPr>
          <w:sz w:val="20"/>
          <w:szCs w:val="20"/>
          <w:color w:val="auto"/>
        </w:rPr>
      </w:pPr>
    </w:p>
    <w:p>
      <w:pPr>
        <w:ind w:left="460" w:right="120" w:hanging="462"/>
        <w:spacing w:after="0" w:line="270" w:lineRule="auto"/>
        <w:tabs>
          <w:tab w:leader="none" w:pos="44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6"/>
          <w:szCs w:val="16"/>
          <w:color w:val="auto"/>
        </w:rPr>
        <w:t>To operate the Incubator for at least six years and to invest in its operation an annual sum of not less than NIS 2,700,000 (two million seven hundred thousand) for each year of operation (as defined below) for the Term of the Agreement (hereinafter the “Total Investment”). The Total Investment will be linked to the Consumer Price Index published in February 2004. The Total Investment will be updated once at the start of each year as a function of the rise in the index from February 2004 to January of that year (hereinafter the “Updated Total Investment”). It is stipulated that should the cumulative change in the index be negative, the Total Investment will not be decreased. To eliminate any doubt, the Total Investment shall be in addition to the supplementary financing required for each Incubator project and for the Allowed Overhead as part of the Project’s approved budget project, and in addition to financing equipment for the Lab and its maintenance, as stipulated in section 7.6 above.</w:t>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color w:val="auto"/>
        </w:rPr>
        <w:t>Bank Guarantee</w:t>
      </w:r>
    </w:p>
    <w:p>
      <w:pPr>
        <w:spacing w:after="0" w:line="25" w:lineRule="exact"/>
        <w:rPr>
          <w:sz w:val="20"/>
          <w:szCs w:val="20"/>
          <w:color w:val="auto"/>
        </w:rPr>
      </w:pPr>
    </w:p>
    <w:p>
      <w:pPr>
        <w:ind w:left="640" w:right="80" w:hanging="346"/>
        <w:spacing w:after="0" w:line="256" w:lineRule="auto"/>
        <w:rPr>
          <w:sz w:val="20"/>
          <w:szCs w:val="20"/>
          <w:color w:val="auto"/>
        </w:rPr>
      </w:pPr>
      <w:r>
        <w:rPr>
          <w:rFonts w:ascii="Arial" w:cs="Arial" w:eastAsia="Arial" w:hAnsi="Arial"/>
          <w:sz w:val="17"/>
          <w:szCs w:val="17"/>
          <w:color w:val="auto"/>
        </w:rPr>
        <w:t>7.9.1 To guarantee the Incubator’s undertakings under the present agreement, the Incubator and/or its controlling party will convey a linked bank guarantee payable to the State in the amount of NIS 8,100,000 (eight million one-hundred thousand), linked to the Consumer Price Index published in February 2004, which will remain in force until the passage of three months after the Term of the Agreement, in the form attached to the present agreement as Appendix C.</w:t>
      </w:r>
    </w:p>
    <w:p>
      <w:pPr>
        <w:ind w:left="640" w:hanging="346"/>
        <w:spacing w:after="0" w:line="252" w:lineRule="auto"/>
        <w:rPr>
          <w:sz w:val="20"/>
          <w:szCs w:val="20"/>
          <w:color w:val="auto"/>
        </w:rPr>
      </w:pPr>
      <w:r>
        <w:rPr>
          <w:rFonts w:ascii="Arial" w:cs="Arial" w:eastAsia="Arial" w:hAnsi="Arial"/>
          <w:sz w:val="17"/>
          <w:szCs w:val="17"/>
          <w:color w:val="auto"/>
        </w:rPr>
        <w:t>7.9.2 It is stipulated and agreed that after the lapse two years from the start of the Term of the Agreement, the amount of the bank guarantee to the State will be reduced on account of any reported outlays approved by the Chief Scientist and included in the approved budget of the Incubator. This reduction will be at the rate of 50% (fifty percent) of the outlays reported as above, which will not be less than NIS 500,000 (five hundred thousand), but the sum of the Guarantee will not fall, in any case and at any time, to less than NIS 1,500,000 (one million five-hundred thousand), and as specified in Appendix C to the present agreement.</w:t>
      </w:r>
    </w:p>
    <w:p>
      <w:pPr>
        <w:spacing w:after="0" w:line="3" w:lineRule="exact"/>
        <w:rPr>
          <w:sz w:val="20"/>
          <w:szCs w:val="20"/>
          <w:color w:val="auto"/>
        </w:rPr>
      </w:pPr>
    </w:p>
    <w:p>
      <w:pPr>
        <w:ind w:left="460" w:right="220" w:hanging="462"/>
        <w:spacing w:after="0" w:line="259" w:lineRule="auto"/>
        <w:tabs>
          <w:tab w:leader="none" w:pos="440" w:val="left"/>
        </w:tabs>
        <w:rPr>
          <w:sz w:val="20"/>
          <w:szCs w:val="20"/>
          <w:color w:val="auto"/>
        </w:rPr>
      </w:pPr>
      <w:r>
        <w:rPr>
          <w:rFonts w:ascii="Arial" w:cs="Arial" w:eastAsia="Arial" w:hAnsi="Arial"/>
          <w:sz w:val="17"/>
          <w:szCs w:val="17"/>
          <w:color w:val="auto"/>
        </w:rPr>
        <w:t>7.10</w:t>
        <w:tab/>
        <w:t>Not to charge any fee to the Project Company and/or an Incubator Project for the operation or use of equipment in the Lab and/or any other expenditure associated with the Lab or for the personnel to run it, beyond the Allowed Overhead, except for payments for materials and consumables that may be required to conduct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381000</wp:posOffset>
            </wp:positionV>
            <wp:extent cx="7257415" cy="209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80"/>
          </w:cols>
          <w:pgMar w:left="560" w:top="499" w:right="259" w:bottom="1440" w:gutter="0" w:footer="0" w:header="0"/>
        </w:sectPr>
      </w:pPr>
    </w:p>
    <w:bookmarkStart w:id="379" w:name="page380"/>
    <w:bookmarkEnd w:id="379"/>
    <w:p>
      <w:pPr>
        <w:spacing w:after="0"/>
        <w:tabs>
          <w:tab w:leader="none" w:pos="44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color w:val="auto"/>
        </w:rPr>
        <w:t>To obtain the Committee’s approval for any transfer of controlling interest in the Incubator. For this purpose “Control” is as defined in the Securities Law</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5722-1968.</w:t>
      </w:r>
    </w:p>
    <w:p>
      <w:pPr>
        <w:spacing w:after="0" w:line="10" w:lineRule="exact"/>
        <w:rPr>
          <w:sz w:val="20"/>
          <w:szCs w:val="20"/>
          <w:color w:val="auto"/>
        </w:rPr>
      </w:pPr>
    </w:p>
    <w:p>
      <w:pPr>
        <w:jc w:val="both"/>
        <w:ind w:left="460" w:right="180" w:hanging="462"/>
        <w:spacing w:after="0" w:line="252" w:lineRule="auto"/>
        <w:tabs>
          <w:tab w:leader="none" w:pos="440" w:val="left"/>
        </w:tabs>
        <w:rPr>
          <w:sz w:val="20"/>
          <w:szCs w:val="20"/>
          <w:color w:val="auto"/>
        </w:rPr>
      </w:pPr>
      <w:r>
        <w:rPr>
          <w:rFonts w:ascii="Arial" w:cs="Arial" w:eastAsia="Arial" w:hAnsi="Arial"/>
          <w:sz w:val="17"/>
          <w:szCs w:val="17"/>
          <w:color w:val="auto"/>
        </w:rPr>
        <w:t>7.12</w:t>
        <w:tab/>
        <w:t>To manage the State Loan to the project in a professional manner, pursuant to the Provisions. Any outstanding balance of the State Loan that has not yet been made available to the Project Company and/or Project, for any reason whatsoever, shall be invested exclusively in interest-bearing bank deposits or government securities.</w:t>
      </w:r>
    </w:p>
    <w:p>
      <w:pPr>
        <w:spacing w:after="0" w:line="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5"/>
          <w:szCs w:val="15"/>
          <w:color w:val="auto"/>
        </w:rPr>
        <w:t>To use the State Loan for projects exclusively to support projects under the present agreement.</w:t>
      </w:r>
    </w:p>
    <w:p>
      <w:pPr>
        <w:spacing w:after="0" w:line="25" w:lineRule="exact"/>
        <w:rPr>
          <w:sz w:val="20"/>
          <w:szCs w:val="20"/>
          <w:color w:val="auto"/>
        </w:rPr>
      </w:pPr>
    </w:p>
    <w:p>
      <w:pPr>
        <w:jc w:val="both"/>
        <w:ind w:left="460" w:right="160" w:hanging="462"/>
        <w:spacing w:after="0" w:line="259" w:lineRule="auto"/>
        <w:tabs>
          <w:tab w:leader="none" w:pos="440" w:val="left"/>
        </w:tabs>
        <w:rPr>
          <w:sz w:val="20"/>
          <w:szCs w:val="20"/>
          <w:color w:val="auto"/>
        </w:rPr>
      </w:pPr>
      <w:r>
        <w:rPr>
          <w:rFonts w:ascii="Arial" w:cs="Arial" w:eastAsia="Arial" w:hAnsi="Arial"/>
          <w:sz w:val="17"/>
          <w:szCs w:val="17"/>
          <w:color w:val="auto"/>
        </w:rPr>
        <w:t>7.14</w:t>
        <w:tab/>
        <w:t>To maintain proper audited books of all of the Incubator’s activities, as per all laws and regulations, and in keeping with Generally Accepted Accounting Principles, to permit examination by the Chief Scientist or his representative at any time.</w:t>
      </w:r>
    </w:p>
    <w:p>
      <w:pPr>
        <w:spacing w:after="0" w:line="1" w:lineRule="exact"/>
        <w:rPr>
          <w:sz w:val="20"/>
          <w:szCs w:val="20"/>
          <w:color w:val="auto"/>
        </w:rPr>
      </w:pPr>
    </w:p>
    <w:p>
      <w:pPr>
        <w:ind w:left="460" w:right="340" w:hanging="462"/>
        <w:spacing w:after="0" w:line="252" w:lineRule="auto"/>
        <w:tabs>
          <w:tab w:leader="none" w:pos="440" w:val="left"/>
        </w:tabs>
        <w:rPr>
          <w:sz w:val="20"/>
          <w:szCs w:val="20"/>
          <w:color w:val="auto"/>
        </w:rPr>
      </w:pPr>
      <w:r>
        <w:rPr>
          <w:rFonts w:ascii="Arial" w:cs="Arial" w:eastAsia="Arial" w:hAnsi="Arial"/>
          <w:sz w:val="17"/>
          <w:szCs w:val="17"/>
          <w:color w:val="auto"/>
        </w:rPr>
        <w:t>7.15</w:t>
        <w:tab/>
        <w:t>To submit a report summarizing the activities of the incubator for that period to the Office of the Chief Scientist, every six months after the start of the Term of the Agreement.</w:t>
      </w:r>
    </w:p>
    <w:p>
      <w:pPr>
        <w:spacing w:after="0" w:line="1" w:lineRule="exact"/>
        <w:rPr>
          <w:sz w:val="20"/>
          <w:szCs w:val="20"/>
          <w:color w:val="auto"/>
        </w:rPr>
      </w:pPr>
    </w:p>
    <w:p>
      <w:pPr>
        <w:ind w:left="460" w:right="20" w:hanging="462"/>
        <w:spacing w:after="0" w:line="266" w:lineRule="auto"/>
        <w:tabs>
          <w:tab w:leader="none" w:pos="440" w:val="left"/>
        </w:tabs>
        <w:rPr>
          <w:sz w:val="20"/>
          <w:szCs w:val="20"/>
          <w:color w:val="auto"/>
        </w:rPr>
      </w:pPr>
      <w:r>
        <w:rPr>
          <w:rFonts w:ascii="Arial" w:cs="Arial" w:eastAsia="Arial" w:hAnsi="Arial"/>
          <w:sz w:val="17"/>
          <w:szCs w:val="17"/>
          <w:color w:val="auto"/>
        </w:rPr>
        <w:t>7.16</w:t>
      </w:r>
      <w:r>
        <w:rPr>
          <w:sz w:val="20"/>
          <w:szCs w:val="20"/>
          <w:color w:val="auto"/>
        </w:rPr>
        <w:tab/>
      </w:r>
      <w:r>
        <w:rPr>
          <w:rFonts w:ascii="Arial" w:cs="Arial" w:eastAsia="Arial" w:hAnsi="Arial"/>
          <w:sz w:val="16"/>
          <w:szCs w:val="16"/>
          <w:color w:val="auto"/>
        </w:rPr>
        <w:t>To submit to the Office of the Chief Scientist an annual trial balance for all of the Incubator’s financial activities, for each six months of activity. This shall include details of all moneys paid out on account of the State Loan and all moneys spent by the Incubator, for each six months of activity.</w:t>
      </w:r>
    </w:p>
    <w:p>
      <w:pPr>
        <w:spacing w:after="0" w:line="1" w:lineRule="exact"/>
        <w:rPr>
          <w:sz w:val="20"/>
          <w:szCs w:val="20"/>
          <w:color w:val="auto"/>
        </w:rPr>
      </w:pPr>
    </w:p>
    <w:p>
      <w:pPr>
        <w:ind w:left="460" w:right="140" w:hanging="462"/>
        <w:spacing w:after="0" w:line="246" w:lineRule="auto"/>
        <w:tabs>
          <w:tab w:leader="none" w:pos="440" w:val="left"/>
        </w:tabs>
        <w:rPr>
          <w:sz w:val="20"/>
          <w:szCs w:val="20"/>
          <w:color w:val="auto"/>
        </w:rPr>
      </w:pPr>
      <w:r>
        <w:rPr>
          <w:rFonts w:ascii="Arial" w:cs="Arial" w:eastAsia="Arial" w:hAnsi="Arial"/>
          <w:sz w:val="17"/>
          <w:szCs w:val="17"/>
          <w:color w:val="auto"/>
        </w:rPr>
        <w:t>7.17</w:t>
      </w:r>
      <w:r>
        <w:rPr>
          <w:sz w:val="20"/>
          <w:szCs w:val="20"/>
          <w:color w:val="auto"/>
        </w:rPr>
        <w:tab/>
      </w:r>
      <w:r>
        <w:rPr>
          <w:rFonts w:ascii="Arial" w:cs="Arial" w:eastAsia="Arial" w:hAnsi="Arial"/>
          <w:sz w:val="16"/>
          <w:szCs w:val="16"/>
          <w:color w:val="auto"/>
        </w:rPr>
        <w:t>To submit to the Office of the Chief Scientist for every calendar year running from January 1 through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(hereinafter the “Fiscal Year”), starting on the date of the signing of this agreement, a financial statement approved by an accountant that covers all of the Incubator’s financial activities and that includes full information about all moneys paid out on account of the State Loan to Projects and all moneys spent by the Incubator, for the entire Fiscal Year (hereinafter “Yearly Financial Statement”), no later than 90 days after the end of the Fiscal Year.</w:t>
      </w:r>
    </w:p>
    <w:p>
      <w:pPr>
        <w:spacing w:after="0" w:line="1" w:lineRule="exact"/>
        <w:rPr>
          <w:sz w:val="20"/>
          <w:szCs w:val="20"/>
          <w:color w:val="auto"/>
        </w:rPr>
      </w:pPr>
    </w:p>
    <w:p>
      <w:pPr>
        <w:ind w:left="460" w:hanging="462"/>
        <w:spacing w:after="0" w:line="252" w:lineRule="auto"/>
        <w:tabs>
          <w:tab w:leader="none" w:pos="440" w:val="left"/>
        </w:tabs>
        <w:rPr>
          <w:sz w:val="20"/>
          <w:szCs w:val="20"/>
          <w:color w:val="auto"/>
        </w:rPr>
      </w:pPr>
      <w:r>
        <w:rPr>
          <w:rFonts w:ascii="Arial" w:cs="Arial" w:eastAsia="Arial" w:hAnsi="Arial"/>
          <w:sz w:val="17"/>
          <w:szCs w:val="17"/>
          <w:color w:val="auto"/>
        </w:rPr>
        <w:t>7.18</w:t>
        <w:tab/>
        <w:t>To submit the aforesaid reports and statements, pursuant to the Chief Scientist’s regulations for financial statements and technical reports, on the forms that may be specified by the Chief Scientist and as may be modified from time to time.</w:t>
      </w:r>
    </w:p>
    <w:p>
      <w:pPr>
        <w:spacing w:after="0" w:line="1" w:lineRule="exact"/>
        <w:rPr>
          <w:sz w:val="20"/>
          <w:szCs w:val="20"/>
          <w:color w:val="auto"/>
        </w:rPr>
      </w:pPr>
    </w:p>
    <w:p>
      <w:pPr>
        <w:ind w:left="460" w:right="140" w:hanging="462"/>
        <w:spacing w:after="0" w:line="252" w:lineRule="auto"/>
        <w:tabs>
          <w:tab w:leader="none" w:pos="440" w:val="left"/>
        </w:tabs>
        <w:rPr>
          <w:sz w:val="20"/>
          <w:szCs w:val="20"/>
          <w:color w:val="auto"/>
        </w:rPr>
      </w:pPr>
      <w:r>
        <w:rPr>
          <w:rFonts w:ascii="Arial" w:cs="Arial" w:eastAsia="Arial" w:hAnsi="Arial"/>
          <w:sz w:val="17"/>
          <w:szCs w:val="17"/>
          <w:color w:val="auto"/>
        </w:rPr>
        <w:t>7.19</w:t>
        <w:tab/>
        <w:t>To identify, study, and select appropriate project or projects to be run as part of the Incubator. The selection of project or projects and their acceptance for the Incubator shall be at the Incubator’s discretion, in keeping with the list of criteria for the approval of projects attached to the present agreement and labeled Appendix D.</w:t>
      </w:r>
    </w:p>
    <w:p>
      <w:pPr>
        <w:spacing w:after="0" w:line="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7.20</w:t>
      </w:r>
      <w:r>
        <w:rPr>
          <w:sz w:val="20"/>
          <w:szCs w:val="20"/>
          <w:color w:val="auto"/>
        </w:rPr>
        <w:tab/>
      </w:r>
      <w:r>
        <w:rPr>
          <w:rFonts w:ascii="Arial" w:cs="Arial" w:eastAsia="Arial" w:hAnsi="Arial"/>
          <w:sz w:val="15"/>
          <w:szCs w:val="15"/>
          <w:color w:val="auto"/>
        </w:rPr>
        <w:t>To help project developers identify, interview, and hire appropriate researchers for the projects.</w:t>
      </w:r>
    </w:p>
    <w:p>
      <w:pPr>
        <w:spacing w:after="0" w:line="25" w:lineRule="exact"/>
        <w:rPr>
          <w:sz w:val="20"/>
          <w:szCs w:val="20"/>
          <w:color w:val="auto"/>
        </w:rPr>
      </w:pPr>
    </w:p>
    <w:p>
      <w:pPr>
        <w:jc w:val="both"/>
        <w:ind w:left="460" w:right="200" w:hanging="462"/>
        <w:spacing w:after="0" w:line="265" w:lineRule="auto"/>
        <w:tabs>
          <w:tab w:leader="none" w:pos="440" w:val="left"/>
        </w:tabs>
        <w:rPr>
          <w:sz w:val="20"/>
          <w:szCs w:val="20"/>
          <w:color w:val="auto"/>
        </w:rPr>
      </w:pPr>
      <w:r>
        <w:rPr>
          <w:rFonts w:ascii="Arial" w:cs="Arial" w:eastAsia="Arial" w:hAnsi="Arial"/>
          <w:sz w:val="17"/>
          <w:szCs w:val="17"/>
          <w:color w:val="auto"/>
        </w:rPr>
        <w:t>7.21</w:t>
        <w:tab/>
        <w:t>To provide the projects with administrative services, including secretarial services, maintenance, purchasing, bookkeeping, and computer infrastructure and services, as required for the efficient and effective operation of each project, all in keeping with the project agreement and in keeping with the terms that may be agreed upon between the Incubator and the Project Company and/or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378460</wp:posOffset>
            </wp:positionV>
            <wp:extent cx="7257415" cy="209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00"/>
          </w:cols>
          <w:pgMar w:left="560" w:top="500" w:right="239" w:bottom="1440" w:gutter="0" w:footer="0" w:header="0"/>
        </w:sectPr>
      </w:pPr>
    </w:p>
    <w:bookmarkStart w:id="380" w:name="page381"/>
    <w:bookmarkEnd w:id="380"/>
    <w:p>
      <w:pPr>
        <w:spacing w:after="0"/>
        <w:tabs>
          <w:tab w:leader="none" w:pos="440" w:val="left"/>
        </w:tabs>
        <w:rPr>
          <w:sz w:val="20"/>
          <w:szCs w:val="20"/>
          <w:color w:val="auto"/>
        </w:rPr>
      </w:pPr>
      <w:r>
        <w:rPr>
          <w:rFonts w:ascii="Arial" w:cs="Arial" w:eastAsia="Arial" w:hAnsi="Arial"/>
          <w:sz w:val="17"/>
          <w:szCs w:val="17"/>
          <w:color w:val="auto"/>
        </w:rPr>
        <w:t>7.22</w:t>
      </w:r>
      <w:r>
        <w:rPr>
          <w:sz w:val="20"/>
          <w:szCs w:val="20"/>
          <w:color w:val="auto"/>
        </w:rPr>
        <w:tab/>
      </w:r>
      <w:r>
        <w:rPr>
          <w:rFonts w:ascii="Arial" w:cs="Arial" w:eastAsia="Arial" w:hAnsi="Arial"/>
          <w:sz w:val="15"/>
          <w:szCs w:val="15"/>
          <w:color w:val="auto"/>
        </w:rPr>
        <w:t>To provide the Projects with professional assistance and guidance so that they can carry out their R&amp;D efficiently and professionally.</w:t>
      </w:r>
    </w:p>
    <w:p>
      <w:pPr>
        <w:spacing w:after="0" w:line="36" w:lineRule="exact"/>
        <w:rPr>
          <w:sz w:val="20"/>
          <w:szCs w:val="20"/>
          <w:color w:val="auto"/>
        </w:rPr>
      </w:pPr>
    </w:p>
    <w:p>
      <w:pPr>
        <w:ind w:left="460" w:right="100" w:hanging="462"/>
        <w:spacing w:after="0" w:line="259" w:lineRule="auto"/>
        <w:tabs>
          <w:tab w:leader="none" w:pos="440" w:val="left"/>
        </w:tabs>
        <w:rPr>
          <w:sz w:val="20"/>
          <w:szCs w:val="20"/>
          <w:color w:val="auto"/>
        </w:rPr>
      </w:pPr>
      <w:r>
        <w:rPr>
          <w:rFonts w:ascii="Arial" w:cs="Arial" w:eastAsia="Arial" w:hAnsi="Arial"/>
          <w:sz w:val="17"/>
          <w:szCs w:val="17"/>
          <w:color w:val="auto"/>
        </w:rPr>
        <w:t>7.23</w:t>
        <w:tab/>
        <w:t>For each Project that has received a Certificate of Approval, to make available supplemental financial resources, in addition to the State Loan, as required for carrying out the R&amp;D work on the Projects (the “Supplementary Financing”).</w:t>
      </w:r>
    </w:p>
    <w:p>
      <w:pPr>
        <w:spacing w:after="0" w:line="1" w:lineRule="exact"/>
        <w:rPr>
          <w:sz w:val="20"/>
          <w:szCs w:val="20"/>
          <w:color w:val="auto"/>
        </w:rPr>
      </w:pPr>
    </w:p>
    <w:p>
      <w:pPr>
        <w:ind w:left="460" w:right="200" w:hanging="462"/>
        <w:spacing w:after="0" w:line="252" w:lineRule="auto"/>
        <w:tabs>
          <w:tab w:leader="none" w:pos="440" w:val="left"/>
        </w:tabs>
        <w:rPr>
          <w:sz w:val="20"/>
          <w:szCs w:val="20"/>
          <w:color w:val="auto"/>
        </w:rPr>
      </w:pPr>
      <w:r>
        <w:rPr>
          <w:rFonts w:ascii="Arial" w:cs="Arial" w:eastAsia="Arial" w:hAnsi="Arial"/>
          <w:sz w:val="17"/>
          <w:szCs w:val="17"/>
          <w:color w:val="auto"/>
        </w:rPr>
        <w:t>7.24</w:t>
        <w:tab/>
        <w:t>To assist the Projects in registering and/organizing as commercial entities, if necessary, to draw up a business plan, to organize for marketing and raising capital for the further successful operation of the Project and its development as a commercial venture.</w:t>
      </w:r>
    </w:p>
    <w:p>
      <w:pPr>
        <w:spacing w:after="0" w:line="1" w:lineRule="exact"/>
        <w:rPr>
          <w:sz w:val="20"/>
          <w:szCs w:val="20"/>
          <w:color w:val="auto"/>
        </w:rPr>
      </w:pPr>
    </w:p>
    <w:p>
      <w:pPr>
        <w:ind w:left="460" w:right="260" w:hanging="462"/>
        <w:spacing w:after="0" w:line="252" w:lineRule="auto"/>
        <w:tabs>
          <w:tab w:leader="none" w:pos="440" w:val="left"/>
        </w:tabs>
        <w:rPr>
          <w:sz w:val="20"/>
          <w:szCs w:val="20"/>
          <w:color w:val="auto"/>
        </w:rPr>
      </w:pPr>
      <w:r>
        <w:rPr>
          <w:rFonts w:ascii="Arial" w:cs="Arial" w:eastAsia="Arial" w:hAnsi="Arial"/>
          <w:sz w:val="17"/>
          <w:szCs w:val="17"/>
          <w:color w:val="auto"/>
        </w:rPr>
        <w:t>7.25</w:t>
        <w:tab/>
        <w:t>To manage, faithfully and separately for each project, the budget of that Project, including the State Loan for the Project transferred to the Incubator for implementation of the project.</w:t>
      </w:r>
    </w:p>
    <w:p>
      <w:pPr>
        <w:spacing w:after="0" w:line="1" w:lineRule="exact"/>
        <w:rPr>
          <w:sz w:val="20"/>
          <w:szCs w:val="20"/>
          <w:color w:val="auto"/>
        </w:rPr>
      </w:pPr>
    </w:p>
    <w:p>
      <w:pPr>
        <w:ind w:left="460" w:right="120" w:hanging="462"/>
        <w:spacing w:after="0" w:line="252" w:lineRule="auto"/>
        <w:tabs>
          <w:tab w:leader="none" w:pos="440" w:val="left"/>
        </w:tabs>
        <w:rPr>
          <w:sz w:val="20"/>
          <w:szCs w:val="20"/>
          <w:color w:val="auto"/>
        </w:rPr>
      </w:pPr>
      <w:r>
        <w:rPr>
          <w:rFonts w:ascii="Arial" w:cs="Arial" w:eastAsia="Arial" w:hAnsi="Arial"/>
          <w:sz w:val="17"/>
          <w:szCs w:val="17"/>
          <w:color w:val="auto"/>
        </w:rPr>
        <w:t>7.26</w:t>
        <w:tab/>
        <w:t>To conduct an administrative, financial, and professional audit of the implementation of each project and its progress as per the Project plan, and to fulfill all of the obligations incumbent on the Incubator under Certificates of Approval.</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7.27</w:t>
      </w:r>
      <w:r>
        <w:rPr>
          <w:sz w:val="20"/>
          <w:szCs w:val="20"/>
          <w:color w:val="auto"/>
        </w:rPr>
        <w:tab/>
      </w:r>
      <w:r>
        <w:rPr>
          <w:rFonts w:ascii="Arial" w:cs="Arial" w:eastAsia="Arial" w:hAnsi="Arial"/>
          <w:sz w:val="15"/>
          <w:szCs w:val="15"/>
          <w:color w:val="auto"/>
        </w:rPr>
        <w:t>Services supplied to Projects</w:t>
      </w:r>
    </w:p>
    <w:p>
      <w:pPr>
        <w:spacing w:after="0" w:line="25" w:lineRule="exact"/>
        <w:rPr>
          <w:sz w:val="20"/>
          <w:szCs w:val="20"/>
          <w:color w:val="auto"/>
        </w:rPr>
      </w:pPr>
    </w:p>
    <w:p>
      <w:pPr>
        <w:jc w:val="both"/>
        <w:ind w:left="920" w:right="20" w:hanging="616"/>
        <w:spacing w:after="0" w:line="257" w:lineRule="auto"/>
        <w:tabs>
          <w:tab w:leader="none" w:pos="900" w:val="left"/>
        </w:tabs>
        <w:rPr>
          <w:sz w:val="20"/>
          <w:szCs w:val="20"/>
          <w:color w:val="auto"/>
        </w:rPr>
      </w:pPr>
      <w:r>
        <w:rPr>
          <w:rFonts w:ascii="Arial" w:cs="Arial" w:eastAsia="Arial" w:hAnsi="Arial"/>
          <w:sz w:val="17"/>
          <w:szCs w:val="17"/>
          <w:color w:val="auto"/>
        </w:rPr>
        <w:t>7.27.1</w:t>
        <w:tab/>
        <w:t>To provide the Projects with access to consulting and oversight services in the following domains: bookkeeping and auditing, legal counsel, patents, quality control, information management, regulatory affairs and clinical trials, to be provided by service providers who are known to the Committee and/or substitutes approved by the Committee as being of acceptable scope and quality.</w:t>
      </w:r>
    </w:p>
    <w:p>
      <w:pPr>
        <w:ind w:left="920" w:right="80" w:hanging="616"/>
        <w:spacing w:after="0" w:line="252" w:lineRule="auto"/>
        <w:tabs>
          <w:tab w:leader="none" w:pos="900" w:val="left"/>
        </w:tabs>
        <w:rPr>
          <w:sz w:val="20"/>
          <w:szCs w:val="20"/>
          <w:color w:val="auto"/>
        </w:rPr>
      </w:pPr>
      <w:r>
        <w:rPr>
          <w:rFonts w:ascii="Arial" w:cs="Arial" w:eastAsia="Arial" w:hAnsi="Arial"/>
          <w:sz w:val="17"/>
          <w:szCs w:val="17"/>
          <w:color w:val="auto"/>
        </w:rPr>
        <w:t>7.27.2</w:t>
        <w:tab/>
        <w:t>Not to deviate from the Allowed Overhead permitted by the director general’s Guidelines, with regard to the collection of payments from Projects in the Incubator for services provided to the Projects by the Incubator.</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7.28</w:t>
      </w:r>
      <w:r>
        <w:rPr>
          <w:sz w:val="20"/>
          <w:szCs w:val="20"/>
          <w:color w:val="auto"/>
        </w:rPr>
        <w:tab/>
      </w:r>
      <w:r>
        <w:rPr>
          <w:rFonts w:ascii="Arial" w:cs="Arial" w:eastAsia="Arial" w:hAnsi="Arial"/>
          <w:sz w:val="15"/>
          <w:szCs w:val="15"/>
          <w:color w:val="auto"/>
        </w:rPr>
        <w:t>That the signatories below are authorized to bind it with regard to the present agreement.</w:t>
      </w:r>
    </w:p>
    <w:p>
      <w:pPr>
        <w:spacing w:after="0" w:line="25" w:lineRule="exact"/>
        <w:rPr>
          <w:sz w:val="20"/>
          <w:szCs w:val="20"/>
          <w:color w:val="auto"/>
        </w:rPr>
      </w:pPr>
    </w:p>
    <w:p>
      <w:pPr>
        <w:ind w:left="460" w:right="40" w:hanging="462"/>
        <w:spacing w:after="0" w:line="270" w:lineRule="auto"/>
        <w:tabs>
          <w:tab w:leader="none" w:pos="440" w:val="left"/>
        </w:tabs>
        <w:rPr>
          <w:sz w:val="20"/>
          <w:szCs w:val="20"/>
          <w:color w:val="auto"/>
        </w:rPr>
      </w:pPr>
      <w:r>
        <w:rPr>
          <w:rFonts w:ascii="Arial" w:cs="Arial" w:eastAsia="Arial" w:hAnsi="Arial"/>
          <w:sz w:val="17"/>
          <w:szCs w:val="17"/>
          <w:color w:val="auto"/>
        </w:rPr>
        <w:t>7.29</w:t>
      </w:r>
      <w:r>
        <w:rPr>
          <w:sz w:val="20"/>
          <w:szCs w:val="20"/>
          <w:color w:val="auto"/>
        </w:rPr>
        <w:tab/>
      </w:r>
      <w:r>
        <w:rPr>
          <w:rFonts w:ascii="Arial" w:cs="Arial" w:eastAsia="Arial" w:hAnsi="Arial"/>
          <w:sz w:val="16"/>
          <w:szCs w:val="16"/>
          <w:color w:val="auto"/>
        </w:rPr>
        <w:t>Against the State Loans to be granted to the Incubator on account of the Projects, the Incubator will record to the benefit of the State a first-degree floating lien, as in the form attached as Appendix E, on all of the Incubator’s assets, including restriction of the transfer and/or registration of rights in the technologies created by the Projects during the term of the Incubator, and all equipment that may be purchased for use by the Project. The Incubator shall be required to notify the Incubators Administration about the assets covered by the aforesaid lien, pursuant to the procedures of the Technological Innovations Incubator Program of the Office of the Chief Scientist. To eliminate all doubt, in no case shall the Incubator and/or Project Company be entitled to sell the equipment stated in the present section 7.29, or any part thereof, or to transfer it in any fashion whatsoever to a third party, or to create additional liens on it, without the written agreement of the State, until it has fully repaid the State Loans to the State. All revenues from realization of the lien and/or liens shall be divided pro rata between the State and other creditors, as per law and regulations.</w:t>
      </w:r>
    </w:p>
    <w:p>
      <w:pPr>
        <w:spacing w:after="0" w:line="2" w:lineRule="exact"/>
        <w:rPr>
          <w:sz w:val="20"/>
          <w:szCs w:val="20"/>
          <w:color w:val="auto"/>
        </w:rPr>
      </w:pPr>
    </w:p>
    <w:p>
      <w:pPr>
        <w:ind w:left="460" w:hanging="462"/>
        <w:spacing w:after="0" w:line="259" w:lineRule="auto"/>
        <w:tabs>
          <w:tab w:leader="none" w:pos="440" w:val="left"/>
        </w:tabs>
        <w:rPr>
          <w:sz w:val="20"/>
          <w:szCs w:val="20"/>
          <w:color w:val="auto"/>
        </w:rPr>
      </w:pPr>
      <w:r>
        <w:rPr>
          <w:rFonts w:ascii="Arial" w:cs="Arial" w:eastAsia="Arial" w:hAnsi="Arial"/>
          <w:sz w:val="17"/>
          <w:szCs w:val="17"/>
          <w:color w:val="auto"/>
        </w:rPr>
        <w:t>7.30</w:t>
        <w:tab/>
        <w:t>That a Project will remain in the incubator only for the period of its implementation. The Incubator shall be entitled to appeal to the Committee and request an extension of the period. The Committee is entitled to approve the extension of the period at its exclusive discretion, as stipulated in the director general’s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381000</wp:posOffset>
            </wp:positionV>
            <wp:extent cx="7257415" cy="209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00"/>
          </w:cols>
          <w:pgMar w:left="560" w:top="500" w:right="239" w:bottom="1440" w:gutter="0" w:footer="0" w:header="0"/>
        </w:sectPr>
      </w:pPr>
    </w:p>
    <w:bookmarkStart w:id="381" w:name="page382"/>
    <w:bookmarkEnd w:id="381"/>
    <w:p>
      <w:pPr>
        <w:ind w:left="317"/>
        <w:spacing w:after="0"/>
        <w:tabs>
          <w:tab w:leader="none" w:pos="757" w:val="left"/>
        </w:tabs>
        <w:rPr>
          <w:sz w:val="20"/>
          <w:szCs w:val="20"/>
          <w:color w:val="auto"/>
        </w:rPr>
      </w:pPr>
      <w:r>
        <w:rPr>
          <w:rFonts w:ascii="Arial" w:cs="Arial" w:eastAsia="Arial" w:hAnsi="Arial"/>
          <w:sz w:val="17"/>
          <w:szCs w:val="17"/>
          <w:color w:val="auto"/>
        </w:rPr>
        <w:t>7.31</w:t>
      </w:r>
      <w:r>
        <w:rPr>
          <w:sz w:val="20"/>
          <w:szCs w:val="20"/>
          <w:color w:val="auto"/>
        </w:rPr>
        <w:tab/>
      </w:r>
      <w:r>
        <w:rPr>
          <w:rFonts w:ascii="Arial" w:cs="Arial" w:eastAsia="Arial" w:hAnsi="Arial"/>
          <w:sz w:val="15"/>
          <w:szCs w:val="15"/>
          <w:color w:val="auto"/>
        </w:rPr>
        <w:t>Intellectual Property</w:t>
      </w:r>
    </w:p>
    <w:p>
      <w:pPr>
        <w:spacing w:after="0" w:line="36" w:lineRule="exact"/>
        <w:rPr>
          <w:sz w:val="20"/>
          <w:szCs w:val="20"/>
          <w:color w:val="auto"/>
        </w:rPr>
      </w:pPr>
    </w:p>
    <w:p>
      <w:pPr>
        <w:ind w:left="1237" w:right="200" w:hanging="616"/>
        <w:spacing w:after="0" w:line="256" w:lineRule="auto"/>
        <w:tabs>
          <w:tab w:leader="none" w:pos="1217" w:val="left"/>
        </w:tabs>
        <w:rPr>
          <w:sz w:val="20"/>
          <w:szCs w:val="20"/>
          <w:color w:val="auto"/>
        </w:rPr>
      </w:pPr>
      <w:r>
        <w:rPr>
          <w:rFonts w:ascii="Arial" w:cs="Arial" w:eastAsia="Arial" w:hAnsi="Arial"/>
          <w:sz w:val="17"/>
          <w:szCs w:val="17"/>
          <w:color w:val="auto"/>
        </w:rPr>
        <w:t>7.31.1</w:t>
        <w:tab/>
        <w:t>For a Type-1 Biotechnology Incubator: That it will not own the intellectual property associated with the Projects and/or owned by the Project Companies and/or licensed by them and will have no call or claim on it. A Type-1 Biotechnology Incubator will guarantee that the intellectual property is in the exclusive ownership of the Project Company and that the Project Company and/or those acting on its behalf will not permit any use and/or transfer of the intellectual property to a third party.</w:t>
      </w:r>
    </w:p>
    <w:p>
      <w:pPr>
        <w:ind w:left="1237" w:hanging="616"/>
        <w:spacing w:after="0" w:line="252" w:lineRule="auto"/>
        <w:tabs>
          <w:tab w:leader="none" w:pos="1217" w:val="left"/>
        </w:tabs>
        <w:rPr>
          <w:sz w:val="20"/>
          <w:szCs w:val="20"/>
          <w:color w:val="auto"/>
        </w:rPr>
      </w:pPr>
      <w:r>
        <w:rPr>
          <w:rFonts w:ascii="Arial" w:cs="Arial" w:eastAsia="Arial" w:hAnsi="Arial"/>
          <w:sz w:val="17"/>
          <w:szCs w:val="17"/>
          <w:color w:val="auto"/>
        </w:rPr>
        <w:t>7.31.2</w:t>
        <w:tab/>
        <w:t>For a Type-2 Biotechnology Incubator: That the intellectual property will be in its exclusive ownership and that it and/or anyone acting on its behalf will not permit the use and/or transfer of the intellectual property to a third party, except for the Project Company and/or pursuant to the provisions of section 12 below, and subject to section 7.1 in the director general’s Guidelines.</w:t>
      </w:r>
    </w:p>
    <w:p>
      <w:pPr>
        <w:spacing w:after="0" w:line="2" w:lineRule="exact"/>
        <w:rPr>
          <w:sz w:val="20"/>
          <w:szCs w:val="20"/>
          <w:color w:val="auto"/>
        </w:rPr>
      </w:pPr>
    </w:p>
    <w:p>
      <w:pPr>
        <w:ind w:left="1237" w:right="440" w:hanging="616"/>
        <w:spacing w:after="0" w:line="261" w:lineRule="auto"/>
        <w:tabs>
          <w:tab w:leader="none" w:pos="1217" w:val="left"/>
        </w:tabs>
        <w:rPr>
          <w:sz w:val="20"/>
          <w:szCs w:val="20"/>
          <w:color w:val="auto"/>
        </w:rPr>
      </w:pPr>
      <w:r>
        <w:rPr>
          <w:rFonts w:ascii="Arial" w:cs="Arial" w:eastAsia="Arial" w:hAnsi="Arial"/>
          <w:sz w:val="17"/>
          <w:szCs w:val="17"/>
          <w:color w:val="auto"/>
        </w:rPr>
        <w:t>7.31.3</w:t>
        <w:tab/>
        <w:t>That the agreement between the Project Companies and/or Type-2 Biotechnology Incubator with any third party includes, but not exclusively, university technology transfer companies and/or research institutes, in everything associated with the projects:</w:t>
      </w:r>
    </w:p>
    <w:p>
      <w:pPr>
        <w:spacing w:after="0" w:line="1" w:lineRule="exact"/>
        <w:rPr>
          <w:sz w:val="20"/>
          <w:szCs w:val="20"/>
          <w:color w:val="auto"/>
        </w:rPr>
      </w:pPr>
    </w:p>
    <w:p>
      <w:pPr>
        <w:jc w:val="both"/>
        <w:ind w:left="1397" w:right="600" w:hanging="308"/>
        <w:spacing w:after="0" w:line="257" w:lineRule="auto"/>
        <w:rPr>
          <w:sz w:val="20"/>
          <w:szCs w:val="20"/>
          <w:color w:val="auto"/>
        </w:rPr>
      </w:pPr>
      <w:r>
        <w:rPr>
          <w:rFonts w:ascii="Arial" w:cs="Arial" w:eastAsia="Arial" w:hAnsi="Arial"/>
          <w:sz w:val="17"/>
          <w:szCs w:val="17"/>
          <w:color w:val="auto"/>
        </w:rPr>
        <w:t>7.31.3.1</w:t>
      </w:r>
      <w:r>
        <w:rPr>
          <w:sz w:val="20"/>
          <w:szCs w:val="20"/>
          <w:color w:val="auto"/>
        </w:rPr>
        <w:t xml:space="preserve"> </w:t>
      </w:r>
      <w:r>
        <w:rPr>
          <w:rFonts w:ascii="Arial" w:cs="Arial" w:eastAsia="Arial" w:hAnsi="Arial"/>
          <w:sz w:val="17"/>
          <w:szCs w:val="17"/>
          <w:color w:val="auto"/>
        </w:rPr>
        <w:t>With regard to intellectual property that existed prior to the Project, the Incubator will acquire ownership rights in the intellectual property or the grant of an exclusive and irrevocable use license from a third party to the Project Company and/or Type-2 Biotechnology Incubator.</w:t>
      </w:r>
    </w:p>
    <w:p>
      <w:pPr>
        <w:ind w:left="1397" w:right="40" w:hanging="308"/>
        <w:spacing w:after="0" w:line="268" w:lineRule="auto"/>
        <w:rPr>
          <w:sz w:val="20"/>
          <w:szCs w:val="20"/>
          <w:color w:val="auto"/>
        </w:rPr>
      </w:pPr>
      <w:r>
        <w:rPr>
          <w:rFonts w:ascii="Arial" w:cs="Arial" w:eastAsia="Arial" w:hAnsi="Arial"/>
          <w:sz w:val="17"/>
          <w:szCs w:val="17"/>
          <w:color w:val="auto"/>
        </w:rPr>
        <w:t>7.31.3.2</w:t>
      </w:r>
      <w:r>
        <w:rPr>
          <w:sz w:val="20"/>
          <w:szCs w:val="20"/>
          <w:color w:val="auto"/>
        </w:rPr>
        <w:t xml:space="preserve"> </w:t>
      </w:r>
      <w:r>
        <w:rPr>
          <w:rFonts w:ascii="Arial" w:cs="Arial" w:eastAsia="Arial" w:hAnsi="Arial"/>
          <w:sz w:val="16"/>
          <w:szCs w:val="16"/>
          <w:color w:val="auto"/>
        </w:rPr>
        <w:t>The aforesaid third party shall not be granted any rights in the intellectual property beyond those already possessed by said third party when the irrevocable use license was granted or acquisition of ownership rights to the intellectual property by the Project Company or the Type-2 Biotechnology Incubator and on account of which the Project Companies or Type-2 Biotechnology Incubator have received a use license.</w:t>
      </w:r>
    </w:p>
    <w:p>
      <w:pPr>
        <w:spacing w:after="0" w:line="1" w:lineRule="exact"/>
        <w:rPr>
          <w:sz w:val="20"/>
          <w:szCs w:val="20"/>
          <w:color w:val="auto"/>
        </w:rPr>
      </w:pPr>
    </w:p>
    <w:p>
      <w:pPr>
        <w:ind w:left="1397" w:right="40" w:hanging="308"/>
        <w:spacing w:after="0" w:line="252" w:lineRule="auto"/>
        <w:rPr>
          <w:sz w:val="20"/>
          <w:szCs w:val="20"/>
          <w:color w:val="auto"/>
        </w:rPr>
      </w:pPr>
      <w:r>
        <w:rPr>
          <w:rFonts w:ascii="Arial" w:cs="Arial" w:eastAsia="Arial" w:hAnsi="Arial"/>
          <w:sz w:val="17"/>
          <w:szCs w:val="17"/>
          <w:color w:val="auto"/>
        </w:rPr>
        <w:t>7.31.3.3</w:t>
      </w:r>
      <w:r>
        <w:rPr>
          <w:sz w:val="20"/>
          <w:szCs w:val="20"/>
          <w:color w:val="auto"/>
        </w:rPr>
        <w:t xml:space="preserve"> </w:t>
      </w:r>
      <w:r>
        <w:rPr>
          <w:rFonts w:ascii="Arial" w:cs="Arial" w:eastAsia="Arial" w:hAnsi="Arial"/>
          <w:sz w:val="17"/>
          <w:szCs w:val="17"/>
          <w:color w:val="auto"/>
        </w:rPr>
        <w:t>The aforesaid notwithstanding, in the case of Projects that have failed or have been terminated, an aforesaid third party shall be entitled to acquire rights in the intellectual property associated with the Project and/or created by it, subject to the Provisions and the approval of the Committee, if it agrees to assume all of the Incubator’s obligations to the State with regard to the Project, and in particular section 7.1 of the director general’s Guidelines.</w:t>
      </w:r>
    </w:p>
    <w:p>
      <w:pPr>
        <w:spacing w:after="0" w:line="2" w:lineRule="exact"/>
        <w:rPr>
          <w:sz w:val="20"/>
          <w:szCs w:val="20"/>
          <w:color w:val="auto"/>
        </w:rPr>
      </w:pPr>
    </w:p>
    <w:p>
      <w:pPr>
        <w:ind w:left="617"/>
        <w:spacing w:after="0"/>
        <w:tabs>
          <w:tab w:leader="none" w:pos="1217" w:val="left"/>
        </w:tabs>
        <w:rPr>
          <w:sz w:val="20"/>
          <w:szCs w:val="20"/>
          <w:color w:val="auto"/>
        </w:rPr>
      </w:pPr>
      <w:r>
        <w:rPr>
          <w:rFonts w:ascii="Arial" w:cs="Arial" w:eastAsia="Arial" w:hAnsi="Arial"/>
          <w:sz w:val="17"/>
          <w:szCs w:val="17"/>
          <w:color w:val="auto"/>
        </w:rPr>
        <w:t>7.31.4</w:t>
      </w:r>
      <w:r>
        <w:rPr>
          <w:sz w:val="20"/>
          <w:szCs w:val="20"/>
          <w:color w:val="auto"/>
        </w:rPr>
        <w:tab/>
      </w:r>
      <w:r>
        <w:rPr>
          <w:rFonts w:ascii="Arial" w:cs="Arial" w:eastAsia="Arial" w:hAnsi="Arial"/>
          <w:sz w:val="15"/>
          <w:szCs w:val="15"/>
          <w:color w:val="auto"/>
        </w:rPr>
        <w:t>Any transfer of knowledge to a third party is subject to the director general’s Guidelines.</w:t>
      </w:r>
    </w:p>
    <w:p>
      <w:pPr>
        <w:spacing w:after="0" w:line="25" w:lineRule="exact"/>
        <w:rPr>
          <w:sz w:val="20"/>
          <w:szCs w:val="20"/>
          <w:color w:val="auto"/>
        </w:rPr>
      </w:pPr>
    </w:p>
    <w:p>
      <w:pPr>
        <w:ind w:left="317" w:hanging="317"/>
        <w:spacing w:after="0"/>
        <w:tabs>
          <w:tab w:leader="none" w:pos="31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State undertakes to act in accordance with the Provisions:</w:t>
      </w:r>
    </w:p>
    <w:p>
      <w:pPr>
        <w:spacing w:after="0" w:line="21" w:lineRule="exact"/>
        <w:rPr>
          <w:rFonts w:ascii="Arial" w:cs="Arial" w:eastAsia="Arial" w:hAnsi="Arial"/>
          <w:sz w:val="17"/>
          <w:szCs w:val="17"/>
          <w:color w:val="auto"/>
        </w:rPr>
      </w:pPr>
    </w:p>
    <w:p>
      <w:pPr>
        <w:ind w:left="777" w:right="20" w:hanging="463"/>
        <w:spacing w:after="0" w:line="265" w:lineRule="auto"/>
        <w:rPr>
          <w:rFonts w:ascii="Arial" w:cs="Arial" w:eastAsia="Arial" w:hAnsi="Arial"/>
          <w:sz w:val="17"/>
          <w:szCs w:val="17"/>
          <w:color w:val="auto"/>
        </w:rPr>
      </w:pPr>
      <w:r>
        <w:rPr>
          <w:rFonts w:ascii="Arial" w:cs="Arial" w:eastAsia="Arial" w:hAnsi="Arial"/>
          <w:sz w:val="17"/>
          <w:szCs w:val="17"/>
          <w:color w:val="auto"/>
        </w:rPr>
        <w:t>8.1 To convey to the Incubator the State Loan for the Project on account of which the Certificate of Approval was issued, provided that the Incubator meets its full obligations pursuant to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257415" cy="209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97"/>
          </w:cols>
          <w:pgMar w:left="243" w:top="500" w:right="259" w:bottom="1440" w:gutter="0" w:footer="0" w:header="0"/>
        </w:sectPr>
      </w:pPr>
    </w:p>
    <w:bookmarkStart w:id="382" w:name="page383"/>
    <w:bookmarkEnd w:id="382"/>
    <w:p>
      <w:pPr>
        <w:ind w:left="777" w:hanging="462"/>
        <w:spacing w:after="0" w:line="255" w:lineRule="auto"/>
        <w:tabs>
          <w:tab w:leader="none" w:pos="757"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To grant the Incubator a loan to purchase equipment for the central Lab, in an amount of up to 50% of the cost of the equipment, at the time of the purchase, with regard to purchases throughout the Term of the Agreement. The purchase of any item of equipment shall require the approval of Committee and said item will be covered by the lien on the assets of the Incubator as stated in section 7.19 above. When it is no longer in use the relative portion of its depreciated value or its market price on the date when it ceases to be in use, whichever is less, will be returned to the State and the lien in favor of the State removed from it.</w:t>
      </w:r>
    </w:p>
    <w:p>
      <w:pPr>
        <w:spacing w:after="0" w:line="2" w:lineRule="exact"/>
        <w:rPr>
          <w:sz w:val="20"/>
          <w:szCs w:val="20"/>
          <w:color w:val="auto"/>
        </w:rPr>
      </w:pPr>
    </w:p>
    <w:p>
      <w:pPr>
        <w:ind w:left="317" w:hanging="317"/>
        <w:spacing w:after="0"/>
        <w:tabs>
          <w:tab w:leader="none" w:pos="31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Shares of the Incubator Project Companies:</w:t>
      </w:r>
    </w:p>
    <w:p>
      <w:pPr>
        <w:spacing w:after="0" w:line="10" w:lineRule="exact"/>
        <w:rPr>
          <w:rFonts w:ascii="Arial" w:cs="Arial" w:eastAsia="Arial" w:hAnsi="Arial"/>
          <w:sz w:val="17"/>
          <w:szCs w:val="17"/>
          <w:color w:val="auto"/>
        </w:rPr>
      </w:pPr>
    </w:p>
    <w:p>
      <w:pPr>
        <w:ind w:left="317" w:right="380"/>
        <w:spacing w:after="0" w:line="252" w:lineRule="auto"/>
        <w:rPr>
          <w:rFonts w:ascii="Arial" w:cs="Arial" w:eastAsia="Arial" w:hAnsi="Arial"/>
          <w:sz w:val="17"/>
          <w:szCs w:val="17"/>
          <w:color w:val="auto"/>
        </w:rPr>
      </w:pPr>
      <w:r>
        <w:rPr>
          <w:rFonts w:ascii="Arial" w:cs="Arial" w:eastAsia="Arial" w:hAnsi="Arial"/>
          <w:sz w:val="17"/>
          <w:szCs w:val="17"/>
          <w:color w:val="auto"/>
        </w:rPr>
        <w:t>The Incubator shall be entitled to acquire up to 70% of the share capital of each Project Company, pursuant to what the provisions of sections 5.11.6 through 5.11.8 of the director general’s Guidelines.</w:t>
      </w:r>
    </w:p>
    <w:p>
      <w:pPr>
        <w:spacing w:after="0" w:line="1" w:lineRule="exact"/>
        <w:rPr>
          <w:rFonts w:ascii="Arial" w:cs="Arial" w:eastAsia="Arial" w:hAnsi="Arial"/>
          <w:sz w:val="17"/>
          <w:szCs w:val="17"/>
          <w:color w:val="auto"/>
        </w:rPr>
      </w:pPr>
    </w:p>
    <w:p>
      <w:pPr>
        <w:ind w:left="317" w:hanging="317"/>
        <w:spacing w:after="0"/>
        <w:tabs>
          <w:tab w:leader="none" w:pos="31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Project Assets on which the State holds a lien:</w:t>
      </w:r>
    </w:p>
    <w:p>
      <w:pPr>
        <w:spacing w:after="0" w:line="230" w:lineRule="exact"/>
        <w:rPr>
          <w:rFonts w:ascii="Arial" w:cs="Arial" w:eastAsia="Arial" w:hAnsi="Arial"/>
          <w:sz w:val="17"/>
          <w:szCs w:val="17"/>
          <w:color w:val="auto"/>
        </w:rPr>
      </w:pPr>
    </w:p>
    <w:p>
      <w:pPr>
        <w:ind w:left="317" w:right="40" w:hanging="317"/>
        <w:spacing w:after="0" w:line="289" w:lineRule="auto"/>
        <w:tabs>
          <w:tab w:leader="none" w:pos="317" w:val="left"/>
        </w:tabs>
        <w:numPr>
          <w:ilvl w:val="0"/>
          <w:numId w:val="293"/>
        </w:numPr>
        <w:rPr>
          <w:rFonts w:ascii="Arial" w:cs="Arial" w:eastAsia="Arial" w:hAnsi="Arial"/>
          <w:sz w:val="15"/>
          <w:szCs w:val="15"/>
          <w:color w:val="auto"/>
        </w:rPr>
      </w:pPr>
      <w:r>
        <w:rPr>
          <w:rFonts w:ascii="Arial" w:cs="Arial" w:eastAsia="Arial" w:hAnsi="Arial"/>
          <w:sz w:val="15"/>
          <w:szCs w:val="15"/>
          <w:color w:val="auto"/>
        </w:rPr>
        <w:t>As stated in section 7.29 above, against the State Loans granted to the Incubator on account of the Projects, the Incubator will record to the benefit of the State a first-degree floating lien on all assets of the incubator, including restriction of the transfer and/or registration of rights in the technologies created by the Projects during the term of the Incubator, and all equipment that may be purchased for use by the Project. The Incubator shall be required to notify the Incubators Administration about the assets covered by the aforesaid lien, pursuant to the procedures of the Technological Innovations Incubator Program of the Office of the Chief Scientist. In addition the Incubator undertakes to transfer the lien to the shares of the Project Companies when they are established, pursuant to section</w:t>
      </w:r>
    </w:p>
    <w:p>
      <w:pPr>
        <w:spacing w:after="0" w:line="1" w:lineRule="exact"/>
        <w:rPr>
          <w:rFonts w:ascii="Arial" w:cs="Arial" w:eastAsia="Arial" w:hAnsi="Arial"/>
          <w:sz w:val="15"/>
          <w:szCs w:val="15"/>
          <w:color w:val="auto"/>
        </w:rPr>
      </w:pPr>
    </w:p>
    <w:p>
      <w:pPr>
        <w:ind w:left="317"/>
        <w:spacing w:after="0"/>
        <w:rPr>
          <w:rFonts w:ascii="Arial" w:cs="Arial" w:eastAsia="Arial" w:hAnsi="Arial"/>
          <w:sz w:val="15"/>
          <w:szCs w:val="15"/>
          <w:color w:val="auto"/>
        </w:rPr>
      </w:pPr>
      <w:r>
        <w:rPr>
          <w:rFonts w:ascii="Arial" w:cs="Arial" w:eastAsia="Arial" w:hAnsi="Arial"/>
          <w:sz w:val="17"/>
          <w:szCs w:val="17"/>
          <w:color w:val="auto"/>
        </w:rPr>
        <w:t>5.14.1 of the director general’s Guidelines. For additional allocations of shares:</w:t>
      </w:r>
    </w:p>
    <w:p>
      <w:pPr>
        <w:spacing w:after="0" w:line="10" w:lineRule="exact"/>
        <w:rPr>
          <w:rFonts w:ascii="Arial" w:cs="Arial" w:eastAsia="Arial" w:hAnsi="Arial"/>
          <w:sz w:val="15"/>
          <w:szCs w:val="15"/>
          <w:color w:val="auto"/>
        </w:rPr>
      </w:pPr>
    </w:p>
    <w:p>
      <w:pPr>
        <w:ind w:left="777" w:right="360" w:hanging="463"/>
        <w:spacing w:after="0" w:line="252" w:lineRule="auto"/>
        <w:rPr>
          <w:rFonts w:ascii="Arial" w:cs="Arial" w:eastAsia="Arial" w:hAnsi="Arial"/>
          <w:sz w:val="15"/>
          <w:szCs w:val="15"/>
          <w:color w:val="auto"/>
        </w:rPr>
      </w:pPr>
      <w:r>
        <w:rPr>
          <w:rFonts w:ascii="Arial" w:cs="Arial" w:eastAsia="Arial" w:hAnsi="Arial"/>
          <w:sz w:val="17"/>
          <w:szCs w:val="17"/>
          <w:color w:val="auto"/>
        </w:rPr>
        <w:t>11.1 The initial allocation of shares in the Project Company as stated in section 9 above shall be of the same category. Subject to this, it shall be possible to allocate shares of different categories in the Project Company.</w:t>
      </w:r>
    </w:p>
    <w:p>
      <w:pPr>
        <w:spacing w:after="0" w:line="1" w:lineRule="exact"/>
        <w:rPr>
          <w:rFonts w:ascii="Arial" w:cs="Arial" w:eastAsia="Arial" w:hAnsi="Arial"/>
          <w:sz w:val="15"/>
          <w:szCs w:val="15"/>
          <w:color w:val="auto"/>
        </w:rPr>
      </w:pPr>
    </w:p>
    <w:p>
      <w:pPr>
        <w:ind w:left="777" w:right="200" w:hanging="463"/>
        <w:spacing w:after="0" w:line="252" w:lineRule="auto"/>
        <w:rPr>
          <w:rFonts w:ascii="Arial" w:cs="Arial" w:eastAsia="Arial" w:hAnsi="Arial"/>
          <w:sz w:val="15"/>
          <w:szCs w:val="15"/>
          <w:color w:val="auto"/>
        </w:rPr>
      </w:pPr>
      <w:r>
        <w:rPr>
          <w:rFonts w:ascii="Arial" w:cs="Arial" w:eastAsia="Arial" w:hAnsi="Arial"/>
          <w:sz w:val="17"/>
          <w:szCs w:val="17"/>
          <w:color w:val="auto"/>
        </w:rPr>
        <w:t>11.2 The allocation of a category of shares to the Incubator and/or to a party associated with the Incubator of any type that bears rights other than those of the encumbered shares shall be possible only in the following conditions:</w:t>
      </w:r>
    </w:p>
    <w:p>
      <w:pPr>
        <w:spacing w:after="0" w:line="1" w:lineRule="exact"/>
        <w:rPr>
          <w:rFonts w:ascii="Arial" w:cs="Arial" w:eastAsia="Arial" w:hAnsi="Arial"/>
          <w:sz w:val="15"/>
          <w:szCs w:val="15"/>
          <w:color w:val="auto"/>
        </w:rPr>
      </w:pPr>
    </w:p>
    <w:p>
      <w:pPr>
        <w:ind w:left="1237" w:right="220" w:hanging="617"/>
        <w:spacing w:after="0" w:line="286" w:lineRule="auto"/>
        <w:rPr>
          <w:rFonts w:ascii="Arial" w:cs="Arial" w:eastAsia="Arial" w:hAnsi="Arial"/>
          <w:sz w:val="15"/>
          <w:szCs w:val="15"/>
          <w:color w:val="auto"/>
        </w:rPr>
      </w:pPr>
      <w:r>
        <w:rPr>
          <w:rFonts w:ascii="Arial" w:cs="Arial" w:eastAsia="Arial" w:hAnsi="Arial"/>
          <w:sz w:val="15"/>
          <w:szCs w:val="15"/>
          <w:color w:val="auto"/>
        </w:rPr>
        <w:t>11.2.1 Should the said allocation of shares be in the context of the inclusion of the Incubator and/or some party associated with the Incubator to a third-party investment in the Project Company, on terms worked out by said third party and the Project Company in an arms-length agreement, and the Incubator or party associated with the Incubator makes less than 50% of the investment in the Project Company in that round of investment, the Incubator will notify the Committee as to the existence of the agreement within seven (7) days of the signing of said agreement.</w:t>
      </w:r>
    </w:p>
    <w:p>
      <w:pPr>
        <w:spacing w:after="0" w:line="1" w:lineRule="exact"/>
        <w:rPr>
          <w:rFonts w:ascii="Arial" w:cs="Arial" w:eastAsia="Arial" w:hAnsi="Arial"/>
          <w:sz w:val="15"/>
          <w:szCs w:val="15"/>
          <w:color w:val="auto"/>
        </w:rPr>
      </w:pPr>
    </w:p>
    <w:p>
      <w:pPr>
        <w:ind w:left="617"/>
        <w:spacing w:after="0"/>
        <w:rPr>
          <w:rFonts w:ascii="Arial" w:cs="Arial" w:eastAsia="Arial" w:hAnsi="Arial"/>
          <w:sz w:val="15"/>
          <w:szCs w:val="15"/>
          <w:color w:val="auto"/>
        </w:rPr>
      </w:pPr>
      <w:r>
        <w:rPr>
          <w:rFonts w:ascii="Arial" w:cs="Arial" w:eastAsia="Arial" w:hAnsi="Arial"/>
          <w:sz w:val="17"/>
          <w:szCs w:val="17"/>
          <w:color w:val="auto"/>
        </w:rPr>
        <w:t>11.2.2   In any other case, an allocation of shares shall be made only after written approval has been obtained from the Committee.</w:t>
      </w:r>
    </w:p>
    <w:p>
      <w:pPr>
        <w:spacing w:after="0" w:line="25" w:lineRule="exact"/>
        <w:rPr>
          <w:rFonts w:ascii="Arial" w:cs="Arial" w:eastAsia="Arial" w:hAnsi="Arial"/>
          <w:sz w:val="15"/>
          <w:szCs w:val="15"/>
          <w:color w:val="auto"/>
        </w:rPr>
      </w:pPr>
    </w:p>
    <w:p>
      <w:pPr>
        <w:ind w:left="1237" w:right="420"/>
        <w:spacing w:after="0" w:line="259" w:lineRule="auto"/>
        <w:rPr>
          <w:rFonts w:ascii="Arial" w:cs="Arial" w:eastAsia="Arial" w:hAnsi="Arial"/>
          <w:sz w:val="15"/>
          <w:szCs w:val="15"/>
          <w:color w:val="auto"/>
        </w:rPr>
      </w:pPr>
      <w:r>
        <w:rPr>
          <w:rFonts w:ascii="Arial" w:cs="Arial" w:eastAsia="Arial" w:hAnsi="Arial"/>
          <w:sz w:val="17"/>
          <w:szCs w:val="17"/>
          <w:color w:val="auto"/>
        </w:rPr>
        <w:t>“Party associated with the Incubator”: an individual or corporation with a controlling interest in the Incubator or one in which the Incubator or controlling party in the Incubator holds more than 25% of its shares, directly or indirectly.</w:t>
      </w:r>
    </w:p>
    <w:p>
      <w:pPr>
        <w:ind w:left="1237"/>
        <w:spacing w:after="0"/>
        <w:rPr>
          <w:rFonts w:ascii="Arial" w:cs="Arial" w:eastAsia="Arial" w:hAnsi="Arial"/>
          <w:sz w:val="15"/>
          <w:szCs w:val="15"/>
          <w:color w:val="auto"/>
        </w:rPr>
      </w:pPr>
      <w:r>
        <w:rPr>
          <w:rFonts w:ascii="Arial" w:cs="Arial" w:eastAsia="Arial" w:hAnsi="Arial"/>
          <w:sz w:val="17"/>
          <w:szCs w:val="17"/>
          <w:color w:val="auto"/>
        </w:rPr>
        <w:t>“Third party”: A party that neither the Incubator nor a party associated with the Incubator.</w:t>
      </w:r>
    </w:p>
    <w:p>
      <w:pPr>
        <w:spacing w:after="0" w:line="10" w:lineRule="exact"/>
        <w:rPr>
          <w:rFonts w:ascii="Arial" w:cs="Arial" w:eastAsia="Arial" w:hAnsi="Arial"/>
          <w:sz w:val="15"/>
          <w:szCs w:val="15"/>
          <w:color w:val="auto"/>
        </w:rPr>
      </w:pPr>
    </w:p>
    <w:p>
      <w:pPr>
        <w:ind w:left="1237"/>
        <w:spacing w:after="0"/>
        <w:rPr>
          <w:rFonts w:ascii="Arial" w:cs="Arial" w:eastAsia="Arial" w:hAnsi="Arial"/>
          <w:sz w:val="15"/>
          <w:szCs w:val="15"/>
          <w:color w:val="auto"/>
        </w:rPr>
      </w:pPr>
      <w:r>
        <w:rPr>
          <w:rFonts w:ascii="Arial" w:cs="Arial" w:eastAsia="Arial" w:hAnsi="Arial"/>
          <w:sz w:val="17"/>
          <w:szCs w:val="17"/>
          <w:color w:val="auto"/>
        </w:rPr>
        <w:t>“Control”: as defined in the Securities Law 5728-1968.</w:t>
      </w:r>
    </w:p>
    <w:p>
      <w:pPr>
        <w:spacing w:after="0" w:line="10" w:lineRule="exact"/>
        <w:rPr>
          <w:rFonts w:ascii="Arial" w:cs="Arial" w:eastAsia="Arial" w:hAnsi="Arial"/>
          <w:sz w:val="15"/>
          <w:szCs w:val="15"/>
          <w:color w:val="auto"/>
        </w:rPr>
      </w:pPr>
    </w:p>
    <w:p>
      <w:pPr>
        <w:ind w:left="317"/>
        <w:spacing w:after="0"/>
        <w:rPr>
          <w:rFonts w:ascii="Arial" w:cs="Arial" w:eastAsia="Arial" w:hAnsi="Arial"/>
          <w:sz w:val="15"/>
          <w:szCs w:val="15"/>
          <w:color w:val="auto"/>
        </w:rPr>
      </w:pPr>
      <w:r>
        <w:rPr>
          <w:rFonts w:ascii="Arial" w:cs="Arial" w:eastAsia="Arial" w:hAnsi="Arial"/>
          <w:sz w:val="17"/>
          <w:szCs w:val="17"/>
          <w:color w:val="auto"/>
        </w:rPr>
        <w:t>11.3  No additional allocation of shares shall be made other than against cash, except with the approval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7415" cy="209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383" w:name="page384"/>
    <w:bookmarkEnd w:id="383"/>
    <w:p>
      <w:pPr>
        <w:ind w:left="317" w:hanging="317"/>
        <w:spacing w:after="0"/>
        <w:tabs>
          <w:tab w:leader="none" w:pos="31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Sales of encumbered Project assets</w:t>
      </w:r>
    </w:p>
    <w:p>
      <w:pPr>
        <w:spacing w:after="0" w:line="21" w:lineRule="exact"/>
        <w:rPr>
          <w:rFonts w:ascii="Arial" w:cs="Arial" w:eastAsia="Arial" w:hAnsi="Arial"/>
          <w:sz w:val="17"/>
          <w:szCs w:val="17"/>
          <w:color w:val="auto"/>
        </w:rPr>
      </w:pPr>
    </w:p>
    <w:p>
      <w:pPr>
        <w:ind w:left="777" w:right="200" w:hanging="463"/>
        <w:spacing w:after="0" w:line="252" w:lineRule="auto"/>
        <w:rPr>
          <w:rFonts w:ascii="Arial" w:cs="Arial" w:eastAsia="Arial" w:hAnsi="Arial"/>
          <w:sz w:val="17"/>
          <w:szCs w:val="17"/>
          <w:color w:val="auto"/>
        </w:rPr>
      </w:pPr>
      <w:r>
        <w:rPr>
          <w:rFonts w:ascii="Arial" w:cs="Arial" w:eastAsia="Arial" w:hAnsi="Arial"/>
          <w:sz w:val="17"/>
          <w:szCs w:val="17"/>
          <w:color w:val="auto"/>
        </w:rPr>
        <w:t>12.1 The Incubator shall be entitled to sell encumbered assets of the Project that are in its possession at any time, at its exclusive discretion, on sole condition that when encumbered project assets are sold the Incubator makes use of the proceeds of the sale as follows:</w:t>
      </w:r>
    </w:p>
    <w:p>
      <w:pPr>
        <w:spacing w:after="0" w:line="1" w:lineRule="exact"/>
        <w:rPr>
          <w:rFonts w:ascii="Arial" w:cs="Arial" w:eastAsia="Arial" w:hAnsi="Arial"/>
          <w:sz w:val="17"/>
          <w:szCs w:val="17"/>
          <w:color w:val="auto"/>
        </w:rPr>
      </w:pPr>
    </w:p>
    <w:p>
      <w:pPr>
        <w:ind w:left="1237" w:right="280" w:hanging="617"/>
        <w:spacing w:after="0" w:line="286" w:lineRule="auto"/>
        <w:rPr>
          <w:rFonts w:ascii="Arial" w:cs="Arial" w:eastAsia="Arial" w:hAnsi="Arial"/>
          <w:sz w:val="17"/>
          <w:szCs w:val="17"/>
          <w:color w:val="auto"/>
        </w:rPr>
      </w:pPr>
      <w:r>
        <w:rPr>
          <w:rFonts w:ascii="Arial" w:cs="Arial" w:eastAsia="Arial" w:hAnsi="Arial"/>
          <w:sz w:val="15"/>
          <w:szCs w:val="15"/>
          <w:color w:val="auto"/>
        </w:rPr>
        <w:t>12.1.1 A Type-1 Biotechnology Incubator and/or its shareholder shall be entitled to sell their shares in the Project Company, including the encumbered assets of the Project, at any time and at their exclusive discretion, on condition that at least 25% of the proceeds of any sale be transferred by the Incubator and/or its shareholders to the State, against repayment of the State Loans to the Project, as per section 13 below.</w:t>
      </w:r>
    </w:p>
    <w:p>
      <w:pPr>
        <w:ind w:left="1237" w:right="260" w:hanging="617"/>
        <w:spacing w:after="0" w:line="286" w:lineRule="auto"/>
        <w:rPr>
          <w:rFonts w:ascii="Arial" w:cs="Arial" w:eastAsia="Arial" w:hAnsi="Arial"/>
          <w:sz w:val="17"/>
          <w:szCs w:val="17"/>
          <w:color w:val="auto"/>
        </w:rPr>
      </w:pPr>
      <w:r>
        <w:rPr>
          <w:rFonts w:ascii="Arial" w:cs="Arial" w:eastAsia="Arial" w:hAnsi="Arial"/>
          <w:sz w:val="15"/>
          <w:szCs w:val="15"/>
          <w:color w:val="auto"/>
        </w:rPr>
        <w:t>12.1.2 A Type-2 Biotechnology Incubator and/or its shareholders shall be entitled to sell their shares in the Project Company, including the encumbered assets of the Project, at any time and at their exclusive discretion, on condition that at least 25% of the proceeds of any sale be transferred by the Incubator and/or its shareholders to the State, against repayment of the State Loans to the Project, as per section 13 below.</w:t>
      </w:r>
    </w:p>
    <w:p>
      <w:pPr>
        <w:ind w:left="1237" w:right="80" w:hanging="617"/>
        <w:spacing w:after="0" w:line="252" w:lineRule="auto"/>
        <w:rPr>
          <w:rFonts w:ascii="Arial" w:cs="Arial" w:eastAsia="Arial" w:hAnsi="Arial"/>
          <w:sz w:val="17"/>
          <w:szCs w:val="17"/>
          <w:color w:val="auto"/>
        </w:rPr>
      </w:pPr>
      <w:r>
        <w:rPr>
          <w:rFonts w:ascii="Arial" w:cs="Arial" w:eastAsia="Arial" w:hAnsi="Arial"/>
          <w:sz w:val="17"/>
          <w:szCs w:val="17"/>
          <w:color w:val="auto"/>
        </w:rPr>
        <w:t>12.1.3 In any case of a sale of the technology in full and/or grant of an exclusive use license in any of the intellectual property assets, the State Loan given to the Incubator Project shall be repaid in full.</w:t>
      </w:r>
    </w:p>
    <w:p>
      <w:pPr>
        <w:spacing w:after="0" w:line="1" w:lineRule="exact"/>
        <w:rPr>
          <w:rFonts w:ascii="Arial" w:cs="Arial" w:eastAsia="Arial" w:hAnsi="Arial"/>
          <w:sz w:val="17"/>
          <w:szCs w:val="17"/>
          <w:color w:val="auto"/>
        </w:rPr>
      </w:pPr>
    </w:p>
    <w:p>
      <w:pPr>
        <w:ind w:left="617"/>
        <w:spacing w:after="0"/>
        <w:rPr>
          <w:rFonts w:ascii="Arial" w:cs="Arial" w:eastAsia="Arial" w:hAnsi="Arial"/>
          <w:sz w:val="17"/>
          <w:szCs w:val="17"/>
          <w:color w:val="auto"/>
        </w:rPr>
      </w:pPr>
      <w:r>
        <w:rPr>
          <w:rFonts w:ascii="Arial" w:cs="Arial" w:eastAsia="Arial" w:hAnsi="Arial"/>
          <w:sz w:val="16"/>
          <w:szCs w:val="16"/>
          <w:color w:val="auto"/>
        </w:rPr>
        <w:t>12.1.4  Should the technology be split up so as to grant more than one use license, an amount equivalent to 25% of the proceeds for each license.</w:t>
      </w:r>
    </w:p>
    <w:p>
      <w:pPr>
        <w:spacing w:after="0" w:line="36" w:lineRule="exact"/>
        <w:rPr>
          <w:rFonts w:ascii="Arial" w:cs="Arial" w:eastAsia="Arial" w:hAnsi="Arial"/>
          <w:sz w:val="17"/>
          <w:szCs w:val="17"/>
          <w:color w:val="auto"/>
        </w:rPr>
      </w:pPr>
    </w:p>
    <w:p>
      <w:pPr>
        <w:ind w:left="777" w:right="40" w:hanging="463"/>
        <w:spacing w:after="0" w:line="275" w:lineRule="auto"/>
        <w:rPr>
          <w:rFonts w:ascii="Arial" w:cs="Arial" w:eastAsia="Arial" w:hAnsi="Arial"/>
          <w:sz w:val="17"/>
          <w:szCs w:val="17"/>
          <w:color w:val="auto"/>
        </w:rPr>
      </w:pPr>
      <w:r>
        <w:rPr>
          <w:rFonts w:ascii="Arial" w:cs="Arial" w:eastAsia="Arial" w:hAnsi="Arial"/>
          <w:sz w:val="16"/>
          <w:szCs w:val="16"/>
          <w:color w:val="auto"/>
        </w:rPr>
        <w:t>12.2 In any case, the total of all moneys transferred to the State on account of sales as stated in the present section shall not exceed the total of the State Loan to the Incubator for that Project Company and/or Project, plus interest and linkage to the Consumer Price Index, as stated in section 13.</w:t>
      </w:r>
    </w:p>
    <w:p>
      <w:pPr>
        <w:ind w:left="777" w:hanging="463"/>
        <w:spacing w:after="0" w:line="252" w:lineRule="auto"/>
        <w:rPr>
          <w:rFonts w:ascii="Arial" w:cs="Arial" w:eastAsia="Arial" w:hAnsi="Arial"/>
          <w:sz w:val="17"/>
          <w:szCs w:val="17"/>
          <w:color w:val="auto"/>
        </w:rPr>
      </w:pPr>
      <w:r>
        <w:rPr>
          <w:rFonts w:ascii="Arial" w:cs="Arial" w:eastAsia="Arial" w:hAnsi="Arial"/>
          <w:sz w:val="17"/>
          <w:szCs w:val="17"/>
          <w:color w:val="auto"/>
        </w:rPr>
        <w:t>12.3 For a Project Company: After full repayment of the balance of the State Loan, plus interest, the remaining proceeds of the sales of the Incubator’s shares in that Project Company shall be full owned by the Incubator and the State shall have no claim or demand on it.</w:t>
      </w:r>
    </w:p>
    <w:p>
      <w:pPr>
        <w:spacing w:after="0" w:line="1" w:lineRule="exact"/>
        <w:rPr>
          <w:rFonts w:ascii="Arial" w:cs="Arial" w:eastAsia="Arial" w:hAnsi="Arial"/>
          <w:sz w:val="17"/>
          <w:szCs w:val="17"/>
          <w:color w:val="auto"/>
        </w:rPr>
      </w:pPr>
    </w:p>
    <w:p>
      <w:pPr>
        <w:ind w:left="777" w:right="100" w:hanging="154"/>
        <w:spacing w:after="0" w:line="252" w:lineRule="auto"/>
        <w:rPr>
          <w:rFonts w:ascii="Arial" w:cs="Arial" w:eastAsia="Arial" w:hAnsi="Arial"/>
          <w:sz w:val="17"/>
          <w:szCs w:val="17"/>
          <w:color w:val="auto"/>
        </w:rPr>
      </w:pPr>
      <w:r>
        <w:rPr>
          <w:rFonts w:ascii="Arial" w:cs="Arial" w:eastAsia="Arial" w:hAnsi="Arial"/>
          <w:sz w:val="17"/>
          <w:szCs w:val="17"/>
          <w:color w:val="auto"/>
        </w:rPr>
        <w:t>For an Incubator Project: After full repayment of the balance of the State Loan, as stipulated in section 13 below, with regard to a particular project, the encumbered Project assets for that Project will be removed from the lien, in accordance with the procedures of the Technology Innovation Incubators Program of the Office of the Chief Scientist, and the State shall have no claim or demand on them. The State will give its approval in the form attached as Appendix F.</w:t>
      </w:r>
    </w:p>
    <w:p>
      <w:pPr>
        <w:spacing w:after="0" w:line="2" w:lineRule="exact"/>
        <w:rPr>
          <w:rFonts w:ascii="Arial" w:cs="Arial" w:eastAsia="Arial" w:hAnsi="Arial"/>
          <w:sz w:val="17"/>
          <w:szCs w:val="17"/>
          <w:color w:val="auto"/>
        </w:rPr>
      </w:pPr>
    </w:p>
    <w:p>
      <w:pPr>
        <w:ind w:left="777" w:right="200" w:hanging="463"/>
        <w:spacing w:after="0" w:line="252" w:lineRule="auto"/>
        <w:rPr>
          <w:rFonts w:ascii="Arial" w:cs="Arial" w:eastAsia="Arial" w:hAnsi="Arial"/>
          <w:sz w:val="17"/>
          <w:szCs w:val="17"/>
          <w:color w:val="auto"/>
        </w:rPr>
      </w:pPr>
      <w:r>
        <w:rPr>
          <w:rFonts w:ascii="Arial" w:cs="Arial" w:eastAsia="Arial" w:hAnsi="Arial"/>
          <w:sz w:val="17"/>
          <w:szCs w:val="17"/>
          <w:color w:val="auto"/>
        </w:rPr>
        <w:t>12.4 The grant of an option to acquire the base shares to be transferred by the Incubator to employees of that Incubator Project shall not be considered to be a sale for the purposes of the present section.</w:t>
      </w:r>
    </w:p>
    <w:p>
      <w:pPr>
        <w:spacing w:after="0" w:line="1" w:lineRule="exact"/>
        <w:rPr>
          <w:rFonts w:ascii="Arial" w:cs="Arial" w:eastAsia="Arial" w:hAnsi="Arial"/>
          <w:sz w:val="17"/>
          <w:szCs w:val="17"/>
          <w:color w:val="auto"/>
        </w:rPr>
      </w:pPr>
    </w:p>
    <w:p>
      <w:pPr>
        <w:ind w:left="777" w:right="200" w:hanging="463"/>
        <w:spacing w:after="0" w:line="252" w:lineRule="auto"/>
        <w:rPr>
          <w:rFonts w:ascii="Arial" w:cs="Arial" w:eastAsia="Arial" w:hAnsi="Arial"/>
          <w:sz w:val="17"/>
          <w:szCs w:val="17"/>
          <w:color w:val="auto"/>
        </w:rPr>
      </w:pPr>
      <w:r>
        <w:rPr>
          <w:rFonts w:ascii="Arial" w:cs="Arial" w:eastAsia="Arial" w:hAnsi="Arial"/>
          <w:sz w:val="17"/>
          <w:szCs w:val="17"/>
          <w:color w:val="auto"/>
        </w:rPr>
        <w:t>12.5 The lien on encumbered project assets, in whole or in part, shall be removed immediately after payment to the State in keeping with section 13 below. If only part of the lien has been removed, the State’s rights to receive the balance of the proceeds pursuant to this section must be retained, subject to the Provisions and to section 7.31 above.</w:t>
      </w:r>
    </w:p>
    <w:p>
      <w:pPr>
        <w:spacing w:after="0" w:line="1" w:lineRule="exact"/>
        <w:rPr>
          <w:rFonts w:ascii="Arial" w:cs="Arial" w:eastAsia="Arial" w:hAnsi="Arial"/>
          <w:sz w:val="17"/>
          <w:szCs w:val="17"/>
          <w:color w:val="auto"/>
        </w:rPr>
      </w:pPr>
    </w:p>
    <w:p>
      <w:pPr>
        <w:ind w:left="317" w:hanging="317"/>
        <w:spacing w:after="0"/>
        <w:tabs>
          <w:tab w:leader="none" w:pos="31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Repayment of the State Loan to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7415" cy="209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384" w:name="page385"/>
    <w:bookmarkEnd w:id="384"/>
    <w:p>
      <w:pPr>
        <w:ind w:left="317"/>
        <w:spacing w:after="0"/>
        <w:tabs>
          <w:tab w:leader="none" w:pos="757"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The Incubator may repay the State Loan to the Project in cash, on the following terms:</w:t>
      </w:r>
    </w:p>
    <w:p>
      <w:pPr>
        <w:spacing w:after="0" w:line="268" w:lineRule="exact"/>
        <w:rPr>
          <w:sz w:val="20"/>
          <w:szCs w:val="20"/>
          <w:color w:val="auto"/>
        </w:rPr>
      </w:pPr>
    </w:p>
    <w:p>
      <w:pPr>
        <w:ind w:left="317"/>
        <w:spacing w:after="0"/>
        <w:tabs>
          <w:tab w:leader="none" w:pos="757"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During the term of implementation of the Incubator Project, repayment shall be in exchange for the nominal value of the State Loan, plus interest.</w:t>
      </w:r>
    </w:p>
    <w:p>
      <w:pPr>
        <w:spacing w:after="0" w:line="36" w:lineRule="exact"/>
        <w:rPr>
          <w:sz w:val="20"/>
          <w:szCs w:val="20"/>
          <w:color w:val="auto"/>
        </w:rPr>
      </w:pPr>
    </w:p>
    <w:p>
      <w:pPr>
        <w:ind w:left="777" w:right="100" w:hanging="462"/>
        <w:spacing w:after="0" w:line="259" w:lineRule="auto"/>
        <w:tabs>
          <w:tab w:leader="none" w:pos="757" w:val="left"/>
        </w:tabs>
        <w:rPr>
          <w:sz w:val="20"/>
          <w:szCs w:val="20"/>
          <w:color w:val="auto"/>
        </w:rPr>
      </w:pPr>
      <w:r>
        <w:rPr>
          <w:rFonts w:ascii="Arial" w:cs="Arial" w:eastAsia="Arial" w:hAnsi="Arial"/>
          <w:sz w:val="17"/>
          <w:szCs w:val="17"/>
          <w:color w:val="auto"/>
        </w:rPr>
        <w:t>13.3</w:t>
        <w:tab/>
        <w:t>During the first two years after the end of the term of the Incubator Project the terms of section 13.2 shall remain in force, on condition that the Incubator undertakes to continue to operate the Project Company and/or the Project on a similar scale.</w:t>
      </w:r>
    </w:p>
    <w:p>
      <w:pPr>
        <w:spacing w:after="0" w:line="1" w:lineRule="exact"/>
        <w:rPr>
          <w:sz w:val="20"/>
          <w:szCs w:val="20"/>
          <w:color w:val="auto"/>
        </w:rPr>
      </w:pPr>
    </w:p>
    <w:p>
      <w:pPr>
        <w:ind w:left="777" w:right="420" w:hanging="462"/>
        <w:spacing w:after="0" w:line="252" w:lineRule="auto"/>
        <w:tabs>
          <w:tab w:leader="none" w:pos="757" w:val="left"/>
        </w:tabs>
        <w:rPr>
          <w:sz w:val="20"/>
          <w:szCs w:val="20"/>
          <w:color w:val="auto"/>
        </w:rPr>
      </w:pPr>
      <w:r>
        <w:rPr>
          <w:rFonts w:ascii="Arial" w:cs="Arial" w:eastAsia="Arial" w:hAnsi="Arial"/>
          <w:sz w:val="17"/>
          <w:szCs w:val="17"/>
          <w:color w:val="auto"/>
        </w:rPr>
        <w:t>13.4</w:t>
        <w:tab/>
        <w:t>For the next three years, the terms of section 13.2 shall remain on force, on condition that the Incubator undertakes to continue to operate the Project Company and/or the Project on a similar scale, but the interest on the State Loan in these years shall be doubled.</w:t>
      </w:r>
    </w:p>
    <w:p>
      <w:pPr>
        <w:spacing w:after="0" w:line="1" w:lineRule="exact"/>
        <w:rPr>
          <w:sz w:val="20"/>
          <w:szCs w:val="20"/>
          <w:color w:val="auto"/>
        </w:rPr>
      </w:pPr>
    </w:p>
    <w:p>
      <w:pPr>
        <w:ind w:left="777" w:right="100" w:hanging="462"/>
        <w:spacing w:after="0" w:line="252" w:lineRule="auto"/>
        <w:tabs>
          <w:tab w:leader="none" w:pos="757" w:val="left"/>
        </w:tabs>
        <w:rPr>
          <w:sz w:val="20"/>
          <w:szCs w:val="20"/>
          <w:color w:val="auto"/>
        </w:rPr>
      </w:pPr>
      <w:r>
        <w:rPr>
          <w:rFonts w:ascii="Arial" w:cs="Arial" w:eastAsia="Arial" w:hAnsi="Arial"/>
          <w:sz w:val="17"/>
          <w:szCs w:val="17"/>
          <w:color w:val="auto"/>
        </w:rPr>
        <w:t>13.5</w:t>
        <w:tab/>
        <w:t>The state will remove the lien from the encumbered Project assets in an amount proportional to the fraction of the State Loan that has been repaid. In addition, the State will remove the lien from the relative part of the encumbered Project assets in an amount proportional to whatever sums have not been transferred to the Project and have been returned to the State. The removal of the lien shall be according to the procedures of the Technological Innovations Incubator Program of the Office of the Chief Scientist.</w:t>
      </w:r>
    </w:p>
    <w:p>
      <w:pPr>
        <w:spacing w:after="0" w:line="2" w:lineRule="exact"/>
        <w:rPr>
          <w:sz w:val="20"/>
          <w:szCs w:val="20"/>
          <w:color w:val="auto"/>
        </w:rPr>
      </w:pPr>
    </w:p>
    <w:p>
      <w:pPr>
        <w:ind w:left="777" w:right="40" w:hanging="462"/>
        <w:spacing w:after="0" w:line="268" w:lineRule="auto"/>
        <w:tabs>
          <w:tab w:leader="none" w:pos="757"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6"/>
          <w:szCs w:val="16"/>
          <w:color w:val="auto"/>
        </w:rPr>
        <w:t>Should the Incubator breach its undertakings under the Provisions, or some of them, and without derogating from other remedies available to the State under this agreement or by law, the Incubator shall repay to the State, immediately upon its first demand and no later than 30 days thereafter, all sums it has received on account of the State Loan for the Projects and that have not yet been transferred to the Project Company and/or the Project and/or moneys that have been transferred to the Project Company and/or the Project that deviate from the terms of the Certificate of Approval, plus linkage differentials and interest, in the meaning of the Award of Interest and Linkage Law 5721-1961.</w:t>
      </w:r>
    </w:p>
    <w:p>
      <w:pPr>
        <w:spacing w:after="0" w:line="2" w:lineRule="exact"/>
        <w:rPr>
          <w:sz w:val="20"/>
          <w:szCs w:val="20"/>
          <w:color w:val="auto"/>
        </w:rPr>
      </w:pPr>
    </w:p>
    <w:p>
      <w:pPr>
        <w:ind w:left="777" w:hanging="462"/>
        <w:spacing w:after="0" w:line="268" w:lineRule="auto"/>
        <w:tabs>
          <w:tab w:leader="none" w:pos="757"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6"/>
          <w:szCs w:val="16"/>
          <w:color w:val="auto"/>
        </w:rPr>
        <w:t>If the Incubator received a State Loan for Projects, but a liquidation order or bankruptcy order has been issued against it, or it has decided on its voluntary liquidation, before all of its obligation under the present agreement and/or the directives and/or the Certificate of Approval and/or the statement of commitment have been fulfilled, it will be considered as if it had undertaken to pay back the State Loan, including everything purchased using the moneys of said State Loan, before the liquidation order or bankruptcy order was issued or before the decision was taken.</w:t>
      </w:r>
    </w:p>
    <w:p>
      <w:pPr>
        <w:spacing w:after="0" w:line="1" w:lineRule="exact"/>
        <w:rPr>
          <w:sz w:val="20"/>
          <w:szCs w:val="20"/>
          <w:color w:val="auto"/>
        </w:rPr>
      </w:pPr>
    </w:p>
    <w:p>
      <w:pPr>
        <w:ind w:left="317" w:hanging="317"/>
        <w:spacing w:after="0"/>
        <w:tabs>
          <w:tab w:leader="none" w:pos="31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Realization of liens</w:t>
      </w:r>
    </w:p>
    <w:p>
      <w:pPr>
        <w:spacing w:after="0" w:line="10" w:lineRule="exact"/>
        <w:rPr>
          <w:rFonts w:ascii="Arial" w:cs="Arial" w:eastAsia="Arial" w:hAnsi="Arial"/>
          <w:sz w:val="17"/>
          <w:szCs w:val="17"/>
          <w:color w:val="auto"/>
        </w:rPr>
      </w:pPr>
    </w:p>
    <w:p>
      <w:pPr>
        <w:ind w:left="317"/>
        <w:spacing w:after="0"/>
        <w:rPr>
          <w:rFonts w:ascii="Arial" w:cs="Arial" w:eastAsia="Arial" w:hAnsi="Arial"/>
          <w:sz w:val="17"/>
          <w:szCs w:val="17"/>
          <w:color w:val="auto"/>
        </w:rPr>
      </w:pPr>
      <w:r>
        <w:rPr>
          <w:rFonts w:ascii="Arial" w:cs="Arial" w:eastAsia="Arial" w:hAnsi="Arial"/>
          <w:sz w:val="17"/>
          <w:szCs w:val="17"/>
          <w:color w:val="auto"/>
        </w:rPr>
        <w:t>The State will be entitled to realize its liens on encumbered project assets to repay the balance of the State Loan for that Project:</w:t>
      </w:r>
    </w:p>
    <w:p>
      <w:pPr>
        <w:spacing w:after="0" w:line="10" w:lineRule="exact"/>
        <w:rPr>
          <w:rFonts w:ascii="Arial" w:cs="Arial" w:eastAsia="Arial" w:hAnsi="Arial"/>
          <w:sz w:val="17"/>
          <w:szCs w:val="17"/>
          <w:color w:val="auto"/>
        </w:rPr>
      </w:pPr>
    </w:p>
    <w:p>
      <w:pPr>
        <w:ind w:left="1237" w:right="120" w:hanging="617"/>
        <w:spacing w:after="0" w:line="252" w:lineRule="auto"/>
        <w:rPr>
          <w:rFonts w:ascii="Arial" w:cs="Arial" w:eastAsia="Arial" w:hAnsi="Arial"/>
          <w:sz w:val="17"/>
          <w:szCs w:val="17"/>
          <w:color w:val="auto"/>
        </w:rPr>
      </w:pPr>
      <w:r>
        <w:rPr>
          <w:rFonts w:ascii="Arial" w:cs="Arial" w:eastAsia="Arial" w:hAnsi="Arial"/>
          <w:sz w:val="17"/>
          <w:szCs w:val="17"/>
          <w:color w:val="auto"/>
        </w:rPr>
        <w:t>14.1.1 At the expiration of 8 years from the issuance of the Certificate of Approval for that Project, and after 30 days have lapsed from notification to the Incubator of its intention to do so; or</w:t>
      </w:r>
    </w:p>
    <w:p>
      <w:pPr>
        <w:spacing w:after="0" w:line="1" w:lineRule="exact"/>
        <w:rPr>
          <w:rFonts w:ascii="Arial" w:cs="Arial" w:eastAsia="Arial" w:hAnsi="Arial"/>
          <w:sz w:val="17"/>
          <w:szCs w:val="17"/>
          <w:color w:val="auto"/>
        </w:rPr>
      </w:pPr>
    </w:p>
    <w:p>
      <w:pPr>
        <w:ind w:left="1237" w:right="280" w:hanging="617"/>
        <w:spacing w:after="0" w:line="265" w:lineRule="auto"/>
        <w:rPr>
          <w:rFonts w:ascii="Arial" w:cs="Arial" w:eastAsia="Arial" w:hAnsi="Arial"/>
          <w:sz w:val="17"/>
          <w:szCs w:val="17"/>
          <w:color w:val="auto"/>
        </w:rPr>
      </w:pPr>
      <w:r>
        <w:rPr>
          <w:rFonts w:ascii="Arial" w:cs="Arial" w:eastAsia="Arial" w:hAnsi="Arial"/>
          <w:sz w:val="17"/>
          <w:szCs w:val="17"/>
          <w:color w:val="auto"/>
        </w:rPr>
        <w:t>14.1.2 At any earlier date should an order of liquidation or order of bankruptcy be issued against the Incubator or Project Company or should the latter decide on voluntary liquidation;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257415" cy="209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77"/>
          </w:cols>
          <w:pgMar w:left="243" w:top="500" w:right="279" w:bottom="1440" w:gutter="0" w:footer="0" w:header="0"/>
        </w:sectPr>
      </w:pPr>
    </w:p>
    <w:bookmarkStart w:id="385" w:name="page386"/>
    <w:bookmarkEnd w:id="385"/>
    <w:p>
      <w:pPr>
        <w:ind w:left="1240" w:right="100" w:hanging="616"/>
        <w:spacing w:after="0" w:line="259" w:lineRule="auto"/>
        <w:tabs>
          <w:tab w:leader="none" w:pos="1220" w:val="left"/>
        </w:tabs>
        <w:rPr>
          <w:sz w:val="20"/>
          <w:szCs w:val="20"/>
          <w:color w:val="auto"/>
        </w:rPr>
      </w:pPr>
      <w:r>
        <w:rPr>
          <w:rFonts w:ascii="Arial" w:cs="Arial" w:eastAsia="Arial" w:hAnsi="Arial"/>
          <w:sz w:val="17"/>
          <w:szCs w:val="17"/>
          <w:color w:val="auto"/>
        </w:rPr>
        <w:t>14.1.3</w:t>
        <w:tab/>
        <w:t>Should the incubator breach its undertakings pursuant to the present agreement and/or the Provisions and/or the Certificate of Approval regarding that project, in some fundamental breach.</w:t>
      </w:r>
    </w:p>
    <w:p>
      <w:pPr>
        <w:spacing w:after="0" w:line="1" w:lineRule="exact"/>
        <w:rPr>
          <w:sz w:val="20"/>
          <w:szCs w:val="20"/>
          <w:color w:val="auto"/>
        </w:rPr>
      </w:pPr>
    </w:p>
    <w:p>
      <w:pPr>
        <w:ind w:left="320" w:hanging="317"/>
        <w:spacing w:after="0"/>
        <w:tabs>
          <w:tab w:leader="none" w:pos="3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incubator shall not be entitled to transfer any rights or obligations under the present agreement to another party.</w:t>
      </w:r>
    </w:p>
    <w:p>
      <w:pPr>
        <w:spacing w:after="0" w:line="10" w:lineRule="exact"/>
        <w:rPr>
          <w:rFonts w:ascii="Arial" w:cs="Arial" w:eastAsia="Arial" w:hAnsi="Arial"/>
          <w:sz w:val="17"/>
          <w:szCs w:val="17"/>
          <w:color w:val="auto"/>
        </w:rPr>
      </w:pPr>
    </w:p>
    <w:p>
      <w:pPr>
        <w:ind w:left="780" w:hanging="463"/>
        <w:spacing w:after="0" w:line="268" w:lineRule="auto"/>
        <w:rPr>
          <w:rFonts w:ascii="Arial" w:cs="Arial" w:eastAsia="Arial" w:hAnsi="Arial"/>
          <w:sz w:val="17"/>
          <w:szCs w:val="17"/>
          <w:color w:val="auto"/>
        </w:rPr>
      </w:pPr>
      <w:r>
        <w:rPr>
          <w:rFonts w:ascii="Arial" w:cs="Arial" w:eastAsia="Arial" w:hAnsi="Arial"/>
          <w:sz w:val="16"/>
          <w:szCs w:val="16"/>
          <w:color w:val="auto"/>
        </w:rPr>
        <w:t>15.1 The aforesaid in section 15 notwithstanding, the Incubator shall be entitled to transfer and/or to assign its right to repayment of the State Loan to any third party, as stated in section 13 above. However, nothing in this shall be deemed to release the Incubator from any of its obligations under the present agreement. The Incubator undertakes to notify the State in writing immediately upon any assignment or transfer as stated.</w:t>
      </w:r>
    </w:p>
    <w:p>
      <w:pPr>
        <w:spacing w:after="0" w:line="1" w:lineRule="exact"/>
        <w:rPr>
          <w:rFonts w:ascii="Arial" w:cs="Arial" w:eastAsia="Arial" w:hAnsi="Arial"/>
          <w:sz w:val="17"/>
          <w:szCs w:val="17"/>
          <w:color w:val="auto"/>
        </w:rPr>
      </w:pPr>
    </w:p>
    <w:p>
      <w:pPr>
        <w:ind w:left="780" w:right="20" w:hanging="463"/>
        <w:spacing w:after="0" w:line="252" w:lineRule="auto"/>
        <w:rPr>
          <w:rFonts w:ascii="Arial" w:cs="Arial" w:eastAsia="Arial" w:hAnsi="Arial"/>
          <w:sz w:val="17"/>
          <w:szCs w:val="17"/>
          <w:color w:val="auto"/>
        </w:rPr>
      </w:pPr>
      <w:r>
        <w:rPr>
          <w:rFonts w:ascii="Arial" w:cs="Arial" w:eastAsia="Arial" w:hAnsi="Arial"/>
          <w:sz w:val="17"/>
          <w:szCs w:val="17"/>
          <w:color w:val="auto"/>
        </w:rPr>
        <w:t>15.2 The agreement by any parties to deviate from any conditions whatsoever of the present agreement, in a specific case or in a series of cases, shall not serve as a precedent and nothing shall be inferred from it for any other cases in the future.</w:t>
      </w:r>
    </w:p>
    <w:p>
      <w:pPr>
        <w:spacing w:after="0" w:line="1" w:lineRule="exact"/>
        <w:rPr>
          <w:rFonts w:ascii="Arial" w:cs="Arial" w:eastAsia="Arial" w:hAnsi="Arial"/>
          <w:sz w:val="17"/>
          <w:szCs w:val="17"/>
          <w:color w:val="auto"/>
        </w:rPr>
      </w:pPr>
    </w:p>
    <w:p>
      <w:pPr>
        <w:ind w:left="780" w:right="20" w:hanging="463"/>
        <w:spacing w:after="0" w:line="252" w:lineRule="auto"/>
        <w:rPr>
          <w:rFonts w:ascii="Arial" w:cs="Arial" w:eastAsia="Arial" w:hAnsi="Arial"/>
          <w:sz w:val="17"/>
          <w:szCs w:val="17"/>
          <w:color w:val="auto"/>
        </w:rPr>
      </w:pPr>
      <w:r>
        <w:rPr>
          <w:rFonts w:ascii="Arial" w:cs="Arial" w:eastAsia="Arial" w:hAnsi="Arial"/>
          <w:sz w:val="17"/>
          <w:szCs w:val="17"/>
          <w:color w:val="auto"/>
        </w:rPr>
        <w:t>15.3 Should either of the parties fail to enforce or enforce tardily any right whatsoever granted it pursuant to the present agreement under law, in any case or in a series of cases, this shall not be seen as a waiver of said right or of any other rights whatsoever.</w:t>
      </w:r>
    </w:p>
    <w:p>
      <w:pPr>
        <w:spacing w:after="0" w:line="1" w:lineRule="exact"/>
        <w:rPr>
          <w:rFonts w:ascii="Arial" w:cs="Arial" w:eastAsia="Arial" w:hAnsi="Arial"/>
          <w:sz w:val="17"/>
          <w:szCs w:val="17"/>
          <w:color w:val="auto"/>
        </w:rPr>
      </w:pPr>
    </w:p>
    <w:p>
      <w:pPr>
        <w:jc w:val="both"/>
        <w:ind w:left="320" w:right="200" w:hanging="317"/>
        <w:spacing w:after="0" w:line="268" w:lineRule="auto"/>
        <w:tabs>
          <w:tab w:leader="none" w:pos="3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Any notice or warning related to any matter that derives from the present agreement shall be sent by one party to the other by registered mail, to the addresses indicated below, and will be considered to have been received by the addressee within 72 hours of the posting of the letter that includes the notice or warning. The State: Incubators Administration, Office of the Chief Scientist, Ministry of Industry and Trade, POB 50031, 61500 Tel Aviv</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The incubator:</w:t>
      </w:r>
    </w:p>
    <w:p>
      <w:pPr>
        <w:spacing w:after="0" w:line="10" w:lineRule="exact"/>
        <w:rPr>
          <w:rFonts w:ascii="Arial" w:cs="Arial" w:eastAsia="Arial" w:hAnsi="Arial"/>
          <w:sz w:val="16"/>
          <w:szCs w:val="16"/>
          <w:color w:val="auto"/>
        </w:rPr>
      </w:pPr>
    </w:p>
    <w:p>
      <w:pPr>
        <w:ind w:left="320" w:hanging="317"/>
        <w:spacing w:after="0" w:line="268" w:lineRule="auto"/>
        <w:tabs>
          <w:tab w:leader="none" w:pos="3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All of the conditions of sections 4, 6, 7, 10, 11, and 12, are fundamental conditions. The breach of any one or more of them is fundamental breach under the Law of Contracts (Remedies for Breach of Contracts) 5731-1970. The present section is to be amended in accordance with the final draft.</w:t>
      </w:r>
    </w:p>
    <w:p>
      <w:pPr>
        <w:ind w:left="320" w:hanging="317"/>
        <w:spacing w:after="0"/>
        <w:tabs>
          <w:tab w:leader="none" w:pos="3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incubator will have the present agreement stamped and will be responsible for the stamp tax.</w:t>
      </w:r>
    </w:p>
    <w:p>
      <w:pPr>
        <w:spacing w:after="0" w:line="23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In witness whereof the parties have affixed their signatures on the date stated at the beginning of this agreement.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State: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&lt;rubber stamp and signature&gt; Raanan Dinur, director general</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&lt;Signature&gt;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Chief Scientist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&lt;Signature&gt;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Controller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Rubber stamp: BioLine Innovations Jerusalem Limited Partnership By its General Partner, BioLine Innovations Jerusalem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500" w:right="319" w:bottom="1440" w:gutter="0" w:footer="0" w:header="0"/>
        </w:sectPr>
      </w:pPr>
    </w:p>
    <w:bookmarkStart w:id="386" w:name="page387"/>
    <w:bookmarkEnd w:id="386"/>
    <w:p>
      <w:pPr>
        <w:spacing w:after="0"/>
        <w:rPr>
          <w:sz w:val="20"/>
          <w:szCs w:val="20"/>
          <w:color w:val="auto"/>
        </w:rPr>
      </w:pPr>
      <w:r>
        <w:rPr>
          <w:rFonts w:ascii="Arial" w:cs="Arial" w:eastAsia="Arial" w:hAnsi="Arial"/>
          <w:sz w:val="17"/>
          <w:szCs w:val="17"/>
          <w:color w:val="auto"/>
        </w:rPr>
        <w:t>/s/ Morris Laster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Name of signatory: Morris Laster</w:t>
      </w:r>
    </w:p>
    <w:p>
      <w:pPr>
        <w:spacing w:after="0" w:line="231" w:lineRule="exact"/>
        <w:rPr>
          <w:sz w:val="20"/>
          <w:szCs w:val="20"/>
          <w:color w:val="auto"/>
        </w:rPr>
      </w:pPr>
    </w:p>
    <w:p>
      <w:pPr>
        <w:ind w:right="1499"/>
        <w:spacing w:after="0" w:line="259" w:lineRule="auto"/>
        <w:rPr>
          <w:sz w:val="20"/>
          <w:szCs w:val="20"/>
          <w:color w:val="auto"/>
        </w:rPr>
      </w:pPr>
      <w:r>
        <w:rPr>
          <w:rFonts w:ascii="Arial" w:cs="Arial" w:eastAsia="Arial" w:hAnsi="Arial"/>
          <w:sz w:val="17"/>
          <w:szCs w:val="17"/>
          <w:color w:val="auto"/>
        </w:rPr>
        <w:t>Rubber stamp: BioLine Innovations Jerusalem Limited Partnership By its General Partner, BioLine Innovations Jerusalem Ltd. /s/ Yuri Shoshan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Name of signatory: Yuri Shoshan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Version: January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7"/>
          <w:szCs w:val="17"/>
          <w:i w:val="1"/>
          <w:iCs w:val="1"/>
          <w:color w:val="auto"/>
        </w:rPr>
        <w:t>Yigal Arnon and Co., Advocates and Notary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Jerusalem, January 16,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Ref. 9218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Ms. Rina Pridor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Technological Incubators Administration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Hamered 29, Tel Aviv</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Madam,</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 Confirmation of Authorized Signatories, BioLine Innovations Jerusalem, Limited Partnership</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the attorneys of BioLine Innovations Jerusalem Limited Partnership (hereinafter “the Incubator”), I hereby affirm that, in keeping with the limited partnership agreement of the Incubator, dated December 23, 2004, the general partner of the Incubator is BioLine Innovations Jerusalem, Ltd. (hereinafter: “the General Partner”). In its capacity as general partner the General Partner will be exclusively responsible for managing all affairs of the Incubator, including that the signature of the General Partner shall bind the Incubator in every matter.</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 hereby confirm that Morris Laster and Yuri Shoshan have been authorized by the General Partner to sign the agreement for the operation of a biotechnological incubator by and between the Incubator and the Government of Israel on behalf of the State of Israel, represented by the Chief Scientist and the Controller of the Ministry of Industry, Trade, and Employment. The signature of each of these parties, whether Morris Laster or Yuri Shoshan, on this agreement, without need for the company’s seal or the printed name of the General Partner, binds the General Partner and thereby also binds the incubator in every matter. In addition I hereby verify the signatures of Morris Laster and Yuri Shoshan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220" w:type="dxa"/>
            <w:vAlign w:val="bottom"/>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ID number</w:t>
            </w:r>
          </w:p>
        </w:tc>
        <w:tc>
          <w:tcPr>
            <w:tcW w:w="20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Signature</w:t>
            </w:r>
          </w:p>
        </w:tc>
      </w:tr>
      <w:tr>
        <w:trPr>
          <w:trHeight w:val="193"/>
        </w:trPr>
        <w:tc>
          <w:tcPr>
            <w:tcW w:w="3560" w:type="dxa"/>
            <w:vAlign w:val="bottom"/>
          </w:tcPr>
          <w:p>
            <w:pPr>
              <w:spacing w:after="0" w:line="194" w:lineRule="exact"/>
              <w:rPr>
                <w:sz w:val="20"/>
                <w:szCs w:val="20"/>
                <w:color w:val="auto"/>
              </w:rPr>
            </w:pPr>
            <w:r>
              <w:rPr>
                <w:rFonts w:ascii="Arial" w:cs="Arial" w:eastAsia="Arial" w:hAnsi="Arial"/>
                <w:sz w:val="17"/>
                <w:szCs w:val="17"/>
                <w:color w:val="auto"/>
              </w:rPr>
              <w:t>Morris Laster</w:t>
            </w:r>
          </w:p>
        </w:tc>
        <w:tc>
          <w:tcPr>
            <w:tcW w:w="220" w:type="dxa"/>
            <w:vAlign w:val="bottom"/>
          </w:tcPr>
          <w:p>
            <w:pPr>
              <w:spacing w:after="0"/>
              <w:rPr>
                <w:sz w:val="16"/>
                <w:szCs w:val="16"/>
                <w:color w:val="auto"/>
              </w:rPr>
            </w:pPr>
          </w:p>
        </w:tc>
        <w:tc>
          <w:tcPr>
            <w:tcW w:w="3680" w:type="dxa"/>
            <w:vAlign w:val="bottom"/>
          </w:tcPr>
          <w:p>
            <w:pPr>
              <w:spacing w:after="0" w:line="194" w:lineRule="exact"/>
              <w:rPr>
                <w:sz w:val="20"/>
                <w:szCs w:val="20"/>
                <w:color w:val="auto"/>
              </w:rPr>
            </w:pPr>
            <w:r>
              <w:rPr>
                <w:rFonts w:ascii="Arial" w:cs="Arial" w:eastAsia="Arial" w:hAnsi="Arial"/>
                <w:sz w:val="17"/>
                <w:szCs w:val="17"/>
                <w:color w:val="auto"/>
              </w:rPr>
              <w:t>069455137</w:t>
            </w:r>
          </w:p>
        </w:tc>
        <w:tc>
          <w:tcPr>
            <w:tcW w:w="200" w:type="dxa"/>
            <w:vAlign w:val="bottom"/>
          </w:tcPr>
          <w:p>
            <w:pPr>
              <w:spacing w:after="0"/>
              <w:rPr>
                <w:sz w:val="16"/>
                <w:szCs w:val="16"/>
                <w:color w:val="auto"/>
              </w:rPr>
            </w:pPr>
          </w:p>
        </w:tc>
        <w:tc>
          <w:tcPr>
            <w:tcW w:w="3540" w:type="dxa"/>
            <w:vAlign w:val="bottom"/>
          </w:tcPr>
          <w:p>
            <w:pPr>
              <w:spacing w:after="0" w:line="194" w:lineRule="exact"/>
              <w:rPr>
                <w:sz w:val="20"/>
                <w:szCs w:val="20"/>
                <w:color w:val="auto"/>
              </w:rPr>
            </w:pPr>
            <w:r>
              <w:rPr>
                <w:rFonts w:ascii="Arial" w:cs="Arial" w:eastAsia="Arial" w:hAnsi="Arial"/>
                <w:sz w:val="17"/>
                <w:szCs w:val="17"/>
                <w:color w:val="auto"/>
              </w:rPr>
              <w:t>/s/ Morris Laster</w:t>
            </w:r>
          </w:p>
        </w:tc>
      </w:tr>
      <w:tr>
        <w:trPr>
          <w:trHeight w:val="217"/>
        </w:trPr>
        <w:tc>
          <w:tcPr>
            <w:tcW w:w="3560" w:type="dxa"/>
            <w:vAlign w:val="bottom"/>
          </w:tcPr>
          <w:p>
            <w:pPr>
              <w:spacing w:after="0"/>
              <w:rPr>
                <w:sz w:val="20"/>
                <w:szCs w:val="20"/>
                <w:color w:val="auto"/>
              </w:rPr>
            </w:pPr>
            <w:r>
              <w:rPr>
                <w:rFonts w:ascii="Arial" w:cs="Arial" w:eastAsia="Arial" w:hAnsi="Arial"/>
                <w:sz w:val="17"/>
                <w:szCs w:val="17"/>
                <w:color w:val="auto"/>
              </w:rPr>
              <w:t>Yuri Shoshan</w:t>
            </w:r>
          </w:p>
        </w:tc>
        <w:tc>
          <w:tcPr>
            <w:tcW w:w="3900" w:type="dxa"/>
            <w:vAlign w:val="bottom"/>
            <w:gridSpan w:val="2"/>
          </w:tcPr>
          <w:p>
            <w:pPr>
              <w:ind w:left="220"/>
              <w:spacing w:after="0"/>
              <w:rPr>
                <w:sz w:val="20"/>
                <w:szCs w:val="20"/>
                <w:color w:val="auto"/>
              </w:rPr>
            </w:pPr>
            <w:r>
              <w:rPr>
                <w:rFonts w:ascii="Arial" w:cs="Arial" w:eastAsia="Arial" w:hAnsi="Arial"/>
                <w:sz w:val="17"/>
                <w:szCs w:val="17"/>
                <w:color w:val="auto"/>
              </w:rPr>
              <w:t>321101347</w:t>
            </w:r>
          </w:p>
        </w:tc>
        <w:tc>
          <w:tcPr>
            <w:tcW w:w="2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/s/ Yuri Shoshan</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 Barry Levenfeld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Barry Levenfeld, attorney-at-law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388" w:name="page389"/>
    <w:bookmarkEnd w:id="388"/>
    <w:p>
      <w:pPr>
        <w:spacing w:after="0"/>
        <w:rPr>
          <w:sz w:val="20"/>
          <w:szCs w:val="20"/>
          <w:color w:val="auto"/>
        </w:rPr>
      </w:pPr>
      <w:r>
        <w:rPr>
          <w:rFonts w:ascii="Arial" w:cs="Arial" w:eastAsia="Arial" w:hAnsi="Arial"/>
          <w:sz w:val="21"/>
          <w:szCs w:val="21"/>
          <w:b w:val="1"/>
          <w:bCs w:val="1"/>
          <w:color w:val="auto"/>
        </w:rPr>
        <w:t>Appendix A: Operating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 of the Chief Scientist, Technological Incubators Administration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Approved Chief Scientist Budget for an Incubator as a Pilot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Name of incubator: BioLine Innovations Jerusalem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Name of incubator corporation: File No.: 35583</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Implementation period (for six years): From Jan. 1, 2005 to Dec. 31, 2010–04–22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 w:type="dxa"/>
            <w:vAlign w:val="bottom"/>
            <w:shd w:val="clear" w:color="auto" w:fill="CCFFCC"/>
          </w:tcPr>
          <w:p>
            <w:pPr>
              <w:spacing w:after="0"/>
              <w:rPr>
                <w:sz w:val="20"/>
                <w:szCs w:val="20"/>
                <w:color w:val="auto"/>
              </w:rPr>
            </w:pPr>
            <w:r>
              <w:rPr>
                <w:rFonts w:ascii="Arial" w:cs="Arial" w:eastAsia="Arial" w:hAnsi="Arial"/>
                <w:sz w:val="10"/>
                <w:szCs w:val="10"/>
                <w:color w:val="auto"/>
              </w:rPr>
              <w:t>A</w:t>
            </w:r>
          </w:p>
        </w:tc>
        <w:tc>
          <w:tcPr>
            <w:tcW w:w="1100" w:type="dxa"/>
            <w:vAlign w:val="bottom"/>
            <w:shd w:val="clear" w:color="auto" w:fill="CCFFCC"/>
          </w:tcPr>
          <w:p>
            <w:pPr>
              <w:ind w:left="140"/>
              <w:spacing w:after="0"/>
              <w:rPr>
                <w:sz w:val="20"/>
                <w:szCs w:val="20"/>
                <w:color w:val="auto"/>
              </w:rPr>
            </w:pPr>
            <w:r>
              <w:rPr>
                <w:rFonts w:ascii="Arial" w:cs="Arial" w:eastAsia="Arial" w:hAnsi="Arial"/>
                <w:sz w:val="10"/>
                <w:szCs w:val="10"/>
                <w:color w:val="auto"/>
              </w:rPr>
              <w:t>Personnel costs</w:t>
            </w: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60" w:type="dxa"/>
            <w:vAlign w:val="bottom"/>
            <w:shd w:val="clear" w:color="auto" w:fill="CCFFCC"/>
          </w:tcPr>
          <w:p>
            <w:pPr>
              <w:ind w:left="660"/>
              <w:spacing w:after="0"/>
              <w:rPr>
                <w:sz w:val="20"/>
                <w:szCs w:val="20"/>
                <w:color w:val="auto"/>
              </w:rPr>
            </w:pPr>
            <w:r>
              <w:rPr>
                <w:rFonts w:ascii="Arial" w:cs="Arial" w:eastAsia="Arial" w:hAnsi="Arial"/>
                <w:sz w:val="10"/>
                <w:szCs w:val="10"/>
                <w:color w:val="auto"/>
              </w:rPr>
              <w:t>Total</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Total</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Total</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Total</w:t>
            </w:r>
          </w:p>
        </w:tc>
        <w:tc>
          <w:tcPr>
            <w:tcW w:w="540" w:type="dxa"/>
            <w:vAlign w:val="bottom"/>
            <w:shd w:val="clear" w:color="auto" w:fill="CCFFCC"/>
          </w:tcPr>
          <w:p>
            <w:pPr>
              <w:ind w:left="160"/>
              <w:spacing w:after="0"/>
              <w:rPr>
                <w:sz w:val="20"/>
                <w:szCs w:val="20"/>
                <w:color w:val="auto"/>
              </w:rPr>
            </w:pPr>
            <w:r>
              <w:rPr>
                <w:rFonts w:ascii="Arial" w:cs="Arial" w:eastAsia="Arial" w:hAnsi="Arial"/>
                <w:sz w:val="10"/>
                <w:szCs w:val="10"/>
                <w:color w:val="auto"/>
              </w:rPr>
              <w:t>Total</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Total</w:t>
            </w:r>
          </w:p>
        </w:tc>
        <w:tc>
          <w:tcPr>
            <w:tcW w:w="720" w:type="dxa"/>
            <w:vAlign w:val="bottom"/>
            <w:shd w:val="clear" w:color="auto" w:fill="CCFFCC"/>
          </w:tcPr>
          <w:p>
            <w:pPr>
              <w:ind w:left="180"/>
              <w:spacing w:after="0"/>
              <w:rPr>
                <w:sz w:val="20"/>
                <w:szCs w:val="20"/>
                <w:color w:val="auto"/>
              </w:rPr>
            </w:pPr>
            <w:r>
              <w:rPr>
                <w:rFonts w:ascii="Arial" w:cs="Arial" w:eastAsia="Arial" w:hAnsi="Arial"/>
                <w:sz w:val="10"/>
                <w:szCs w:val="10"/>
                <w:color w:val="auto"/>
              </w:rPr>
              <w:t>Total</w:t>
            </w:r>
          </w:p>
        </w:tc>
      </w:tr>
      <w:tr>
        <w:trPr>
          <w:trHeight w:val="116"/>
        </w:trPr>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60" w:type="dxa"/>
            <w:vAlign w:val="bottom"/>
            <w:shd w:val="clear" w:color="auto" w:fill="CCFFCC"/>
          </w:tcPr>
          <w:p>
            <w:pPr>
              <w:ind w:left="660"/>
              <w:spacing w:after="0"/>
              <w:rPr>
                <w:sz w:val="20"/>
                <w:szCs w:val="20"/>
                <w:color w:val="auto"/>
              </w:rPr>
            </w:pPr>
            <w:r>
              <w:rPr>
                <w:rFonts w:ascii="Arial" w:cs="Arial" w:eastAsia="Arial" w:hAnsi="Arial"/>
                <w:sz w:val="10"/>
                <w:szCs w:val="10"/>
                <w:color w:val="auto"/>
              </w:rPr>
              <w:t>cost,</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cost,</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cost,</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cost,</w:t>
            </w:r>
          </w:p>
        </w:tc>
        <w:tc>
          <w:tcPr>
            <w:tcW w:w="540" w:type="dxa"/>
            <w:vAlign w:val="bottom"/>
            <w:shd w:val="clear" w:color="auto" w:fill="CCFFCC"/>
          </w:tcPr>
          <w:p>
            <w:pPr>
              <w:ind w:left="160"/>
              <w:spacing w:after="0"/>
              <w:rPr>
                <w:sz w:val="20"/>
                <w:szCs w:val="20"/>
                <w:color w:val="auto"/>
              </w:rPr>
            </w:pPr>
            <w:r>
              <w:rPr>
                <w:rFonts w:ascii="Arial" w:cs="Arial" w:eastAsia="Arial" w:hAnsi="Arial"/>
                <w:sz w:val="10"/>
                <w:szCs w:val="10"/>
                <w:color w:val="auto"/>
              </w:rPr>
              <w:t>cost,</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cost,</w:t>
            </w:r>
          </w:p>
        </w:tc>
        <w:tc>
          <w:tcPr>
            <w:tcW w:w="720" w:type="dxa"/>
            <w:vAlign w:val="bottom"/>
            <w:shd w:val="clear" w:color="auto" w:fill="CCFFCC"/>
          </w:tcPr>
          <w:p>
            <w:pPr>
              <w:ind w:left="180"/>
              <w:spacing w:after="0"/>
              <w:rPr>
                <w:sz w:val="20"/>
                <w:szCs w:val="20"/>
                <w:color w:val="auto"/>
              </w:rPr>
            </w:pPr>
            <w:r>
              <w:rPr>
                <w:rFonts w:ascii="Arial" w:cs="Arial" w:eastAsia="Arial" w:hAnsi="Arial"/>
                <w:sz w:val="10"/>
                <w:szCs w:val="10"/>
                <w:color w:val="auto"/>
              </w:rPr>
              <w:t>Budget</w:t>
            </w:r>
          </w:p>
        </w:tc>
      </w:tr>
      <w:tr>
        <w:trPr>
          <w:trHeight w:val="116"/>
        </w:trPr>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60" w:type="dxa"/>
            <w:vAlign w:val="bottom"/>
            <w:shd w:val="clear" w:color="auto" w:fill="CCFFCC"/>
          </w:tcPr>
          <w:p>
            <w:pPr>
              <w:ind w:left="660"/>
              <w:spacing w:after="0"/>
              <w:rPr>
                <w:sz w:val="20"/>
                <w:szCs w:val="20"/>
                <w:color w:val="auto"/>
              </w:rPr>
            </w:pPr>
            <w:r>
              <w:rPr>
                <w:rFonts w:ascii="Arial" w:cs="Arial" w:eastAsia="Arial" w:hAnsi="Arial"/>
                <w:sz w:val="10"/>
                <w:szCs w:val="10"/>
                <w:color w:val="auto"/>
              </w:rPr>
              <w:t>first</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2nd</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3rd</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4th</w:t>
            </w:r>
          </w:p>
        </w:tc>
        <w:tc>
          <w:tcPr>
            <w:tcW w:w="540" w:type="dxa"/>
            <w:vAlign w:val="bottom"/>
            <w:shd w:val="clear" w:color="auto" w:fill="CCFFCC"/>
          </w:tcPr>
          <w:p>
            <w:pPr>
              <w:ind w:left="160"/>
              <w:spacing w:after="0"/>
              <w:rPr>
                <w:sz w:val="20"/>
                <w:szCs w:val="20"/>
                <w:color w:val="auto"/>
              </w:rPr>
            </w:pPr>
            <w:r>
              <w:rPr>
                <w:rFonts w:ascii="Arial" w:cs="Arial" w:eastAsia="Arial" w:hAnsi="Arial"/>
                <w:sz w:val="10"/>
                <w:szCs w:val="10"/>
                <w:color w:val="auto"/>
              </w:rPr>
              <w:t>5th</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6th</w:t>
            </w:r>
          </w:p>
        </w:tc>
        <w:tc>
          <w:tcPr>
            <w:tcW w:w="720" w:type="dxa"/>
            <w:vAlign w:val="bottom"/>
            <w:shd w:val="clear" w:color="auto" w:fill="CCFFCC"/>
          </w:tcPr>
          <w:p>
            <w:pPr>
              <w:ind w:left="180"/>
              <w:spacing w:after="0"/>
              <w:rPr>
                <w:sz w:val="20"/>
                <w:szCs w:val="20"/>
                <w:color w:val="auto"/>
              </w:rPr>
            </w:pPr>
            <w:r>
              <w:rPr>
                <w:rFonts w:ascii="Arial" w:cs="Arial" w:eastAsia="Arial" w:hAnsi="Arial"/>
                <w:sz w:val="10"/>
                <w:szCs w:val="10"/>
                <w:color w:val="auto"/>
              </w:rPr>
              <w:t>for 6</w:t>
            </w:r>
          </w:p>
        </w:tc>
      </w:tr>
      <w:tr>
        <w:trPr>
          <w:trHeight w:val="125"/>
        </w:trPr>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60" w:type="dxa"/>
            <w:vAlign w:val="bottom"/>
            <w:shd w:val="clear" w:color="auto" w:fill="CCFFCC"/>
          </w:tcPr>
          <w:p>
            <w:pPr>
              <w:ind w:left="660"/>
              <w:spacing w:after="0"/>
              <w:rPr>
                <w:sz w:val="20"/>
                <w:szCs w:val="20"/>
                <w:color w:val="auto"/>
              </w:rPr>
            </w:pPr>
            <w:r>
              <w:rPr>
                <w:rFonts w:ascii="Arial" w:cs="Arial" w:eastAsia="Arial" w:hAnsi="Arial"/>
                <w:sz w:val="10"/>
                <w:szCs w:val="10"/>
                <w:color w:val="auto"/>
              </w:rPr>
              <w:t>year</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year</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year</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year</w:t>
            </w:r>
          </w:p>
        </w:tc>
        <w:tc>
          <w:tcPr>
            <w:tcW w:w="540" w:type="dxa"/>
            <w:vAlign w:val="bottom"/>
            <w:shd w:val="clear" w:color="auto" w:fill="CCFFCC"/>
          </w:tcPr>
          <w:p>
            <w:pPr>
              <w:ind w:left="160"/>
              <w:spacing w:after="0"/>
              <w:rPr>
                <w:sz w:val="20"/>
                <w:szCs w:val="20"/>
                <w:color w:val="auto"/>
              </w:rPr>
            </w:pPr>
            <w:r>
              <w:rPr>
                <w:rFonts w:ascii="Arial" w:cs="Arial" w:eastAsia="Arial" w:hAnsi="Arial"/>
                <w:sz w:val="10"/>
                <w:szCs w:val="10"/>
                <w:color w:val="auto"/>
              </w:rPr>
              <w:t>year</w:t>
            </w:r>
          </w:p>
        </w:tc>
        <w:tc>
          <w:tcPr>
            <w:tcW w:w="560" w:type="dxa"/>
            <w:vAlign w:val="bottom"/>
            <w:shd w:val="clear" w:color="auto" w:fill="CCFFCC"/>
          </w:tcPr>
          <w:p>
            <w:pPr>
              <w:ind w:left="180"/>
              <w:spacing w:after="0"/>
              <w:rPr>
                <w:sz w:val="20"/>
                <w:szCs w:val="20"/>
                <w:color w:val="auto"/>
              </w:rPr>
            </w:pPr>
            <w:r>
              <w:rPr>
                <w:rFonts w:ascii="Arial" w:cs="Arial" w:eastAsia="Arial" w:hAnsi="Arial"/>
                <w:sz w:val="10"/>
                <w:szCs w:val="10"/>
                <w:color w:val="auto"/>
              </w:rPr>
              <w:t>year</w:t>
            </w:r>
          </w:p>
        </w:tc>
        <w:tc>
          <w:tcPr>
            <w:tcW w:w="720" w:type="dxa"/>
            <w:vAlign w:val="bottom"/>
            <w:shd w:val="clear" w:color="auto" w:fill="CCFFCC"/>
          </w:tcPr>
          <w:p>
            <w:pPr>
              <w:ind w:left="180"/>
              <w:spacing w:after="0"/>
              <w:rPr>
                <w:sz w:val="20"/>
                <w:szCs w:val="20"/>
                <w:color w:val="auto"/>
              </w:rPr>
            </w:pPr>
            <w:r>
              <w:rPr>
                <w:rFonts w:ascii="Arial" w:cs="Arial" w:eastAsia="Arial" w:hAnsi="Arial"/>
                <w:sz w:val="10"/>
                <w:szCs w:val="10"/>
                <w:color w:val="auto"/>
              </w:rPr>
              <w:t>years</w:t>
            </w:r>
          </w:p>
        </w:tc>
      </w:tr>
      <w:tr>
        <w:trPr>
          <w:trHeight w:val="106"/>
        </w:trPr>
        <w:tc>
          <w:tcPr>
            <w:tcW w:w="220" w:type="dxa"/>
            <w:vAlign w:val="bottom"/>
          </w:tcPr>
          <w:p>
            <w:pPr>
              <w:spacing w:after="0"/>
              <w:rPr>
                <w:sz w:val="9"/>
                <w:szCs w:val="9"/>
                <w:color w:val="auto"/>
              </w:rPr>
            </w:pPr>
          </w:p>
        </w:tc>
        <w:tc>
          <w:tcPr>
            <w:tcW w:w="1100" w:type="dxa"/>
            <w:vAlign w:val="bottom"/>
          </w:tcPr>
          <w:p>
            <w:pPr>
              <w:ind w:left="140"/>
              <w:spacing w:after="0" w:line="106" w:lineRule="exact"/>
              <w:rPr>
                <w:sz w:val="20"/>
                <w:szCs w:val="20"/>
                <w:color w:val="auto"/>
              </w:rPr>
            </w:pPr>
            <w:r>
              <w:rPr>
                <w:rFonts w:ascii="Arial" w:cs="Arial" w:eastAsia="Arial" w:hAnsi="Arial"/>
                <w:sz w:val="10"/>
                <w:szCs w:val="10"/>
                <w:color w:val="auto"/>
              </w:rPr>
              <w:t>Surname</w:t>
            </w:r>
          </w:p>
        </w:tc>
        <w:tc>
          <w:tcPr>
            <w:tcW w:w="660" w:type="dxa"/>
            <w:vAlign w:val="bottom"/>
          </w:tcPr>
          <w:p>
            <w:pPr>
              <w:ind w:left="80"/>
              <w:spacing w:after="0" w:line="106" w:lineRule="exact"/>
              <w:rPr>
                <w:sz w:val="20"/>
                <w:szCs w:val="20"/>
                <w:color w:val="auto"/>
              </w:rPr>
            </w:pPr>
            <w:r>
              <w:rPr>
                <w:rFonts w:ascii="Arial" w:cs="Arial" w:eastAsia="Arial" w:hAnsi="Arial"/>
                <w:sz w:val="10"/>
                <w:szCs w:val="10"/>
                <w:color w:val="auto"/>
              </w:rPr>
              <w:t>Given</w:t>
            </w:r>
          </w:p>
        </w:tc>
        <w:tc>
          <w:tcPr>
            <w:tcW w:w="920" w:type="dxa"/>
            <w:vAlign w:val="bottom"/>
          </w:tcPr>
          <w:p>
            <w:pPr>
              <w:ind w:left="220"/>
              <w:spacing w:after="0" w:line="106" w:lineRule="exact"/>
              <w:rPr>
                <w:sz w:val="20"/>
                <w:szCs w:val="20"/>
                <w:color w:val="auto"/>
              </w:rPr>
            </w:pPr>
            <w:r>
              <w:rPr>
                <w:rFonts w:ascii="Arial" w:cs="Arial" w:eastAsia="Arial" w:hAnsi="Arial"/>
                <w:sz w:val="10"/>
                <w:szCs w:val="10"/>
                <w:color w:val="auto"/>
              </w:rPr>
              <w:t>Position</w:t>
            </w:r>
          </w:p>
        </w:tc>
        <w:tc>
          <w:tcPr>
            <w:tcW w:w="1040" w:type="dxa"/>
            <w:vAlign w:val="bottom"/>
          </w:tcPr>
          <w:p>
            <w:pPr>
              <w:ind w:left="120"/>
              <w:spacing w:after="0" w:line="106" w:lineRule="exact"/>
              <w:rPr>
                <w:sz w:val="20"/>
                <w:szCs w:val="20"/>
                <w:color w:val="auto"/>
              </w:rPr>
            </w:pPr>
            <w:r>
              <w:rPr>
                <w:rFonts w:ascii="Arial" w:cs="Arial" w:eastAsia="Arial" w:hAnsi="Arial"/>
                <w:sz w:val="10"/>
                <w:szCs w:val="10"/>
                <w:color w:val="auto"/>
              </w:rPr>
              <w:t>NIS per   FTE (%)</w:t>
            </w:r>
          </w:p>
        </w:tc>
        <w:tc>
          <w:tcPr>
            <w:tcW w:w="600" w:type="dxa"/>
            <w:vAlign w:val="bottom"/>
          </w:tcPr>
          <w:p>
            <w:pPr>
              <w:ind w:left="120"/>
              <w:spacing w:after="0" w:line="106" w:lineRule="exact"/>
              <w:rPr>
                <w:sz w:val="20"/>
                <w:szCs w:val="20"/>
                <w:color w:val="auto"/>
              </w:rPr>
            </w:pPr>
            <w:r>
              <w:rPr>
                <w:rFonts w:ascii="Arial" w:cs="Arial" w:eastAsia="Arial" w:hAnsi="Arial"/>
                <w:sz w:val="10"/>
                <w:szCs w:val="10"/>
                <w:color w:val="auto"/>
              </w:rPr>
              <w:t>Months</w:t>
            </w:r>
          </w:p>
        </w:tc>
        <w:tc>
          <w:tcPr>
            <w:tcW w:w="580" w:type="dxa"/>
            <w:vAlign w:val="bottom"/>
          </w:tcPr>
          <w:p>
            <w:pPr>
              <w:ind w:left="100"/>
              <w:spacing w:after="0" w:line="106" w:lineRule="exact"/>
              <w:rPr>
                <w:sz w:val="20"/>
                <w:szCs w:val="20"/>
                <w:color w:val="auto"/>
              </w:rPr>
            </w:pPr>
            <w:r>
              <w:rPr>
                <w:rFonts w:ascii="Arial" w:cs="Arial" w:eastAsia="Arial" w:hAnsi="Arial"/>
                <w:sz w:val="10"/>
                <w:szCs w:val="10"/>
                <w:color w:val="auto"/>
              </w:rPr>
              <w:t>Months</w:t>
            </w:r>
          </w:p>
        </w:tc>
        <w:tc>
          <w:tcPr>
            <w:tcW w:w="580" w:type="dxa"/>
            <w:vAlign w:val="bottom"/>
          </w:tcPr>
          <w:p>
            <w:pPr>
              <w:ind w:left="100"/>
              <w:spacing w:after="0" w:line="106" w:lineRule="exact"/>
              <w:rPr>
                <w:sz w:val="20"/>
                <w:szCs w:val="20"/>
                <w:color w:val="auto"/>
              </w:rPr>
            </w:pPr>
            <w:r>
              <w:rPr>
                <w:rFonts w:ascii="Arial" w:cs="Arial" w:eastAsia="Arial" w:hAnsi="Arial"/>
                <w:sz w:val="10"/>
                <w:szCs w:val="10"/>
                <w:color w:val="auto"/>
              </w:rPr>
              <w:t>Months</w:t>
            </w:r>
          </w:p>
        </w:tc>
        <w:tc>
          <w:tcPr>
            <w:tcW w:w="580" w:type="dxa"/>
            <w:vAlign w:val="bottom"/>
          </w:tcPr>
          <w:p>
            <w:pPr>
              <w:ind w:left="100"/>
              <w:spacing w:after="0" w:line="106" w:lineRule="exact"/>
              <w:rPr>
                <w:sz w:val="20"/>
                <w:szCs w:val="20"/>
                <w:color w:val="auto"/>
              </w:rPr>
            </w:pPr>
            <w:r>
              <w:rPr>
                <w:rFonts w:ascii="Arial" w:cs="Arial" w:eastAsia="Arial" w:hAnsi="Arial"/>
                <w:sz w:val="10"/>
                <w:szCs w:val="10"/>
                <w:color w:val="auto"/>
              </w:rPr>
              <w:t>Months</w:t>
            </w:r>
          </w:p>
        </w:tc>
        <w:tc>
          <w:tcPr>
            <w:tcW w:w="580" w:type="dxa"/>
            <w:vAlign w:val="bottom"/>
          </w:tcPr>
          <w:p>
            <w:pPr>
              <w:ind w:left="100"/>
              <w:spacing w:after="0" w:line="106" w:lineRule="exact"/>
              <w:rPr>
                <w:sz w:val="20"/>
                <w:szCs w:val="20"/>
                <w:color w:val="auto"/>
              </w:rPr>
            </w:pPr>
            <w:r>
              <w:rPr>
                <w:rFonts w:ascii="Arial" w:cs="Arial" w:eastAsia="Arial" w:hAnsi="Arial"/>
                <w:sz w:val="10"/>
                <w:szCs w:val="10"/>
                <w:color w:val="auto"/>
              </w:rPr>
              <w:t>Months</w:t>
            </w:r>
          </w:p>
        </w:tc>
        <w:tc>
          <w:tcPr>
            <w:tcW w:w="1060" w:type="dxa"/>
            <w:vAlign w:val="bottom"/>
          </w:tcPr>
          <w:p>
            <w:pPr>
              <w:ind w:left="80"/>
              <w:spacing w:after="0" w:line="106" w:lineRule="exact"/>
              <w:rPr>
                <w:sz w:val="20"/>
                <w:szCs w:val="20"/>
                <w:color w:val="auto"/>
              </w:rPr>
            </w:pPr>
            <w:r>
              <w:rPr>
                <w:rFonts w:ascii="Arial" w:cs="Arial" w:eastAsia="Arial" w:hAnsi="Arial"/>
                <w:sz w:val="10"/>
                <w:szCs w:val="10"/>
                <w:color w:val="auto"/>
              </w:rPr>
              <w:t>Months</w:t>
            </w: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16"/>
        </w:trPr>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0"/>
                <w:szCs w:val="10"/>
                <w:color w:val="auto"/>
              </w:rPr>
              <w:t>name</w:t>
            </w:r>
          </w:p>
        </w:tc>
        <w:tc>
          <w:tcPr>
            <w:tcW w:w="920" w:type="dxa"/>
            <w:vAlign w:val="bottom"/>
          </w:tcPr>
          <w:p>
            <w:pPr>
              <w:spacing w:after="0"/>
              <w:rPr>
                <w:sz w:val="10"/>
                <w:szCs w:val="10"/>
                <w:color w:val="auto"/>
              </w:rPr>
            </w:pPr>
          </w:p>
        </w:tc>
        <w:tc>
          <w:tcPr>
            <w:tcW w:w="1040" w:type="dxa"/>
            <w:vAlign w:val="bottom"/>
          </w:tcPr>
          <w:p>
            <w:pPr>
              <w:ind w:left="120"/>
              <w:spacing w:after="0"/>
              <w:rPr>
                <w:sz w:val="20"/>
                <w:szCs w:val="20"/>
                <w:color w:val="auto"/>
              </w:rPr>
            </w:pPr>
            <w:r>
              <w:rPr>
                <w:rFonts w:ascii="Arial" w:cs="Arial" w:eastAsia="Arial" w:hAnsi="Arial"/>
                <w:sz w:val="10"/>
                <w:szCs w:val="10"/>
                <w:color w:val="auto"/>
              </w:rPr>
              <w:t>month</w:t>
            </w:r>
          </w:p>
        </w:tc>
        <w:tc>
          <w:tcPr>
            <w:tcW w:w="600" w:type="dxa"/>
            <w:vAlign w:val="bottom"/>
          </w:tcPr>
          <w:p>
            <w:pPr>
              <w:ind w:left="120"/>
              <w:spacing w:after="0"/>
              <w:rPr>
                <w:sz w:val="20"/>
                <w:szCs w:val="20"/>
                <w:color w:val="auto"/>
              </w:rPr>
            </w:pPr>
            <w:r>
              <w:rPr>
                <w:rFonts w:ascii="Arial" w:cs="Arial" w:eastAsia="Arial" w:hAnsi="Arial"/>
                <w:sz w:val="10"/>
                <w:szCs w:val="10"/>
                <w:color w:val="auto"/>
              </w:rPr>
              <w:t>employed</w:t>
            </w:r>
          </w:p>
        </w:tc>
        <w:tc>
          <w:tcPr>
            <w:tcW w:w="580" w:type="dxa"/>
            <w:vAlign w:val="bottom"/>
          </w:tcPr>
          <w:p>
            <w:pPr>
              <w:ind w:left="100"/>
              <w:spacing w:after="0"/>
              <w:rPr>
                <w:sz w:val="20"/>
                <w:szCs w:val="20"/>
                <w:color w:val="auto"/>
              </w:rPr>
            </w:pPr>
            <w:r>
              <w:rPr>
                <w:rFonts w:ascii="Arial" w:cs="Arial" w:eastAsia="Arial" w:hAnsi="Arial"/>
                <w:sz w:val="10"/>
                <w:szCs w:val="10"/>
                <w:color w:val="auto"/>
              </w:rPr>
              <w:t>employed</w:t>
            </w:r>
          </w:p>
        </w:tc>
        <w:tc>
          <w:tcPr>
            <w:tcW w:w="580" w:type="dxa"/>
            <w:vAlign w:val="bottom"/>
          </w:tcPr>
          <w:p>
            <w:pPr>
              <w:ind w:left="100"/>
              <w:spacing w:after="0"/>
              <w:rPr>
                <w:sz w:val="20"/>
                <w:szCs w:val="20"/>
                <w:color w:val="auto"/>
              </w:rPr>
            </w:pPr>
            <w:r>
              <w:rPr>
                <w:rFonts w:ascii="Arial" w:cs="Arial" w:eastAsia="Arial" w:hAnsi="Arial"/>
                <w:sz w:val="10"/>
                <w:szCs w:val="10"/>
                <w:color w:val="auto"/>
              </w:rPr>
              <w:t>employed</w:t>
            </w:r>
          </w:p>
        </w:tc>
        <w:tc>
          <w:tcPr>
            <w:tcW w:w="580" w:type="dxa"/>
            <w:vAlign w:val="bottom"/>
          </w:tcPr>
          <w:p>
            <w:pPr>
              <w:ind w:left="100"/>
              <w:spacing w:after="0"/>
              <w:rPr>
                <w:sz w:val="20"/>
                <w:szCs w:val="20"/>
                <w:color w:val="auto"/>
              </w:rPr>
            </w:pPr>
            <w:r>
              <w:rPr>
                <w:rFonts w:ascii="Arial" w:cs="Arial" w:eastAsia="Arial" w:hAnsi="Arial"/>
                <w:sz w:val="10"/>
                <w:szCs w:val="10"/>
                <w:color w:val="auto"/>
              </w:rPr>
              <w:t>employed</w:t>
            </w:r>
          </w:p>
        </w:tc>
        <w:tc>
          <w:tcPr>
            <w:tcW w:w="580" w:type="dxa"/>
            <w:vAlign w:val="bottom"/>
          </w:tcPr>
          <w:p>
            <w:pPr>
              <w:ind w:left="100"/>
              <w:spacing w:after="0"/>
              <w:rPr>
                <w:sz w:val="20"/>
                <w:szCs w:val="20"/>
                <w:color w:val="auto"/>
              </w:rPr>
            </w:pPr>
            <w:r>
              <w:rPr>
                <w:rFonts w:ascii="Arial" w:cs="Arial" w:eastAsia="Arial" w:hAnsi="Arial"/>
                <w:sz w:val="10"/>
                <w:szCs w:val="10"/>
                <w:color w:val="auto"/>
              </w:rPr>
              <w:t>employed</w:t>
            </w:r>
          </w:p>
        </w:tc>
        <w:tc>
          <w:tcPr>
            <w:tcW w:w="1060" w:type="dxa"/>
            <w:vAlign w:val="bottom"/>
          </w:tcPr>
          <w:p>
            <w:pPr>
              <w:ind w:left="80"/>
              <w:spacing w:after="0"/>
              <w:rPr>
                <w:sz w:val="20"/>
                <w:szCs w:val="20"/>
                <w:color w:val="auto"/>
              </w:rPr>
            </w:pPr>
            <w:r>
              <w:rPr>
                <w:rFonts w:ascii="Arial" w:cs="Arial" w:eastAsia="Arial" w:hAnsi="Arial"/>
                <w:sz w:val="10"/>
                <w:szCs w:val="10"/>
                <w:color w:val="auto"/>
              </w:rPr>
              <w:t>employed</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5"/>
        </w:trPr>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ind w:left="120"/>
              <w:spacing w:after="0" w:line="125" w:lineRule="exact"/>
              <w:rPr>
                <w:sz w:val="20"/>
                <w:szCs w:val="20"/>
                <w:color w:val="auto"/>
              </w:rPr>
            </w:pPr>
            <w:r>
              <w:rPr>
                <w:rFonts w:ascii="Arial" w:cs="Arial" w:eastAsia="Arial" w:hAnsi="Arial"/>
                <w:sz w:val="10"/>
                <w:szCs w:val="10"/>
                <w:color w:val="auto"/>
              </w:rPr>
              <w:t>(1</w:t>
            </w:r>
            <w:r>
              <w:rPr>
                <w:rFonts w:ascii="Arial" w:cs="Arial" w:eastAsia="Arial" w:hAnsi="Arial"/>
                <w:sz w:val="14"/>
                <w:szCs w:val="14"/>
                <w:color w:val="auto"/>
                <w:vertAlign w:val="superscript"/>
              </w:rPr>
              <w:t>st</w:t>
            </w:r>
            <w:r>
              <w:rPr>
                <w:rFonts w:ascii="Arial" w:cs="Arial" w:eastAsia="Arial" w:hAnsi="Arial"/>
                <w:sz w:val="10"/>
                <w:szCs w:val="10"/>
                <w:color w:val="auto"/>
              </w:rPr>
              <w:t xml:space="preserve"> year)</w:t>
            </w:r>
          </w:p>
        </w:tc>
        <w:tc>
          <w:tcPr>
            <w:tcW w:w="580" w:type="dxa"/>
            <w:vAlign w:val="bottom"/>
          </w:tcPr>
          <w:p>
            <w:pPr>
              <w:ind w:left="100"/>
              <w:spacing w:after="0" w:line="125" w:lineRule="exact"/>
              <w:rPr>
                <w:sz w:val="20"/>
                <w:szCs w:val="20"/>
                <w:color w:val="auto"/>
              </w:rPr>
            </w:pPr>
            <w:r>
              <w:rPr>
                <w:rFonts w:ascii="Arial" w:cs="Arial" w:eastAsia="Arial" w:hAnsi="Arial"/>
                <w:sz w:val="10"/>
                <w:szCs w:val="10"/>
                <w:color w:val="auto"/>
              </w:rPr>
              <w:t>(2</w:t>
            </w:r>
            <w:r>
              <w:rPr>
                <w:rFonts w:ascii="Arial" w:cs="Arial" w:eastAsia="Arial" w:hAnsi="Arial"/>
                <w:sz w:val="14"/>
                <w:szCs w:val="14"/>
                <w:color w:val="auto"/>
                <w:vertAlign w:val="superscript"/>
              </w:rPr>
              <w:t>nd</w:t>
            </w:r>
            <w:r>
              <w:rPr>
                <w:rFonts w:ascii="Arial" w:cs="Arial" w:eastAsia="Arial" w:hAnsi="Arial"/>
                <w:sz w:val="10"/>
                <w:szCs w:val="10"/>
                <w:color w:val="auto"/>
              </w:rPr>
              <w:t xml:space="preserve"> year)</w:t>
            </w:r>
          </w:p>
        </w:tc>
        <w:tc>
          <w:tcPr>
            <w:tcW w:w="580" w:type="dxa"/>
            <w:vAlign w:val="bottom"/>
          </w:tcPr>
          <w:p>
            <w:pPr>
              <w:ind w:left="100"/>
              <w:spacing w:after="0" w:line="125" w:lineRule="exact"/>
              <w:rPr>
                <w:sz w:val="20"/>
                <w:szCs w:val="20"/>
                <w:color w:val="auto"/>
              </w:rPr>
            </w:pPr>
            <w:r>
              <w:rPr>
                <w:rFonts w:ascii="Arial" w:cs="Arial" w:eastAsia="Arial" w:hAnsi="Arial"/>
                <w:sz w:val="10"/>
                <w:szCs w:val="10"/>
                <w:color w:val="auto"/>
              </w:rPr>
              <w:t>(3</w:t>
            </w:r>
            <w:r>
              <w:rPr>
                <w:rFonts w:ascii="Arial" w:cs="Arial" w:eastAsia="Arial" w:hAnsi="Arial"/>
                <w:sz w:val="14"/>
                <w:szCs w:val="14"/>
                <w:color w:val="auto"/>
                <w:vertAlign w:val="superscript"/>
              </w:rPr>
              <w:t>rd</w:t>
            </w:r>
            <w:r>
              <w:rPr>
                <w:rFonts w:ascii="Arial" w:cs="Arial" w:eastAsia="Arial" w:hAnsi="Arial"/>
                <w:sz w:val="10"/>
                <w:szCs w:val="10"/>
                <w:color w:val="auto"/>
              </w:rPr>
              <w:t xml:space="preserve"> year)</w:t>
            </w:r>
          </w:p>
        </w:tc>
        <w:tc>
          <w:tcPr>
            <w:tcW w:w="580" w:type="dxa"/>
            <w:vAlign w:val="bottom"/>
          </w:tcPr>
          <w:p>
            <w:pPr>
              <w:ind w:left="100"/>
              <w:spacing w:after="0" w:line="125" w:lineRule="exact"/>
              <w:rPr>
                <w:sz w:val="20"/>
                <w:szCs w:val="20"/>
                <w:color w:val="auto"/>
              </w:rPr>
            </w:pPr>
            <w:r>
              <w:rPr>
                <w:rFonts w:ascii="Arial" w:cs="Arial" w:eastAsia="Arial" w:hAnsi="Arial"/>
                <w:sz w:val="10"/>
                <w:szCs w:val="10"/>
                <w:color w:val="auto"/>
              </w:rPr>
              <w:t>(4</w:t>
            </w:r>
            <w:r>
              <w:rPr>
                <w:rFonts w:ascii="Arial" w:cs="Arial" w:eastAsia="Arial" w:hAnsi="Arial"/>
                <w:sz w:val="14"/>
                <w:szCs w:val="14"/>
                <w:color w:val="auto"/>
                <w:vertAlign w:val="superscript"/>
              </w:rPr>
              <w:t>th</w:t>
            </w:r>
            <w:r>
              <w:rPr>
                <w:rFonts w:ascii="Arial" w:cs="Arial" w:eastAsia="Arial" w:hAnsi="Arial"/>
                <w:sz w:val="10"/>
                <w:szCs w:val="10"/>
                <w:color w:val="auto"/>
              </w:rPr>
              <w:t xml:space="preserve"> year)</w:t>
            </w:r>
          </w:p>
        </w:tc>
        <w:tc>
          <w:tcPr>
            <w:tcW w:w="580" w:type="dxa"/>
            <w:vAlign w:val="bottom"/>
          </w:tcPr>
          <w:p>
            <w:pPr>
              <w:ind w:left="100"/>
              <w:spacing w:after="0" w:line="125" w:lineRule="exact"/>
              <w:rPr>
                <w:sz w:val="20"/>
                <w:szCs w:val="20"/>
                <w:color w:val="auto"/>
              </w:rPr>
            </w:pPr>
            <w:r>
              <w:rPr>
                <w:rFonts w:ascii="Arial" w:cs="Arial" w:eastAsia="Arial" w:hAnsi="Arial"/>
                <w:sz w:val="10"/>
                <w:szCs w:val="10"/>
                <w:color w:val="auto"/>
              </w:rPr>
              <w:t>(5</w:t>
            </w:r>
            <w:r>
              <w:rPr>
                <w:rFonts w:ascii="Arial" w:cs="Arial" w:eastAsia="Arial" w:hAnsi="Arial"/>
                <w:sz w:val="14"/>
                <w:szCs w:val="14"/>
                <w:color w:val="auto"/>
                <w:vertAlign w:val="superscript"/>
              </w:rPr>
              <w:t>th</w:t>
            </w:r>
            <w:r>
              <w:rPr>
                <w:rFonts w:ascii="Arial" w:cs="Arial" w:eastAsia="Arial" w:hAnsi="Arial"/>
                <w:sz w:val="10"/>
                <w:szCs w:val="10"/>
                <w:color w:val="auto"/>
              </w:rPr>
              <w:t xml:space="preserve"> year)</w:t>
            </w:r>
          </w:p>
        </w:tc>
        <w:tc>
          <w:tcPr>
            <w:tcW w:w="1060" w:type="dxa"/>
            <w:vAlign w:val="bottom"/>
          </w:tcPr>
          <w:p>
            <w:pPr>
              <w:ind w:left="80"/>
              <w:spacing w:after="0" w:line="125" w:lineRule="exact"/>
              <w:rPr>
                <w:sz w:val="20"/>
                <w:szCs w:val="20"/>
                <w:color w:val="auto"/>
              </w:rPr>
            </w:pPr>
            <w:r>
              <w:rPr>
                <w:rFonts w:ascii="Arial" w:cs="Arial" w:eastAsia="Arial" w:hAnsi="Arial"/>
                <w:sz w:val="10"/>
                <w:szCs w:val="10"/>
                <w:color w:val="auto"/>
              </w:rPr>
              <w:t>(6</w:t>
            </w:r>
            <w:r>
              <w:rPr>
                <w:rFonts w:ascii="Arial" w:cs="Arial" w:eastAsia="Arial" w:hAnsi="Arial"/>
                <w:sz w:val="14"/>
                <w:szCs w:val="14"/>
                <w:color w:val="auto"/>
                <w:vertAlign w:val="superscript"/>
              </w:rPr>
              <w:t>th</w:t>
            </w:r>
            <w:r>
              <w:rPr>
                <w:rFonts w:ascii="Arial" w:cs="Arial" w:eastAsia="Arial" w:hAnsi="Arial"/>
                <w:sz w:val="10"/>
                <w:szCs w:val="10"/>
                <w:color w:val="auto"/>
              </w:rPr>
              <w:t xml:space="preserve"> year)</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6"/>
        </w:trPr>
        <w:tc>
          <w:tcPr>
            <w:tcW w:w="220" w:type="dxa"/>
            <w:vAlign w:val="bottom"/>
            <w:shd w:val="clear" w:color="auto" w:fill="CCFFCC"/>
          </w:tcPr>
          <w:p>
            <w:pPr>
              <w:spacing w:after="0"/>
              <w:rPr>
                <w:sz w:val="20"/>
                <w:szCs w:val="20"/>
                <w:color w:val="auto"/>
              </w:rPr>
            </w:pPr>
            <w:r>
              <w:rPr>
                <w:rFonts w:ascii="Arial" w:cs="Arial" w:eastAsia="Arial" w:hAnsi="Arial"/>
                <w:sz w:val="10"/>
                <w:szCs w:val="10"/>
                <w:color w:val="auto"/>
              </w:rPr>
              <w:t>1</w:t>
            </w:r>
          </w:p>
        </w:tc>
        <w:tc>
          <w:tcPr>
            <w:tcW w:w="1100" w:type="dxa"/>
            <w:vAlign w:val="bottom"/>
            <w:shd w:val="clear" w:color="auto" w:fill="CCFFCC"/>
          </w:tcPr>
          <w:p>
            <w:pPr>
              <w:ind w:left="140"/>
              <w:spacing w:after="0"/>
              <w:rPr>
                <w:sz w:val="20"/>
                <w:szCs w:val="20"/>
                <w:color w:val="auto"/>
              </w:rPr>
            </w:pPr>
            <w:r>
              <w:rPr>
                <w:rFonts w:ascii="Arial" w:cs="Arial" w:eastAsia="Arial" w:hAnsi="Arial"/>
                <w:sz w:val="10"/>
                <w:szCs w:val="10"/>
                <w:color w:val="auto"/>
              </w:rPr>
              <w:t>Savitsky</w:t>
            </w:r>
          </w:p>
        </w:tc>
        <w:tc>
          <w:tcPr>
            <w:tcW w:w="660" w:type="dxa"/>
            <w:vAlign w:val="bottom"/>
            <w:shd w:val="clear" w:color="auto" w:fill="CCFFCC"/>
          </w:tcPr>
          <w:p>
            <w:pPr>
              <w:ind w:left="80"/>
              <w:spacing w:after="0"/>
              <w:rPr>
                <w:sz w:val="20"/>
                <w:szCs w:val="20"/>
                <w:color w:val="auto"/>
              </w:rPr>
            </w:pPr>
            <w:r>
              <w:rPr>
                <w:rFonts w:ascii="Arial" w:cs="Arial" w:eastAsia="Arial" w:hAnsi="Arial"/>
                <w:sz w:val="10"/>
                <w:szCs w:val="10"/>
                <w:color w:val="auto"/>
              </w:rPr>
              <w:t>Kinneret</w:t>
            </w:r>
          </w:p>
        </w:tc>
        <w:tc>
          <w:tcPr>
            <w:tcW w:w="920" w:type="dxa"/>
            <w:vAlign w:val="bottom"/>
            <w:shd w:val="clear" w:color="auto" w:fill="CCFFCC"/>
          </w:tcPr>
          <w:p>
            <w:pPr>
              <w:ind w:left="220"/>
              <w:spacing w:after="0"/>
              <w:rPr>
                <w:sz w:val="20"/>
                <w:szCs w:val="20"/>
                <w:color w:val="auto"/>
              </w:rPr>
            </w:pPr>
            <w:r>
              <w:rPr>
                <w:rFonts w:ascii="Arial" w:cs="Arial" w:eastAsia="Arial" w:hAnsi="Arial"/>
                <w:sz w:val="10"/>
                <w:szCs w:val="10"/>
                <w:color w:val="auto"/>
              </w:rPr>
              <w:t>CEO</w:t>
            </w:r>
          </w:p>
        </w:tc>
        <w:tc>
          <w:tcPr>
            <w:tcW w:w="1040" w:type="dxa"/>
            <w:vAlign w:val="bottom"/>
            <w:shd w:val="clear" w:color="auto" w:fill="CCFFCC"/>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shd w:val="clear" w:color="auto" w:fill="CCFFCC"/>
          </w:tcPr>
          <w:p>
            <w:pPr>
              <w:ind w:left="12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1060" w:type="dxa"/>
            <w:vAlign w:val="bottom"/>
            <w:shd w:val="clear" w:color="auto" w:fill="CCFFCC"/>
          </w:tcPr>
          <w:p>
            <w:pPr>
              <w:ind w:left="80"/>
              <w:spacing w:after="0"/>
              <w:rPr>
                <w:sz w:val="20"/>
                <w:szCs w:val="20"/>
                <w:color w:val="auto"/>
              </w:rPr>
            </w:pPr>
            <w:r>
              <w:rPr>
                <w:rFonts w:ascii="Arial" w:cs="Arial" w:eastAsia="Arial" w:hAnsi="Arial"/>
                <w:sz w:val="10"/>
                <w:szCs w:val="10"/>
                <w:color w:val="auto"/>
              </w:rPr>
              <w:t>12</w:t>
            </w: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16"/>
        </w:trPr>
        <w:tc>
          <w:tcPr>
            <w:tcW w:w="220" w:type="dxa"/>
            <w:vAlign w:val="bottom"/>
          </w:tcPr>
          <w:p>
            <w:pPr>
              <w:spacing w:after="0"/>
              <w:rPr>
                <w:sz w:val="20"/>
                <w:szCs w:val="20"/>
                <w:color w:val="auto"/>
              </w:rPr>
            </w:pPr>
            <w:r>
              <w:rPr>
                <w:rFonts w:ascii="Arial" w:cs="Arial" w:eastAsia="Arial" w:hAnsi="Arial"/>
                <w:sz w:val="10"/>
                <w:szCs w:val="10"/>
                <w:color w:val="auto"/>
              </w:rPr>
              <w:t>2</w:t>
            </w:r>
          </w:p>
        </w:tc>
        <w:tc>
          <w:tcPr>
            <w:tcW w:w="1100" w:type="dxa"/>
            <w:vAlign w:val="bottom"/>
          </w:tcPr>
          <w:p>
            <w:pPr>
              <w:ind w:left="140"/>
              <w:spacing w:after="0"/>
              <w:rPr>
                <w:sz w:val="20"/>
                <w:szCs w:val="20"/>
                <w:color w:val="auto"/>
              </w:rPr>
            </w:pPr>
            <w:r>
              <w:rPr>
                <w:rFonts w:ascii="Arial" w:cs="Arial" w:eastAsia="Arial" w:hAnsi="Arial"/>
                <w:sz w:val="10"/>
                <w:szCs w:val="10"/>
                <w:color w:val="auto"/>
              </w:rPr>
              <w:t>Ron</w:t>
            </w:r>
          </w:p>
        </w:tc>
        <w:tc>
          <w:tcPr>
            <w:tcW w:w="660" w:type="dxa"/>
            <w:vAlign w:val="bottom"/>
          </w:tcPr>
          <w:p>
            <w:pPr>
              <w:ind w:left="80"/>
              <w:spacing w:after="0"/>
              <w:rPr>
                <w:sz w:val="20"/>
                <w:szCs w:val="20"/>
                <w:color w:val="auto"/>
              </w:rPr>
            </w:pPr>
            <w:r>
              <w:rPr>
                <w:rFonts w:ascii="Arial" w:cs="Arial" w:eastAsia="Arial" w:hAnsi="Arial"/>
                <w:sz w:val="10"/>
                <w:szCs w:val="10"/>
                <w:color w:val="auto"/>
              </w:rPr>
              <w:t>Hannah</w:t>
            </w:r>
          </w:p>
        </w:tc>
        <w:tc>
          <w:tcPr>
            <w:tcW w:w="920" w:type="dxa"/>
            <w:vAlign w:val="bottom"/>
          </w:tcPr>
          <w:p>
            <w:pPr>
              <w:ind w:left="220"/>
              <w:spacing w:after="0"/>
              <w:rPr>
                <w:sz w:val="20"/>
                <w:szCs w:val="20"/>
                <w:color w:val="auto"/>
              </w:rPr>
            </w:pPr>
            <w:r>
              <w:rPr>
                <w:rFonts w:ascii="Arial" w:cs="Arial" w:eastAsia="Arial" w:hAnsi="Arial"/>
                <w:sz w:val="10"/>
                <w:szCs w:val="10"/>
                <w:color w:val="auto"/>
              </w:rPr>
              <w:t>VP</w:t>
            </w:r>
          </w:p>
        </w:tc>
        <w:tc>
          <w:tcPr>
            <w:tcW w:w="1040" w:type="dxa"/>
            <w:vAlign w:val="bottom"/>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tcPr>
          <w:p>
            <w:pPr>
              <w:ind w:left="12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1060" w:type="dxa"/>
            <w:vAlign w:val="bottom"/>
          </w:tcPr>
          <w:p>
            <w:pPr>
              <w:ind w:left="80"/>
              <w:spacing w:after="0"/>
              <w:rPr>
                <w:sz w:val="20"/>
                <w:szCs w:val="20"/>
                <w:color w:val="auto"/>
              </w:rPr>
            </w:pPr>
            <w:r>
              <w:rPr>
                <w:rFonts w:ascii="Arial" w:cs="Arial" w:eastAsia="Arial" w:hAnsi="Arial"/>
                <w:sz w:val="10"/>
                <w:szCs w:val="10"/>
                <w:color w:val="auto"/>
              </w:rPr>
              <w:t>12</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6"/>
        </w:trPr>
        <w:tc>
          <w:tcPr>
            <w:tcW w:w="220" w:type="dxa"/>
            <w:vAlign w:val="bottom"/>
            <w:shd w:val="clear" w:color="auto" w:fill="CCFFCC"/>
          </w:tcPr>
          <w:p>
            <w:pPr>
              <w:spacing w:after="0"/>
              <w:rPr>
                <w:sz w:val="20"/>
                <w:szCs w:val="20"/>
                <w:color w:val="auto"/>
              </w:rPr>
            </w:pPr>
            <w:r>
              <w:rPr>
                <w:rFonts w:ascii="Arial" w:cs="Arial" w:eastAsia="Arial" w:hAnsi="Arial"/>
                <w:sz w:val="10"/>
                <w:szCs w:val="10"/>
                <w:color w:val="auto"/>
              </w:rPr>
              <w:t>3</w:t>
            </w:r>
          </w:p>
        </w:tc>
        <w:tc>
          <w:tcPr>
            <w:tcW w:w="1100" w:type="dxa"/>
            <w:vAlign w:val="bottom"/>
            <w:shd w:val="clear" w:color="auto" w:fill="CCFFCC"/>
          </w:tcPr>
          <w:p>
            <w:pPr>
              <w:ind w:left="140"/>
              <w:spacing w:after="0"/>
              <w:rPr>
                <w:sz w:val="20"/>
                <w:szCs w:val="20"/>
                <w:color w:val="auto"/>
              </w:rPr>
            </w:pPr>
            <w:r>
              <w:rPr>
                <w:rFonts w:ascii="Arial" w:cs="Arial" w:eastAsia="Arial" w:hAnsi="Arial"/>
                <w:sz w:val="10"/>
                <w:szCs w:val="10"/>
                <w:color w:val="auto"/>
              </w:rPr>
              <w:t>Kelper</w:t>
            </w:r>
          </w:p>
        </w:tc>
        <w:tc>
          <w:tcPr>
            <w:tcW w:w="660" w:type="dxa"/>
            <w:vAlign w:val="bottom"/>
            <w:shd w:val="clear" w:color="auto" w:fill="CCFFCC"/>
          </w:tcPr>
          <w:p>
            <w:pPr>
              <w:ind w:left="80"/>
              <w:spacing w:after="0"/>
              <w:rPr>
                <w:sz w:val="20"/>
                <w:szCs w:val="20"/>
                <w:color w:val="auto"/>
              </w:rPr>
            </w:pPr>
            <w:r>
              <w:rPr>
                <w:rFonts w:ascii="Arial" w:cs="Arial" w:eastAsia="Arial" w:hAnsi="Arial"/>
                <w:sz w:val="10"/>
                <w:szCs w:val="10"/>
                <w:color w:val="auto"/>
              </w:rPr>
              <w:t>Leah</w:t>
            </w:r>
          </w:p>
        </w:tc>
        <w:tc>
          <w:tcPr>
            <w:tcW w:w="920" w:type="dxa"/>
            <w:vAlign w:val="bottom"/>
            <w:shd w:val="clear" w:color="auto" w:fill="CCFFCC"/>
          </w:tcPr>
          <w:p>
            <w:pPr>
              <w:ind w:left="220"/>
              <w:spacing w:after="0"/>
              <w:rPr>
                <w:sz w:val="20"/>
                <w:szCs w:val="20"/>
                <w:color w:val="auto"/>
              </w:rPr>
            </w:pPr>
            <w:r>
              <w:rPr>
                <w:rFonts w:ascii="Arial" w:cs="Arial" w:eastAsia="Arial" w:hAnsi="Arial"/>
                <w:sz w:val="10"/>
                <w:szCs w:val="10"/>
                <w:color w:val="auto"/>
              </w:rPr>
              <w:t>VP</w:t>
            </w:r>
          </w:p>
        </w:tc>
        <w:tc>
          <w:tcPr>
            <w:tcW w:w="1040" w:type="dxa"/>
            <w:vAlign w:val="bottom"/>
            <w:shd w:val="clear" w:color="auto" w:fill="CCFFCC"/>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shd w:val="clear" w:color="auto" w:fill="CCFFCC"/>
          </w:tcPr>
          <w:p>
            <w:pPr>
              <w:ind w:left="12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1060" w:type="dxa"/>
            <w:vAlign w:val="bottom"/>
            <w:shd w:val="clear" w:color="auto" w:fill="CCFFCC"/>
          </w:tcPr>
          <w:p>
            <w:pPr>
              <w:ind w:left="80"/>
              <w:spacing w:after="0"/>
              <w:rPr>
                <w:sz w:val="20"/>
                <w:szCs w:val="20"/>
                <w:color w:val="auto"/>
              </w:rPr>
            </w:pPr>
            <w:r>
              <w:rPr>
                <w:rFonts w:ascii="Arial" w:cs="Arial" w:eastAsia="Arial" w:hAnsi="Arial"/>
                <w:sz w:val="10"/>
                <w:szCs w:val="10"/>
                <w:color w:val="auto"/>
              </w:rPr>
              <w:t>12</w:t>
            </w: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16"/>
        </w:trPr>
        <w:tc>
          <w:tcPr>
            <w:tcW w:w="220" w:type="dxa"/>
            <w:vAlign w:val="bottom"/>
          </w:tcPr>
          <w:p>
            <w:pPr>
              <w:spacing w:after="0"/>
              <w:rPr>
                <w:sz w:val="20"/>
                <w:szCs w:val="20"/>
                <w:color w:val="auto"/>
              </w:rPr>
            </w:pPr>
            <w:r>
              <w:rPr>
                <w:rFonts w:ascii="Arial" w:cs="Arial" w:eastAsia="Arial" w:hAnsi="Arial"/>
                <w:sz w:val="10"/>
                <w:szCs w:val="10"/>
                <w:color w:val="auto"/>
              </w:rPr>
              <w:t>4</w:t>
            </w:r>
          </w:p>
        </w:tc>
        <w:tc>
          <w:tcPr>
            <w:tcW w:w="1100" w:type="dxa"/>
            <w:vAlign w:val="bottom"/>
          </w:tcPr>
          <w:p>
            <w:pPr>
              <w:ind w:left="140"/>
              <w:spacing w:after="0"/>
              <w:rPr>
                <w:sz w:val="20"/>
                <w:szCs w:val="20"/>
                <w:color w:val="auto"/>
              </w:rPr>
            </w:pPr>
            <w:r>
              <w:rPr>
                <w:rFonts w:ascii="Arial" w:cs="Arial" w:eastAsia="Arial" w:hAnsi="Arial"/>
                <w:sz w:val="10"/>
                <w:szCs w:val="10"/>
                <w:color w:val="auto"/>
              </w:rPr>
              <w:t>To be determined</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tcPr>
          <w:p>
            <w:pPr>
              <w:spacing w:after="0"/>
              <w:rPr>
                <w:sz w:val="10"/>
                <w:szCs w:val="10"/>
                <w:color w:val="auto"/>
              </w:rPr>
            </w:pP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1060" w:type="dxa"/>
            <w:vAlign w:val="bottom"/>
          </w:tcPr>
          <w:p>
            <w:pPr>
              <w:ind w:left="80"/>
              <w:spacing w:after="0"/>
              <w:rPr>
                <w:sz w:val="20"/>
                <w:szCs w:val="20"/>
                <w:color w:val="auto"/>
              </w:rPr>
            </w:pPr>
            <w:r>
              <w:rPr>
                <w:rFonts w:ascii="Arial" w:cs="Arial" w:eastAsia="Arial" w:hAnsi="Arial"/>
                <w:sz w:val="10"/>
                <w:szCs w:val="10"/>
                <w:color w:val="auto"/>
              </w:rPr>
              <w:t>12</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6"/>
        </w:trPr>
        <w:tc>
          <w:tcPr>
            <w:tcW w:w="220" w:type="dxa"/>
            <w:vAlign w:val="bottom"/>
            <w:shd w:val="clear" w:color="auto" w:fill="CCFFCC"/>
          </w:tcPr>
          <w:p>
            <w:pPr>
              <w:spacing w:after="0"/>
              <w:rPr>
                <w:sz w:val="20"/>
                <w:szCs w:val="20"/>
                <w:color w:val="auto"/>
              </w:rPr>
            </w:pPr>
            <w:r>
              <w:rPr>
                <w:rFonts w:ascii="Arial" w:cs="Arial" w:eastAsia="Arial" w:hAnsi="Arial"/>
                <w:sz w:val="10"/>
                <w:szCs w:val="10"/>
                <w:color w:val="auto"/>
              </w:rPr>
              <w:t>5</w:t>
            </w:r>
          </w:p>
        </w:tc>
        <w:tc>
          <w:tcPr>
            <w:tcW w:w="1100" w:type="dxa"/>
            <w:vAlign w:val="bottom"/>
            <w:shd w:val="clear" w:color="auto" w:fill="CCFFCC"/>
          </w:tcPr>
          <w:p>
            <w:pPr>
              <w:ind w:left="140"/>
              <w:spacing w:after="0"/>
              <w:rPr>
                <w:sz w:val="20"/>
                <w:szCs w:val="20"/>
                <w:color w:val="auto"/>
              </w:rPr>
            </w:pPr>
            <w:r>
              <w:rPr>
                <w:rFonts w:ascii="Arial" w:cs="Arial" w:eastAsia="Arial" w:hAnsi="Arial"/>
                <w:sz w:val="10"/>
                <w:szCs w:val="10"/>
                <w:color w:val="auto"/>
              </w:rPr>
              <w:t>Binyamin</w:t>
            </w:r>
          </w:p>
        </w:tc>
        <w:tc>
          <w:tcPr>
            <w:tcW w:w="660" w:type="dxa"/>
            <w:vAlign w:val="bottom"/>
            <w:shd w:val="clear" w:color="auto" w:fill="CCFFCC"/>
          </w:tcPr>
          <w:p>
            <w:pPr>
              <w:ind w:left="80"/>
              <w:spacing w:after="0"/>
              <w:rPr>
                <w:sz w:val="20"/>
                <w:szCs w:val="20"/>
                <w:color w:val="auto"/>
              </w:rPr>
            </w:pPr>
            <w:r>
              <w:rPr>
                <w:rFonts w:ascii="Arial" w:cs="Arial" w:eastAsia="Arial" w:hAnsi="Arial"/>
                <w:sz w:val="10"/>
                <w:szCs w:val="10"/>
                <w:color w:val="auto"/>
              </w:rPr>
              <w:t>Eran</w:t>
            </w:r>
          </w:p>
        </w:tc>
        <w:tc>
          <w:tcPr>
            <w:tcW w:w="920" w:type="dxa"/>
            <w:vAlign w:val="bottom"/>
            <w:shd w:val="clear" w:color="auto" w:fill="CCFFCC"/>
          </w:tcPr>
          <w:p>
            <w:pPr>
              <w:ind w:left="220"/>
              <w:spacing w:after="0"/>
              <w:rPr>
                <w:sz w:val="20"/>
                <w:szCs w:val="20"/>
                <w:color w:val="auto"/>
              </w:rPr>
            </w:pPr>
            <w:r>
              <w:rPr>
                <w:rFonts w:ascii="Arial" w:cs="Arial" w:eastAsia="Arial" w:hAnsi="Arial"/>
                <w:sz w:val="10"/>
                <w:szCs w:val="10"/>
                <w:color w:val="auto"/>
              </w:rPr>
              <w:t>Lab director</w:t>
            </w:r>
          </w:p>
        </w:tc>
        <w:tc>
          <w:tcPr>
            <w:tcW w:w="1040" w:type="dxa"/>
            <w:vAlign w:val="bottom"/>
            <w:shd w:val="clear" w:color="auto" w:fill="CCFFCC"/>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shd w:val="clear" w:color="auto" w:fill="CCFFCC"/>
          </w:tcPr>
          <w:p>
            <w:pPr>
              <w:ind w:left="12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1060" w:type="dxa"/>
            <w:vAlign w:val="bottom"/>
            <w:shd w:val="clear" w:color="auto" w:fill="CCFFCC"/>
          </w:tcPr>
          <w:p>
            <w:pPr>
              <w:ind w:left="80"/>
              <w:spacing w:after="0"/>
              <w:rPr>
                <w:sz w:val="20"/>
                <w:szCs w:val="20"/>
                <w:color w:val="auto"/>
              </w:rPr>
            </w:pPr>
            <w:r>
              <w:rPr>
                <w:rFonts w:ascii="Arial" w:cs="Arial" w:eastAsia="Arial" w:hAnsi="Arial"/>
                <w:sz w:val="10"/>
                <w:szCs w:val="10"/>
                <w:color w:val="auto"/>
              </w:rPr>
              <w:t>12</w:t>
            </w: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16"/>
        </w:trPr>
        <w:tc>
          <w:tcPr>
            <w:tcW w:w="220" w:type="dxa"/>
            <w:vAlign w:val="bottom"/>
          </w:tcPr>
          <w:p>
            <w:pPr>
              <w:spacing w:after="0"/>
              <w:rPr>
                <w:sz w:val="20"/>
                <w:szCs w:val="20"/>
                <w:color w:val="auto"/>
              </w:rPr>
            </w:pPr>
            <w:r>
              <w:rPr>
                <w:rFonts w:ascii="Arial" w:cs="Arial" w:eastAsia="Arial" w:hAnsi="Arial"/>
                <w:sz w:val="10"/>
                <w:szCs w:val="10"/>
                <w:color w:val="auto"/>
              </w:rPr>
              <w:t>6</w:t>
            </w:r>
          </w:p>
        </w:tc>
        <w:tc>
          <w:tcPr>
            <w:tcW w:w="1100" w:type="dxa"/>
            <w:vAlign w:val="bottom"/>
          </w:tcPr>
          <w:p>
            <w:pPr>
              <w:ind w:left="140"/>
              <w:spacing w:after="0"/>
              <w:rPr>
                <w:sz w:val="20"/>
                <w:szCs w:val="20"/>
                <w:color w:val="auto"/>
              </w:rPr>
            </w:pPr>
            <w:r>
              <w:rPr>
                <w:rFonts w:ascii="Arial" w:cs="Arial" w:eastAsia="Arial" w:hAnsi="Arial"/>
                <w:sz w:val="10"/>
                <w:szCs w:val="10"/>
                <w:color w:val="auto"/>
              </w:rPr>
              <w:t>Levin</w:t>
            </w:r>
          </w:p>
        </w:tc>
        <w:tc>
          <w:tcPr>
            <w:tcW w:w="660" w:type="dxa"/>
            <w:vAlign w:val="bottom"/>
          </w:tcPr>
          <w:p>
            <w:pPr>
              <w:ind w:left="80"/>
              <w:spacing w:after="0"/>
              <w:rPr>
                <w:sz w:val="20"/>
                <w:szCs w:val="20"/>
                <w:color w:val="auto"/>
              </w:rPr>
            </w:pPr>
            <w:r>
              <w:rPr>
                <w:rFonts w:ascii="Arial" w:cs="Arial" w:eastAsia="Arial" w:hAnsi="Arial"/>
                <w:sz w:val="10"/>
                <w:szCs w:val="10"/>
                <w:color w:val="auto"/>
              </w:rPr>
              <w:t>Chen</w:t>
            </w:r>
          </w:p>
        </w:tc>
        <w:tc>
          <w:tcPr>
            <w:tcW w:w="920" w:type="dxa"/>
            <w:vAlign w:val="bottom"/>
          </w:tcPr>
          <w:p>
            <w:pPr>
              <w:ind w:left="220"/>
              <w:spacing w:after="0"/>
              <w:rPr>
                <w:sz w:val="20"/>
                <w:szCs w:val="20"/>
                <w:color w:val="auto"/>
              </w:rPr>
            </w:pPr>
            <w:r>
              <w:rPr>
                <w:rFonts w:ascii="Arial" w:cs="Arial" w:eastAsia="Arial" w:hAnsi="Arial"/>
                <w:sz w:val="10"/>
                <w:szCs w:val="10"/>
                <w:color w:val="auto"/>
              </w:rPr>
              <w:t>Adm. Director</w:t>
            </w:r>
          </w:p>
        </w:tc>
        <w:tc>
          <w:tcPr>
            <w:tcW w:w="1040" w:type="dxa"/>
            <w:vAlign w:val="bottom"/>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tcPr>
          <w:p>
            <w:pPr>
              <w:ind w:left="12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580" w:type="dxa"/>
            <w:vAlign w:val="bottom"/>
          </w:tcPr>
          <w:p>
            <w:pPr>
              <w:ind w:left="100"/>
              <w:spacing w:after="0"/>
              <w:rPr>
                <w:sz w:val="20"/>
                <w:szCs w:val="20"/>
                <w:color w:val="auto"/>
              </w:rPr>
            </w:pPr>
            <w:r>
              <w:rPr>
                <w:rFonts w:ascii="Arial" w:cs="Arial" w:eastAsia="Arial" w:hAnsi="Arial"/>
                <w:sz w:val="10"/>
                <w:szCs w:val="10"/>
                <w:color w:val="auto"/>
              </w:rPr>
              <w:t>12</w:t>
            </w:r>
          </w:p>
        </w:tc>
        <w:tc>
          <w:tcPr>
            <w:tcW w:w="1060" w:type="dxa"/>
            <w:vAlign w:val="bottom"/>
          </w:tcPr>
          <w:p>
            <w:pPr>
              <w:ind w:left="80"/>
              <w:spacing w:after="0"/>
              <w:rPr>
                <w:sz w:val="20"/>
                <w:szCs w:val="20"/>
                <w:color w:val="auto"/>
              </w:rPr>
            </w:pPr>
            <w:r>
              <w:rPr>
                <w:rFonts w:ascii="Arial" w:cs="Arial" w:eastAsia="Arial" w:hAnsi="Arial"/>
                <w:sz w:val="10"/>
                <w:szCs w:val="10"/>
                <w:color w:val="auto"/>
              </w:rPr>
              <w:t>12</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6"/>
        </w:trPr>
        <w:tc>
          <w:tcPr>
            <w:tcW w:w="220" w:type="dxa"/>
            <w:vAlign w:val="bottom"/>
            <w:shd w:val="clear" w:color="auto" w:fill="CCFFCC"/>
          </w:tcPr>
          <w:p>
            <w:pPr>
              <w:spacing w:after="0"/>
              <w:rPr>
                <w:sz w:val="20"/>
                <w:szCs w:val="20"/>
                <w:color w:val="auto"/>
              </w:rPr>
            </w:pPr>
            <w:r>
              <w:rPr>
                <w:rFonts w:ascii="Arial" w:cs="Arial" w:eastAsia="Arial" w:hAnsi="Arial"/>
                <w:sz w:val="10"/>
                <w:szCs w:val="10"/>
                <w:color w:val="auto"/>
              </w:rPr>
              <w:t>7</w:t>
            </w:r>
          </w:p>
        </w:tc>
        <w:tc>
          <w:tcPr>
            <w:tcW w:w="1100" w:type="dxa"/>
            <w:vAlign w:val="bottom"/>
            <w:shd w:val="clear" w:color="auto" w:fill="CCFFCC"/>
          </w:tcPr>
          <w:p>
            <w:pPr>
              <w:ind w:left="140"/>
              <w:spacing w:after="0"/>
              <w:rPr>
                <w:sz w:val="20"/>
                <w:szCs w:val="20"/>
                <w:color w:val="auto"/>
              </w:rPr>
            </w:pPr>
            <w:r>
              <w:rPr>
                <w:rFonts w:ascii="Arial" w:cs="Arial" w:eastAsia="Arial" w:hAnsi="Arial"/>
                <w:sz w:val="10"/>
                <w:szCs w:val="10"/>
                <w:color w:val="auto"/>
              </w:rPr>
              <w:t>Yunai</w:t>
            </w:r>
          </w:p>
        </w:tc>
        <w:tc>
          <w:tcPr>
            <w:tcW w:w="660" w:type="dxa"/>
            <w:vAlign w:val="bottom"/>
            <w:shd w:val="clear" w:color="auto" w:fill="CCFFCC"/>
          </w:tcPr>
          <w:p>
            <w:pPr>
              <w:ind w:left="80"/>
              <w:spacing w:after="0"/>
              <w:rPr>
                <w:sz w:val="20"/>
                <w:szCs w:val="20"/>
                <w:color w:val="auto"/>
              </w:rPr>
            </w:pPr>
            <w:r>
              <w:rPr>
                <w:rFonts w:ascii="Arial" w:cs="Arial" w:eastAsia="Arial" w:hAnsi="Arial"/>
                <w:sz w:val="10"/>
                <w:szCs w:val="10"/>
                <w:color w:val="auto"/>
              </w:rPr>
              <w:t>Lilach</w:t>
            </w:r>
          </w:p>
        </w:tc>
        <w:tc>
          <w:tcPr>
            <w:tcW w:w="920" w:type="dxa"/>
            <w:vAlign w:val="bottom"/>
            <w:shd w:val="clear" w:color="auto" w:fill="CCFFCC"/>
          </w:tcPr>
          <w:p>
            <w:pPr>
              <w:ind w:left="220"/>
              <w:spacing w:after="0"/>
              <w:rPr>
                <w:sz w:val="20"/>
                <w:szCs w:val="20"/>
                <w:color w:val="auto"/>
              </w:rPr>
            </w:pPr>
            <w:r>
              <w:rPr>
                <w:rFonts w:ascii="Arial" w:cs="Arial" w:eastAsia="Arial" w:hAnsi="Arial"/>
                <w:sz w:val="10"/>
                <w:szCs w:val="10"/>
                <w:color w:val="auto"/>
              </w:rPr>
              <w:t>Secretary</w:t>
            </w:r>
          </w:p>
        </w:tc>
        <w:tc>
          <w:tcPr>
            <w:tcW w:w="1040" w:type="dxa"/>
            <w:vAlign w:val="bottom"/>
            <w:shd w:val="clear" w:color="auto" w:fill="CCFFCC"/>
          </w:tcPr>
          <w:p>
            <w:pPr>
              <w:jc w:val="right"/>
              <w:ind w:right="169"/>
              <w:spacing w:after="0"/>
              <w:rPr>
                <w:sz w:val="20"/>
                <w:szCs w:val="20"/>
                <w:color w:val="auto"/>
              </w:rPr>
            </w:pPr>
            <w:r>
              <w:rPr>
                <w:rFonts w:ascii="Arial" w:cs="Arial" w:eastAsia="Arial" w:hAnsi="Arial"/>
                <w:sz w:val="10"/>
                <w:szCs w:val="10"/>
                <w:color w:val="auto"/>
              </w:rPr>
              <w:t>100%</w:t>
            </w:r>
          </w:p>
        </w:tc>
        <w:tc>
          <w:tcPr>
            <w:tcW w:w="600" w:type="dxa"/>
            <w:vAlign w:val="bottom"/>
            <w:shd w:val="clear" w:color="auto" w:fill="CCFFCC"/>
          </w:tcPr>
          <w:p>
            <w:pPr>
              <w:ind w:left="12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12</w:t>
            </w:r>
          </w:p>
        </w:tc>
        <w:tc>
          <w:tcPr>
            <w:tcW w:w="1060" w:type="dxa"/>
            <w:vAlign w:val="bottom"/>
            <w:shd w:val="clear" w:color="auto" w:fill="CCFFCC"/>
          </w:tcPr>
          <w:p>
            <w:pPr>
              <w:ind w:left="80"/>
              <w:spacing w:after="0"/>
              <w:rPr>
                <w:sz w:val="20"/>
                <w:szCs w:val="20"/>
                <w:color w:val="auto"/>
              </w:rPr>
            </w:pPr>
            <w:r>
              <w:rPr>
                <w:rFonts w:ascii="Arial" w:cs="Arial" w:eastAsia="Arial" w:hAnsi="Arial"/>
                <w:sz w:val="10"/>
                <w:szCs w:val="10"/>
                <w:color w:val="auto"/>
              </w:rPr>
              <w:t>12</w:t>
            </w: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16"/>
        </w:trPr>
        <w:tc>
          <w:tcPr>
            <w:tcW w:w="220" w:type="dxa"/>
            <w:vAlign w:val="bottom"/>
          </w:tcPr>
          <w:p>
            <w:pPr>
              <w:spacing w:after="0"/>
              <w:rPr>
                <w:sz w:val="20"/>
                <w:szCs w:val="20"/>
                <w:color w:val="auto"/>
              </w:rPr>
            </w:pPr>
            <w:r>
              <w:rPr>
                <w:rFonts w:ascii="Arial" w:cs="Arial" w:eastAsia="Arial" w:hAnsi="Arial"/>
                <w:sz w:val="10"/>
                <w:szCs w:val="10"/>
                <w:color w:val="auto"/>
              </w:rPr>
              <w:t>8</w:t>
            </w: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6"/>
        </w:trPr>
        <w:tc>
          <w:tcPr>
            <w:tcW w:w="220" w:type="dxa"/>
            <w:vAlign w:val="bottom"/>
            <w:shd w:val="clear" w:color="auto" w:fill="CCFFCC"/>
          </w:tcPr>
          <w:p>
            <w:pPr>
              <w:spacing w:after="0"/>
              <w:rPr>
                <w:sz w:val="20"/>
                <w:szCs w:val="20"/>
                <w:color w:val="auto"/>
              </w:rPr>
            </w:pPr>
            <w:r>
              <w:rPr>
                <w:rFonts w:ascii="Arial" w:cs="Arial" w:eastAsia="Arial" w:hAnsi="Arial"/>
                <w:sz w:val="10"/>
                <w:szCs w:val="10"/>
                <w:color w:val="auto"/>
              </w:rPr>
              <w:t>9</w:t>
            </w:r>
          </w:p>
        </w:tc>
        <w:tc>
          <w:tcPr>
            <w:tcW w:w="1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16"/>
        </w:trPr>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06"/>
        </w:trPr>
        <w:tc>
          <w:tcPr>
            <w:tcW w:w="220" w:type="dxa"/>
            <w:vAlign w:val="bottom"/>
            <w:shd w:val="clear" w:color="auto" w:fill="CCFFCC"/>
          </w:tcPr>
          <w:p>
            <w:pPr>
              <w:spacing w:after="0"/>
              <w:rPr>
                <w:sz w:val="9"/>
                <w:szCs w:val="9"/>
                <w:color w:val="auto"/>
              </w:rPr>
            </w:pPr>
          </w:p>
        </w:tc>
        <w:tc>
          <w:tcPr>
            <w:tcW w:w="1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580" w:type="dxa"/>
            <w:vAlign w:val="bottom"/>
            <w:shd w:val="clear" w:color="auto" w:fill="CCFFCC"/>
          </w:tcPr>
          <w:p>
            <w:pPr>
              <w:ind w:left="100"/>
              <w:spacing w:after="0" w:line="106" w:lineRule="exact"/>
              <w:rPr>
                <w:sz w:val="20"/>
                <w:szCs w:val="20"/>
                <w:color w:val="auto"/>
              </w:rPr>
            </w:pPr>
            <w:r>
              <w:rPr>
                <w:rFonts w:ascii="Arial" w:cs="Arial" w:eastAsia="Arial" w:hAnsi="Arial"/>
                <w:sz w:val="10"/>
                <w:szCs w:val="10"/>
                <w:color w:val="auto"/>
              </w:rPr>
              <w:t>Reserve</w:t>
            </w:r>
          </w:p>
        </w:tc>
        <w:tc>
          <w:tcPr>
            <w:tcW w:w="1060" w:type="dxa"/>
            <w:vAlign w:val="bottom"/>
            <w:shd w:val="clear" w:color="auto" w:fill="CCFFCC"/>
          </w:tcPr>
          <w:p>
            <w:pPr>
              <w:ind w:left="80"/>
              <w:spacing w:after="0" w:line="106" w:lineRule="exact"/>
              <w:rPr>
                <w:sz w:val="20"/>
                <w:szCs w:val="20"/>
                <w:color w:val="auto"/>
              </w:rPr>
            </w:pPr>
            <w:r>
              <w:rPr>
                <w:rFonts w:ascii="Arial" w:cs="Arial" w:eastAsia="Arial" w:hAnsi="Arial"/>
                <w:sz w:val="10"/>
                <w:szCs w:val="10"/>
                <w:color w:val="auto"/>
              </w:rPr>
              <w:t>3%</w:t>
            </w:r>
          </w:p>
        </w:tc>
        <w:tc>
          <w:tcPr>
            <w:tcW w:w="5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r>
      <w:tr>
        <w:trPr>
          <w:trHeight w:val="116"/>
        </w:trPr>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for</w:t>
            </w:r>
          </w:p>
        </w:tc>
        <w:tc>
          <w:tcPr>
            <w:tcW w:w="10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25"/>
        </w:trPr>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580" w:type="dxa"/>
            <w:vAlign w:val="bottom"/>
            <w:shd w:val="clear" w:color="auto" w:fill="CCFFCC"/>
          </w:tcPr>
          <w:p>
            <w:pPr>
              <w:ind w:left="100"/>
              <w:spacing w:after="0"/>
              <w:rPr>
                <w:sz w:val="20"/>
                <w:szCs w:val="20"/>
                <w:color w:val="auto"/>
              </w:rPr>
            </w:pPr>
            <w:r>
              <w:rPr>
                <w:rFonts w:ascii="Arial" w:cs="Arial" w:eastAsia="Arial" w:hAnsi="Arial"/>
                <w:sz w:val="10"/>
                <w:szCs w:val="10"/>
                <w:color w:val="auto"/>
              </w:rPr>
              <w:t>inflation</w:t>
            </w:r>
          </w:p>
        </w:tc>
        <w:tc>
          <w:tcPr>
            <w:tcW w:w="10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r>
      <w:tr>
        <w:trPr>
          <w:trHeight w:val="106"/>
        </w:trPr>
        <w:tc>
          <w:tcPr>
            <w:tcW w:w="220" w:type="dxa"/>
            <w:vAlign w:val="bottom"/>
          </w:tcPr>
          <w:p>
            <w:pPr>
              <w:spacing w:after="0" w:line="106" w:lineRule="exact"/>
              <w:rPr>
                <w:sz w:val="20"/>
                <w:szCs w:val="20"/>
                <w:color w:val="auto"/>
              </w:rPr>
            </w:pPr>
            <w:r>
              <w:rPr>
                <w:rFonts w:ascii="Arial" w:cs="Arial" w:eastAsia="Arial" w:hAnsi="Arial"/>
                <w:sz w:val="10"/>
                <w:szCs w:val="10"/>
                <w:color w:val="auto"/>
              </w:rPr>
              <w:t>B</w:t>
            </w:r>
          </w:p>
        </w:tc>
        <w:tc>
          <w:tcPr>
            <w:tcW w:w="1100" w:type="dxa"/>
            <w:vAlign w:val="bottom"/>
          </w:tcPr>
          <w:p>
            <w:pPr>
              <w:ind w:left="140"/>
              <w:spacing w:after="0" w:line="106" w:lineRule="exact"/>
              <w:rPr>
                <w:sz w:val="20"/>
                <w:szCs w:val="20"/>
                <w:color w:val="auto"/>
              </w:rPr>
            </w:pPr>
            <w:r>
              <w:rPr>
                <w:rFonts w:ascii="Arial" w:cs="Arial" w:eastAsia="Arial" w:hAnsi="Arial"/>
                <w:sz w:val="10"/>
                <w:szCs w:val="10"/>
                <w:color w:val="auto"/>
              </w:rPr>
              <w:t>Subcontractors:</w:t>
            </w: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ind w:left="80"/>
              <w:spacing w:after="0" w:line="106" w:lineRule="exact"/>
              <w:rPr>
                <w:sz w:val="20"/>
                <w:szCs w:val="20"/>
                <w:color w:val="auto"/>
              </w:rPr>
            </w:pPr>
            <w:r>
              <w:rPr>
                <w:rFonts w:ascii="Arial" w:cs="Arial" w:eastAsia="Arial" w:hAnsi="Arial"/>
                <w:sz w:val="10"/>
                <w:szCs w:val="10"/>
                <w:color w:val="auto"/>
              </w:rPr>
              <w:t>Total</w:t>
            </w: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4"/>
        </w:trPr>
        <w:tc>
          <w:tcPr>
            <w:tcW w:w="220" w:type="dxa"/>
            <w:vAlign w:val="bottom"/>
          </w:tcPr>
          <w:p>
            <w:pPr>
              <w:spacing w:after="0"/>
              <w:rPr>
                <w:sz w:val="10"/>
                <w:szCs w:val="10"/>
                <w:color w:val="auto"/>
              </w:rPr>
            </w:pPr>
          </w:p>
        </w:tc>
        <w:tc>
          <w:tcPr>
            <w:tcW w:w="1100" w:type="dxa"/>
            <w:vAlign w:val="bottom"/>
          </w:tcPr>
          <w:p>
            <w:pPr>
              <w:ind w:left="140"/>
              <w:spacing w:after="0"/>
              <w:rPr>
                <w:sz w:val="20"/>
                <w:szCs w:val="20"/>
                <w:color w:val="auto"/>
              </w:rPr>
            </w:pPr>
            <w:r>
              <w:rPr>
                <w:rFonts w:ascii="Arial" w:cs="Arial" w:eastAsia="Arial" w:hAnsi="Arial"/>
                <w:sz w:val="10"/>
                <w:szCs w:val="10"/>
                <w:color w:val="auto"/>
                <w:w w:val="97"/>
              </w:rPr>
              <w:t>Company and service</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0"/>
                <w:szCs w:val="10"/>
                <w:color w:val="auto"/>
              </w:rPr>
              <w:t>Personnel</w:t>
            </w: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ind w:left="360" w:right="10160" w:hanging="357"/>
        <w:spacing w:after="0" w:line="289" w:lineRule="auto"/>
        <w:tabs>
          <w:tab w:leader="none" w:pos="360" w:val="left"/>
        </w:tabs>
        <w:numPr>
          <w:ilvl w:val="0"/>
          <w:numId w:val="297"/>
        </w:numPr>
        <w:rPr>
          <w:rFonts w:ascii="Arial" w:cs="Arial" w:eastAsia="Arial" w:hAnsi="Arial"/>
          <w:sz w:val="9"/>
          <w:szCs w:val="9"/>
          <w:color w:val="auto"/>
        </w:rPr>
      </w:pPr>
      <w:r>
        <w:rPr>
          <w:rFonts w:ascii="Arial" w:cs="Arial" w:eastAsia="Arial" w:hAnsi="Arial"/>
          <w:sz w:val="9"/>
          <w:szCs w:val="9"/>
          <w:color w:val="auto"/>
        </w:rPr>
        <w:t>Payments to members of advisory scientific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-235585</wp:posOffset>
            </wp:positionV>
            <wp:extent cx="7252970" cy="2203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2970" cy="2203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488315</wp:posOffset>
            </wp:positionV>
            <wp:extent cx="7257415" cy="209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89" w:name="page390"/>
    <w:bookmarkEnd w:id="389"/>
    <w:p>
      <w:pPr>
        <w:ind w:left="360" w:hanging="357"/>
        <w:spacing w:after="0"/>
        <w:tabs>
          <w:tab w:leader="none" w:pos="360" w:val="left"/>
        </w:tabs>
        <w:numPr>
          <w:ilvl w:val="0"/>
          <w:numId w:val="298"/>
        </w:numPr>
        <w:rPr>
          <w:rFonts w:ascii="Arial" w:cs="Arial" w:eastAsia="Arial" w:hAnsi="Arial"/>
          <w:sz w:val="10"/>
          <w:szCs w:val="10"/>
          <w:color w:val="auto"/>
        </w:rPr>
      </w:pPr>
      <w:r>
        <w:rPr>
          <w:rFonts w:ascii="Arial" w:cs="Arial" w:eastAsia="Arial" w:hAnsi="Arial"/>
          <w:sz w:val="10"/>
          <w:szCs w:val="10"/>
          <w:color w:val="auto"/>
        </w:rPr>
        <w:t>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252970" cy="7366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2970" cy="73660"/>
                    </a:xfrm>
                    <a:prstGeom prst="rect">
                      <a:avLst/>
                    </a:prstGeom>
                    <a:noFill/>
                  </pic:spPr>
                </pic:pic>
              </a:graphicData>
            </a:graphic>
          </wp:anchor>
        </w:drawing>
      </w:r>
    </w:p>
    <w:p>
      <w:pPr>
        <w:ind w:left="360" w:hanging="357"/>
        <w:spacing w:after="0"/>
        <w:tabs>
          <w:tab w:leader="none" w:pos="360" w:val="left"/>
        </w:tabs>
        <w:numPr>
          <w:ilvl w:val="0"/>
          <w:numId w:val="299"/>
        </w:numPr>
        <w:rPr>
          <w:rFonts w:ascii="Arial" w:cs="Arial" w:eastAsia="Arial" w:hAnsi="Arial"/>
          <w:sz w:val="10"/>
          <w:szCs w:val="10"/>
          <w:color w:val="auto"/>
        </w:rPr>
      </w:pPr>
      <w:r>
        <w:rPr>
          <w:rFonts w:ascii="Arial" w:cs="Arial" w:eastAsia="Arial" w:hAnsi="Arial"/>
          <w:sz w:val="10"/>
          <w:szCs w:val="10"/>
          <w:color w:val="auto"/>
        </w:rPr>
        <w:t>PR</w:t>
      </w:r>
    </w:p>
    <w:p>
      <w:pPr>
        <w:spacing w:after="0" w:line="1" w:lineRule="exact"/>
        <w:rPr>
          <w:sz w:val="20"/>
          <w:szCs w:val="20"/>
          <w:color w:val="auto"/>
        </w:rPr>
      </w:pPr>
    </w:p>
    <w:p>
      <w:pPr>
        <w:ind w:left="360" w:hanging="357"/>
        <w:spacing w:after="0"/>
        <w:tabs>
          <w:tab w:leader="none" w:pos="360" w:val="left"/>
        </w:tabs>
        <w:numPr>
          <w:ilvl w:val="0"/>
          <w:numId w:val="300"/>
        </w:numPr>
        <w:rPr>
          <w:rFonts w:ascii="Arial" w:cs="Arial" w:eastAsia="Arial" w:hAnsi="Arial"/>
          <w:sz w:val="9"/>
          <w:szCs w:val="9"/>
          <w:color w:val="auto"/>
        </w:rPr>
      </w:pPr>
      <w:r>
        <w:rPr>
          <w:rFonts w:ascii="Arial" w:cs="Arial" w:eastAsia="Arial" w:hAnsi="Arial"/>
          <w:sz w:val="9"/>
          <w:szCs w:val="9"/>
          <w:color w:val="auto"/>
        </w:rPr>
        <w:t>Regulatory counsel</w:t>
      </w:r>
    </w:p>
    <w:p>
      <w:pPr>
        <w:spacing w:after="0" w:line="12" w:lineRule="exact"/>
        <w:rPr>
          <w:rFonts w:ascii="Arial" w:cs="Arial" w:eastAsia="Arial" w:hAnsi="Arial"/>
          <w:sz w:val="9"/>
          <w:szCs w:val="9"/>
          <w:color w:val="auto"/>
        </w:rPr>
      </w:pPr>
    </w:p>
    <w:p>
      <w:pPr>
        <w:ind w:left="360" w:right="10220" w:hanging="347"/>
        <w:spacing w:after="0" w:line="241" w:lineRule="auto"/>
        <w:rPr>
          <w:rFonts w:ascii="Arial" w:cs="Arial" w:eastAsia="Arial" w:hAnsi="Arial"/>
          <w:sz w:val="9"/>
          <w:szCs w:val="9"/>
          <w:color w:val="auto"/>
        </w:rPr>
      </w:pPr>
      <w:r>
        <w:rPr>
          <w:rFonts w:ascii="Arial" w:cs="Arial" w:eastAsia="Arial" w:hAnsi="Arial"/>
          <w:sz w:val="10"/>
          <w:szCs w:val="10"/>
          <w:color w:val="auto"/>
        </w:rPr>
        <w:t>5Payments to medical experts</w:t>
      </w:r>
    </w:p>
    <w:p>
      <w:pPr>
        <w:ind w:left="360" w:right="10340" w:hanging="347"/>
        <w:spacing w:after="0" w:line="241" w:lineRule="auto"/>
        <w:rPr>
          <w:rFonts w:ascii="Arial" w:cs="Arial" w:eastAsia="Arial" w:hAnsi="Arial"/>
          <w:sz w:val="9"/>
          <w:szCs w:val="9"/>
          <w:color w:val="auto"/>
        </w:rPr>
      </w:pPr>
      <w:r>
        <w:rPr>
          <w:rFonts w:ascii="Arial" w:cs="Arial" w:eastAsia="Arial" w:hAnsi="Arial"/>
          <w:sz w:val="10"/>
          <w:szCs w:val="10"/>
          <w:color w:val="auto"/>
        </w:rPr>
        <w:t>6Bookkeeping and accountant</w:t>
      </w:r>
    </w:p>
    <w:p>
      <w:pPr>
        <w:ind w:left="360" w:right="10240" w:hanging="347"/>
        <w:spacing w:after="0" w:line="241" w:lineRule="auto"/>
        <w:rPr>
          <w:rFonts w:ascii="Arial" w:cs="Arial" w:eastAsia="Arial" w:hAnsi="Arial"/>
          <w:sz w:val="9"/>
          <w:szCs w:val="9"/>
          <w:color w:val="auto"/>
        </w:rPr>
      </w:pPr>
      <w:r>
        <w:rPr>
          <w:rFonts w:ascii="Arial" w:cs="Arial" w:eastAsia="Arial" w:hAnsi="Arial"/>
          <w:sz w:val="10"/>
          <w:szCs w:val="10"/>
          <w:color w:val="auto"/>
        </w:rPr>
        <w:t>7Intellectual property counsel</w:t>
      </w:r>
    </w:p>
    <w:p>
      <w:pPr>
        <w:spacing w:after="0"/>
        <w:rPr>
          <w:rFonts w:ascii="Arial" w:cs="Arial" w:eastAsia="Arial" w:hAnsi="Arial"/>
          <w:sz w:val="9"/>
          <w:szCs w:val="9"/>
          <w:color w:val="auto"/>
        </w:rPr>
      </w:pPr>
      <w:r>
        <w:rPr>
          <w:rFonts w:ascii="Arial" w:cs="Arial" w:eastAsia="Arial" w:hAnsi="Arial"/>
          <w:sz w:val="10"/>
          <w:szCs w:val="10"/>
          <w:color w:val="auto"/>
        </w:rPr>
        <w:t>8</w:t>
      </w:r>
      <w:r>
        <w:rPr>
          <w:rFonts w:ascii="Arial" w:cs="Arial" w:eastAsia="Arial" w:hAnsi="Arial"/>
          <w:sz w:val="9"/>
          <w:szCs w:val="9"/>
          <w:color w:val="auto"/>
        </w:rPr>
        <w:t>Program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-586105</wp:posOffset>
            </wp:positionV>
            <wp:extent cx="7252970" cy="7366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52970" cy="73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-365125</wp:posOffset>
            </wp:positionV>
            <wp:extent cx="7252970" cy="1473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29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-71120</wp:posOffset>
            </wp:positionV>
            <wp:extent cx="7252970" cy="7366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52970" cy="7366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p>
      <w:pPr>
        <w:spacing w:after="0" w:line="7" w:lineRule="exact"/>
        <w:rPr>
          <w:sz w:val="20"/>
          <w:szCs w:val="20"/>
          <w:color w:val="auto"/>
        </w:rPr>
      </w:pPr>
    </w:p>
    <w:p>
      <w:pPr>
        <w:spacing w:after="0"/>
        <w:tabs>
          <w:tab w:leader="none" w:pos="340" w:val="left"/>
        </w:tabs>
        <w:rPr>
          <w:sz w:val="20"/>
          <w:szCs w:val="20"/>
          <w:color w:val="auto"/>
        </w:rPr>
      </w:pPr>
      <w:r>
        <w:rPr>
          <w:rFonts w:ascii="Arial" w:cs="Arial" w:eastAsia="Arial" w:hAnsi="Arial"/>
          <w:sz w:val="9"/>
          <w:szCs w:val="9"/>
          <w:color w:val="auto"/>
        </w:rPr>
        <w:t>C</w:t>
      </w:r>
      <w:r>
        <w:rPr>
          <w:sz w:val="20"/>
          <w:szCs w:val="20"/>
          <w:color w:val="auto"/>
        </w:rPr>
        <w:tab/>
      </w:r>
      <w:r>
        <w:rPr>
          <w:rFonts w:ascii="Arial" w:cs="Arial" w:eastAsia="Arial" w:hAnsi="Arial"/>
          <w:sz w:val="9"/>
          <w:szCs w:val="9"/>
          <w:color w:val="auto"/>
        </w:rPr>
        <w:t>Equipment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Total Services</w:t>
      </w:r>
    </w:p>
    <w:p>
      <w:pPr>
        <w:spacing w:after="0" w:line="12" w:lineRule="exact"/>
        <w:rPr>
          <w:sz w:val="20"/>
          <w:szCs w:val="20"/>
          <w:color w:val="auto"/>
        </w:rPr>
      </w:pPr>
    </w:p>
    <w:p>
      <w:pPr>
        <w:sectPr>
          <w:pgSz w:w="11900" w:h="16838" w:orient="portrait"/>
          <w:cols w:equalWidth="0" w:num="2">
            <w:col w:w="6140" w:space="720"/>
            <w:col w:w="4560"/>
          </w:cols>
          <w:pgMar w:left="240" w:top="592" w:right="239" w:bottom="1440" w:gutter="0" w:footer="0" w:header="0"/>
          <w:type w:val="continuous"/>
        </w:sectPr>
      </w:pPr>
    </w:p>
    <w:p>
      <w:pPr>
        <w:ind w:left="360"/>
        <w:spacing w:after="0"/>
        <w:rPr>
          <w:sz w:val="20"/>
          <w:szCs w:val="20"/>
          <w:color w:val="auto"/>
        </w:rPr>
      </w:pPr>
      <w:r>
        <w:rPr>
          <w:rFonts w:ascii="Arial" w:cs="Arial" w:eastAsia="Arial" w:hAnsi="Arial"/>
          <w:sz w:val="9"/>
          <w:szCs w:val="9"/>
          <w:color w:val="auto"/>
        </w:rPr>
        <w:t>Item/Type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252970" cy="7366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2970" cy="7366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type w:val="continuous"/>
        </w:sectPr>
      </w:pPr>
    </w:p>
    <w:p>
      <w:pPr>
        <w:spacing w:after="0" w:line="7" w:lineRule="exact"/>
        <w:rPr>
          <w:sz w:val="20"/>
          <w:szCs w:val="20"/>
          <w:color w:val="auto"/>
        </w:rPr>
      </w:pPr>
    </w:p>
    <w:p>
      <w:pPr>
        <w:ind w:left="360" w:hanging="357"/>
        <w:spacing w:after="0"/>
        <w:tabs>
          <w:tab w:leader="none" w:pos="360" w:val="left"/>
        </w:tabs>
        <w:numPr>
          <w:ilvl w:val="0"/>
          <w:numId w:val="301"/>
        </w:numPr>
        <w:rPr>
          <w:rFonts w:ascii="Arial" w:cs="Arial" w:eastAsia="Arial" w:hAnsi="Arial"/>
          <w:sz w:val="10"/>
          <w:szCs w:val="10"/>
          <w:color w:val="auto"/>
        </w:rPr>
      </w:pPr>
      <w:r>
        <w:rPr>
          <w:rFonts w:ascii="Arial" w:cs="Arial" w:eastAsia="Arial" w:hAnsi="Arial"/>
          <w:sz w:val="10"/>
          <w:szCs w:val="10"/>
          <w:color w:val="auto"/>
        </w:rPr>
        <w:t>Office equipment</w:t>
      </w:r>
    </w:p>
    <w:p>
      <w:pPr>
        <w:ind w:left="360" w:right="10480" w:hanging="347"/>
        <w:spacing w:after="0" w:line="241" w:lineRule="auto"/>
        <w:rPr>
          <w:rFonts w:ascii="Arial" w:cs="Arial" w:eastAsia="Arial" w:hAnsi="Arial"/>
          <w:sz w:val="10"/>
          <w:szCs w:val="10"/>
          <w:color w:val="auto"/>
        </w:rPr>
      </w:pPr>
      <w:r>
        <w:rPr>
          <w:rFonts w:ascii="Arial" w:cs="Arial" w:eastAsia="Arial" w:hAnsi="Arial"/>
          <w:sz w:val="10"/>
          <w:szCs w:val="10"/>
          <w:color w:val="auto"/>
        </w:rPr>
        <w:t>2Computer and network</w:t>
      </w:r>
    </w:p>
    <w:p>
      <w:pPr>
        <w:spacing w:after="0" w:line="1" w:lineRule="exact"/>
        <w:rPr>
          <w:sz w:val="20"/>
          <w:szCs w:val="20"/>
          <w:color w:val="auto"/>
        </w:rPr>
      </w:pPr>
    </w:p>
    <w:p>
      <w:pPr>
        <w:ind w:left="360" w:hanging="357"/>
        <w:spacing w:after="0"/>
        <w:tabs>
          <w:tab w:leader="none" w:pos="360" w:val="left"/>
        </w:tabs>
        <w:numPr>
          <w:ilvl w:val="0"/>
          <w:numId w:val="302"/>
        </w:numPr>
        <w:rPr>
          <w:rFonts w:ascii="Arial" w:cs="Arial" w:eastAsia="Arial" w:hAnsi="Arial"/>
          <w:sz w:val="10"/>
          <w:szCs w:val="10"/>
          <w:color w:val="auto"/>
        </w:rPr>
      </w:pPr>
      <w:r>
        <w:rPr>
          <w:rFonts w:ascii="Arial" w:cs="Arial" w:eastAsia="Arial" w:hAnsi="Arial"/>
          <w:sz w:val="10"/>
          <w:szCs w:val="10"/>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52970" cy="736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2970" cy="73660"/>
                    </a:xfrm>
                    <a:prstGeom prst="rect">
                      <a:avLst/>
                    </a:prstGeom>
                    <a:noFill/>
                  </pic:spPr>
                </pic:pic>
              </a:graphicData>
            </a:graphic>
          </wp:anchor>
        </w:drawing>
      </w:r>
    </w:p>
    <w:p>
      <w:pPr>
        <w:ind w:left="360" w:hanging="357"/>
        <w:spacing w:after="0"/>
        <w:tabs>
          <w:tab w:leader="none" w:pos="360" w:val="left"/>
        </w:tabs>
        <w:numPr>
          <w:ilvl w:val="0"/>
          <w:numId w:val="303"/>
        </w:numPr>
        <w:rPr>
          <w:rFonts w:ascii="Arial" w:cs="Arial" w:eastAsia="Arial" w:hAnsi="Arial"/>
          <w:sz w:val="9"/>
          <w:szCs w:val="9"/>
          <w:color w:val="auto"/>
        </w:rPr>
      </w:pPr>
      <w:r>
        <w:rPr>
          <w:rFonts w:ascii="Arial" w:cs="Arial" w:eastAsia="Arial" w:hAnsi="Arial"/>
          <w:sz w:val="9"/>
          <w:szCs w:val="9"/>
          <w:color w:val="auto"/>
        </w:rPr>
        <w:t>Setting up central lab</w:t>
      </w:r>
    </w:p>
    <w:p>
      <w:pPr>
        <w:spacing w:after="0" w:line="1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0"/>
          <w:szCs w:val="10"/>
          <w:color w:val="auto"/>
        </w:rPr>
        <w:t>5</w:t>
      </w:r>
      <w:r>
        <w:rPr>
          <w:rFonts w:ascii="Arial" w:cs="Arial" w:eastAsia="Arial" w:hAnsi="Arial"/>
          <w:sz w:val="9"/>
          <w:szCs w:val="9"/>
          <w:color w:val="auto"/>
        </w:rPr>
        <w:t>Setting up offices</w:t>
      </w:r>
    </w:p>
    <w:p>
      <w:pPr>
        <w:spacing w:after="0"/>
        <w:rPr>
          <w:rFonts w:ascii="Arial" w:cs="Arial" w:eastAsia="Arial" w:hAnsi="Arial"/>
          <w:sz w:val="9"/>
          <w:szCs w:val="9"/>
          <w:color w:val="auto"/>
        </w:rPr>
      </w:pPr>
      <w:r>
        <w:rPr>
          <w:rFonts w:ascii="Arial" w:cs="Arial" w:eastAsia="Arial" w:hAnsi="Arial"/>
          <w:sz w:val="10"/>
          <w:szCs w:val="10"/>
          <w:color w:val="auto"/>
        </w:rPr>
        <w:t>6</w:t>
      </w:r>
      <w:r>
        <w:rPr>
          <w:rFonts w:ascii="Arial" w:cs="Arial" w:eastAsia="Arial" w:hAnsi="Arial"/>
          <w:sz w:val="9"/>
          <w:szCs w:val="9"/>
          <w:color w:val="auto"/>
        </w:rPr>
        <w:t>Office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2970" cy="7366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2970" cy="73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7252970" cy="1473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type w:val="continuous"/>
        </w:sectPr>
      </w:pPr>
    </w:p>
    <w:p>
      <w:pPr>
        <w:spacing w:after="0" w:line="7" w:lineRule="exact"/>
        <w:rPr>
          <w:sz w:val="20"/>
          <w:szCs w:val="20"/>
          <w:color w:val="auto"/>
        </w:rPr>
      </w:pPr>
    </w:p>
    <w:p>
      <w:pPr>
        <w:spacing w:after="0"/>
        <w:tabs>
          <w:tab w:leader="none" w:pos="340" w:val="left"/>
        </w:tabs>
        <w:rPr>
          <w:sz w:val="20"/>
          <w:szCs w:val="20"/>
          <w:color w:val="auto"/>
        </w:rPr>
      </w:pPr>
      <w:r>
        <w:rPr>
          <w:rFonts w:ascii="Arial" w:cs="Arial" w:eastAsia="Arial" w:hAnsi="Arial"/>
          <w:sz w:val="9"/>
          <w:szCs w:val="9"/>
          <w:color w:val="auto"/>
        </w:rPr>
        <w:t>D</w:t>
      </w:r>
      <w:r>
        <w:rPr>
          <w:sz w:val="20"/>
          <w:szCs w:val="20"/>
          <w:color w:val="auto"/>
        </w:rPr>
        <w:tab/>
      </w:r>
      <w:r>
        <w:rPr>
          <w:rFonts w:ascii="Arial" w:cs="Arial" w:eastAsia="Arial" w:hAnsi="Arial"/>
          <w:sz w:val="9"/>
          <w:szCs w:val="9"/>
          <w:color w:val="auto"/>
        </w:rPr>
        <w:t>Miscellaneous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Total</w:t>
      </w:r>
    </w:p>
    <w:p>
      <w:pPr>
        <w:spacing w:after="0"/>
        <w:rPr>
          <w:sz w:val="20"/>
          <w:szCs w:val="20"/>
          <w:color w:val="auto"/>
        </w:rPr>
      </w:pPr>
      <w:r>
        <w:rPr>
          <w:rFonts w:ascii="Arial" w:cs="Arial" w:eastAsia="Arial" w:hAnsi="Arial"/>
          <w:sz w:val="9"/>
          <w:szCs w:val="9"/>
          <w:color w:val="auto"/>
        </w:rPr>
        <w:t>equipment</w:t>
      </w:r>
    </w:p>
    <w:p>
      <w:pPr>
        <w:spacing w:after="0" w:line="13" w:lineRule="exact"/>
        <w:rPr>
          <w:sz w:val="20"/>
          <w:szCs w:val="20"/>
          <w:color w:val="auto"/>
        </w:rPr>
      </w:pPr>
    </w:p>
    <w:p>
      <w:pPr>
        <w:sectPr>
          <w:pgSz w:w="11900" w:h="16838" w:orient="portrait"/>
          <w:cols w:equalWidth="0" w:num="2">
            <w:col w:w="6140" w:space="720"/>
            <w:col w:w="4560"/>
          </w:cols>
          <w:pgMar w:left="240" w:top="592" w:right="239" w:bottom="1440" w:gutter="0" w:footer="0" w:header="0"/>
          <w:type w:val="continuous"/>
        </w:sectPr>
      </w:pPr>
    </w:p>
    <w:p>
      <w:pPr>
        <w:ind w:left="360" w:hanging="357"/>
        <w:spacing w:after="0"/>
        <w:tabs>
          <w:tab w:leader="none" w:pos="360" w:val="left"/>
        </w:tabs>
        <w:numPr>
          <w:ilvl w:val="0"/>
          <w:numId w:val="304"/>
        </w:numPr>
        <w:rPr>
          <w:rFonts w:ascii="Arial" w:cs="Arial" w:eastAsia="Arial" w:hAnsi="Arial"/>
          <w:sz w:val="10"/>
          <w:szCs w:val="10"/>
          <w:color w:val="auto"/>
        </w:rPr>
      </w:pPr>
      <w:r>
        <w:rPr>
          <w:rFonts w:ascii="Arial" w:cs="Arial" w:eastAsia="Arial" w:hAnsi="Arial"/>
          <w:sz w:val="10"/>
          <w:szCs w:val="10"/>
          <w:color w:val="auto"/>
        </w:rPr>
        <w:t>Rent and upkeep</w:t>
      </w:r>
    </w:p>
    <w:p>
      <w:pPr>
        <w:spacing w:after="0"/>
        <w:rPr>
          <w:rFonts w:ascii="Arial" w:cs="Arial" w:eastAsia="Arial" w:hAnsi="Arial"/>
          <w:sz w:val="10"/>
          <w:szCs w:val="10"/>
          <w:color w:val="auto"/>
        </w:rPr>
      </w:pPr>
      <w:r>
        <w:rPr>
          <w:rFonts w:ascii="Arial" w:cs="Arial" w:eastAsia="Arial" w:hAnsi="Arial"/>
          <w:sz w:val="10"/>
          <w:szCs w:val="10"/>
          <w:color w:val="auto"/>
        </w:rPr>
        <w:t>2</w:t>
      </w:r>
      <w:r>
        <w:rPr>
          <w:rFonts w:ascii="Arial" w:cs="Arial" w:eastAsia="Arial" w:hAnsi="Arial"/>
          <w:sz w:val="9"/>
          <w:szCs w:val="9"/>
          <w:color w:val="auto"/>
        </w:rPr>
        <w:t>Municipal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52970" cy="736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2970" cy="73660"/>
                    </a:xfrm>
                    <a:prstGeom prst="rect">
                      <a:avLst/>
                    </a:prstGeom>
                    <a:noFill/>
                  </pic:spPr>
                </pic:pic>
              </a:graphicData>
            </a:graphic>
          </wp:anchor>
        </w:drawing>
      </w:r>
    </w:p>
    <w:p>
      <w:pPr>
        <w:ind w:left="360" w:hanging="357"/>
        <w:spacing w:after="0"/>
        <w:tabs>
          <w:tab w:leader="none" w:pos="360" w:val="left"/>
        </w:tabs>
        <w:numPr>
          <w:ilvl w:val="0"/>
          <w:numId w:val="305"/>
        </w:numPr>
        <w:rPr>
          <w:rFonts w:ascii="Arial" w:cs="Arial" w:eastAsia="Arial" w:hAnsi="Arial"/>
          <w:sz w:val="10"/>
          <w:szCs w:val="10"/>
          <w:color w:val="auto"/>
        </w:rPr>
      </w:pPr>
      <w:r>
        <w:rPr>
          <w:rFonts w:ascii="Arial" w:cs="Arial" w:eastAsia="Arial" w:hAnsi="Arial"/>
          <w:sz w:val="10"/>
          <w:szCs w:val="10"/>
          <w:color w:val="auto"/>
        </w:rPr>
        <w:t>Communications</w:t>
      </w:r>
    </w:p>
    <w:p>
      <w:pPr>
        <w:ind w:left="360" w:right="10580" w:hanging="347"/>
        <w:spacing w:after="0" w:line="268" w:lineRule="auto"/>
        <w:rPr>
          <w:rFonts w:ascii="Arial" w:cs="Arial" w:eastAsia="Arial" w:hAnsi="Arial"/>
          <w:sz w:val="10"/>
          <w:szCs w:val="10"/>
          <w:color w:val="auto"/>
        </w:rPr>
      </w:pPr>
      <w:r>
        <w:rPr>
          <w:rFonts w:ascii="Arial" w:cs="Arial" w:eastAsia="Arial" w:hAnsi="Arial"/>
          <w:sz w:val="10"/>
          <w:szCs w:val="10"/>
          <w:color w:val="auto"/>
        </w:rPr>
        <w:t>4</w:t>
      </w:r>
      <w:r>
        <w:rPr>
          <w:rFonts w:ascii="Arial" w:cs="Arial" w:eastAsia="Arial" w:hAnsi="Arial"/>
          <w:sz w:val="9"/>
          <w:szCs w:val="9"/>
          <w:color w:val="auto"/>
        </w:rPr>
        <w:t>Vehicles for executives</w:t>
      </w:r>
    </w:p>
    <w:p>
      <w:pPr>
        <w:spacing w:after="0"/>
        <w:rPr>
          <w:rFonts w:ascii="Arial" w:cs="Arial" w:eastAsia="Arial" w:hAnsi="Arial"/>
          <w:sz w:val="10"/>
          <w:szCs w:val="10"/>
          <w:color w:val="auto"/>
        </w:rPr>
      </w:pPr>
      <w:r>
        <w:rPr>
          <w:rFonts w:ascii="Arial" w:cs="Arial" w:eastAsia="Arial" w:hAnsi="Arial"/>
          <w:sz w:val="10"/>
          <w:szCs w:val="10"/>
          <w:color w:val="auto"/>
        </w:rPr>
        <w:t>5</w:t>
      </w:r>
      <w:r>
        <w:rPr>
          <w:rFonts w:ascii="Arial" w:cs="Arial" w:eastAsia="Arial" w:hAnsi="Arial"/>
          <w:sz w:val="9"/>
          <w:szCs w:val="9"/>
          <w:color w:val="auto"/>
        </w:rPr>
        <w:t>Upkeep of central lab</w:t>
      </w:r>
    </w:p>
    <w:p>
      <w:pPr>
        <w:ind w:left="360" w:right="10140" w:hanging="347"/>
        <w:spacing w:after="0" w:line="302" w:lineRule="auto"/>
        <w:rPr>
          <w:rFonts w:ascii="Arial" w:cs="Arial" w:eastAsia="Arial" w:hAnsi="Arial"/>
          <w:sz w:val="10"/>
          <w:szCs w:val="10"/>
          <w:color w:val="auto"/>
        </w:rPr>
      </w:pPr>
      <w:r>
        <w:rPr>
          <w:rFonts w:ascii="Arial" w:cs="Arial" w:eastAsia="Arial" w:hAnsi="Arial"/>
          <w:sz w:val="10"/>
          <w:szCs w:val="10"/>
          <w:color w:val="auto"/>
        </w:rPr>
        <w:t>6</w:t>
      </w:r>
      <w:r>
        <w:rPr>
          <w:rFonts w:ascii="Arial" w:cs="Arial" w:eastAsia="Arial" w:hAnsi="Arial"/>
          <w:sz w:val="8"/>
          <w:szCs w:val="8"/>
          <w:color w:val="auto"/>
        </w:rPr>
        <w:t>Subscriptions to journals and databases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252970" cy="147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29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7252970" cy="1473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8"/>
        </w:trPr>
        <w:tc>
          <w:tcPr>
            <w:tcW w:w="200" w:type="dxa"/>
            <w:vAlign w:val="bottom"/>
          </w:tcPr>
          <w:p>
            <w:pPr>
              <w:spacing w:after="0" w:line="108" w:lineRule="exact"/>
              <w:rPr>
                <w:sz w:val="20"/>
                <w:szCs w:val="20"/>
                <w:color w:val="auto"/>
              </w:rPr>
            </w:pPr>
            <w:r>
              <w:rPr>
                <w:rFonts w:ascii="Arial" w:cs="Arial" w:eastAsia="Arial" w:hAnsi="Arial"/>
                <w:sz w:val="10"/>
                <w:szCs w:val="10"/>
                <w:color w:val="auto"/>
              </w:rPr>
              <w:t>E</w:t>
            </w:r>
          </w:p>
        </w:tc>
        <w:tc>
          <w:tcPr>
            <w:tcW w:w="3620" w:type="dxa"/>
            <w:vAlign w:val="bottom"/>
          </w:tcPr>
          <w:p>
            <w:pPr>
              <w:ind w:left="160"/>
              <w:spacing w:after="0" w:line="108" w:lineRule="exact"/>
              <w:rPr>
                <w:sz w:val="20"/>
                <w:szCs w:val="20"/>
                <w:color w:val="auto"/>
              </w:rPr>
            </w:pPr>
            <w:r>
              <w:rPr>
                <w:rFonts w:ascii="Arial" w:cs="Arial" w:eastAsia="Arial" w:hAnsi="Arial"/>
                <w:sz w:val="10"/>
                <w:szCs w:val="10"/>
                <w:color w:val="auto"/>
              </w:rPr>
              <w:t>Marketing</w:t>
            </w:r>
          </w:p>
        </w:tc>
        <w:tc>
          <w:tcPr>
            <w:tcW w:w="7600" w:type="dxa"/>
            <w:vAlign w:val="bottom"/>
          </w:tcPr>
          <w:p>
            <w:pPr>
              <w:ind w:left="3040"/>
              <w:spacing w:after="0" w:line="108" w:lineRule="exact"/>
              <w:rPr>
                <w:sz w:val="20"/>
                <w:szCs w:val="20"/>
                <w:color w:val="auto"/>
              </w:rPr>
            </w:pPr>
            <w:r>
              <w:rPr>
                <w:rFonts w:ascii="Arial" w:cs="Arial" w:eastAsia="Arial" w:hAnsi="Arial"/>
                <w:sz w:val="10"/>
                <w:szCs w:val="10"/>
                <w:color w:val="auto"/>
              </w:rPr>
              <w:t>Total</w:t>
            </w:r>
          </w:p>
        </w:tc>
      </w:tr>
      <w:tr>
        <w:trPr>
          <w:trHeight w:val="130"/>
        </w:trPr>
        <w:tc>
          <w:tcPr>
            <w:tcW w:w="2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600" w:type="dxa"/>
            <w:vAlign w:val="bottom"/>
          </w:tcPr>
          <w:p>
            <w:pPr>
              <w:ind w:left="3040"/>
              <w:spacing w:after="0"/>
              <w:rPr>
                <w:sz w:val="20"/>
                <w:szCs w:val="20"/>
                <w:color w:val="auto"/>
              </w:rPr>
            </w:pPr>
            <w:r>
              <w:rPr>
                <w:rFonts w:ascii="Arial" w:cs="Arial" w:eastAsia="Arial" w:hAnsi="Arial"/>
                <w:sz w:val="10"/>
                <w:szCs w:val="10"/>
                <w:color w:val="auto"/>
              </w:rPr>
              <w:t>miscellaneous</w:t>
            </w:r>
          </w:p>
        </w:tc>
      </w:tr>
      <w:tr>
        <w:trPr>
          <w:trHeight w:val="803"/>
        </w:trPr>
        <w:tc>
          <w:tcPr>
            <w:tcW w:w="20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7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type w:val="continuous"/>
        </w:sectPr>
      </w:pPr>
    </w:p>
    <w:bookmarkStart w:id="390" w:name="page391"/>
    <w:bookmarkEnd w:id="390"/>
    <w:p>
      <w:pPr>
        <w:ind w:left="360" w:right="10500" w:hanging="357"/>
        <w:spacing w:after="0" w:line="277" w:lineRule="auto"/>
        <w:tabs>
          <w:tab w:leader="none" w:pos="360" w:val="left"/>
        </w:tabs>
        <w:numPr>
          <w:ilvl w:val="0"/>
          <w:numId w:val="306"/>
        </w:numPr>
        <w:rPr>
          <w:rFonts w:ascii="Arial" w:cs="Arial" w:eastAsia="Arial" w:hAnsi="Arial"/>
          <w:sz w:val="9"/>
          <w:szCs w:val="9"/>
          <w:color w:val="auto"/>
        </w:rPr>
      </w:pPr>
      <w:r>
        <w:rPr>
          <w:rFonts w:ascii="Arial" w:cs="Arial" w:eastAsia="Arial" w:hAnsi="Arial"/>
          <w:sz w:val="9"/>
          <w:szCs w:val="9"/>
          <w:color w:val="auto"/>
        </w:rPr>
        <w:t>Attendance at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2970" cy="1473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2970" cy="147320"/>
                    </a:xfrm>
                    <a:prstGeom prst="rect">
                      <a:avLst/>
                    </a:prstGeom>
                    <a:noFill/>
                  </pic:spPr>
                </pic:pic>
              </a:graphicData>
            </a:graphic>
          </wp:anchor>
        </w:drawing>
      </w:r>
    </w:p>
    <w:p>
      <w:pPr>
        <w:ind w:left="360" w:right="10440" w:hanging="357"/>
        <w:spacing w:after="0" w:line="268" w:lineRule="auto"/>
        <w:tabs>
          <w:tab w:leader="none" w:pos="360" w:val="left"/>
        </w:tabs>
        <w:numPr>
          <w:ilvl w:val="0"/>
          <w:numId w:val="307"/>
        </w:numPr>
        <w:rPr>
          <w:rFonts w:ascii="Arial" w:cs="Arial" w:eastAsia="Arial" w:hAnsi="Arial"/>
          <w:sz w:val="9"/>
          <w:szCs w:val="9"/>
          <w:color w:val="auto"/>
        </w:rPr>
      </w:pPr>
      <w:r>
        <w:rPr>
          <w:rFonts w:ascii="Arial" w:cs="Arial" w:eastAsia="Arial" w:hAnsi="Arial"/>
          <w:sz w:val="9"/>
          <w:szCs w:val="9"/>
          <w:color w:val="auto"/>
        </w:rPr>
        <w:t>Sponsorship of conferences</w:t>
      </w:r>
    </w:p>
    <w:p>
      <w:pPr>
        <w:ind w:left="360" w:hanging="357"/>
        <w:spacing w:after="0"/>
        <w:tabs>
          <w:tab w:leader="none" w:pos="360" w:val="left"/>
        </w:tabs>
        <w:numPr>
          <w:ilvl w:val="0"/>
          <w:numId w:val="308"/>
        </w:numPr>
        <w:rPr>
          <w:rFonts w:ascii="Arial" w:cs="Arial" w:eastAsia="Arial" w:hAnsi="Arial"/>
          <w:sz w:val="10"/>
          <w:szCs w:val="10"/>
          <w:color w:val="auto"/>
        </w:rPr>
      </w:pPr>
      <w:r>
        <w:rPr>
          <w:rFonts w:ascii="Arial" w:cs="Arial" w:eastAsia="Arial" w:hAnsi="Arial"/>
          <w:sz w:val="10"/>
          <w:szCs w:val="10"/>
          <w:color w:val="auto"/>
        </w:rPr>
        <w:t>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52970" cy="736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2970" cy="73660"/>
                    </a:xfrm>
                    <a:prstGeom prst="rect">
                      <a:avLst/>
                    </a:prstGeom>
                    <a:noFill/>
                  </pic:spPr>
                </pic:pic>
              </a:graphicData>
            </a:graphic>
          </wp:anchor>
        </w:drawing>
      </w:r>
    </w:p>
    <w:p>
      <w:pPr>
        <w:ind w:left="360" w:right="10200" w:hanging="357"/>
        <w:spacing w:after="0" w:line="268" w:lineRule="auto"/>
        <w:tabs>
          <w:tab w:leader="none" w:pos="360" w:val="left"/>
        </w:tabs>
        <w:numPr>
          <w:ilvl w:val="0"/>
          <w:numId w:val="309"/>
        </w:numPr>
        <w:rPr>
          <w:rFonts w:ascii="Arial" w:cs="Arial" w:eastAsia="Arial" w:hAnsi="Arial"/>
          <w:sz w:val="9"/>
          <w:szCs w:val="9"/>
          <w:color w:val="auto"/>
        </w:rPr>
      </w:pPr>
      <w:r>
        <w:rPr>
          <w:rFonts w:ascii="Arial" w:cs="Arial" w:eastAsia="Arial" w:hAnsi="Arial"/>
          <w:sz w:val="9"/>
          <w:szCs w:val="9"/>
          <w:color w:val="auto"/>
        </w:rPr>
        <w:t>Producing marketing materials</w:t>
      </w:r>
    </w:p>
    <w:tbl>
      <w:tblPr>
        <w:tblLayout w:type="fixed"/>
        <w:tblInd w:w="0" w:type="dxa"/>
        <w:tblCellMar>
          <w:top w:w="0" w:type="dxa"/>
          <w:left w:w="0" w:type="dxa"/>
          <w:bottom w:w="0" w:type="dxa"/>
          <w:right w:w="0" w:type="dxa"/>
        </w:tblCellMar>
      </w:tblPr>
      <w:tr>
        <w:trPr>
          <w:trHeight w:val="108"/>
        </w:trPr>
        <w:tc>
          <w:tcPr>
            <w:tcW w:w="4020" w:type="dxa"/>
            <w:vAlign w:val="bottom"/>
            <w:shd w:val="clear" w:color="auto" w:fill="CCFFCC"/>
          </w:tcPr>
          <w:p>
            <w:pPr>
              <w:spacing w:after="0"/>
              <w:rPr>
                <w:sz w:val="9"/>
                <w:szCs w:val="9"/>
                <w:color w:val="auto"/>
              </w:rPr>
            </w:pPr>
          </w:p>
        </w:tc>
        <w:tc>
          <w:tcPr>
            <w:tcW w:w="7400" w:type="dxa"/>
            <w:vAlign w:val="bottom"/>
            <w:shd w:val="clear" w:color="auto" w:fill="CCFFCC"/>
          </w:tcPr>
          <w:p>
            <w:pPr>
              <w:ind w:left="2920"/>
              <w:spacing w:after="0" w:line="108" w:lineRule="exact"/>
              <w:rPr>
                <w:sz w:val="20"/>
                <w:szCs w:val="20"/>
                <w:color w:val="auto"/>
              </w:rPr>
            </w:pPr>
            <w:r>
              <w:rPr>
                <w:rFonts w:ascii="Arial" w:cs="Arial" w:eastAsia="Arial" w:hAnsi="Arial"/>
                <w:sz w:val="10"/>
                <w:szCs w:val="10"/>
                <w:color w:val="auto"/>
              </w:rPr>
              <w:t>Total</w:t>
            </w:r>
          </w:p>
        </w:tc>
      </w:tr>
      <w:tr>
        <w:trPr>
          <w:trHeight w:val="125"/>
        </w:trPr>
        <w:tc>
          <w:tcPr>
            <w:tcW w:w="4020" w:type="dxa"/>
            <w:vAlign w:val="bottom"/>
            <w:shd w:val="clear" w:color="auto" w:fill="CCFFCC"/>
          </w:tcPr>
          <w:p>
            <w:pPr>
              <w:spacing w:after="0"/>
              <w:rPr>
                <w:sz w:val="10"/>
                <w:szCs w:val="10"/>
                <w:color w:val="auto"/>
              </w:rPr>
            </w:pPr>
          </w:p>
        </w:tc>
        <w:tc>
          <w:tcPr>
            <w:tcW w:w="7400" w:type="dxa"/>
            <w:vAlign w:val="bottom"/>
            <w:shd w:val="clear" w:color="auto" w:fill="CCFFCC"/>
          </w:tcPr>
          <w:p>
            <w:pPr>
              <w:ind w:left="2920"/>
              <w:spacing w:after="0"/>
              <w:rPr>
                <w:sz w:val="20"/>
                <w:szCs w:val="20"/>
                <w:color w:val="auto"/>
              </w:rPr>
            </w:pPr>
            <w:r>
              <w:rPr>
                <w:rFonts w:ascii="Arial" w:cs="Arial" w:eastAsia="Arial" w:hAnsi="Arial"/>
                <w:sz w:val="10"/>
                <w:szCs w:val="10"/>
                <w:color w:val="auto"/>
              </w:rPr>
              <w:t>marketing</w:t>
            </w:r>
          </w:p>
        </w:tc>
      </w:tr>
      <w:tr>
        <w:trPr>
          <w:trHeight w:val="106"/>
        </w:trPr>
        <w:tc>
          <w:tcPr>
            <w:tcW w:w="4020" w:type="dxa"/>
            <w:vAlign w:val="bottom"/>
          </w:tcPr>
          <w:p>
            <w:pPr>
              <w:ind w:left="360"/>
              <w:spacing w:after="0" w:line="106" w:lineRule="exact"/>
              <w:rPr>
                <w:sz w:val="20"/>
                <w:szCs w:val="20"/>
                <w:color w:val="auto"/>
              </w:rPr>
            </w:pPr>
            <w:r>
              <w:rPr>
                <w:rFonts w:ascii="Arial" w:cs="Arial" w:eastAsia="Arial" w:hAnsi="Arial"/>
                <w:sz w:val="10"/>
                <w:szCs w:val="10"/>
                <w:color w:val="auto"/>
              </w:rPr>
              <w:t>Signatures</w:t>
            </w:r>
          </w:p>
        </w:tc>
        <w:tc>
          <w:tcPr>
            <w:tcW w:w="7400" w:type="dxa"/>
            <w:vAlign w:val="bottom"/>
          </w:tcPr>
          <w:p>
            <w:pPr>
              <w:ind w:left="2920"/>
              <w:spacing w:after="0" w:line="106" w:lineRule="exact"/>
              <w:rPr>
                <w:sz w:val="20"/>
                <w:szCs w:val="20"/>
                <w:color w:val="auto"/>
              </w:rPr>
            </w:pPr>
            <w:r>
              <w:rPr>
                <w:rFonts w:ascii="Arial" w:cs="Arial" w:eastAsia="Arial" w:hAnsi="Arial"/>
                <w:sz w:val="10"/>
                <w:szCs w:val="10"/>
                <w:color w:val="auto"/>
              </w:rPr>
              <w:t>Total</w:t>
            </w:r>
          </w:p>
        </w:tc>
      </w:tr>
      <w:tr>
        <w:trPr>
          <w:trHeight w:val="125"/>
        </w:trPr>
        <w:tc>
          <w:tcPr>
            <w:tcW w:w="4020" w:type="dxa"/>
            <w:vAlign w:val="bottom"/>
          </w:tcPr>
          <w:p>
            <w:pPr>
              <w:spacing w:after="0"/>
              <w:rPr>
                <w:sz w:val="10"/>
                <w:szCs w:val="10"/>
                <w:color w:val="auto"/>
              </w:rPr>
            </w:pPr>
          </w:p>
        </w:tc>
        <w:tc>
          <w:tcPr>
            <w:tcW w:w="7400" w:type="dxa"/>
            <w:vAlign w:val="bottom"/>
          </w:tcPr>
          <w:p>
            <w:pPr>
              <w:ind w:left="2920"/>
              <w:spacing w:after="0"/>
              <w:rPr>
                <w:sz w:val="20"/>
                <w:szCs w:val="20"/>
                <w:color w:val="auto"/>
              </w:rPr>
            </w:pPr>
            <w:r>
              <w:rPr>
                <w:rFonts w:ascii="Arial" w:cs="Arial" w:eastAsia="Arial" w:hAnsi="Arial"/>
                <w:sz w:val="10"/>
                <w:szCs w:val="10"/>
                <w:color w:val="auto"/>
              </w:rPr>
              <w:t>Budget</w:t>
            </w:r>
          </w:p>
        </w:tc>
      </w:tr>
      <w:tr>
        <w:trPr>
          <w:trHeight w:val="106"/>
        </w:trPr>
        <w:tc>
          <w:tcPr>
            <w:tcW w:w="4020" w:type="dxa"/>
            <w:vAlign w:val="bottom"/>
            <w:shd w:val="clear" w:color="auto" w:fill="CCFFCC"/>
          </w:tcPr>
          <w:p>
            <w:pPr>
              <w:ind w:left="360"/>
              <w:spacing w:after="0" w:line="106" w:lineRule="exact"/>
              <w:rPr>
                <w:sz w:val="20"/>
                <w:szCs w:val="20"/>
                <w:color w:val="auto"/>
              </w:rPr>
            </w:pPr>
            <w:r>
              <w:rPr>
                <w:rFonts w:ascii="Arial" w:cs="Arial" w:eastAsia="Arial" w:hAnsi="Arial"/>
                <w:sz w:val="10"/>
                <w:szCs w:val="10"/>
                <w:color w:val="auto"/>
              </w:rPr>
              <w:t>&lt;rubber stamp&gt;</w:t>
            </w:r>
          </w:p>
        </w:tc>
        <w:tc>
          <w:tcPr>
            <w:tcW w:w="7400" w:type="dxa"/>
            <w:vAlign w:val="bottom"/>
            <w:shd w:val="clear" w:color="auto" w:fill="CCFFCC"/>
          </w:tcPr>
          <w:p>
            <w:pPr>
              <w:ind w:left="2920"/>
              <w:spacing w:after="0" w:line="106" w:lineRule="exact"/>
              <w:rPr>
                <w:sz w:val="20"/>
                <w:szCs w:val="20"/>
                <w:color w:val="auto"/>
              </w:rPr>
            </w:pPr>
            <w:r>
              <w:rPr>
                <w:rFonts w:ascii="Arial" w:cs="Arial" w:eastAsia="Arial" w:hAnsi="Arial"/>
                <w:sz w:val="10"/>
                <w:szCs w:val="10"/>
                <w:color w:val="auto"/>
              </w:rPr>
              <w:t>Total grant</w:t>
            </w:r>
          </w:p>
        </w:tc>
      </w:tr>
      <w:tr>
        <w:trPr>
          <w:trHeight w:val="116"/>
        </w:trPr>
        <w:tc>
          <w:tcPr>
            <w:tcW w:w="4020" w:type="dxa"/>
            <w:vAlign w:val="bottom"/>
            <w:shd w:val="clear" w:color="auto" w:fill="CCFFCC"/>
          </w:tcPr>
          <w:p>
            <w:pPr>
              <w:spacing w:after="0"/>
              <w:rPr>
                <w:sz w:val="10"/>
                <w:szCs w:val="10"/>
                <w:color w:val="auto"/>
              </w:rPr>
            </w:pPr>
          </w:p>
        </w:tc>
        <w:tc>
          <w:tcPr>
            <w:tcW w:w="7400" w:type="dxa"/>
            <w:vAlign w:val="bottom"/>
            <w:shd w:val="clear" w:color="auto" w:fill="CCFFCC"/>
          </w:tcPr>
          <w:p>
            <w:pPr>
              <w:ind w:left="2920"/>
              <w:spacing w:after="0"/>
              <w:rPr>
                <w:sz w:val="20"/>
                <w:szCs w:val="20"/>
                <w:color w:val="auto"/>
              </w:rPr>
            </w:pPr>
            <w:r>
              <w:rPr>
                <w:rFonts w:ascii="Arial" w:cs="Arial" w:eastAsia="Arial" w:hAnsi="Arial"/>
                <w:sz w:val="10"/>
                <w:szCs w:val="10"/>
                <w:color w:val="auto"/>
              </w:rPr>
              <w:t>to set up</w:t>
            </w:r>
          </w:p>
        </w:tc>
      </w:tr>
      <w:tr>
        <w:trPr>
          <w:trHeight w:val="125"/>
        </w:trPr>
        <w:tc>
          <w:tcPr>
            <w:tcW w:w="4020" w:type="dxa"/>
            <w:vAlign w:val="bottom"/>
            <w:shd w:val="clear" w:color="auto" w:fill="CCFFCC"/>
          </w:tcPr>
          <w:p>
            <w:pPr>
              <w:spacing w:after="0"/>
              <w:rPr>
                <w:sz w:val="10"/>
                <w:szCs w:val="10"/>
                <w:color w:val="auto"/>
              </w:rPr>
            </w:pPr>
          </w:p>
        </w:tc>
        <w:tc>
          <w:tcPr>
            <w:tcW w:w="7400" w:type="dxa"/>
            <w:vAlign w:val="bottom"/>
            <w:shd w:val="clear" w:color="auto" w:fill="CCFFCC"/>
          </w:tcPr>
          <w:p>
            <w:pPr>
              <w:ind w:left="2920"/>
              <w:spacing w:after="0"/>
              <w:rPr>
                <w:sz w:val="20"/>
                <w:szCs w:val="20"/>
                <w:color w:val="auto"/>
              </w:rPr>
            </w:pPr>
            <w:r>
              <w:rPr>
                <w:rFonts w:ascii="Arial" w:cs="Arial" w:eastAsia="Arial" w:hAnsi="Arial"/>
                <w:sz w:val="10"/>
                <w:szCs w:val="10"/>
                <w:color w:val="auto"/>
              </w:rPr>
              <w:t>lab</w:t>
            </w:r>
          </w:p>
        </w:tc>
      </w:tr>
      <w:tr>
        <w:trPr>
          <w:trHeight w:val="106"/>
        </w:trPr>
        <w:tc>
          <w:tcPr>
            <w:tcW w:w="4020" w:type="dxa"/>
            <w:vAlign w:val="bottom"/>
          </w:tcPr>
          <w:p>
            <w:pPr>
              <w:ind w:left="360"/>
              <w:spacing w:after="0" w:line="106" w:lineRule="exact"/>
              <w:rPr>
                <w:sz w:val="20"/>
                <w:szCs w:val="20"/>
                <w:color w:val="auto"/>
              </w:rPr>
            </w:pPr>
            <w:r>
              <w:rPr>
                <w:rFonts w:ascii="Arial" w:cs="Arial" w:eastAsia="Arial" w:hAnsi="Arial"/>
                <w:sz w:val="10"/>
                <w:szCs w:val="10"/>
                <w:color w:val="auto"/>
              </w:rPr>
              <w:t>(illegible)</w:t>
            </w:r>
          </w:p>
        </w:tc>
        <w:tc>
          <w:tcPr>
            <w:tcW w:w="7400" w:type="dxa"/>
            <w:vAlign w:val="bottom"/>
          </w:tcPr>
          <w:p>
            <w:pPr>
              <w:ind w:left="2920"/>
              <w:spacing w:after="0" w:line="106" w:lineRule="exact"/>
              <w:rPr>
                <w:sz w:val="20"/>
                <w:szCs w:val="20"/>
                <w:color w:val="auto"/>
              </w:rPr>
            </w:pPr>
            <w:r>
              <w:rPr>
                <w:rFonts w:ascii="Arial" w:cs="Arial" w:eastAsia="Arial" w:hAnsi="Arial"/>
                <w:sz w:val="10"/>
                <w:szCs w:val="10"/>
                <w:color w:val="auto"/>
              </w:rPr>
              <w:t>??? less</w:t>
            </w:r>
          </w:p>
        </w:tc>
      </w:tr>
      <w:tr>
        <w:trPr>
          <w:trHeight w:val="116"/>
        </w:trPr>
        <w:tc>
          <w:tcPr>
            <w:tcW w:w="4020" w:type="dxa"/>
            <w:vAlign w:val="bottom"/>
          </w:tcPr>
          <w:p>
            <w:pPr>
              <w:ind w:left="360"/>
              <w:spacing w:after="0"/>
              <w:rPr>
                <w:sz w:val="20"/>
                <w:szCs w:val="20"/>
                <w:color w:val="auto"/>
              </w:rPr>
            </w:pPr>
            <w:r>
              <w:rPr>
                <w:rFonts w:ascii="Arial" w:cs="Arial" w:eastAsia="Arial" w:hAnsi="Arial"/>
                <w:sz w:val="10"/>
                <w:szCs w:val="10"/>
                <w:color w:val="auto"/>
              </w:rPr>
              <w:t>Incubator director</w:t>
            </w:r>
          </w:p>
        </w:tc>
        <w:tc>
          <w:tcPr>
            <w:tcW w:w="7400" w:type="dxa"/>
            <w:vAlign w:val="bottom"/>
          </w:tcPr>
          <w:p>
            <w:pPr>
              <w:ind w:left="2920"/>
              <w:spacing w:after="0"/>
              <w:rPr>
                <w:sz w:val="20"/>
                <w:szCs w:val="20"/>
                <w:color w:val="auto"/>
              </w:rPr>
            </w:pPr>
            <w:r>
              <w:rPr>
                <w:rFonts w:ascii="Arial" w:cs="Arial" w:eastAsia="Arial" w:hAnsi="Arial"/>
                <w:sz w:val="10"/>
                <w:szCs w:val="10"/>
                <w:color w:val="auto"/>
              </w:rPr>
              <w:t>grant to set</w:t>
            </w:r>
          </w:p>
        </w:tc>
      </w:tr>
      <w:tr>
        <w:trPr>
          <w:trHeight w:val="130"/>
        </w:trPr>
        <w:tc>
          <w:tcPr>
            <w:tcW w:w="4020" w:type="dxa"/>
            <w:vAlign w:val="bottom"/>
          </w:tcPr>
          <w:p>
            <w:pPr>
              <w:spacing w:after="0"/>
              <w:rPr>
                <w:sz w:val="11"/>
                <w:szCs w:val="11"/>
                <w:color w:val="auto"/>
              </w:rPr>
            </w:pPr>
          </w:p>
        </w:tc>
        <w:tc>
          <w:tcPr>
            <w:tcW w:w="7400" w:type="dxa"/>
            <w:vAlign w:val="bottom"/>
          </w:tcPr>
          <w:p>
            <w:pPr>
              <w:ind w:left="2920"/>
              <w:spacing w:after="0"/>
              <w:rPr>
                <w:sz w:val="20"/>
                <w:szCs w:val="20"/>
                <w:color w:val="auto"/>
              </w:rPr>
            </w:pPr>
            <w:r>
              <w:rPr>
                <w:rFonts w:ascii="Arial" w:cs="Arial" w:eastAsia="Arial" w:hAnsi="Arial"/>
                <w:sz w:val="10"/>
                <w:szCs w:val="10"/>
                <w:color w:val="auto"/>
              </w:rPr>
              <w:t>up lab</w:t>
            </w:r>
          </w:p>
        </w:tc>
      </w:tr>
      <w:tr>
        <w:trPr>
          <w:trHeight w:val="803"/>
        </w:trPr>
        <w:tc>
          <w:tcPr>
            <w:tcW w:w="402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391" w:name="page392"/>
    <w:bookmarkEnd w:id="391"/>
    <w:p>
      <w:pPr>
        <w:spacing w:after="0"/>
        <w:rPr>
          <w:sz w:val="20"/>
          <w:szCs w:val="20"/>
          <w:color w:val="auto"/>
        </w:rPr>
      </w:pPr>
      <w:r>
        <w:rPr>
          <w:rFonts w:ascii="Arial" w:cs="Arial" w:eastAsia="Arial" w:hAnsi="Arial"/>
          <w:sz w:val="17"/>
          <w:szCs w:val="17"/>
          <w:b w:val="1"/>
          <w:bCs w:val="1"/>
          <w:color w:val="auto"/>
        </w:rPr>
        <w:t>Appendix B: Incorporation Data of the Company:</w:t>
      </w:r>
    </w:p>
    <w:p>
      <w:pPr>
        <w:spacing w:after="0" w:line="248"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BioLine Innovations Jerusalem is a limited partnership, fully controlled (100%) by BioLineRx Ltd. The general partner is BioLine Innovations Jerusalem, a limited corporation established by BioLineRx Ltd. The limited partner is BioLineRx Ltd.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of the shareholders in the Incubator (clause 6.1)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the shareholders in BioLineRx Ltd.: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8"/>
              </w:rPr>
              <w:t>Place of</w:t>
            </w:r>
          </w:p>
        </w:tc>
        <w:tc>
          <w:tcPr>
            <w:tcW w:w="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520" w:type="dxa"/>
            <w:vAlign w:val="bottom"/>
          </w:tcPr>
          <w:p>
            <w:pPr>
              <w:ind w:left="760"/>
              <w:spacing w:after="0"/>
              <w:rPr>
                <w:sz w:val="20"/>
                <w:szCs w:val="20"/>
                <w:color w:val="auto"/>
              </w:rPr>
            </w:pPr>
            <w:r>
              <w:rPr>
                <w:rFonts w:ascii="Arial" w:cs="Arial" w:eastAsia="Arial" w:hAnsi="Arial"/>
                <w:sz w:val="17"/>
                <w:szCs w:val="17"/>
                <w:b w:val="1"/>
                <w:bCs w:val="1"/>
                <w:color w:val="auto"/>
              </w:rPr>
              <w:t>Shareholder’s</w:t>
            </w:r>
          </w:p>
        </w:tc>
        <w:tc>
          <w:tcPr>
            <w:tcW w:w="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2"/>
              </w:rPr>
              <w:t>incorporation/</w:t>
            </w:r>
          </w:p>
        </w:tc>
        <w:tc>
          <w:tcPr>
            <w:tcW w:w="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Percent of</w:t>
            </w:r>
          </w:p>
        </w:tc>
      </w:tr>
      <w:tr>
        <w:trPr>
          <w:trHeight w:val="230"/>
        </w:trPr>
        <w:tc>
          <w:tcPr>
            <w:tcW w:w="252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name</w:t>
            </w:r>
          </w:p>
        </w:tc>
        <w:tc>
          <w:tcPr>
            <w:tcW w:w="24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citizenship</w:t>
            </w:r>
          </w:p>
        </w:tc>
        <w:tc>
          <w:tcPr>
            <w:tcW w:w="22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Address</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Number of shares</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holdings</w:t>
            </w:r>
          </w:p>
        </w:tc>
        <w:tc>
          <w:tcPr>
            <w:tcW w:w="140" w:type="dxa"/>
            <w:vAlign w:val="bottom"/>
          </w:tcPr>
          <w:p>
            <w:pPr>
              <w:spacing w:after="0"/>
              <w:rPr>
                <w:sz w:val="19"/>
                <w:szCs w:val="19"/>
                <w:color w:val="auto"/>
              </w:rPr>
            </w:pPr>
          </w:p>
        </w:tc>
      </w:tr>
      <w:tr>
        <w:trPr>
          <w:trHeight w:val="193"/>
        </w:trPr>
        <w:tc>
          <w:tcPr>
            <w:tcW w:w="252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Teva</w:t>
            </w:r>
          </w:p>
        </w:tc>
        <w:tc>
          <w:tcPr>
            <w:tcW w:w="240" w:type="dxa"/>
            <w:vAlign w:val="bottom"/>
            <w:shd w:val="clear" w:color="auto" w:fill="CCFFCC"/>
          </w:tcPr>
          <w:p>
            <w:pPr>
              <w:spacing w:after="0"/>
              <w:rPr>
                <w:sz w:val="16"/>
                <w:szCs w:val="16"/>
                <w:color w:val="auto"/>
              </w:rPr>
            </w:pPr>
          </w:p>
        </w:tc>
        <w:tc>
          <w:tcPr>
            <w:tcW w:w="1380" w:type="dxa"/>
            <w:vAlign w:val="bottom"/>
            <w:shd w:val="clear" w:color="auto" w:fill="CCFFCC"/>
          </w:tcPr>
          <w:p>
            <w:pPr>
              <w:jc w:val="center"/>
              <w:spacing w:after="0" w:line="194" w:lineRule="exact"/>
              <w:rPr>
                <w:sz w:val="20"/>
                <w:szCs w:val="20"/>
                <w:color w:val="auto"/>
              </w:rPr>
            </w:pPr>
            <w:r>
              <w:rPr>
                <w:rFonts w:ascii="Arial" w:cs="Arial" w:eastAsia="Arial" w:hAnsi="Arial"/>
                <w:sz w:val="17"/>
                <w:szCs w:val="17"/>
                <w:color w:val="auto"/>
                <w:w w:val="91"/>
              </w:rPr>
              <w:t>Israel</w:t>
            </w:r>
          </w:p>
        </w:tc>
        <w:tc>
          <w:tcPr>
            <w:tcW w:w="220" w:type="dxa"/>
            <w:vAlign w:val="bottom"/>
            <w:shd w:val="clear" w:color="auto" w:fill="CCFFCC"/>
          </w:tcPr>
          <w:p>
            <w:pPr>
              <w:spacing w:after="0"/>
              <w:rPr>
                <w:sz w:val="16"/>
                <w:szCs w:val="16"/>
                <w:color w:val="auto"/>
              </w:rPr>
            </w:pPr>
          </w:p>
        </w:tc>
        <w:tc>
          <w:tcPr>
            <w:tcW w:w="3660" w:type="dxa"/>
            <w:vAlign w:val="bottom"/>
            <w:shd w:val="clear" w:color="auto" w:fill="CCFFCC"/>
          </w:tcPr>
          <w:p>
            <w:pPr>
              <w:jc w:val="center"/>
              <w:spacing w:after="0" w:line="194" w:lineRule="exact"/>
              <w:rPr>
                <w:sz w:val="20"/>
                <w:szCs w:val="20"/>
                <w:color w:val="auto"/>
              </w:rPr>
            </w:pPr>
            <w:r>
              <w:rPr>
                <w:rFonts w:ascii="Arial" w:cs="Arial" w:eastAsia="Arial" w:hAnsi="Arial"/>
                <w:sz w:val="17"/>
                <w:szCs w:val="17"/>
                <w:color w:val="auto"/>
                <w:w w:val="90"/>
              </w:rPr>
              <w:t>P.O. Box 3190, 5 Basel St., Petach Tikva</w:t>
            </w:r>
          </w:p>
        </w:tc>
        <w:tc>
          <w:tcPr>
            <w:tcW w:w="1780" w:type="dxa"/>
            <w:vAlign w:val="bottom"/>
            <w:gridSpan w:val="3"/>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3,000,000</w:t>
            </w:r>
          </w:p>
        </w:tc>
        <w:tc>
          <w:tcPr>
            <w:tcW w:w="1620" w:type="dxa"/>
            <w:vAlign w:val="bottom"/>
            <w:gridSpan w:val="2"/>
            <w:shd w:val="clear" w:color="auto" w:fill="CCFFCC"/>
          </w:tcPr>
          <w:p>
            <w:pPr>
              <w:jc w:val="right"/>
              <w:spacing w:after="0" w:line="194" w:lineRule="exact"/>
              <w:rPr>
                <w:sz w:val="20"/>
                <w:szCs w:val="20"/>
                <w:color w:val="auto"/>
              </w:rPr>
            </w:pPr>
            <w:r>
              <w:rPr>
                <w:rFonts w:ascii="Arial" w:cs="Arial" w:eastAsia="Arial" w:hAnsi="Arial"/>
                <w:sz w:val="17"/>
                <w:szCs w:val="17"/>
                <w:color w:val="auto"/>
              </w:rPr>
              <w:t>18.83%</w:t>
            </w:r>
          </w:p>
        </w:tc>
      </w:tr>
      <w:tr>
        <w:trPr>
          <w:trHeight w:val="206"/>
        </w:trPr>
        <w:tc>
          <w:tcPr>
            <w:tcW w:w="2520" w:type="dxa"/>
            <w:vAlign w:val="bottom"/>
            <w:shd w:val="clear" w:color="auto" w:fill="CCFFCC"/>
          </w:tcPr>
          <w:p>
            <w:pPr>
              <w:spacing w:after="0"/>
              <w:rPr>
                <w:sz w:val="20"/>
                <w:szCs w:val="20"/>
                <w:color w:val="auto"/>
              </w:rPr>
            </w:pPr>
            <w:r>
              <w:rPr>
                <w:rFonts w:ascii="Arial" w:cs="Arial" w:eastAsia="Arial" w:hAnsi="Arial"/>
                <w:sz w:val="17"/>
                <w:szCs w:val="17"/>
                <w:color w:val="auto"/>
              </w:rPr>
              <w:t>Pharmaceutical</w:t>
            </w: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18"/>
        </w:trPr>
        <w:tc>
          <w:tcPr>
            <w:tcW w:w="2520" w:type="dxa"/>
            <w:vAlign w:val="bottom"/>
            <w:shd w:val="clear" w:color="auto" w:fill="CCFFCC"/>
          </w:tcPr>
          <w:p>
            <w:pPr>
              <w:spacing w:after="0"/>
              <w:rPr>
                <w:sz w:val="20"/>
                <w:szCs w:val="20"/>
                <w:color w:val="auto"/>
              </w:rPr>
            </w:pPr>
            <w:r>
              <w:rPr>
                <w:rFonts w:ascii="Arial" w:cs="Arial" w:eastAsia="Arial" w:hAnsi="Arial"/>
                <w:sz w:val="17"/>
                <w:szCs w:val="17"/>
                <w:color w:val="auto"/>
              </w:rPr>
              <w:t>Industries</w:t>
            </w: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193"/>
        </w:trPr>
        <w:tc>
          <w:tcPr>
            <w:tcW w:w="2520" w:type="dxa"/>
            <w:vAlign w:val="bottom"/>
          </w:tcPr>
          <w:p>
            <w:pPr>
              <w:spacing w:after="0" w:line="194" w:lineRule="exact"/>
              <w:rPr>
                <w:sz w:val="20"/>
                <w:szCs w:val="20"/>
                <w:color w:val="auto"/>
              </w:rPr>
            </w:pPr>
            <w:r>
              <w:rPr>
                <w:rFonts w:ascii="Arial" w:cs="Arial" w:eastAsia="Arial" w:hAnsi="Arial"/>
                <w:sz w:val="17"/>
                <w:szCs w:val="17"/>
                <w:color w:val="auto"/>
              </w:rPr>
              <w:t>Giza Venture Capital</w:t>
            </w:r>
          </w:p>
        </w:tc>
        <w:tc>
          <w:tcPr>
            <w:tcW w:w="240" w:type="dxa"/>
            <w:vAlign w:val="bottom"/>
          </w:tcPr>
          <w:p>
            <w:pPr>
              <w:spacing w:after="0"/>
              <w:rPr>
                <w:sz w:val="16"/>
                <w:szCs w:val="16"/>
                <w:color w:val="auto"/>
              </w:rPr>
            </w:pPr>
          </w:p>
        </w:tc>
        <w:tc>
          <w:tcPr>
            <w:tcW w:w="1380" w:type="dxa"/>
            <w:vAlign w:val="bottom"/>
          </w:tcPr>
          <w:p>
            <w:pPr>
              <w:jc w:val="center"/>
              <w:spacing w:after="0" w:line="194" w:lineRule="exact"/>
              <w:rPr>
                <w:sz w:val="20"/>
                <w:szCs w:val="20"/>
                <w:color w:val="auto"/>
              </w:rPr>
            </w:pPr>
            <w:r>
              <w:rPr>
                <w:rFonts w:ascii="Arial" w:cs="Arial" w:eastAsia="Arial" w:hAnsi="Arial"/>
                <w:sz w:val="17"/>
                <w:szCs w:val="17"/>
                <w:color w:val="auto"/>
                <w:w w:val="91"/>
              </w:rPr>
              <w:t>Israel</w:t>
            </w:r>
          </w:p>
        </w:tc>
        <w:tc>
          <w:tcPr>
            <w:tcW w:w="220" w:type="dxa"/>
            <w:vAlign w:val="bottom"/>
          </w:tcPr>
          <w:p>
            <w:pPr>
              <w:spacing w:after="0"/>
              <w:rPr>
                <w:sz w:val="16"/>
                <w:szCs w:val="16"/>
                <w:color w:val="auto"/>
              </w:rPr>
            </w:pPr>
          </w:p>
        </w:tc>
        <w:tc>
          <w:tcPr>
            <w:tcW w:w="3660" w:type="dxa"/>
            <w:vAlign w:val="bottom"/>
          </w:tcPr>
          <w:p>
            <w:pPr>
              <w:jc w:val="center"/>
              <w:spacing w:after="0" w:line="194" w:lineRule="exact"/>
              <w:rPr>
                <w:sz w:val="20"/>
                <w:szCs w:val="20"/>
                <w:color w:val="auto"/>
              </w:rPr>
            </w:pPr>
            <w:r>
              <w:rPr>
                <w:rFonts w:ascii="Arial" w:cs="Arial" w:eastAsia="Arial" w:hAnsi="Arial"/>
                <w:sz w:val="17"/>
                <w:szCs w:val="17"/>
                <w:color w:val="auto"/>
                <w:w w:val="91"/>
              </w:rPr>
              <w:t>40 Einstein St., Ramat Aviv Tower, P.O. Box 17672,</w:t>
            </w:r>
          </w:p>
        </w:tc>
        <w:tc>
          <w:tcPr>
            <w:tcW w:w="178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3,000,000</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18.83%</w:t>
            </w:r>
          </w:p>
        </w:tc>
      </w:tr>
      <w:tr>
        <w:trPr>
          <w:trHeight w:val="217"/>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7"/>
                <w:szCs w:val="17"/>
                <w:color w:val="auto"/>
                <w:w w:val="99"/>
              </w:rPr>
              <w:t>Tel Aviv</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2520" w:type="dxa"/>
            <w:vAlign w:val="bottom"/>
            <w:shd w:val="clear" w:color="auto" w:fill="CCFFCC"/>
          </w:tcPr>
          <w:p>
            <w:pPr>
              <w:spacing w:after="0"/>
              <w:rPr>
                <w:sz w:val="20"/>
                <w:szCs w:val="20"/>
                <w:color w:val="auto"/>
              </w:rPr>
            </w:pPr>
            <w:r>
              <w:rPr>
                <w:rFonts w:ascii="Arial" w:cs="Arial" w:eastAsia="Arial" w:hAnsi="Arial"/>
                <w:sz w:val="17"/>
                <w:szCs w:val="17"/>
                <w:color w:val="auto"/>
              </w:rPr>
              <w:t>Pitango Venture Capital</w:t>
            </w: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Israel</w:t>
            </w:r>
          </w:p>
        </w:tc>
        <w:tc>
          <w:tcPr>
            <w:tcW w:w="220" w:type="dxa"/>
            <w:vAlign w:val="bottom"/>
            <w:shd w:val="clear" w:color="auto" w:fill="CCFFCC"/>
          </w:tcPr>
          <w:p>
            <w:pPr>
              <w:spacing w:after="0"/>
              <w:rPr>
                <w:sz w:val="17"/>
                <w:szCs w:val="17"/>
                <w:color w:val="auto"/>
              </w:rPr>
            </w:pPr>
          </w:p>
        </w:tc>
        <w:tc>
          <w:tcPr>
            <w:tcW w:w="366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3"/>
              </w:rPr>
              <w:t>11 HaMenofim St., Herzliyya Pituach</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3,000,000</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18.83%</w:t>
            </w:r>
          </w:p>
        </w:tc>
      </w:tr>
      <w:tr>
        <w:trPr>
          <w:trHeight w:val="206"/>
        </w:trPr>
        <w:tc>
          <w:tcPr>
            <w:tcW w:w="2520" w:type="dxa"/>
            <w:vAlign w:val="bottom"/>
          </w:tcPr>
          <w:p>
            <w:pPr>
              <w:spacing w:after="0"/>
              <w:rPr>
                <w:sz w:val="20"/>
                <w:szCs w:val="20"/>
                <w:color w:val="auto"/>
              </w:rPr>
            </w:pPr>
            <w:r>
              <w:rPr>
                <w:rFonts w:ascii="Arial" w:cs="Arial" w:eastAsia="Arial" w:hAnsi="Arial"/>
                <w:sz w:val="17"/>
                <w:szCs w:val="17"/>
                <w:color w:val="auto"/>
              </w:rPr>
              <w:t>Hadasit Ltd.</w:t>
            </w:r>
          </w:p>
        </w:tc>
        <w:tc>
          <w:tcPr>
            <w:tcW w:w="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Israel</w:t>
            </w:r>
          </w:p>
        </w:tc>
        <w:tc>
          <w:tcPr>
            <w:tcW w:w="2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7"/>
                <w:szCs w:val="17"/>
                <w:color w:val="auto"/>
                <w:w w:val="89"/>
              </w:rPr>
              <w:t>P.O. Box 121000, Hadassah Ein Kerem, Jerusalem</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2,000,000</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12.55%</w:t>
            </w:r>
          </w:p>
        </w:tc>
      </w:tr>
      <w:tr>
        <w:trPr>
          <w:trHeight w:val="206"/>
        </w:trPr>
        <w:tc>
          <w:tcPr>
            <w:tcW w:w="2520" w:type="dxa"/>
            <w:vAlign w:val="bottom"/>
            <w:shd w:val="clear" w:color="auto" w:fill="CCFFCC"/>
          </w:tcPr>
          <w:p>
            <w:pPr>
              <w:spacing w:after="0"/>
              <w:rPr>
                <w:sz w:val="20"/>
                <w:szCs w:val="20"/>
                <w:color w:val="auto"/>
              </w:rPr>
            </w:pPr>
            <w:r>
              <w:rPr>
                <w:rFonts w:ascii="Arial" w:cs="Arial" w:eastAsia="Arial" w:hAnsi="Arial"/>
                <w:sz w:val="17"/>
                <w:szCs w:val="17"/>
                <w:color w:val="auto"/>
              </w:rPr>
              <w:t>STAR Ventures</w:t>
            </w: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1"/>
              </w:rPr>
              <w:t>Israel/Germany</w:t>
            </w:r>
          </w:p>
        </w:tc>
        <w:tc>
          <w:tcPr>
            <w:tcW w:w="220" w:type="dxa"/>
            <w:vAlign w:val="bottom"/>
            <w:shd w:val="clear" w:color="auto" w:fill="CCFFCC"/>
          </w:tcPr>
          <w:p>
            <w:pPr>
              <w:spacing w:after="0"/>
              <w:rPr>
                <w:sz w:val="17"/>
                <w:szCs w:val="17"/>
                <w:color w:val="auto"/>
              </w:rPr>
            </w:pPr>
          </w:p>
        </w:tc>
        <w:tc>
          <w:tcPr>
            <w:tcW w:w="366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92"/>
              </w:rPr>
              <w:t>11 Galgalei HaPlada, 3rd floor, Herzliyya Pituach</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1,500,000</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9.41%</w:t>
            </w:r>
          </w:p>
        </w:tc>
      </w:tr>
      <w:tr>
        <w:trPr>
          <w:trHeight w:val="206"/>
        </w:trPr>
        <w:tc>
          <w:tcPr>
            <w:tcW w:w="2520" w:type="dxa"/>
            <w:vAlign w:val="bottom"/>
          </w:tcPr>
          <w:p>
            <w:pPr>
              <w:spacing w:after="0"/>
              <w:rPr>
                <w:sz w:val="20"/>
                <w:szCs w:val="20"/>
                <w:color w:val="auto"/>
              </w:rPr>
            </w:pPr>
            <w:r>
              <w:rPr>
                <w:rFonts w:ascii="Arial" w:cs="Arial" w:eastAsia="Arial" w:hAnsi="Arial"/>
                <w:sz w:val="17"/>
                <w:szCs w:val="17"/>
                <w:color w:val="auto"/>
              </w:rPr>
              <w:t>Yehuda Zisapel</w:t>
            </w:r>
          </w:p>
        </w:tc>
        <w:tc>
          <w:tcPr>
            <w:tcW w:w="2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color w:val="auto"/>
                <w:w w:val="91"/>
              </w:rPr>
              <w:t>Israel</w:t>
            </w:r>
          </w:p>
        </w:tc>
        <w:tc>
          <w:tcPr>
            <w:tcW w:w="2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7"/>
                <w:szCs w:val="17"/>
                <w:color w:val="auto"/>
                <w:w w:val="93"/>
              </w:rPr>
              <w:t>24 Raoul Wallenberg St., building C, Tel Aviv</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750,000</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4.71%</w:t>
            </w:r>
          </w:p>
        </w:tc>
      </w:tr>
      <w:tr>
        <w:trPr>
          <w:trHeight w:val="193"/>
        </w:trPr>
        <w:tc>
          <w:tcPr>
            <w:tcW w:w="252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w w:val="97"/>
              </w:rPr>
              <w:t>Jerusalem Development Authority</w:t>
            </w:r>
          </w:p>
        </w:tc>
        <w:tc>
          <w:tcPr>
            <w:tcW w:w="240" w:type="dxa"/>
            <w:vAlign w:val="bottom"/>
            <w:shd w:val="clear" w:color="auto" w:fill="CCFFCC"/>
          </w:tcPr>
          <w:p>
            <w:pPr>
              <w:spacing w:after="0"/>
              <w:rPr>
                <w:sz w:val="16"/>
                <w:szCs w:val="16"/>
                <w:color w:val="auto"/>
              </w:rPr>
            </w:pPr>
          </w:p>
        </w:tc>
        <w:tc>
          <w:tcPr>
            <w:tcW w:w="1380" w:type="dxa"/>
            <w:vAlign w:val="bottom"/>
            <w:shd w:val="clear" w:color="auto" w:fill="CCFFCC"/>
          </w:tcPr>
          <w:p>
            <w:pPr>
              <w:jc w:val="center"/>
              <w:spacing w:after="0" w:line="194" w:lineRule="exact"/>
              <w:rPr>
                <w:sz w:val="20"/>
                <w:szCs w:val="20"/>
                <w:color w:val="auto"/>
              </w:rPr>
            </w:pPr>
            <w:r>
              <w:rPr>
                <w:rFonts w:ascii="Arial" w:cs="Arial" w:eastAsia="Arial" w:hAnsi="Arial"/>
                <w:sz w:val="17"/>
                <w:szCs w:val="17"/>
                <w:color w:val="auto"/>
                <w:w w:val="91"/>
              </w:rPr>
              <w:t>Israel</w:t>
            </w:r>
          </w:p>
        </w:tc>
        <w:tc>
          <w:tcPr>
            <w:tcW w:w="220" w:type="dxa"/>
            <w:vAlign w:val="bottom"/>
            <w:shd w:val="clear" w:color="auto" w:fill="CCFFCC"/>
          </w:tcPr>
          <w:p>
            <w:pPr>
              <w:spacing w:after="0"/>
              <w:rPr>
                <w:sz w:val="16"/>
                <w:szCs w:val="16"/>
                <w:color w:val="auto"/>
              </w:rPr>
            </w:pPr>
          </w:p>
        </w:tc>
        <w:tc>
          <w:tcPr>
            <w:tcW w:w="3660" w:type="dxa"/>
            <w:vAlign w:val="bottom"/>
            <w:shd w:val="clear" w:color="auto" w:fill="CCFFCC"/>
          </w:tcPr>
          <w:p>
            <w:pPr>
              <w:jc w:val="center"/>
              <w:spacing w:after="0" w:line="194" w:lineRule="exact"/>
              <w:rPr>
                <w:sz w:val="20"/>
                <w:szCs w:val="20"/>
                <w:color w:val="auto"/>
              </w:rPr>
            </w:pPr>
            <w:r>
              <w:rPr>
                <w:rFonts w:ascii="Arial" w:cs="Arial" w:eastAsia="Arial" w:hAnsi="Arial"/>
                <w:sz w:val="17"/>
                <w:szCs w:val="17"/>
                <w:color w:val="auto"/>
                <w:w w:val="91"/>
              </w:rPr>
              <w:t>Municipal Compound, 2 Safra Square, P.O. Box</w:t>
            </w:r>
          </w:p>
        </w:tc>
        <w:tc>
          <w:tcPr>
            <w:tcW w:w="1780" w:type="dxa"/>
            <w:vAlign w:val="bottom"/>
            <w:gridSpan w:val="3"/>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400,000</w:t>
            </w:r>
          </w:p>
        </w:tc>
        <w:tc>
          <w:tcPr>
            <w:tcW w:w="1620" w:type="dxa"/>
            <w:vAlign w:val="bottom"/>
            <w:gridSpan w:val="2"/>
            <w:shd w:val="clear" w:color="auto" w:fill="CCFFCC"/>
          </w:tcPr>
          <w:p>
            <w:pPr>
              <w:jc w:val="right"/>
              <w:spacing w:after="0" w:line="194" w:lineRule="exact"/>
              <w:rPr>
                <w:sz w:val="20"/>
                <w:szCs w:val="20"/>
                <w:color w:val="auto"/>
              </w:rPr>
            </w:pPr>
            <w:r>
              <w:rPr>
                <w:rFonts w:ascii="Arial" w:cs="Arial" w:eastAsia="Arial" w:hAnsi="Arial"/>
                <w:sz w:val="17"/>
                <w:szCs w:val="17"/>
                <w:color w:val="auto"/>
              </w:rPr>
              <w:t>2.51%</w:t>
            </w:r>
          </w:p>
        </w:tc>
      </w:tr>
      <w:tr>
        <w:trPr>
          <w:trHeight w:val="218"/>
        </w:trPr>
        <w:tc>
          <w:tcPr>
            <w:tcW w:w="2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60" w:type="dxa"/>
            <w:vAlign w:val="bottom"/>
            <w:shd w:val="clear" w:color="auto" w:fill="CCFFCC"/>
          </w:tcPr>
          <w:p>
            <w:pPr>
              <w:jc w:val="center"/>
              <w:spacing w:after="0"/>
              <w:rPr>
                <w:sz w:val="20"/>
                <w:szCs w:val="20"/>
                <w:color w:val="auto"/>
              </w:rPr>
            </w:pPr>
            <w:r>
              <w:rPr>
                <w:rFonts w:ascii="Arial" w:cs="Arial" w:eastAsia="Arial" w:hAnsi="Arial"/>
                <w:sz w:val="17"/>
                <w:szCs w:val="17"/>
                <w:color w:val="auto"/>
                <w:w w:val="88"/>
              </w:rPr>
              <w:t>32226, Jerusalem</w:t>
            </w: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193"/>
        </w:trPr>
        <w:tc>
          <w:tcPr>
            <w:tcW w:w="2520" w:type="dxa"/>
            <w:vAlign w:val="bottom"/>
          </w:tcPr>
          <w:p>
            <w:pPr>
              <w:spacing w:after="0" w:line="194" w:lineRule="exact"/>
              <w:rPr>
                <w:sz w:val="20"/>
                <w:szCs w:val="20"/>
                <w:color w:val="auto"/>
              </w:rPr>
            </w:pPr>
            <w:r>
              <w:rPr>
                <w:rFonts w:ascii="Arial" w:cs="Arial" w:eastAsia="Arial" w:hAnsi="Arial"/>
                <w:sz w:val="17"/>
                <w:szCs w:val="17"/>
                <w:color w:val="auto"/>
                <w:w w:val="91"/>
              </w:rPr>
              <w:t>Options and shares to be distributed</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780" w:type="dxa"/>
            <w:vAlign w:val="bottom"/>
            <w:gridSpan w:val="3"/>
          </w:tcPr>
          <w:p>
            <w:pPr>
              <w:jc w:val="right"/>
              <w:ind w:right="200"/>
              <w:spacing w:after="0" w:line="194" w:lineRule="exact"/>
              <w:rPr>
                <w:sz w:val="20"/>
                <w:szCs w:val="20"/>
                <w:color w:val="auto"/>
              </w:rPr>
            </w:pPr>
            <w:r>
              <w:rPr>
                <w:rFonts w:ascii="Arial" w:cs="Arial" w:eastAsia="Arial" w:hAnsi="Arial"/>
                <w:sz w:val="17"/>
                <w:szCs w:val="17"/>
                <w:color w:val="auto"/>
              </w:rPr>
              <w:t>2,285,024</w:t>
            </w:r>
          </w:p>
        </w:tc>
        <w:tc>
          <w:tcPr>
            <w:tcW w:w="16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14.34%</w:t>
            </w:r>
          </w:p>
        </w:tc>
      </w:tr>
      <w:tr>
        <w:trPr>
          <w:trHeight w:val="217"/>
        </w:trPr>
        <w:tc>
          <w:tcPr>
            <w:tcW w:w="2520" w:type="dxa"/>
            <w:vAlign w:val="bottom"/>
          </w:tcPr>
          <w:p>
            <w:pPr>
              <w:spacing w:after="0"/>
              <w:rPr>
                <w:sz w:val="20"/>
                <w:szCs w:val="20"/>
                <w:color w:val="auto"/>
              </w:rPr>
            </w:pPr>
            <w:r>
              <w:rPr>
                <w:rFonts w:ascii="Arial" w:cs="Arial" w:eastAsia="Arial" w:hAnsi="Arial"/>
                <w:sz w:val="17"/>
                <w:szCs w:val="17"/>
                <w:color w:val="auto"/>
              </w:rPr>
              <w:t>to employees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28"/>
        </w:trPr>
        <w:tc>
          <w:tcPr>
            <w:tcW w:w="25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2" w:name="page393"/>
    <w:bookmarkEnd w:id="392"/>
    <w:p>
      <w:pPr>
        <w:spacing w:after="0"/>
        <w:rPr>
          <w:sz w:val="20"/>
          <w:szCs w:val="20"/>
          <w:color w:val="auto"/>
        </w:rPr>
      </w:pPr>
      <w:r>
        <w:rPr>
          <w:rFonts w:ascii="Arial" w:cs="Arial" w:eastAsia="Arial" w:hAnsi="Arial"/>
          <w:sz w:val="17"/>
          <w:szCs w:val="17"/>
          <w:b w:val="1"/>
          <w:bCs w:val="1"/>
          <w:color w:val="auto"/>
        </w:rPr>
        <w:t>Appendix C: Bank Guarntee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Bank Guarantee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055892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Guarantee No. </w:t>
      </w:r>
      <w:r>
        <w:rPr>
          <w:rFonts w:ascii="Arial" w:cs="Arial" w:eastAsia="Arial" w:hAnsi="Arial"/>
          <w:sz w:val="17"/>
          <w:szCs w:val="17"/>
          <w:b w:val="1"/>
          <w:bCs w:val="1"/>
          <w:color w:val="auto"/>
        </w:rPr>
        <w:t>741-097800/55-30</w:t>
      </w:r>
      <w:r>
        <w:rPr>
          <w:rFonts w:ascii="Arial" w:cs="Arial" w:eastAsia="Arial" w:hAnsi="Arial"/>
          <w:sz w:val="17"/>
          <w:szCs w:val="17"/>
          <w:color w:val="auto"/>
        </w:rPr>
        <w:t>–0841-0002/4</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Date: Oct. 20, 2004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State of Israel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via the Office of the Chief Scientist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Ministry of Industry and Trade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Madame</w:t>
      </w:r>
    </w:p>
    <w:p>
      <w:pPr>
        <w:spacing w:after="0" w:line="242" w:lineRule="exact"/>
        <w:rPr>
          <w:sz w:val="20"/>
          <w:szCs w:val="20"/>
          <w:color w:val="auto"/>
        </w:rPr>
      </w:pPr>
    </w:p>
    <w:p>
      <w:pPr>
        <w:ind w:left="460" w:hanging="457"/>
        <w:spacing w:after="0" w:line="255" w:lineRule="auto"/>
        <w:tabs>
          <w:tab w:leader="none" w:pos="4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With regard to the agreement between the State of Israel and BioLine Rx, Ltd. (hereinafter “the Guaranteed”) (hereinafter “the Agreement”) and pursuant to Guideline No. 8.4 (Technological Innovation Centers—Biotechnology Incubators) issued by the director general of the Ministry of Industry and Trade, and at the request of the Guaranteed, we hereby guarantee to you payment of any sum, up to the “Amount of the Guarantee” (as defined below), relevant at the date of your demand, on condition that the total amount of all payments made to you under the present guarantee not exceed the Amount of the Guarantee as at the relevant date.</w:t>
      </w:r>
    </w:p>
    <w:p>
      <w:pPr>
        <w:spacing w:after="0" w:line="1" w:lineRule="exact"/>
        <w:rPr>
          <w:rFonts w:ascii="Arial" w:cs="Arial" w:eastAsia="Arial" w:hAnsi="Arial"/>
          <w:sz w:val="17"/>
          <w:szCs w:val="17"/>
          <w:color w:val="auto"/>
        </w:rPr>
      </w:pPr>
    </w:p>
    <w:p>
      <w:pPr>
        <w:ind w:left="460" w:right="300"/>
        <w:spacing w:after="0" w:line="268" w:lineRule="auto"/>
        <w:rPr>
          <w:rFonts w:ascii="Arial" w:cs="Arial" w:eastAsia="Arial" w:hAnsi="Arial"/>
          <w:sz w:val="17"/>
          <w:szCs w:val="17"/>
          <w:color w:val="auto"/>
        </w:rPr>
      </w:pPr>
      <w:r>
        <w:rPr>
          <w:rFonts w:ascii="Arial" w:cs="Arial" w:eastAsia="Arial" w:hAnsi="Arial"/>
          <w:sz w:val="16"/>
          <w:szCs w:val="16"/>
          <w:color w:val="auto"/>
        </w:rPr>
        <w:t>The “Amount of the Guarantee” means the sum of NIS 8,100,0900.00 (eight million one hundred thousand sheqels) only; but at any time that we receive notification from you that the Incubator has made an approved outlay of at least NIS 500,000 (“Approved Outlay”), as at the date of the submission of said notification to us, the Amount of the Guarantee will be reduced by half the amount of the Approved Outlay. Notwithstanding, the Amount of the Guarantee will not be reduced, at any time or in any circumstances, to less than NIS 1,500,000 (one million and a half).</w:t>
      </w:r>
    </w:p>
    <w:p>
      <w:pPr>
        <w:spacing w:after="0" w:line="1" w:lineRule="exact"/>
        <w:rPr>
          <w:rFonts w:ascii="Arial" w:cs="Arial" w:eastAsia="Arial" w:hAnsi="Arial"/>
          <w:sz w:val="17"/>
          <w:szCs w:val="17"/>
          <w:color w:val="auto"/>
        </w:rPr>
      </w:pPr>
    </w:p>
    <w:p>
      <w:pPr>
        <w:ind w:left="460" w:right="340"/>
        <w:spacing w:after="0" w:line="252" w:lineRule="auto"/>
        <w:rPr>
          <w:rFonts w:ascii="Arial" w:cs="Arial" w:eastAsia="Arial" w:hAnsi="Arial"/>
          <w:sz w:val="17"/>
          <w:szCs w:val="17"/>
          <w:color w:val="auto"/>
        </w:rPr>
      </w:pPr>
      <w:r>
        <w:rPr>
          <w:rFonts w:ascii="Arial" w:cs="Arial" w:eastAsia="Arial" w:hAnsi="Arial"/>
          <w:sz w:val="17"/>
          <w:szCs w:val="17"/>
          <w:color w:val="auto"/>
        </w:rPr>
        <w:t>The Amount of the Guarantee will be linked to the Consumer Price Index as published form time to time by the Central Bureau of Statistics and Economic Research, with the following linkage terms:</w:t>
      </w:r>
    </w:p>
    <w:p>
      <w:pPr>
        <w:spacing w:after="0" w:line="1" w:lineRule="exact"/>
        <w:rPr>
          <w:rFonts w:ascii="Arial" w:cs="Arial" w:eastAsia="Arial" w:hAnsi="Arial"/>
          <w:sz w:val="17"/>
          <w:szCs w:val="17"/>
          <w:color w:val="auto"/>
        </w:rPr>
      </w:pPr>
    </w:p>
    <w:p>
      <w:pPr>
        <w:ind w:left="460" w:right="120"/>
        <w:spacing w:after="0" w:line="252" w:lineRule="auto"/>
        <w:rPr>
          <w:rFonts w:ascii="Arial" w:cs="Arial" w:eastAsia="Arial" w:hAnsi="Arial"/>
          <w:sz w:val="17"/>
          <w:szCs w:val="17"/>
          <w:color w:val="auto"/>
        </w:rPr>
      </w:pPr>
      <w:r>
        <w:rPr>
          <w:rFonts w:ascii="Arial" w:cs="Arial" w:eastAsia="Arial" w:hAnsi="Arial"/>
          <w:sz w:val="17"/>
          <w:szCs w:val="17"/>
          <w:color w:val="auto"/>
        </w:rPr>
        <w:t>“The Base Index” for the purposes of the present guarantee will be the index for September 2004 published on or around the fifteenth of the following month, which is 100.6 points (based on 2002).</w:t>
      </w:r>
    </w:p>
    <w:p>
      <w:pPr>
        <w:spacing w:after="0" w:line="1" w:lineRule="exact"/>
        <w:rPr>
          <w:rFonts w:ascii="Arial" w:cs="Arial" w:eastAsia="Arial" w:hAnsi="Arial"/>
          <w:sz w:val="17"/>
          <w:szCs w:val="17"/>
          <w:color w:val="auto"/>
        </w:rPr>
      </w:pPr>
    </w:p>
    <w:p>
      <w:pPr>
        <w:ind w:left="460" w:right="380"/>
        <w:spacing w:after="0" w:line="252" w:lineRule="auto"/>
        <w:rPr>
          <w:rFonts w:ascii="Arial" w:cs="Arial" w:eastAsia="Arial" w:hAnsi="Arial"/>
          <w:sz w:val="17"/>
          <w:szCs w:val="17"/>
          <w:color w:val="auto"/>
        </w:rPr>
      </w:pPr>
      <w:r>
        <w:rPr>
          <w:rFonts w:ascii="Arial" w:cs="Arial" w:eastAsia="Arial" w:hAnsi="Arial"/>
          <w:sz w:val="17"/>
          <w:szCs w:val="17"/>
          <w:color w:val="auto"/>
        </w:rPr>
        <w:t>“The New Index” for the purpose of the present guarantee will be the most recently published index before receipt of your demand for payment under this guarantee.</w:t>
      </w:r>
    </w:p>
    <w:p>
      <w:pPr>
        <w:spacing w:after="0" w:line="1" w:lineRule="exact"/>
        <w:rPr>
          <w:rFonts w:ascii="Arial" w:cs="Arial" w:eastAsia="Arial" w:hAnsi="Arial"/>
          <w:sz w:val="17"/>
          <w:szCs w:val="17"/>
          <w:color w:val="auto"/>
        </w:rPr>
      </w:pPr>
    </w:p>
    <w:p>
      <w:pPr>
        <w:ind w:left="460" w:right="60"/>
        <w:spacing w:after="0" w:line="268" w:lineRule="auto"/>
        <w:rPr>
          <w:rFonts w:ascii="Arial" w:cs="Arial" w:eastAsia="Arial" w:hAnsi="Arial"/>
          <w:sz w:val="17"/>
          <w:szCs w:val="17"/>
          <w:color w:val="auto"/>
        </w:rPr>
      </w:pPr>
      <w:r>
        <w:rPr>
          <w:rFonts w:ascii="Arial" w:cs="Arial" w:eastAsia="Arial" w:hAnsi="Arial"/>
          <w:sz w:val="16"/>
          <w:szCs w:val="16"/>
          <w:color w:val="auto"/>
        </w:rPr>
        <w:t>Linkage differentials for the present guarantee will be calculated as follows: If the new index is higher than the base index, the linkage differential will be a sum equal to the ratio of the new index to the base index times the Amount of the Guarantee, divided by the base index. If the new index is lower than the base index, we will pay you the sum stated in your demand, up to the Amount of the Guarantee, with no linkage differentials.</w:t>
      </w:r>
    </w:p>
    <w:p>
      <w:pPr>
        <w:spacing w:after="0" w:line="1" w:lineRule="exact"/>
        <w:rPr>
          <w:rFonts w:ascii="Arial" w:cs="Arial" w:eastAsia="Arial" w:hAnsi="Arial"/>
          <w:sz w:val="17"/>
          <w:szCs w:val="17"/>
          <w:color w:val="auto"/>
        </w:rPr>
      </w:pPr>
    </w:p>
    <w:p>
      <w:pPr>
        <w:ind w:left="460" w:right="180" w:hanging="457"/>
        <w:spacing w:after="0" w:line="259" w:lineRule="auto"/>
        <w:tabs>
          <w:tab w:leader="none" w:pos="4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Amount of the Guarantee will be paid to you within 10 days of our receipt of your first demand in writing, and you shall be under no obligation to prove your demands, nor shall we assert against you any defense that might be available to the party requesting this guarantee with regard to the debt to you and without your being required to first demand request the Amount of the Guarantee from the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257415" cy="209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93" w:name="page394"/>
    <w:bookmarkEnd w:id="393"/>
    <w:p>
      <w:pPr>
        <w:ind w:left="460" w:hanging="457"/>
        <w:spacing w:after="0"/>
        <w:tabs>
          <w:tab w:leader="none" w:pos="4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This guarantee will remain in force until Dec. 31, 2004. After that time it will be null and void.</w:t>
      </w:r>
    </w:p>
    <w:p>
      <w:pPr>
        <w:spacing w:after="0" w:line="21" w:lineRule="exact"/>
        <w:rPr>
          <w:rFonts w:ascii="Arial" w:cs="Arial" w:eastAsia="Arial" w:hAnsi="Arial"/>
          <w:sz w:val="17"/>
          <w:szCs w:val="17"/>
          <w:color w:val="auto"/>
        </w:rPr>
      </w:pPr>
    </w:p>
    <w:p>
      <w:pPr>
        <w:ind w:left="460" w:hanging="457"/>
        <w:spacing w:after="0"/>
        <w:tabs>
          <w:tab w:leader="none" w:pos="46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Any demand pursuant to the guarantee must be submitted to us at the following address: Kanfei Nesharim 22, Jerusalem.</w:t>
      </w:r>
    </w:p>
    <w:p>
      <w:pPr>
        <w:spacing w:after="0" w:line="33" w:lineRule="exact"/>
        <w:rPr>
          <w:rFonts w:ascii="Arial" w:cs="Arial" w:eastAsia="Arial" w:hAnsi="Arial"/>
          <w:sz w:val="15"/>
          <w:szCs w:val="15"/>
          <w:color w:val="auto"/>
        </w:rPr>
      </w:pPr>
    </w:p>
    <w:p>
      <w:pPr>
        <w:ind w:left="460" w:hanging="457"/>
        <w:spacing w:after="0"/>
        <w:tabs>
          <w:tab w:leader="none" w:pos="4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This guarantee cannot be transferred or assigned.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 Leumi le’Yisrael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Givat Shaul Branch</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&lt;rubber stamp + /s/ Levana Arojas&gt; Levana Arojas 3123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&lt;rubber stamp + /s/ H. Barak &gt; H. Barak 2732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394" w:name="page395"/>
    <w:bookmarkEnd w:id="394"/>
    <w:p>
      <w:pPr>
        <w:spacing w:after="0"/>
        <w:rPr>
          <w:sz w:val="20"/>
          <w:szCs w:val="20"/>
          <w:color w:val="auto"/>
        </w:rPr>
      </w:pPr>
      <w:r>
        <w:rPr>
          <w:rFonts w:ascii="Arial" w:cs="Arial" w:eastAsia="Arial" w:hAnsi="Arial"/>
          <w:sz w:val="17"/>
          <w:szCs w:val="17"/>
          <w:color w:val="auto"/>
        </w:rPr>
        <w:t>Bank Guarantee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089947</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Dec. 16, 2004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Guarantee No. 741-097800/55-30–0841-0002/4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To: State of Israel via the Office of the Chief Scientist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Ministry of Industry and Trade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guarantee to your credit, No. 741-097800/55-30–0841-0002/4</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 Oct. 20, 2004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amount of 8,100,000.00 (eight million one hundred thousand new sheqels only)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For: BioLine Rx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Valid through Dec. 31, 2004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hereby extend the validity of the above guarantee until March 31, 2011.</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Consequently, any demand pursuant to said guarantee must reach the undersigned branch, whose address is Jerusalem, Kanfei Nesharim 22, Givat Shaul, by said date, during the hours when the branch is open to the public for business.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demand that arrives after said time will not be honored.</w:t>
      </w:r>
    </w:p>
    <w:p>
      <w:pPr>
        <w:spacing w:after="0" w:line="24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It is emphasized that a “written demand” as stated above does not include a demand sent to the bank by facsimile, telegram, or any other electronic medium and that such will not be considered to be a demand for the purposes of the present guarantee.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There are no changes to any other terms of the guarantee.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 Leumi le’Yisrael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Givat Shaul Branch</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&lt;rubber stamp + /s/ Oshrit Bar-Gil&gt; Oshrit Bar-Gil 5835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&lt;rubber stamp + /s/ H. Barak&gt; H. Barak 2732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95" w:name="page396"/>
    <w:bookmarkEnd w:id="395"/>
    <w:p>
      <w:pPr>
        <w:spacing w:after="0"/>
        <w:rPr>
          <w:sz w:val="20"/>
          <w:szCs w:val="20"/>
          <w:color w:val="auto"/>
        </w:rPr>
      </w:pPr>
      <w:r>
        <w:rPr>
          <w:rFonts w:ascii="Arial" w:cs="Arial" w:eastAsia="Arial" w:hAnsi="Arial"/>
          <w:sz w:val="17"/>
          <w:szCs w:val="17"/>
          <w:b w:val="1"/>
          <w:bCs w:val="1"/>
          <w:color w:val="auto"/>
        </w:rPr>
        <w:t>Appendix D: List of criteria for choosing projects</w:t>
      </w:r>
    </w:p>
    <w:p>
      <w:pPr>
        <w:spacing w:after="0" w:line="248" w:lineRule="exact"/>
        <w:rPr>
          <w:sz w:val="20"/>
          <w:szCs w:val="20"/>
          <w:color w:val="auto"/>
        </w:rPr>
      </w:pPr>
    </w:p>
    <w:p>
      <w:pPr>
        <w:ind w:left="620" w:hanging="617"/>
        <w:spacing w:after="0"/>
        <w:tabs>
          <w:tab w:leader="none" w:pos="6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project is for the development or improvement of a product or process which is intended for the global biotechnology market.</w:t>
      </w:r>
    </w:p>
    <w:p>
      <w:pPr>
        <w:spacing w:after="0" w:line="241" w:lineRule="exact"/>
        <w:rPr>
          <w:rFonts w:ascii="Arial" w:cs="Arial" w:eastAsia="Arial" w:hAnsi="Arial"/>
          <w:sz w:val="17"/>
          <w:szCs w:val="17"/>
          <w:color w:val="auto"/>
        </w:rPr>
      </w:pPr>
    </w:p>
    <w:p>
      <w:pPr>
        <w:ind w:left="620" w:hanging="617"/>
        <w:spacing w:after="0"/>
        <w:tabs>
          <w:tab w:leader="none" w:pos="6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product or process is technologically innovative.</w:t>
      </w:r>
    </w:p>
    <w:p>
      <w:pPr>
        <w:spacing w:after="0" w:line="241" w:lineRule="exact"/>
        <w:rPr>
          <w:rFonts w:ascii="Arial" w:cs="Arial" w:eastAsia="Arial" w:hAnsi="Arial"/>
          <w:sz w:val="17"/>
          <w:szCs w:val="17"/>
          <w:color w:val="auto"/>
        </w:rPr>
      </w:pPr>
    </w:p>
    <w:p>
      <w:pPr>
        <w:ind w:left="620" w:hanging="617"/>
        <w:spacing w:after="0"/>
        <w:tabs>
          <w:tab w:leader="none" w:pos="6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 technical-economic and marketing examination has been performed and it shows that success is reasonably probable.</w:t>
      </w:r>
    </w:p>
    <w:p>
      <w:pPr>
        <w:spacing w:after="0" w:line="241" w:lineRule="exact"/>
        <w:rPr>
          <w:rFonts w:ascii="Arial" w:cs="Arial" w:eastAsia="Arial" w:hAnsi="Arial"/>
          <w:sz w:val="17"/>
          <w:szCs w:val="17"/>
          <w:color w:val="auto"/>
        </w:rPr>
      </w:pPr>
    </w:p>
    <w:p>
      <w:pPr>
        <w:ind w:left="620" w:right="140" w:hanging="617"/>
        <w:spacing w:after="0" w:line="278" w:lineRule="auto"/>
        <w:tabs>
          <w:tab w:leader="none" w:pos="6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duration of the project up until it is ready for the entry of an industrial partner or for raising capital for continued development and commercialization shall be up to three years.</w:t>
      </w:r>
    </w:p>
    <w:p>
      <w:pPr>
        <w:spacing w:after="0" w:line="190"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All the of the project’s budget finance sources have been settled and there are no other governmental source of development financing for the project and/or incubator other than the state loan.</w:t>
      </w:r>
    </w:p>
    <w:p>
      <w:pPr>
        <w:spacing w:after="0" w:line="190" w:lineRule="exact"/>
        <w:rPr>
          <w:rFonts w:ascii="Arial" w:cs="Arial" w:eastAsia="Arial" w:hAnsi="Arial"/>
          <w:sz w:val="17"/>
          <w:szCs w:val="17"/>
          <w:color w:val="auto"/>
        </w:rPr>
      </w:pPr>
    </w:p>
    <w:p>
      <w:pPr>
        <w:ind w:left="620" w:right="40" w:hanging="617"/>
        <w:spacing w:after="0" w:line="278" w:lineRule="auto"/>
        <w:tabs>
          <w:tab w:leader="none" w:pos="6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project has passed an initial feasibility test as part of the academic research or in any other framework. Initial feasibility testing will not be done as part of this program.</w:t>
      </w:r>
    </w:p>
    <w:p>
      <w:pPr>
        <w:spacing w:after="0" w:line="190" w:lineRule="exact"/>
        <w:rPr>
          <w:rFonts w:ascii="Arial" w:cs="Arial" w:eastAsia="Arial" w:hAnsi="Arial"/>
          <w:sz w:val="17"/>
          <w:szCs w:val="17"/>
          <w:color w:val="auto"/>
        </w:rPr>
      </w:pPr>
    </w:p>
    <w:p>
      <w:pPr>
        <w:ind w:left="620" w:right="40" w:hanging="617"/>
        <w:spacing w:after="0" w:line="289" w:lineRule="auto"/>
        <w:tabs>
          <w:tab w:leader="none" w:pos="62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According to an examination, the project has the potential to achieve high returns. The maturity period for the project is long (approx. 10 years from the beginning of development until it reaches the market). The project is capable of raising external capital within 3 years. The technological risk of the project is high and the lion’s share of the research and development shall be done as part of and in the framework of the incubator.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257415" cy="209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494" w:right="339" w:bottom="1440" w:gutter="0" w:footer="0" w:header="0"/>
        </w:sectPr>
      </w:pPr>
    </w:p>
    <w:bookmarkStart w:id="396" w:name="page397"/>
    <w:bookmarkEnd w:id="396"/>
    <w:p>
      <w:pPr>
        <w:spacing w:after="0"/>
        <w:rPr>
          <w:sz w:val="20"/>
          <w:szCs w:val="20"/>
          <w:color w:val="auto"/>
        </w:rPr>
      </w:pPr>
      <w:r>
        <w:rPr>
          <w:rFonts w:ascii="Arial" w:cs="Arial" w:eastAsia="Arial" w:hAnsi="Arial"/>
          <w:sz w:val="17"/>
          <w:szCs w:val="17"/>
          <w:b w:val="1"/>
          <w:bCs w:val="1"/>
          <w:color w:val="auto"/>
        </w:rPr>
        <w:t>Appendix E: Bond for a type 2 biotechnological incubator</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Issued on the _______ day of the month of _________ in the year _______ by ________________________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(hereinafter “the Incubator”)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with the State of Israel (hereinafter “the State”) as the beneficiary</w:t>
      </w:r>
    </w:p>
    <w:p>
      <w:pPr>
        <w:sectPr>
          <w:pgSz w:w="11900" w:h="16838" w:orient="portrait"/>
          <w:cols w:equalWidth="0" w:num="1">
            <w:col w:w="11420"/>
          </w:cols>
          <w:pgMar w:left="240" w:top="494"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to ensure the repayment of all sums that the Incubator owes and/or from time to time may owe the State for the State’s loans to the Incubator to enable the execution of Incubator projects, and to ensure that the Incubator fulfills in full and on time its obligations to the State according to the agreement whereby it shall operate an industrial research and development entrepreneurial center under incubator conditions, an agreement between the Incubator and the State that was drawn up and signed on (date) _____________ (hereinafter “</w:t>
      </w:r>
      <w:r>
        <w:rPr>
          <w:rFonts w:ascii="Arial" w:cs="Arial" w:eastAsia="Arial" w:hAnsi="Arial"/>
          <w:sz w:val="17"/>
          <w:szCs w:val="17"/>
          <w:b w:val="1"/>
          <w:bCs w:val="1"/>
          <w:color w:val="auto"/>
        </w:rPr>
        <w:t>the Agreement</w:t>
      </w:r>
      <w:r>
        <w:rPr>
          <w:rFonts w:ascii="Arial" w:cs="Arial" w:eastAsia="Arial" w:hAnsi="Arial"/>
          <w:sz w:val="17"/>
          <w:szCs w:val="17"/>
          <w:color w:val="auto"/>
        </w:rPr>
        <w:t>”), the Incubator hereby encumbers and mortgages all its assets through this bond, in a senior floating lien with the State as a beneficiary, and hereby assigns all its assets to the State through a floating lien.</w:t>
      </w:r>
    </w:p>
    <w:p>
      <w:pPr>
        <w:spacing w:after="0" w:line="200" w:lineRule="exact"/>
        <w:rPr>
          <w:sz w:val="20"/>
          <w:szCs w:val="20"/>
          <w:color w:val="auto"/>
        </w:rPr>
      </w:pPr>
    </w:p>
    <w:p>
      <w:pPr>
        <w:sectPr>
          <w:pgSz w:w="11900" w:h="16838" w:orient="portrait"/>
          <w:cols w:equalWidth="0" w:num="2">
            <w:col w:w="600" w:space="480"/>
            <w:col w:w="10340"/>
          </w:cols>
          <w:pgMar w:left="240" w:top="494"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7"/>
          <w:szCs w:val="17"/>
          <w:color w:val="auto"/>
        </w:rPr>
        <w:t>according to provision no. 8.4 of the director general of the Ministry of Industry and Trade issued on May 2, 2004 (hereinafter "</w:t>
      </w:r>
      <w:r>
        <w:rPr>
          <w:rFonts w:ascii="Arial" w:cs="Arial" w:eastAsia="Arial" w:hAnsi="Arial"/>
          <w:sz w:val="17"/>
          <w:szCs w:val="17"/>
          <w:b w:val="1"/>
          <w:bCs w:val="1"/>
          <w:color w:val="auto"/>
        </w:rPr>
        <w:t>the Director</w:t>
      </w:r>
      <w:r>
        <w:rPr>
          <w:rFonts w:ascii="Arial" w:cs="Arial" w:eastAsia="Arial" w:hAnsi="Arial"/>
          <w:sz w:val="17"/>
          <w:szCs w:val="17"/>
          <w:color w:val="auto"/>
        </w:rPr>
        <w:t xml:space="preserve"> </w:t>
      </w:r>
      <w:r>
        <w:rPr>
          <w:rFonts w:ascii="Arial" w:cs="Arial" w:eastAsia="Arial" w:hAnsi="Arial"/>
          <w:sz w:val="17"/>
          <w:szCs w:val="17"/>
          <w:b w:val="1"/>
          <w:bCs w:val="1"/>
          <w:color w:val="auto"/>
        </w:rPr>
        <w:t>General's Provision</w:t>
      </w:r>
      <w:r>
        <w:rPr>
          <w:rFonts w:ascii="Arial" w:cs="Arial" w:eastAsia="Arial" w:hAnsi="Arial"/>
          <w:sz w:val="17"/>
          <w:szCs w:val="17"/>
          <w:color w:val="auto"/>
        </w:rPr>
        <w:t>") and according to the agreement the Incubator is and/or will be eligible to receive a loan (hereinafter</w:t>
      </w:r>
      <w:r>
        <w:rPr>
          <w:rFonts w:ascii="Arial" w:cs="Arial" w:eastAsia="Arial" w:hAnsi="Arial"/>
          <w:sz w:val="17"/>
          <w:szCs w:val="17"/>
          <w:b w:val="1"/>
          <w:bCs w:val="1"/>
          <w:color w:val="auto"/>
        </w:rPr>
        <w:t xml:space="preserve"> "the Loan"</w:t>
      </w:r>
      <w:r>
        <w:rPr>
          <w:rFonts w:ascii="Arial" w:cs="Arial" w:eastAsia="Arial" w:hAnsi="Arial"/>
          <w:sz w:val="17"/>
          <w:szCs w:val="17"/>
          <w:color w:val="auto"/>
        </w:rPr>
        <w: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for a Project company and/or a project, as defined in the agreement, for purposes of executing the Project, as specified by law and as specified in the Director General’s provisions;</w:t>
      </w:r>
    </w:p>
    <w:p>
      <w:pPr>
        <w:spacing w:after="0" w:line="200" w:lineRule="exact"/>
        <w:rPr>
          <w:sz w:val="20"/>
          <w:szCs w:val="20"/>
          <w:color w:val="auto"/>
        </w:rPr>
      </w:pPr>
    </w:p>
    <w:p>
      <w:pPr>
        <w:sectPr>
          <w:pgSz w:w="11900" w:h="16838" w:orient="portrait"/>
          <w:cols w:equalWidth="0" w:num="2">
            <w:col w:w="600" w:space="480"/>
            <w:col w:w="10340"/>
          </w:cols>
          <w:pgMar w:left="240" w:top="494"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And whereas</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the State has approved the Incubator’s request for funding, in keeping with the certificate of approval, as defined below, and in keeping with the agreement;</w:t>
      </w:r>
    </w:p>
    <w:p>
      <w:pPr>
        <w:spacing w:after="0" w:line="190" w:lineRule="exact"/>
        <w:rPr>
          <w:sz w:val="20"/>
          <w:szCs w:val="20"/>
          <w:color w:val="auto"/>
        </w:rPr>
      </w:pPr>
    </w:p>
    <w:p>
      <w:pPr>
        <w:sectPr>
          <w:pgSz w:w="11900" w:h="16838" w:orient="portrait"/>
          <w:cols w:equalWidth="0" w:num="2">
            <w:col w:w="900" w:space="640"/>
            <w:col w:w="9880"/>
          </w:cols>
          <w:pgMar w:left="240" w:top="494" w:right="239" w:bottom="1440" w:gutter="0" w:footer="0" w:header="0"/>
          <w:type w:val="continuous"/>
        </w:sectPr>
      </w:pPr>
    </w:p>
    <w:p>
      <w:pPr>
        <w:spacing w:after="0"/>
        <w:rPr>
          <w:sz w:val="20"/>
          <w:szCs w:val="20"/>
          <w:color w:val="auto"/>
        </w:rPr>
      </w:pPr>
      <w:r>
        <w:rPr>
          <w:rFonts w:ascii="Arial" w:cs="Arial" w:eastAsia="Arial" w:hAnsi="Arial"/>
          <w:sz w:val="15"/>
          <w:szCs w:val="15"/>
          <w:color w:val="auto"/>
        </w:rPr>
        <w:t>And whereas</w:t>
      </w:r>
    </w:p>
    <w:p>
      <w:pPr>
        <w:spacing w:after="0" w:line="20" w:lineRule="exact"/>
        <w:rPr>
          <w:sz w:val="20"/>
          <w:szCs w:val="20"/>
          <w:color w:val="auto"/>
        </w:rPr>
      </w:pPr>
      <w:r>
        <w:rPr>
          <w:sz w:val="20"/>
          <w:szCs w:val="20"/>
          <w:color w:val="auto"/>
        </w:rPr>
        <w:br w:type="column"/>
      </w:r>
    </w:p>
    <w:p>
      <w:pPr>
        <w:ind w:right="220"/>
        <w:spacing w:after="0" w:line="278" w:lineRule="auto"/>
        <w:rPr>
          <w:sz w:val="20"/>
          <w:szCs w:val="20"/>
          <w:color w:val="auto"/>
        </w:rPr>
      </w:pPr>
      <w:r>
        <w:rPr>
          <w:rFonts w:ascii="Arial" w:cs="Arial" w:eastAsia="Arial" w:hAnsi="Arial"/>
          <w:sz w:val="17"/>
          <w:szCs w:val="17"/>
          <w:color w:val="auto"/>
        </w:rPr>
        <w:t>as a condition of receiving the loan, the Incubator committed itself to encumbering the encumbered assets of the Project, as defined in clause 5.14 of the Director General’s Provision, with the State as the beneficiary;</w:t>
      </w:r>
    </w:p>
    <w:p>
      <w:pPr>
        <w:spacing w:after="0" w:line="190" w:lineRule="exact"/>
        <w:rPr>
          <w:sz w:val="20"/>
          <w:szCs w:val="20"/>
          <w:color w:val="auto"/>
        </w:rPr>
      </w:pPr>
    </w:p>
    <w:p>
      <w:pPr>
        <w:sectPr>
          <w:pgSz w:w="11900" w:h="16838" w:orient="portrait"/>
          <w:cols w:equalWidth="0" w:num="2">
            <w:col w:w="900" w:space="640"/>
            <w:col w:w="9880"/>
          </w:cols>
          <w:pgMar w:left="240" w:top="494" w:right="239" w:bottom="1440" w:gutter="0" w:footer="0" w:header="0"/>
          <w:type w:val="continuous"/>
        </w:sectPr>
      </w:pPr>
    </w:p>
    <w:p>
      <w:pPr>
        <w:spacing w:after="0"/>
        <w:rPr>
          <w:sz w:val="20"/>
          <w:szCs w:val="20"/>
          <w:color w:val="auto"/>
        </w:rPr>
      </w:pPr>
      <w:r>
        <w:rPr>
          <w:rFonts w:ascii="Arial" w:cs="Arial" w:eastAsia="Arial" w:hAnsi="Arial"/>
          <w:sz w:val="17"/>
          <w:szCs w:val="17"/>
          <w:color w:val="auto"/>
        </w:rPr>
        <w:t>It is accordingly stipulated in the bond as follows:</w:t>
      </w:r>
    </w:p>
    <w:p>
      <w:pPr>
        <w:spacing w:after="0" w:line="236" w:lineRule="exact"/>
        <w:rPr>
          <w:sz w:val="20"/>
          <w:szCs w:val="20"/>
          <w:color w:val="auto"/>
        </w:rPr>
      </w:pPr>
    </w:p>
    <w:p>
      <w:pPr>
        <w:ind w:left="320" w:hanging="317"/>
        <w:spacing w:after="0"/>
        <w:tabs>
          <w:tab w:leader="none" w:pos="32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 xml:space="preserve">The preamble to this bond (hereinafter </w:t>
      </w:r>
      <w:r>
        <w:rPr>
          <w:rFonts w:ascii="Arial" w:cs="Arial" w:eastAsia="Arial" w:hAnsi="Arial"/>
          <w:sz w:val="15"/>
          <w:szCs w:val="15"/>
          <w:b w:val="1"/>
          <w:bCs w:val="1"/>
          <w:color w:val="auto"/>
        </w:rPr>
        <w:t>"the Bond"</w:t>
      </w:r>
      <w:r>
        <w:rPr>
          <w:rFonts w:ascii="Arial" w:cs="Arial" w:eastAsia="Arial" w:hAnsi="Arial"/>
          <w:sz w:val="15"/>
          <w:szCs w:val="15"/>
          <w:color w:val="auto"/>
        </w:rPr>
        <w:t xml:space="preserve"> or </w:t>
      </w:r>
      <w:r>
        <w:rPr>
          <w:rFonts w:ascii="Arial" w:cs="Arial" w:eastAsia="Arial" w:hAnsi="Arial"/>
          <w:sz w:val="15"/>
          <w:szCs w:val="15"/>
          <w:b w:val="1"/>
          <w:bCs w:val="1"/>
          <w:color w:val="auto"/>
        </w:rPr>
        <w:t>"the Certificate of Encumbrance"</w:t>
      </w:r>
      <w:r>
        <w:rPr>
          <w:rFonts w:ascii="Arial" w:cs="Arial" w:eastAsia="Arial" w:hAnsi="Arial"/>
          <w:sz w:val="15"/>
          <w:szCs w:val="15"/>
          <w:color w:val="auto"/>
        </w:rPr>
        <w:t>) and the accompanying appendices are inseparable parts of the Bond.</w:t>
      </w:r>
    </w:p>
    <w:p>
      <w:pPr>
        <w:spacing w:after="0" w:line="50" w:lineRule="exact"/>
        <w:rPr>
          <w:rFonts w:ascii="Arial" w:cs="Arial" w:eastAsia="Arial" w:hAnsi="Arial"/>
          <w:sz w:val="15"/>
          <w:szCs w:val="15"/>
          <w:color w:val="auto"/>
        </w:rPr>
      </w:pPr>
    </w:p>
    <w:p>
      <w:pPr>
        <w:ind w:left="320" w:hanging="317"/>
        <w:spacing w:after="0"/>
        <w:tabs>
          <w:tab w:leader="none" w:pos="3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In this Certificate of Encumbrance the following terms shall have the following meanings:</w:t>
      </w:r>
    </w:p>
    <w:p>
      <w:pPr>
        <w:spacing w:after="0" w:line="10" w:lineRule="exact"/>
        <w:rPr>
          <w:rFonts w:ascii="Arial" w:cs="Arial" w:eastAsia="Arial" w:hAnsi="Arial"/>
          <w:sz w:val="17"/>
          <w:szCs w:val="17"/>
          <w:color w:val="auto"/>
        </w:rPr>
      </w:pPr>
    </w:p>
    <w:p>
      <w:pPr>
        <w:ind w:left="780" w:right="20" w:hanging="463"/>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Approved plan:</w:t>
      </w:r>
      <w:r>
        <w:rPr>
          <w:rFonts w:ascii="Arial" w:cs="Arial" w:eastAsia="Arial" w:hAnsi="Arial"/>
          <w:sz w:val="17"/>
          <w:szCs w:val="17"/>
          <w:color w:val="auto"/>
        </w:rPr>
        <w:t xml:space="preserve"> The plan with all its conditions as it was approved by the Committee on Biotechnological Incubators (hereinafter: “</w:t>
      </w:r>
      <w:r>
        <w:rPr>
          <w:rFonts w:ascii="Arial" w:cs="Arial" w:eastAsia="Arial" w:hAnsi="Arial"/>
          <w:sz w:val="17"/>
          <w:szCs w:val="17"/>
          <w:b w:val="1"/>
          <w:bCs w:val="1"/>
          <w:color w:val="auto"/>
        </w:rPr>
        <w:t>the Committee”</w:t>
      </w:r>
      <w:r>
        <w:rPr>
          <w:rFonts w:ascii="Arial" w:cs="Arial" w:eastAsia="Arial" w:hAnsi="Arial"/>
          <w:sz w:val="17"/>
          <w:szCs w:val="17"/>
          <w:color w:val="auto"/>
        </w:rPr>
        <w:t>) and for whose execution the Incubator has received and/or is eligible to receive a loan pursuant to the agreement.</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Certificate of Approval:</w:t>
      </w:r>
      <w:r>
        <w:rPr>
          <w:rFonts w:ascii="Arial" w:cs="Arial" w:eastAsia="Arial" w:hAnsi="Arial"/>
          <w:sz w:val="16"/>
          <w:szCs w:val="16"/>
          <w:color w:val="auto"/>
        </w:rPr>
        <w:t xml:space="preserve"> A certificate to be signed by the Chief Scientist, for the purpose of funding an Incubator Project as defined in the agreement.</w:t>
      </w:r>
    </w:p>
    <w:p>
      <w:pPr>
        <w:spacing w:after="0" w:line="3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Project:</w:t>
      </w:r>
      <w:r>
        <w:rPr>
          <w:rFonts w:ascii="Arial" w:cs="Arial" w:eastAsia="Arial" w:hAnsi="Arial"/>
          <w:sz w:val="17"/>
          <w:szCs w:val="17"/>
          <w:color w:val="auto"/>
        </w:rPr>
        <w:t xml:space="preserve"> as defined in the agreement.</w:t>
      </w:r>
    </w:p>
    <w:p>
      <w:pPr>
        <w:spacing w:after="0" w:line="42" w:lineRule="exact"/>
        <w:rPr>
          <w:rFonts w:ascii="Arial" w:cs="Arial" w:eastAsia="Arial" w:hAnsi="Arial"/>
          <w:sz w:val="17"/>
          <w:szCs w:val="17"/>
          <w:color w:val="auto"/>
        </w:rPr>
      </w:pPr>
    </w:p>
    <w:p>
      <w:pPr>
        <w:ind w:left="320" w:right="420" w:hanging="317"/>
        <w:spacing w:after="0" w:line="265" w:lineRule="auto"/>
        <w:tabs>
          <w:tab w:leader="none" w:pos="3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In every instance in which there is a contradiction between the provisions of this Bond and the provisions of the Agreement, the provisions of the Bond will override those of the Agreement. Notwithstanding, it is stipulated that the realization of the Bond and lifting of the lien on the assets will be subject to the provisions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397" w:name="page398"/>
    <w:bookmarkEnd w:id="397"/>
    <w:p>
      <w:pPr>
        <w:ind w:left="317" w:hanging="317"/>
        <w:spacing w:after="0"/>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section headings in this Bond are meant exclusively for ease of reading and are not to be used in its interpretation.</w:t>
      </w:r>
    </w:p>
    <w:p>
      <w:pPr>
        <w:spacing w:after="0" w:line="21" w:lineRule="exact"/>
        <w:rPr>
          <w:rFonts w:ascii="Arial" w:cs="Arial" w:eastAsia="Arial" w:hAnsi="Arial"/>
          <w:sz w:val="17"/>
          <w:szCs w:val="17"/>
          <w:color w:val="auto"/>
        </w:rPr>
      </w:pPr>
    </w:p>
    <w:p>
      <w:pPr>
        <w:ind w:left="317" w:right="20" w:hanging="317"/>
        <w:spacing w:after="0" w:line="252" w:lineRule="auto"/>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This Certificate of Encumbrance guarantees and shall guarantee the full and exact repayment of all sums of the loan and other sums that the Incubator is to repay to the State and, without derogating from the generality thereof, principal, interest, linkage differentials, guarantees, fees, expenses, realization expenses, legal expenses, and so forth.</w:t>
      </w:r>
    </w:p>
    <w:p>
      <w:pPr>
        <w:spacing w:after="0" w:line="1" w:lineRule="exact"/>
        <w:rPr>
          <w:rFonts w:ascii="Arial" w:cs="Arial" w:eastAsia="Arial" w:hAnsi="Arial"/>
          <w:sz w:val="17"/>
          <w:szCs w:val="17"/>
          <w:color w:val="auto"/>
        </w:rPr>
      </w:pPr>
    </w:p>
    <w:p>
      <w:pPr>
        <w:ind w:left="317" w:hanging="317"/>
        <w:spacing w:after="0" w:line="252" w:lineRule="auto"/>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As collateral for the full and exact repayment of all the guaranteed sums and by virtue of clauses 165–166 of the Companies Ordinance of 1983 (new version), and/or by virtue of any other legal provision the Incubator hereby encumbers the Incubator’s assets with a senior floating lien. The lien applies to the Incubator’s assets in both their current and any future states, including a restriction on the transfer and/or licensing of the rights to the technologies that were produced by the projects during their period in the Incubator; the lien also applies to any equipment that is purchased for use by the Project (hereinafter </w:t>
      </w:r>
      <w:r>
        <w:rPr>
          <w:rFonts w:ascii="Arial" w:cs="Arial" w:eastAsia="Arial" w:hAnsi="Arial"/>
          <w:sz w:val="17"/>
          <w:szCs w:val="17"/>
          <w:b w:val="1"/>
          <w:bCs w:val="1"/>
          <w:color w:val="auto"/>
        </w:rPr>
        <w:t>“the Encumbered</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317" w:right="140" w:hanging="317"/>
        <w:spacing w:after="0" w:line="252" w:lineRule="auto"/>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Incubator hereby declares and confirms that there are no other attachments or liens or encumbrances or mortgages on the Encumbered Property or any part of it, or any undertaking to create any such lien or encumbrance or mortgage.</w:t>
      </w:r>
    </w:p>
    <w:p>
      <w:pPr>
        <w:spacing w:after="0" w:line="1" w:lineRule="exact"/>
        <w:rPr>
          <w:rFonts w:ascii="Arial" w:cs="Arial" w:eastAsia="Arial" w:hAnsi="Arial"/>
          <w:sz w:val="17"/>
          <w:szCs w:val="17"/>
          <w:color w:val="auto"/>
        </w:rPr>
      </w:pPr>
    </w:p>
    <w:p>
      <w:pPr>
        <w:ind w:left="317" w:right="40" w:hanging="317"/>
        <w:spacing w:after="0" w:line="252" w:lineRule="auto"/>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The Incubator hereby undertakes to ensure that the lien it has created through this Certificate of Encumbrance shall be recorded in the Register of Liens of the Registrar of Companies and/or the Registrar of Liens and/or in any other relevant register (hereinafter: </w:t>
      </w:r>
      <w:r>
        <w:rPr>
          <w:rFonts w:ascii="Arial" w:cs="Arial" w:eastAsia="Arial" w:hAnsi="Arial"/>
          <w:sz w:val="17"/>
          <w:szCs w:val="17"/>
          <w:b w:val="1"/>
          <w:bCs w:val="1"/>
          <w:color w:val="auto"/>
        </w:rPr>
        <w:t>“the Registrar”</w:t>
      </w:r>
      <w:r>
        <w:rPr>
          <w:rFonts w:ascii="Arial" w:cs="Arial" w:eastAsia="Arial" w:hAnsi="Arial"/>
          <w:sz w:val="17"/>
          <w:szCs w:val="17"/>
          <w:color w:val="auto"/>
        </w:rPr>
        <w:t>) within the legal time frame. The Incubator also agrees to sign at the State’s request any document, letter, request, or similar document addressed to any agency for purposes of registering the lien in any register.</w:t>
      </w:r>
    </w:p>
    <w:p>
      <w:pPr>
        <w:spacing w:after="0" w:line="2" w:lineRule="exact"/>
        <w:rPr>
          <w:rFonts w:ascii="Arial" w:cs="Arial" w:eastAsia="Arial" w:hAnsi="Arial"/>
          <w:sz w:val="17"/>
          <w:szCs w:val="17"/>
          <w:color w:val="auto"/>
        </w:rPr>
      </w:pPr>
    </w:p>
    <w:p>
      <w:pPr>
        <w:ind w:left="317" w:right="80" w:hanging="317"/>
        <w:spacing w:after="0" w:line="252" w:lineRule="auto"/>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Incubator agrees that the lien that is registered by the Registrar in the Register of Liens as stated above shall not be removed from the said Register of Liens until such time as the State provides it with a written declaration to the effect that it agrees to remove the lien.</w:t>
      </w:r>
    </w:p>
    <w:p>
      <w:pPr>
        <w:spacing w:after="0" w:line="1" w:lineRule="exact"/>
        <w:rPr>
          <w:rFonts w:ascii="Arial" w:cs="Arial" w:eastAsia="Arial" w:hAnsi="Arial"/>
          <w:sz w:val="17"/>
          <w:szCs w:val="17"/>
          <w:color w:val="auto"/>
        </w:rPr>
      </w:pPr>
    </w:p>
    <w:p>
      <w:pPr>
        <w:ind w:left="317" w:right="140" w:hanging="317"/>
        <w:spacing w:after="0" w:line="252" w:lineRule="auto"/>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State shall be entitled to realize the lien, with itself as the beneficiary, without any need for the Incubator’s consent. The State shall inform the Incubator of its intent to realize the lien thirty (30) days before doing so.</w:t>
      </w:r>
    </w:p>
    <w:p>
      <w:pPr>
        <w:spacing w:after="0" w:line="1" w:lineRule="exact"/>
        <w:rPr>
          <w:rFonts w:ascii="Arial" w:cs="Arial" w:eastAsia="Arial" w:hAnsi="Arial"/>
          <w:sz w:val="17"/>
          <w:szCs w:val="17"/>
          <w:color w:val="auto"/>
        </w:rPr>
      </w:pPr>
    </w:p>
    <w:p>
      <w:pPr>
        <w:ind w:left="317" w:hanging="317"/>
        <w:spacing w:after="0"/>
        <w:tabs>
          <w:tab w:leader="none" w:pos="31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Incubator undertakes to do the following:</w:t>
      </w:r>
    </w:p>
    <w:p>
      <w:pPr>
        <w:spacing w:after="0" w:line="10" w:lineRule="exact"/>
        <w:rPr>
          <w:rFonts w:ascii="Arial" w:cs="Arial" w:eastAsia="Arial" w:hAnsi="Arial"/>
          <w:sz w:val="17"/>
          <w:szCs w:val="17"/>
          <w:color w:val="auto"/>
        </w:rPr>
      </w:pPr>
    </w:p>
    <w:p>
      <w:pPr>
        <w:ind w:left="777" w:hanging="463"/>
        <w:spacing w:after="0" w:line="271" w:lineRule="auto"/>
        <w:rPr>
          <w:rFonts w:ascii="Arial" w:cs="Arial" w:eastAsia="Arial" w:hAnsi="Arial"/>
          <w:sz w:val="17"/>
          <w:szCs w:val="17"/>
          <w:color w:val="auto"/>
        </w:rPr>
      </w:pPr>
      <w:r>
        <w:rPr>
          <w:rFonts w:ascii="Arial" w:cs="Arial" w:eastAsia="Arial" w:hAnsi="Arial"/>
          <w:sz w:val="16"/>
          <w:szCs w:val="16"/>
          <w:color w:val="auto"/>
        </w:rPr>
        <w:t>11.1 To insure the physical Encumbered Property beginning from the date this bond is signed and at all times at its full value as is the practice with physical property, against all risks for which similar physical assets are insured, with an insurance company registered in Israel that is legally authorized to sell insurance. The Incubator also undertakes to inform the said insurance company of any notice or instruction regarding the assignment of the rights accruing to the State from the insurance policies of which the State is the beneficiary, according to a formulation that is approved by the State. This formulation shall include among other provisions an irrevocable order to the said insurance company to pay all sums that the Incubator is or shall be entitled to collect on account of all or any part of the encumbered property exclusively to the State and/or to the State’s designated recipient. In addition, the Incubator undertakes to submit to the State confirmation from the said insurance company that it has received the above-mentioned order and that it agrees to abide by it, and that it also undertakes to give the State notice by registered mail about any change or cancellation or expiration of any insurance policy at least thirty (30) days in advance. The Incubator undertakes not to introduce changes into any of its insurance policies without the State’s approval. The Incubator also undertakes to extend the validity of its insurance policies from time to time as necessary throughout the period of the lien, even without any request or demand from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7257415" cy="209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77"/>
          </w:cols>
          <w:pgMar w:left="243" w:top="500" w:right="279" w:bottom="1440" w:gutter="0" w:footer="0" w:header="0"/>
        </w:sectPr>
      </w:pPr>
    </w:p>
    <w:bookmarkStart w:id="398" w:name="page399"/>
    <w:bookmarkEnd w:id="398"/>
    <w:p>
      <w:pPr>
        <w:ind w:left="777" w:right="240" w:hanging="462"/>
        <w:spacing w:after="0" w:line="257" w:lineRule="auto"/>
        <w:tabs>
          <w:tab w:leader="none" w:pos="757" w:val="left"/>
        </w:tabs>
        <w:rPr>
          <w:sz w:val="20"/>
          <w:szCs w:val="20"/>
          <w:color w:val="auto"/>
        </w:rPr>
      </w:pPr>
      <w:r>
        <w:rPr>
          <w:rFonts w:ascii="Arial" w:cs="Arial" w:eastAsia="Arial" w:hAnsi="Arial"/>
          <w:sz w:val="17"/>
          <w:szCs w:val="17"/>
          <w:color w:val="auto"/>
        </w:rPr>
        <w:t>11.2</w:t>
        <w:tab/>
        <w:t>To fulfill all the conditions of the insurance policies mentioned in clause 11.1 above and to comply with all their restrictions, and to submit copies of all the aforesaid policies to the State. In the event that the State asks the Incubator to introduce any revisions into the insurance policies the Incubator undertakes to make these revisions.</w:t>
      </w:r>
    </w:p>
    <w:p>
      <w:pPr>
        <w:ind w:left="777" w:right="20" w:hanging="462"/>
        <w:spacing w:after="0" w:line="252" w:lineRule="auto"/>
        <w:tabs>
          <w:tab w:leader="none" w:pos="757" w:val="left"/>
        </w:tabs>
        <w:rPr>
          <w:sz w:val="20"/>
          <w:szCs w:val="20"/>
          <w:color w:val="auto"/>
        </w:rPr>
      </w:pPr>
      <w:r>
        <w:rPr>
          <w:rFonts w:ascii="Arial" w:cs="Arial" w:eastAsia="Arial" w:hAnsi="Arial"/>
          <w:sz w:val="17"/>
          <w:szCs w:val="17"/>
          <w:color w:val="auto"/>
        </w:rPr>
        <w:t>11.3</w:t>
        <w:tab/>
        <w:t>To preserve the physical Encumbered Property and to maintain it in good working condition, to use it carefully, and to inform the State immediately of any instance of substantive damage to and/or substantive malfunction of and/or substantive defect in the property, and to immediately repair any damage to and/or malfunction of and/or defect that occurs in the Encumbered Property for any reason, and to enable the State’s or the Committee’s representatives to check the condition of the Encumbered Property at any time.</w:t>
      </w:r>
    </w:p>
    <w:p>
      <w:pPr>
        <w:spacing w:after="0" w:line="2" w:lineRule="exact"/>
        <w:rPr>
          <w:sz w:val="20"/>
          <w:szCs w:val="20"/>
          <w:color w:val="auto"/>
        </w:rPr>
      </w:pPr>
    </w:p>
    <w:p>
      <w:pPr>
        <w:ind w:left="777" w:right="320" w:hanging="462"/>
        <w:spacing w:after="0" w:line="252" w:lineRule="auto"/>
        <w:tabs>
          <w:tab w:leader="none" w:pos="757" w:val="left"/>
        </w:tabs>
        <w:rPr>
          <w:sz w:val="20"/>
          <w:szCs w:val="20"/>
          <w:color w:val="auto"/>
        </w:rPr>
      </w:pPr>
      <w:r>
        <w:rPr>
          <w:rFonts w:ascii="Arial" w:cs="Arial" w:eastAsia="Arial" w:hAnsi="Arial"/>
          <w:sz w:val="17"/>
          <w:szCs w:val="17"/>
          <w:color w:val="auto"/>
        </w:rPr>
        <w:t>11.4</w:t>
        <w:tab/>
        <w:t>Not to remove the physical Encumbered Property or any part of it from the premises of the Incubator building without the State’s written agreement in advance, with the exception of the temporary removal of the Encumbered Property for the exclusive purpose of repairing it.</w:t>
      </w:r>
    </w:p>
    <w:p>
      <w:pPr>
        <w:spacing w:after="0" w:line="1" w:lineRule="exact"/>
        <w:rPr>
          <w:sz w:val="20"/>
          <w:szCs w:val="20"/>
          <w:color w:val="auto"/>
        </w:rPr>
      </w:pPr>
    </w:p>
    <w:p>
      <w:pPr>
        <w:ind w:left="777" w:right="420" w:hanging="462"/>
        <w:spacing w:after="0" w:line="252" w:lineRule="auto"/>
        <w:tabs>
          <w:tab w:leader="none" w:pos="757" w:val="left"/>
        </w:tabs>
        <w:rPr>
          <w:sz w:val="20"/>
          <w:szCs w:val="20"/>
          <w:color w:val="auto"/>
        </w:rPr>
      </w:pPr>
      <w:r>
        <w:rPr>
          <w:rFonts w:ascii="Arial" w:cs="Arial" w:eastAsia="Arial" w:hAnsi="Arial"/>
          <w:sz w:val="17"/>
          <w:szCs w:val="17"/>
          <w:color w:val="auto"/>
        </w:rPr>
        <w:t>11.5</w:t>
        <w:tab/>
        <w:t>Not to sell, rent, give, transfer, and/or assign all or any part of the Encumbered Property to any third party whatsoever without receiving prior written consent from the State or pursuant to the provisions of the Agreement.</w:t>
      </w:r>
    </w:p>
    <w:p>
      <w:pPr>
        <w:spacing w:after="0" w:line="1" w:lineRule="exact"/>
        <w:rPr>
          <w:sz w:val="20"/>
          <w:szCs w:val="20"/>
          <w:color w:val="auto"/>
        </w:rPr>
      </w:pPr>
    </w:p>
    <w:p>
      <w:pPr>
        <w:ind w:left="777" w:hanging="462"/>
        <w:spacing w:after="0" w:line="268" w:lineRule="auto"/>
        <w:tabs>
          <w:tab w:leader="none" w:pos="757"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color w:val="auto"/>
        </w:rPr>
        <w:t>To immediately inform the State of the imposition of any attachment, the implementation of any action, the execution of any judgment, or the submission of a request for the appointment of a receiver for all or part of the Encumbered Property, and also to immediately notify any agency and/or third party that has imposed any such attachment or taken any such action. In addition, the Incubator undertakes to immediately perform at its own expense any action that may be required to rescind the attachment and/or revoke and/or cancel the action, as relevant.</w:t>
      </w:r>
    </w:p>
    <w:p>
      <w:pPr>
        <w:spacing w:after="0" w:line="1" w:lineRule="exact"/>
        <w:rPr>
          <w:sz w:val="20"/>
          <w:szCs w:val="20"/>
          <w:color w:val="auto"/>
        </w:rPr>
      </w:pPr>
    </w:p>
    <w:p>
      <w:pPr>
        <w:ind w:left="777" w:right="100" w:hanging="462"/>
        <w:spacing w:after="0" w:line="268" w:lineRule="auto"/>
        <w:tabs>
          <w:tab w:leader="none" w:pos="757"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6"/>
          <w:szCs w:val="16"/>
          <w:color w:val="auto"/>
        </w:rPr>
        <w:t>The Incubator undertakes not to mortgage and/or encumber all or any part of the Encumbered Property to any third party with any other or additional lien and/or mortgage, whether prior, equal, subsequent, or junior, or any other encumbrance without receiving prior written permission from the State.</w:t>
      </w:r>
    </w:p>
    <w:p>
      <w:pPr>
        <w:spacing w:after="0" w:line="1" w:lineRule="exact"/>
        <w:rPr>
          <w:sz w:val="20"/>
          <w:szCs w:val="20"/>
          <w:color w:val="auto"/>
        </w:rPr>
      </w:pPr>
    </w:p>
    <w:p>
      <w:pPr>
        <w:ind w:left="317" w:right="60" w:hanging="317"/>
        <w:spacing w:after="0" w:line="286" w:lineRule="auto"/>
        <w:tabs>
          <w:tab w:leader="none" w:pos="317" w:val="left"/>
        </w:tabs>
        <w:numPr>
          <w:ilvl w:val="0"/>
          <w:numId w:val="315"/>
        </w:numPr>
        <w:rPr>
          <w:rFonts w:ascii="Arial" w:cs="Arial" w:eastAsia="Arial" w:hAnsi="Arial"/>
          <w:sz w:val="15"/>
          <w:szCs w:val="15"/>
          <w:color w:val="auto"/>
        </w:rPr>
      </w:pPr>
      <w:r>
        <w:rPr>
          <w:rFonts w:ascii="Arial" w:cs="Arial" w:eastAsia="Arial" w:hAnsi="Arial"/>
          <w:sz w:val="15"/>
          <w:szCs w:val="15"/>
          <w:color w:val="auto"/>
        </w:rPr>
        <w:t>After the full balance of the State loan for a certain project has been repaid (as specified in clause 13 of the agreement), those assets of the Project that were encumbered with regard to the said project shall be removed from the scope of the lien, pursuant to clause 12.3 of the Agreement. The State undertakes to deduct the sum that corresponds to the lien from the relative portion of the State loan, in keeping with the procedures of the technological incubators program of the Chief Scientist’s Office. In addition, the State shall deduct the sum that corresponds to the lien from the relative portion of the State loan that corresponds to the encumbered assets, in proportion to the sums that were not transferred to the Project and were returned to the State, or that were not transferred to projects that were shut down and/or that failed, in keeping with the procedures of the technological incubators program of the Chief Scientist’s Office.</w:t>
      </w:r>
    </w:p>
    <w:p>
      <w:pPr>
        <w:spacing w:after="0" w:line="1" w:lineRule="exact"/>
        <w:rPr>
          <w:rFonts w:ascii="Arial" w:cs="Arial" w:eastAsia="Arial" w:hAnsi="Arial"/>
          <w:sz w:val="15"/>
          <w:szCs w:val="15"/>
          <w:color w:val="auto"/>
        </w:rPr>
      </w:pPr>
    </w:p>
    <w:p>
      <w:pPr>
        <w:ind w:left="317" w:hanging="317"/>
        <w:spacing w:after="0" w:line="255" w:lineRule="auto"/>
        <w:tabs>
          <w:tab w:leader="none" w:pos="31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Incubator hereby grants the State irrevocable power of attorney to carry out in its name, on its behalf, and at its expense any of the following activities: to file any suit against the insurance companies with regard to the insurance of all or part of the physical Encumbered Property, and to reach agreement with the insurance companies regarding the suits against them as the State sees fit, after notifying the Incubator, including agreements that constitute a compromise on or waiver of the Incubator’s rights, all or in part, and to sign an arbitration agreement and collect the insurance monies. The State shall have the right to undertake any of the aforementioned actions whether the insurance policy was/will be taken out by the Incubator or in its name or whether it was/will be taken out by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257415" cy="209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399" w:name="page400"/>
    <w:bookmarkEnd w:id="399"/>
    <w:p>
      <w:pPr>
        <w:ind w:left="320" w:right="140" w:hanging="317"/>
        <w:spacing w:after="0" w:line="257" w:lineRule="auto"/>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This lien shall in no way detract from any of the State’s rights to collect the guaranteed sums, in whole or in part, in ways other than by realizing its rights according to this Bond, and the realization of the State’s rights according to this Bond shall in no way detract from the State’s right to collect from the Incubator the balance of the guaranteed sums that were not repaid by realization of the lien that is the subject of this bond.</w:t>
      </w:r>
    </w:p>
    <w:p>
      <w:pPr>
        <w:jc w:val="both"/>
        <w:ind w:left="320" w:right="100" w:hanging="317"/>
        <w:spacing w:after="0" w:line="252" w:lineRule="auto"/>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State shall be entitled to appoint a receiver and/or a liquidator and/or a special director and/or a trustee (</w:t>
      </w:r>
      <w:r>
        <w:rPr>
          <w:rFonts w:ascii="Arial" w:cs="Arial" w:eastAsia="Arial" w:hAnsi="Arial"/>
          <w:sz w:val="17"/>
          <w:szCs w:val="17"/>
          <w:b w:val="1"/>
          <w:bCs w:val="1"/>
          <w:color w:val="auto"/>
        </w:rPr>
        <w:t>“the Receiver”</w:t>
      </w:r>
      <w:r>
        <w:rPr>
          <w:rFonts w:ascii="Arial" w:cs="Arial" w:eastAsia="Arial" w:hAnsi="Arial"/>
          <w:sz w:val="17"/>
          <w:szCs w:val="17"/>
          <w:color w:val="auto"/>
        </w:rPr>
        <w:t>) for purposes of realizing the lien at its absolute and exclusive discretion, after it has given the Incubator prior warning of 30 days. In addition, if so requested the Incubator shall approve the fact of the appointment and/or the identity of the State’s choice of appointees.</w:t>
      </w:r>
    </w:p>
    <w:p>
      <w:pPr>
        <w:spacing w:after="0" w:line="1" w:lineRule="exact"/>
        <w:rPr>
          <w:rFonts w:ascii="Arial" w:cs="Arial" w:eastAsia="Arial" w:hAnsi="Arial"/>
          <w:sz w:val="17"/>
          <w:szCs w:val="17"/>
          <w:color w:val="auto"/>
        </w:rPr>
      </w:pPr>
    </w:p>
    <w:p>
      <w:pPr>
        <w:ind w:left="320" w:right="140" w:hanging="317"/>
        <w:spacing w:after="0" w:line="286" w:lineRule="auto"/>
        <w:tabs>
          <w:tab w:leader="none" w:pos="32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No waiver, discount, failure to take timely action, or extension granted by the State or on its behalf shall be considered a waiver of any sort of the State’s rights under this Certificate of Encumbrance, and shall in no way impede the State or its representatives from filing suit or undertaking any other procedure. Any concession by the State regarding any previous breach by the Incubator or previous failure to fulfill one or more of its obligations under this Bond and/or under the Agreement shall not be considered to justify some other breach and shall not constitute a precedent and/or leave for the Incubator to commit another breach.</w:t>
      </w:r>
    </w:p>
    <w:p>
      <w:pPr>
        <w:spacing w:after="0" w:line="1" w:lineRule="exact"/>
        <w:rPr>
          <w:rFonts w:ascii="Arial" w:cs="Arial" w:eastAsia="Arial" w:hAnsi="Arial"/>
          <w:sz w:val="15"/>
          <w:szCs w:val="15"/>
          <w:color w:val="auto"/>
        </w:rPr>
      </w:pPr>
    </w:p>
    <w:p>
      <w:pPr>
        <w:jc w:val="both"/>
        <w:ind w:left="320" w:right="140" w:hanging="317"/>
        <w:spacing w:after="0" w:line="252" w:lineRule="auto"/>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books and accounts of the State and/or the Committee or the books and accounts of an organization or organizations that the State designates to pay out the loan (all or in part) to the Incubator shall be considered trustworthy by the Incubator and shall serve at any time as prima facie evidence against it with regard to sums the Incubator must repay and/or pay the State.</w:t>
      </w:r>
    </w:p>
    <w:p>
      <w:pPr>
        <w:spacing w:after="0" w:line="1" w:lineRule="exact"/>
        <w:rPr>
          <w:rFonts w:ascii="Arial" w:cs="Arial" w:eastAsia="Arial" w:hAnsi="Arial"/>
          <w:sz w:val="17"/>
          <w:szCs w:val="17"/>
          <w:color w:val="auto"/>
        </w:rPr>
      </w:pPr>
    </w:p>
    <w:p>
      <w:pPr>
        <w:ind w:left="320" w:right="100" w:hanging="317"/>
        <w:spacing w:after="0" w:line="252" w:lineRule="auto"/>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In order to remove all doubt, the Incubator hereby declares and confirms that none of the provisions of this Certificate of Encumbrance in any way detracts from any of the Incubator’s obligations under the law or under any regulation that has been issued or rule that has been instituted in accordance with the law or according to any agreement that was made and/or shall be made between the State and the Incubator and/or according to any document that was and/or shall be signed by the Incubator with the State as the beneficiary.</w:t>
      </w:r>
    </w:p>
    <w:p>
      <w:pPr>
        <w:spacing w:after="0" w:line="2" w:lineRule="exact"/>
        <w:rPr>
          <w:rFonts w:ascii="Arial" w:cs="Arial" w:eastAsia="Arial" w:hAnsi="Arial"/>
          <w:sz w:val="17"/>
          <w:szCs w:val="17"/>
          <w:color w:val="auto"/>
        </w:rPr>
      </w:pPr>
    </w:p>
    <w:p>
      <w:pPr>
        <w:ind w:left="320" w:hanging="317"/>
        <w:spacing w:after="0"/>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Incubator’s address for the purposes of this Certificate of Encumbrance is the address of its office listed above.</w:t>
      </w:r>
    </w:p>
    <w:p>
      <w:pPr>
        <w:spacing w:after="0" w:line="10" w:lineRule="exact"/>
        <w:rPr>
          <w:rFonts w:ascii="Arial" w:cs="Arial" w:eastAsia="Arial" w:hAnsi="Arial"/>
          <w:sz w:val="17"/>
          <w:szCs w:val="17"/>
          <w:color w:val="auto"/>
        </w:rPr>
      </w:pPr>
    </w:p>
    <w:p>
      <w:pPr>
        <w:ind w:left="320" w:right="120" w:hanging="317"/>
        <w:spacing w:after="0" w:line="252" w:lineRule="auto"/>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All of the expenses involved in drawing up, signing, implementing, and realizing this Certificate of Encumbrance and everything connected with it shall be paid by the Incubator to the State at its first request, with interest.</w:t>
      </w:r>
    </w:p>
    <w:p>
      <w:pPr>
        <w:spacing w:after="0" w:line="1" w:lineRule="exact"/>
        <w:rPr>
          <w:rFonts w:ascii="Arial" w:cs="Arial" w:eastAsia="Arial" w:hAnsi="Arial"/>
          <w:sz w:val="17"/>
          <w:szCs w:val="17"/>
          <w:color w:val="auto"/>
        </w:rPr>
      </w:pPr>
    </w:p>
    <w:p>
      <w:pPr>
        <w:ind w:left="320" w:right="20" w:hanging="317"/>
        <w:spacing w:after="0" w:line="252" w:lineRule="auto"/>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legal jurisdiction for this bond is hereby declared to be the competent court in the Jerusalem district; but the State shall be entitled to take legal action against the Incubator on all matters that pertain to this Certificate of Encumbrance in any other competent court as well.</w:t>
      </w:r>
    </w:p>
    <w:p>
      <w:pPr>
        <w:spacing w:after="0" w:line="1" w:lineRule="exact"/>
        <w:rPr>
          <w:rFonts w:ascii="Arial" w:cs="Arial" w:eastAsia="Arial" w:hAnsi="Arial"/>
          <w:sz w:val="17"/>
          <w:szCs w:val="17"/>
          <w:color w:val="auto"/>
        </w:rPr>
      </w:pPr>
    </w:p>
    <w:p>
      <w:pPr>
        <w:ind w:left="320" w:hanging="317"/>
        <w:spacing w:after="0"/>
        <w:tabs>
          <w:tab w:leader="none" w:pos="3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 revision and/or update of any of the provisions of this bond shall be valid unless it is executed in writing and signed by both sides.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 we hereby affix our signatures: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The Incubator</w:t>
            </w:r>
            <w:r>
              <w:rPr>
                <w:rFonts w:ascii="Arial" w:cs="Arial" w:eastAsia="Arial" w:hAnsi="Arial"/>
                <w:sz w:val="17"/>
                <w:szCs w:val="17"/>
                <w:color w:val="auto"/>
              </w:rPr>
              <w:t>: ___________________</w:t>
            </w:r>
          </w:p>
        </w:tc>
        <w:tc>
          <w:tcPr>
            <w:tcW w:w="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7"/>
        </w:trPr>
        <w:tc>
          <w:tcPr>
            <w:tcW w:w="3200" w:type="dxa"/>
            <w:vAlign w:val="bottom"/>
            <w:gridSpan w:val="2"/>
          </w:tcPr>
          <w:p>
            <w:pPr>
              <w:spacing w:after="0"/>
              <w:rPr>
                <w:sz w:val="20"/>
                <w:szCs w:val="20"/>
                <w:color w:val="auto"/>
              </w:rPr>
            </w:pPr>
            <w:r>
              <w:rPr>
                <w:rFonts w:ascii="Arial" w:cs="Arial" w:eastAsia="Arial" w:hAnsi="Arial"/>
                <w:sz w:val="17"/>
                <w:szCs w:val="17"/>
                <w:color w:val="auto"/>
              </w:rPr>
              <w:t>By the authorized signatories:</w:t>
            </w: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7"/>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780" w:type="dxa"/>
            <w:vAlign w:val="bottom"/>
            <w:gridSpan w:val="2"/>
          </w:tcPr>
          <w:p>
            <w:pPr>
              <w:ind w:left="920"/>
              <w:spacing w:after="0"/>
              <w:rPr>
                <w:sz w:val="20"/>
                <w:szCs w:val="20"/>
                <w:color w:val="auto"/>
              </w:rPr>
            </w:pPr>
            <w:r>
              <w:rPr>
                <w:rFonts w:ascii="Arial" w:cs="Arial" w:eastAsia="Arial" w:hAnsi="Arial"/>
                <w:sz w:val="17"/>
                <w:szCs w:val="17"/>
                <w:b w:val="1"/>
                <w:bCs w:val="1"/>
                <w:color w:val="auto"/>
              </w:rPr>
              <w:t>Identity card no.</w:t>
            </w:r>
          </w:p>
        </w:tc>
        <w:tc>
          <w:tcPr>
            <w:tcW w:w="3760" w:type="dxa"/>
            <w:vAlign w:val="bottom"/>
            <w:gridSpan w:val="2"/>
          </w:tcPr>
          <w:p>
            <w:pPr>
              <w:ind w:left="900"/>
              <w:spacing w:after="0"/>
              <w:rPr>
                <w:sz w:val="20"/>
                <w:szCs w:val="20"/>
                <w:color w:val="auto"/>
              </w:rPr>
            </w:pPr>
            <w:r>
              <w:rPr>
                <w:rFonts w:ascii="Arial" w:cs="Arial" w:eastAsia="Arial" w:hAnsi="Arial"/>
                <w:sz w:val="17"/>
                <w:szCs w:val="17"/>
                <w:b w:val="1"/>
                <w:bCs w:val="1"/>
                <w:color w:val="auto"/>
              </w:rPr>
              <w:t>Position</w:t>
            </w:r>
          </w:p>
        </w:tc>
        <w:tc>
          <w:tcPr>
            <w:tcW w:w="680" w:type="dxa"/>
            <w:vAlign w:val="bottom"/>
          </w:tcPr>
          <w:p>
            <w:pPr>
              <w:spacing w:after="0"/>
              <w:rPr>
                <w:sz w:val="24"/>
                <w:szCs w:val="24"/>
                <w:color w:val="auto"/>
              </w:rPr>
            </w:pPr>
          </w:p>
        </w:tc>
      </w:tr>
      <w:tr>
        <w:trPr>
          <w:trHeight w:val="419"/>
        </w:trPr>
        <w:tc>
          <w:tcPr>
            <w:tcW w:w="360" w:type="dxa"/>
            <w:vAlign w:val="bottom"/>
          </w:tcPr>
          <w:p>
            <w:pPr>
              <w:spacing w:after="0"/>
              <w:rPr>
                <w:sz w:val="20"/>
                <w:szCs w:val="20"/>
                <w:color w:val="auto"/>
              </w:rPr>
            </w:pPr>
            <w:r>
              <w:rPr>
                <w:rFonts w:ascii="Arial" w:cs="Arial" w:eastAsia="Arial" w:hAnsi="Arial"/>
                <w:sz w:val="17"/>
                <w:szCs w:val="17"/>
                <w:color w:val="auto"/>
              </w:rPr>
              <w:t>1.</w:t>
            </w:r>
          </w:p>
        </w:tc>
        <w:tc>
          <w:tcPr>
            <w:tcW w:w="28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417"/>
        </w:trPr>
        <w:tc>
          <w:tcPr>
            <w:tcW w:w="360" w:type="dxa"/>
            <w:vAlign w:val="bottom"/>
          </w:tcPr>
          <w:p>
            <w:pPr>
              <w:spacing w:after="0"/>
              <w:rPr>
                <w:sz w:val="20"/>
                <w:szCs w:val="20"/>
                <w:color w:val="auto"/>
              </w:rPr>
            </w:pPr>
            <w:r>
              <w:rPr>
                <w:rFonts w:ascii="Arial" w:cs="Arial" w:eastAsia="Arial" w:hAnsi="Arial"/>
                <w:sz w:val="17"/>
                <w:szCs w:val="17"/>
                <w:color w:val="auto"/>
              </w:rPr>
              <w:t>2.</w:t>
            </w:r>
          </w:p>
        </w:tc>
        <w:tc>
          <w:tcPr>
            <w:tcW w:w="28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627"/>
        </w:trPr>
        <w:tc>
          <w:tcPr>
            <w:tcW w:w="3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00" w:name="page401"/>
    <w:bookmarkEnd w:id="400"/>
    <w:p>
      <w:pPr>
        <w:spacing w:after="0"/>
        <w:rPr>
          <w:sz w:val="20"/>
          <w:szCs w:val="20"/>
          <w:color w:val="auto"/>
        </w:rPr>
      </w:pPr>
      <w:r>
        <w:rPr>
          <w:rFonts w:ascii="Arial" w:cs="Arial" w:eastAsia="Arial" w:hAnsi="Arial"/>
          <w:sz w:val="17"/>
          <w:szCs w:val="17"/>
          <w:b w:val="1"/>
          <w:bCs w:val="1"/>
          <w:color w:val="auto"/>
        </w:rPr>
        <w:t>Appendix F: Format for confirmation/release of the Project [by the State of Israel]</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Date:_________</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BioLine Innovations Jerusalem Limited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 Confirmation of repayment of the State loan for the “_____________________” project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keeping with clause 12.3 of the agreement signed between us on _____________ (hereinafter: </w:t>
      </w:r>
      <w:r>
        <w:rPr>
          <w:rFonts w:ascii="Arial" w:cs="Arial" w:eastAsia="Arial" w:hAnsi="Arial"/>
          <w:sz w:val="16"/>
          <w:szCs w:val="16"/>
          <w:b w:val="1"/>
          <w:bCs w:val="1"/>
          <w:color w:val="auto"/>
        </w:rPr>
        <w:t>“the Incubator Agreement”</w:t>
      </w:r>
      <w:r>
        <w:rPr>
          <w:rFonts w:ascii="Arial" w:cs="Arial" w:eastAsia="Arial" w:hAnsi="Arial"/>
          <w:sz w:val="16"/>
          <w:szCs w:val="16"/>
          <w:color w:val="auto"/>
        </w:rPr>
        <w:t>), we hereby confirm as follows:</w:t>
      </w:r>
    </w:p>
    <w:p>
      <w:pPr>
        <w:spacing w:after="0" w:line="253" w:lineRule="exact"/>
        <w:rPr>
          <w:sz w:val="20"/>
          <w:szCs w:val="20"/>
          <w:color w:val="auto"/>
        </w:rPr>
      </w:pPr>
    </w:p>
    <w:p>
      <w:pPr>
        <w:ind w:left="460" w:hanging="457"/>
        <w:spacing w:after="0" w:line="263" w:lineRule="auto"/>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The full amount of the State loan that was extended to you in connection with the project at issue (hereinafter: </w:t>
      </w:r>
      <w:r>
        <w:rPr>
          <w:rFonts w:ascii="Arial" w:cs="Arial" w:eastAsia="Arial" w:hAnsi="Arial"/>
          <w:sz w:val="17"/>
          <w:szCs w:val="17"/>
          <w:b w:val="1"/>
          <w:bCs w:val="1"/>
          <w:color w:val="auto"/>
        </w:rPr>
        <w:t>“the Project”</w:t>
      </w:r>
      <w:r>
        <w:rPr>
          <w:rFonts w:ascii="Arial" w:cs="Arial" w:eastAsia="Arial" w:hAnsi="Arial"/>
          <w:sz w:val="17"/>
          <w:szCs w:val="17"/>
          <w:color w:val="auto"/>
        </w:rPr>
        <w:t>) has been repaid in keeping with the conditions of the Incubator agreement.</w:t>
      </w:r>
    </w:p>
    <w:p>
      <w:pPr>
        <w:ind w:left="460" w:right="400" w:hanging="457"/>
        <w:spacing w:after="0" w:line="252" w:lineRule="auto"/>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Any lien that was placed with us as a beneficiary with regard to the Incubator agreement shall no longer apply to the Project and all the assets and rights connected with it.</w:t>
      </w:r>
    </w:p>
    <w:p>
      <w:pPr>
        <w:spacing w:after="0" w:line="1" w:lineRule="exact"/>
        <w:rPr>
          <w:rFonts w:ascii="Arial" w:cs="Arial" w:eastAsia="Arial" w:hAnsi="Arial"/>
          <w:sz w:val="17"/>
          <w:szCs w:val="17"/>
          <w:color w:val="auto"/>
        </w:rPr>
      </w:pPr>
    </w:p>
    <w:p>
      <w:pPr>
        <w:ind w:left="460" w:right="20" w:hanging="457"/>
        <w:spacing w:after="0" w:line="259" w:lineRule="auto"/>
        <w:tabs>
          <w:tab w:leader="none" w:pos="4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As of the date of this letter, there shall no longer be any limitation—according to the Incubator Agreement and/or any lien that was placed with us as a beneficiary—on the Project and its assets and their transfer, sale, licensing and so forth, all subject to the restrictions that apply according to the Research and Development Law and subject to clause 7.1 of the director general’s provisions.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Respectfully yours,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Director of the Incubators Project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 of the Chief Scientist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494" w:right="359" w:bottom="1440" w:gutter="0" w:footer="0" w:header="0"/>
        </w:sectPr>
      </w:pPr>
    </w:p>
    <w:bookmarkStart w:id="401" w:name="page402"/>
    <w:bookmarkEnd w:id="401"/>
    <w:p>
      <w:pPr>
        <w:jc w:val="right"/>
        <w:spacing w:after="0"/>
        <w:rPr>
          <w:sz w:val="20"/>
          <w:szCs w:val="20"/>
          <w:color w:val="auto"/>
        </w:rPr>
      </w:pPr>
      <w:r>
        <w:rPr>
          <w:rFonts w:ascii="Arial" w:cs="Arial" w:eastAsia="Arial" w:hAnsi="Arial"/>
          <w:sz w:val="17"/>
          <w:szCs w:val="17"/>
          <w:color w:val="auto"/>
        </w:rPr>
        <w:t>EXHIBIT 4.14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Bridge Loan Agreement</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Bridge Loan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January 10, 2007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BioLineRx Ltd.</w:t>
      </w:r>
      <w:r>
        <w:rPr>
          <w:rFonts w:ascii="Arial" w:cs="Arial" w:eastAsia="Arial" w:hAnsi="Arial"/>
          <w:sz w:val="17"/>
          <w:szCs w:val="17"/>
          <w:color w:val="auto"/>
        </w:rPr>
        <w:t>, 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and Pan Atlantic Investments Limited, a Barbados company (the "</w:t>
      </w:r>
      <w:r>
        <w:rPr>
          <w:rFonts w:ascii="Arial" w:cs="Arial" w:eastAsia="Arial" w:hAnsi="Arial"/>
          <w:sz w:val="17"/>
          <w:szCs w:val="17"/>
          <w:b w:val="1"/>
          <w:bCs w:val="1"/>
          <w:color w:val="auto"/>
        </w:rPr>
        <w:t>Lender</w:t>
      </w:r>
      <w:r>
        <w:rPr>
          <w:rFonts w:ascii="Arial" w:cs="Arial" w:eastAsia="Arial" w:hAnsi="Arial"/>
          <w:sz w:val="17"/>
          <w:szCs w:val="17"/>
          <w:color w:val="auto"/>
        </w:rPr>
        <w:t>").</w:t>
      </w:r>
    </w:p>
    <w:p>
      <w:pPr>
        <w:sectPr>
          <w:pgSz w:w="11900" w:h="16838" w:orient="portrait"/>
          <w:cols w:equalWidth="0" w:num="1">
            <w:col w:w="11420"/>
          </w:cols>
          <w:pgMar w:left="240" w:top="359"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a company engaged in the development of innovative therapeutics; and</w:t>
      </w:r>
    </w:p>
    <w:p>
      <w:pPr>
        <w:spacing w:after="0" w:line="200" w:lineRule="exact"/>
        <w:rPr>
          <w:sz w:val="20"/>
          <w:szCs w:val="20"/>
          <w:color w:val="auto"/>
        </w:rPr>
      </w:pPr>
    </w:p>
    <w:p>
      <w:pPr>
        <w:sectPr>
          <w:pgSz w:w="11900" w:h="16838" w:orient="portrait"/>
          <w:cols w:equalWidth="0" w:num="2">
            <w:col w:w="600" w:space="640"/>
            <w:col w:w="10180"/>
          </w:cols>
          <w:pgMar w:left="240" w:top="359"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The Company seeks to raise funds for its activities and is currently exploring a number of funding alternatives; and</w:t>
      </w:r>
    </w:p>
    <w:p>
      <w:pPr>
        <w:spacing w:after="0" w:line="200" w:lineRule="exact"/>
        <w:rPr>
          <w:sz w:val="20"/>
          <w:szCs w:val="20"/>
          <w:color w:val="auto"/>
        </w:rPr>
      </w:pPr>
    </w:p>
    <w:p>
      <w:pPr>
        <w:sectPr>
          <w:pgSz w:w="11900" w:h="16838" w:orient="portrait"/>
          <w:cols w:equalWidth="0" w:num="2">
            <w:col w:w="600" w:space="640"/>
            <w:col w:w="10180"/>
          </w:cols>
          <w:pgMar w:left="240" w:top="359"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Lender wishes to participate in the upcoming funding by way of loaning to the Company, and the Company wishes and agrees to receive from the Lender, a loan under the terms and conditions set forth herein below;</w:t>
      </w:r>
    </w:p>
    <w:p>
      <w:pPr>
        <w:spacing w:after="0" w:line="184" w:lineRule="exact"/>
        <w:rPr>
          <w:sz w:val="20"/>
          <w:szCs w:val="20"/>
          <w:color w:val="auto"/>
        </w:rPr>
      </w:pPr>
    </w:p>
    <w:p>
      <w:pPr>
        <w:sectPr>
          <w:pgSz w:w="11900" w:h="16838" w:orient="portrait"/>
          <w:cols w:equalWidth="0" w:num="2">
            <w:col w:w="600" w:space="640"/>
            <w:col w:w="10180"/>
          </w:cols>
          <w:pgMar w:left="240" w:top="3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their mutual and respective undertakings and covenants herein contained, the parties hereto hereby agree as follows:</w:t>
      </w:r>
    </w:p>
    <w:p>
      <w:pPr>
        <w:spacing w:after="0" w:line="259" w:lineRule="exact"/>
        <w:rPr>
          <w:sz w:val="20"/>
          <w:szCs w:val="20"/>
          <w:color w:val="auto"/>
        </w:rPr>
      </w:pPr>
    </w:p>
    <w:p>
      <w:pPr>
        <w:ind w:left="620" w:hanging="463"/>
        <w:spacing w:after="0"/>
        <w:tabs>
          <w:tab w:leader="none" w:pos="62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Preamble, Exhibits and Headings</w:t>
      </w:r>
    </w:p>
    <w:p>
      <w:pPr>
        <w:spacing w:after="0" w:line="36" w:lineRule="exact"/>
        <w:rPr>
          <w:rFonts w:ascii="Arial" w:cs="Arial" w:eastAsia="Arial" w:hAnsi="Arial"/>
          <w:sz w:val="17"/>
          <w:szCs w:val="17"/>
          <w:color w:val="auto"/>
        </w:rPr>
      </w:pPr>
    </w:p>
    <w:p>
      <w:pPr>
        <w:ind w:left="620"/>
        <w:spacing w:after="0" w:line="311" w:lineRule="auto"/>
        <w:rPr>
          <w:rFonts w:ascii="Arial" w:cs="Arial" w:eastAsia="Arial" w:hAnsi="Arial"/>
          <w:sz w:val="17"/>
          <w:szCs w:val="17"/>
          <w:color w:val="auto"/>
        </w:rPr>
      </w:pPr>
      <w:r>
        <w:rPr>
          <w:rFonts w:ascii="Arial" w:cs="Arial" w:eastAsia="Arial" w:hAnsi="Arial"/>
          <w:sz w:val="16"/>
          <w:szCs w:val="16"/>
          <w:color w:val="auto"/>
        </w:rPr>
        <w:t>The preamble to this Agreement and all Exhibits attached hereto form an integral part hereof. The headings appearing throughout this Agreement are used for convenience of reference, and are not to be used or referred to for the purpose of construing this Agreement or any provision thereof.</w:t>
      </w:r>
    </w:p>
    <w:p>
      <w:pPr>
        <w:spacing w:after="0" w:line="166" w:lineRule="exact"/>
        <w:rPr>
          <w:rFonts w:ascii="Arial" w:cs="Arial" w:eastAsia="Arial" w:hAnsi="Arial"/>
          <w:sz w:val="17"/>
          <w:szCs w:val="17"/>
          <w:color w:val="auto"/>
        </w:rPr>
      </w:pPr>
    </w:p>
    <w:p>
      <w:pPr>
        <w:ind w:left="620" w:hanging="463"/>
        <w:spacing w:after="0"/>
        <w:tabs>
          <w:tab w:leader="none" w:pos="62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Loan of Funds</w:t>
      </w:r>
    </w:p>
    <w:p>
      <w:pPr>
        <w:spacing w:after="0" w:line="30" w:lineRule="exact"/>
        <w:rPr>
          <w:rFonts w:ascii="Arial" w:cs="Arial" w:eastAsia="Arial" w:hAnsi="Arial"/>
          <w:sz w:val="17"/>
          <w:szCs w:val="17"/>
          <w:color w:val="auto"/>
        </w:rPr>
      </w:pPr>
    </w:p>
    <w:p>
      <w:pPr>
        <w:jc w:val="both"/>
        <w:ind w:left="620"/>
        <w:spacing w:after="0" w:line="263" w:lineRule="auto"/>
        <w:rPr>
          <w:rFonts w:ascii="Arial" w:cs="Arial" w:eastAsia="Arial" w:hAnsi="Arial"/>
          <w:sz w:val="17"/>
          <w:szCs w:val="17"/>
          <w:color w:val="auto"/>
        </w:rPr>
      </w:pPr>
      <w:r>
        <w:rPr>
          <w:rFonts w:ascii="Arial" w:cs="Arial" w:eastAsia="Arial" w:hAnsi="Arial"/>
          <w:sz w:val="17"/>
          <w:szCs w:val="17"/>
          <w:color w:val="auto"/>
        </w:rPr>
        <w:t>The Lender agrees and undertakes to loan to the Company the amount of US$9,000,000 (nine million U.S. Dollars) (the "</w:t>
      </w:r>
      <w:r>
        <w:rPr>
          <w:rFonts w:ascii="Arial" w:cs="Arial" w:eastAsia="Arial" w:hAnsi="Arial"/>
          <w:sz w:val="17"/>
          <w:szCs w:val="17"/>
          <w:b w:val="1"/>
          <w:bCs w:val="1"/>
          <w:color w:val="auto"/>
        </w:rPr>
        <w:t>Loan Amount</w:t>
      </w:r>
      <w:r>
        <w:rPr>
          <w:rFonts w:ascii="Arial" w:cs="Arial" w:eastAsia="Arial" w:hAnsi="Arial"/>
          <w:sz w:val="17"/>
          <w:szCs w:val="17"/>
          <w:color w:val="auto"/>
        </w:rPr>
        <w:t>"), and the Company agrees to receive such loan from the Lender, in accordance with the terms and conditions set forth in this Agreement. Payment of the entire Loan Amount shall be made, in United States Dollars, by the Lender within 5 (five) business days from the date on which all the conditions listed in Section 9 below have been met, by way of a bank transfer, to the following bank account of the Company:</w:t>
      </w: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Account No. 97800/55</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Bank Leumi</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Branch #741</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Givat Shaul, Jerusalem</w:t>
      </w:r>
    </w:p>
    <w:p>
      <w:pPr>
        <w:spacing w:after="0" w:line="231" w:lineRule="exact"/>
        <w:rPr>
          <w:sz w:val="20"/>
          <w:szCs w:val="20"/>
          <w:color w:val="auto"/>
        </w:rPr>
      </w:pPr>
    </w:p>
    <w:p>
      <w:pPr>
        <w:ind w:left="620"/>
        <w:spacing w:after="0" w:line="311" w:lineRule="auto"/>
        <w:rPr>
          <w:sz w:val="20"/>
          <w:szCs w:val="20"/>
          <w:color w:val="auto"/>
        </w:rPr>
      </w:pPr>
      <w:r>
        <w:rPr>
          <w:rFonts w:ascii="Arial" w:cs="Arial" w:eastAsia="Arial" w:hAnsi="Arial"/>
          <w:sz w:val="16"/>
          <w:szCs w:val="16"/>
          <w:color w:val="auto"/>
        </w:rPr>
        <w:t>The Loan Amount shall be automatically converted into an equity investment in the Company upon the occurrence of the first to occur of the events specified in Sections 3 and 4, and conversion of the Loan Amount pursuant to either of such Sections shall constitute full repayment of the Loan Amount.</w:t>
      </w:r>
    </w:p>
    <w:p>
      <w:pPr>
        <w:spacing w:after="0" w:line="166" w:lineRule="exact"/>
        <w:rPr>
          <w:sz w:val="20"/>
          <w:szCs w:val="20"/>
          <w:color w:val="auto"/>
        </w:rPr>
      </w:pPr>
    </w:p>
    <w:p>
      <w:pPr>
        <w:ind w:left="620" w:hanging="463"/>
        <w:spacing w:after="0"/>
        <w:tabs>
          <w:tab w:leader="none" w:pos="620"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Automatic Conversion upon a Private Placement</w:t>
      </w:r>
    </w:p>
    <w:p>
      <w:pPr>
        <w:spacing w:after="0" w:line="267" w:lineRule="exact"/>
        <w:rPr>
          <w:rFonts w:ascii="Arial" w:cs="Arial" w:eastAsia="Arial" w:hAnsi="Arial"/>
          <w:sz w:val="17"/>
          <w:szCs w:val="17"/>
          <w:color w:val="auto"/>
        </w:rPr>
      </w:pPr>
    </w:p>
    <w:p>
      <w:pPr>
        <w:ind w:left="1840" w:hanging="1235"/>
        <w:spacing w:after="0" w:line="257" w:lineRule="auto"/>
        <w:rPr>
          <w:rFonts w:ascii="Arial" w:cs="Arial" w:eastAsia="Arial" w:hAnsi="Arial"/>
          <w:sz w:val="17"/>
          <w:szCs w:val="17"/>
          <w:color w:val="auto"/>
        </w:rPr>
      </w:pPr>
      <w:r>
        <w:rPr>
          <w:rFonts w:ascii="Arial" w:cs="Arial" w:eastAsia="Arial" w:hAnsi="Arial"/>
          <w:sz w:val="17"/>
          <w:szCs w:val="17"/>
          <w:color w:val="auto"/>
        </w:rPr>
        <w:t>3.1.In the event that the Company shall enter into an agreement for the investment in the Company of an amount of at least US$8,000,000 (eight million U.S. Dollars) from current shareholders of the Company (or any affiliates thereof) (the "</w:t>
      </w:r>
      <w:r>
        <w:rPr>
          <w:rFonts w:ascii="Arial" w:cs="Arial" w:eastAsia="Arial" w:hAnsi="Arial"/>
          <w:sz w:val="17"/>
          <w:szCs w:val="17"/>
          <w:b w:val="1"/>
          <w:bCs w:val="1"/>
          <w:color w:val="auto"/>
        </w:rPr>
        <w:t>Private Placement</w:t>
      </w:r>
      <w:r>
        <w:rPr>
          <w:rFonts w:ascii="Arial" w:cs="Arial" w:eastAsia="Arial" w:hAnsi="Arial"/>
          <w:sz w:val="17"/>
          <w:szCs w:val="17"/>
          <w:color w:val="auto"/>
        </w:rPr>
        <w:t xml:space="preserve">"), then the Loan Amount shall be automatically converted into an equity investment, as part of, and on the same terms and conditions as, the Private Placement,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the price per share paid by the Lender upon conversion of the Loan Amount shall be equal to the lower of (i) US$1.34, or (ii) the agreed price per share of the Private Placement,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shares to be issued to the Lender against conversion of the Loan Amount shall be subject to rights and preferences substantially similar to, but no worse than the rights and preferences attached to the Preferred A-1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type w:val="continuous"/>
        </w:sectPr>
      </w:pPr>
    </w:p>
    <w:bookmarkStart w:id="402" w:name="page403"/>
    <w:bookmarkEnd w:id="402"/>
    <w:p>
      <w:pPr>
        <w:jc w:val="center"/>
        <w:ind w:right="137"/>
        <w:spacing w:after="0"/>
        <w:rPr>
          <w:sz w:val="20"/>
          <w:szCs w:val="20"/>
          <w:color w:val="auto"/>
        </w:rPr>
      </w:pPr>
      <w:r>
        <w:rPr>
          <w:rFonts w:ascii="Arial" w:cs="Arial" w:eastAsia="Arial" w:hAnsi="Arial"/>
          <w:sz w:val="21"/>
          <w:szCs w:val="21"/>
          <w:color w:val="auto"/>
        </w:rPr>
        <w:t>— 2 —</w:t>
      </w:r>
    </w:p>
    <w:p>
      <w:pPr>
        <w:spacing w:after="0" w:line="230" w:lineRule="exact"/>
        <w:rPr>
          <w:sz w:val="20"/>
          <w:szCs w:val="20"/>
          <w:color w:val="auto"/>
        </w:rPr>
      </w:pPr>
    </w:p>
    <w:p>
      <w:pPr>
        <w:jc w:val="both"/>
        <w:ind w:left="1683" w:hanging="1234"/>
        <w:spacing w:after="0" w:line="265" w:lineRule="auto"/>
        <w:tabs>
          <w:tab w:leader="none" w:pos="1662"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As part of the Private Placement, the Lender shall be party to all shareholders agreements, investors rights agreements, etc. which may apply to the shares issued as part of the Private Placement. It is further agreed that the definitive agreements of the Private Placement shall grant all investors in the Company customary registration rights, as shall be negotiated at that time.</w:t>
      </w:r>
    </w:p>
    <w:p>
      <w:pPr>
        <w:spacing w:after="0" w:line="201" w:lineRule="exact"/>
        <w:rPr>
          <w:sz w:val="20"/>
          <w:szCs w:val="20"/>
          <w:color w:val="auto"/>
        </w:rPr>
      </w:pPr>
    </w:p>
    <w:p>
      <w:pPr>
        <w:jc w:val="both"/>
        <w:ind w:left="1683" w:hanging="1234"/>
        <w:spacing w:after="0" w:line="279" w:lineRule="auto"/>
        <w:tabs>
          <w:tab w:leader="none" w:pos="1662"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Upon conversion of the Loan Amount into an equity investment, the Lender shall be entitled to appoint one (1) member to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so as long as the Lender and its Affiliates (any person or entity directly or indirectly, through one or more intermediary persons or entities, controls, is controlled by, or is under common control with the Lender) hold shares of the Company constituting at least 4% (four percent) of the Company's issued and outstanding share capital. This provision shall no longer be applicable when the Lender becomes a party to the Voting Agreement (as defined below).</w:t>
      </w:r>
    </w:p>
    <w:p>
      <w:pPr>
        <w:spacing w:after="0" w:line="191" w:lineRule="exact"/>
        <w:rPr>
          <w:sz w:val="20"/>
          <w:szCs w:val="20"/>
          <w:color w:val="auto"/>
        </w:rPr>
      </w:pPr>
    </w:p>
    <w:p>
      <w:pPr>
        <w:ind w:left="463" w:hanging="463"/>
        <w:spacing w:after="0"/>
        <w:tabs>
          <w:tab w:leader="none" w:pos="463"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Automatic Conversion upon a TASE IPO</w:t>
      </w:r>
    </w:p>
    <w:p>
      <w:pPr>
        <w:spacing w:after="0" w:line="261" w:lineRule="exact"/>
        <w:rPr>
          <w:rFonts w:ascii="Arial" w:cs="Arial" w:eastAsia="Arial" w:hAnsi="Arial"/>
          <w:sz w:val="17"/>
          <w:szCs w:val="17"/>
          <w:color w:val="auto"/>
        </w:rPr>
      </w:pPr>
    </w:p>
    <w:p>
      <w:pPr>
        <w:ind w:left="1683" w:hanging="1235"/>
        <w:spacing w:after="0" w:line="274" w:lineRule="auto"/>
        <w:rPr>
          <w:rFonts w:ascii="Arial" w:cs="Arial" w:eastAsia="Arial" w:hAnsi="Arial"/>
          <w:sz w:val="17"/>
          <w:szCs w:val="17"/>
          <w:color w:val="auto"/>
        </w:rPr>
      </w:pPr>
      <w:r>
        <w:rPr>
          <w:rFonts w:ascii="Arial" w:cs="Arial" w:eastAsia="Arial" w:hAnsi="Arial"/>
          <w:sz w:val="17"/>
          <w:szCs w:val="17"/>
          <w:color w:val="auto"/>
        </w:rPr>
        <w:t>4.1.</w:t>
      </w:r>
      <w:r>
        <w:rPr>
          <w:rFonts w:ascii="Arial" w:cs="Arial" w:eastAsia="Arial" w:hAnsi="Arial"/>
          <w:sz w:val="16"/>
          <w:szCs w:val="16"/>
          <w:color w:val="auto"/>
        </w:rPr>
        <w:t>In the event that the Company shall offer to the public shares of the Company at the Tel Aviv Stock Exchange (a "</w:t>
      </w:r>
      <w:r>
        <w:rPr>
          <w:rFonts w:ascii="Arial" w:cs="Arial" w:eastAsia="Arial" w:hAnsi="Arial"/>
          <w:sz w:val="16"/>
          <w:szCs w:val="16"/>
          <w:b w:val="1"/>
          <w:bCs w:val="1"/>
          <w:color w:val="auto"/>
        </w:rPr>
        <w:t>TASE IPO</w:t>
      </w:r>
      <w:r>
        <w:rPr>
          <w:rFonts w:ascii="Arial" w:cs="Arial" w:eastAsia="Arial" w:hAnsi="Arial"/>
          <w:sz w:val="16"/>
          <w:szCs w:val="16"/>
          <w:color w:val="auto"/>
        </w:rPr>
        <w:t>"), then immediately prior to the closing of a TASE IPO that includes (i) an investment by current shareholders of the Company (or any affiliates of such shareholders) of at least US$8,000,000 (eight million U.S. Dollars) (the “</w:t>
      </w:r>
      <w:r>
        <w:rPr>
          <w:rFonts w:ascii="Arial" w:cs="Arial" w:eastAsia="Arial" w:hAnsi="Arial"/>
          <w:sz w:val="16"/>
          <w:szCs w:val="16"/>
          <w:b w:val="1"/>
          <w:bCs w:val="1"/>
          <w:color w:val="auto"/>
        </w:rPr>
        <w:t>Qualifying Amount</w:t>
      </w:r>
      <w:r>
        <w:rPr>
          <w:rFonts w:ascii="Arial" w:cs="Arial" w:eastAsia="Arial" w:hAnsi="Arial"/>
          <w:sz w:val="16"/>
          <w:szCs w:val="16"/>
          <w:color w:val="auto"/>
        </w:rPr>
        <w:t>”); and (ii) aggregate net proceeds to the Company of at least US$17,000,000 (seventeen million U.S. Dollars), and subject to approval of the Office of the Chief Scientist ("</w:t>
      </w:r>
      <w:r>
        <w:rPr>
          <w:rFonts w:ascii="Arial" w:cs="Arial" w:eastAsia="Arial" w:hAnsi="Arial"/>
          <w:sz w:val="16"/>
          <w:szCs w:val="16"/>
          <w:b w:val="1"/>
          <w:bCs w:val="1"/>
          <w:color w:val="auto"/>
        </w:rPr>
        <w:t>OCS</w:t>
      </w:r>
      <w:r>
        <w:rPr>
          <w:rFonts w:ascii="Arial" w:cs="Arial" w:eastAsia="Arial" w:hAnsi="Arial"/>
          <w:sz w:val="16"/>
          <w:szCs w:val="16"/>
          <w:color w:val="auto"/>
        </w:rPr>
        <w:t>"), to the extent required, the Loan Amount shall be automatically converted into an equity investment of a new class of Series B Redeemable Preferred Shares, par value NIS 0.01 each, of the Company (the "</w:t>
      </w:r>
      <w:r>
        <w:rPr>
          <w:rFonts w:ascii="Arial" w:cs="Arial" w:eastAsia="Arial" w:hAnsi="Arial"/>
          <w:sz w:val="16"/>
          <w:szCs w:val="16"/>
          <w:b w:val="1"/>
          <w:bCs w:val="1"/>
          <w:color w:val="auto"/>
        </w:rPr>
        <w:t>Preferred B Shares</w:t>
      </w:r>
      <w:r>
        <w:rPr>
          <w:rFonts w:ascii="Arial" w:cs="Arial" w:eastAsia="Arial" w:hAnsi="Arial"/>
          <w:sz w:val="16"/>
          <w:szCs w:val="16"/>
          <w:color w:val="auto"/>
        </w:rPr>
        <w:t>"), at a price per share paid by the Lender upon conversion of the Loan Amount of US$1.34, but not more than the effective price per share of an Ordinary Share of the Company based on the pre-money company valuation of the company prior to the TASE IPO, and which Preferred B Shares shall automatically be converted into Ordinary Shares, at the same conversion ratio applicable at such time to the Preferred A-1 Shares.</w:t>
      </w:r>
    </w:p>
    <w:p>
      <w:pPr>
        <w:spacing w:after="0" w:line="199" w:lineRule="exact"/>
        <w:rPr>
          <w:sz w:val="20"/>
          <w:szCs w:val="20"/>
          <w:color w:val="auto"/>
        </w:rPr>
      </w:pPr>
    </w:p>
    <w:p>
      <w:pPr>
        <w:jc w:val="both"/>
        <w:ind w:left="1703"/>
        <w:spacing w:after="0" w:line="259" w:lineRule="auto"/>
        <w:rPr>
          <w:sz w:val="20"/>
          <w:szCs w:val="20"/>
          <w:color w:val="auto"/>
        </w:rPr>
      </w:pPr>
      <w:r>
        <w:rPr>
          <w:rFonts w:ascii="Arial" w:cs="Arial" w:eastAsia="Arial" w:hAnsi="Arial"/>
          <w:sz w:val="17"/>
          <w:szCs w:val="17"/>
          <w:color w:val="auto"/>
        </w:rPr>
        <w:t>In the event that current shareholders of the Company (or any affiliates of such shareholders) commit to submit offers to purchase at least the Qualifying Amount of securities offered for sale in the TASE IPO, but the underwriters require that such shareholders purchase less than the Qualifying Amount or the rules applying to the public offering result in such outcome, the Loan Amount shall be automatically converted as set forth in the above paragraph even though the actual amount invested by the current shareholders of the Company may be less than the Qualifying Amount.</w:t>
      </w:r>
    </w:p>
    <w:p>
      <w:pPr>
        <w:spacing w:after="0" w:line="206" w:lineRule="exact"/>
        <w:rPr>
          <w:sz w:val="20"/>
          <w:szCs w:val="20"/>
          <w:color w:val="auto"/>
        </w:rPr>
      </w:pPr>
    </w:p>
    <w:p>
      <w:pPr>
        <w:jc w:val="both"/>
        <w:ind w:left="1683" w:hanging="1234"/>
        <w:spacing w:after="0" w:line="261" w:lineRule="auto"/>
        <w:tabs>
          <w:tab w:leader="none" w:pos="1662"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As part of the TASE IPO, certain shareholders of the Company, including at least the Pitango Group entities, the Giza Group entities, and Hadasit (as such terms are defined in the Articles of Association of the Company (the "</w:t>
      </w:r>
      <w:r>
        <w:rPr>
          <w:rFonts w:ascii="Arial" w:cs="Arial" w:eastAsia="Arial" w:hAnsi="Arial"/>
          <w:sz w:val="17"/>
          <w:szCs w:val="17"/>
          <w:b w:val="1"/>
          <w:bCs w:val="1"/>
          <w:color w:val="auto"/>
        </w:rPr>
        <w:t>Articles</w:t>
      </w:r>
      <w:r>
        <w:rPr>
          <w:rFonts w:ascii="Arial" w:cs="Arial" w:eastAsia="Arial" w:hAnsi="Arial"/>
          <w:sz w:val="17"/>
          <w:szCs w:val="17"/>
          <w:color w:val="auto"/>
        </w:rPr>
        <w:t xml:space="preserve">") may enter into a voting agreement in substantially the form attached hereto as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Voting Agreement</w:t>
      </w:r>
      <w:r>
        <w:rPr>
          <w:rFonts w:ascii="Arial" w:cs="Arial" w:eastAsia="Arial" w:hAnsi="Arial"/>
          <w:sz w:val="17"/>
          <w:szCs w:val="17"/>
          <w:color w:val="auto"/>
        </w:rPr>
        <w:t>"), in which case the Lender agrees to join as a party to such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380365</wp:posOffset>
            </wp:positionV>
            <wp:extent cx="7257415" cy="209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403" w:name="page404"/>
    <w:bookmarkEnd w:id="403"/>
    <w:p>
      <w:pPr>
        <w:jc w:val="center"/>
        <w:ind w:right="137"/>
        <w:spacing w:after="0"/>
        <w:rPr>
          <w:sz w:val="20"/>
          <w:szCs w:val="20"/>
          <w:color w:val="auto"/>
        </w:rPr>
      </w:pPr>
      <w:r>
        <w:rPr>
          <w:rFonts w:ascii="Arial" w:cs="Arial" w:eastAsia="Arial" w:hAnsi="Arial"/>
          <w:sz w:val="21"/>
          <w:szCs w:val="21"/>
          <w:color w:val="auto"/>
        </w:rPr>
        <w:t>— 3 —</w:t>
      </w:r>
    </w:p>
    <w:p>
      <w:pPr>
        <w:spacing w:after="0" w:line="230" w:lineRule="exact"/>
        <w:rPr>
          <w:sz w:val="20"/>
          <w:szCs w:val="20"/>
          <w:color w:val="auto"/>
        </w:rPr>
      </w:pPr>
    </w:p>
    <w:p>
      <w:pPr>
        <w:ind w:left="1683" w:hanging="1234"/>
        <w:spacing w:after="0" w:line="278" w:lineRule="auto"/>
        <w:tabs>
          <w:tab w:leader="none" w:pos="1662"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In the event that OCS approval is required but not obtained, then the Lender may demand repayment of the entire Loan Amount together with interest at the rate of 6.0% (six percent) per annum from the proceeds of the TASE IPO.</w:t>
      </w:r>
    </w:p>
    <w:p>
      <w:pPr>
        <w:spacing w:after="0" w:line="190" w:lineRule="exact"/>
        <w:rPr>
          <w:sz w:val="20"/>
          <w:szCs w:val="20"/>
          <w:color w:val="auto"/>
        </w:rPr>
      </w:pPr>
    </w:p>
    <w:p>
      <w:pPr>
        <w:ind w:left="463" w:hanging="463"/>
        <w:spacing w:after="0"/>
        <w:tabs>
          <w:tab w:leader="none" w:pos="463"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Repayment; Voluntary Conversion</w:t>
      </w:r>
    </w:p>
    <w:p>
      <w:pPr>
        <w:spacing w:after="0" w:line="36" w:lineRule="exact"/>
        <w:rPr>
          <w:rFonts w:ascii="Arial" w:cs="Arial" w:eastAsia="Arial" w:hAnsi="Arial"/>
          <w:sz w:val="17"/>
          <w:szCs w:val="17"/>
          <w:color w:val="auto"/>
        </w:rPr>
      </w:pPr>
    </w:p>
    <w:p>
      <w:pPr>
        <w:jc w:val="both"/>
        <w:ind w:left="463"/>
        <w:spacing w:after="0" w:line="259" w:lineRule="auto"/>
        <w:rPr>
          <w:rFonts w:ascii="Arial" w:cs="Arial" w:eastAsia="Arial" w:hAnsi="Arial"/>
          <w:sz w:val="17"/>
          <w:szCs w:val="17"/>
          <w:color w:val="auto"/>
        </w:rPr>
      </w:pPr>
      <w:r>
        <w:rPr>
          <w:rFonts w:ascii="Arial" w:cs="Arial" w:eastAsia="Arial" w:hAnsi="Arial"/>
          <w:sz w:val="17"/>
          <w:szCs w:val="17"/>
          <w:color w:val="auto"/>
        </w:rPr>
        <w:t>In the event that no Private Placement or TASE IPO shall occur prior to the end of 4 (four) months from the date of payment to the Company of the Loan Amount, then, upon the written demand of the Lender, the Company shall repay to the Lender the entire Loan Amount, together with interest at the rate of 6.0% (six percent) per annum. In the event that no such demand is made within 120 (one hundred and twenty) days (which period of time may be extended upon mutual written consent), or if the Lender earlier requests a conversion, then the Loan Amount shall be converted in accordance with the relevant provisions of Section 3.1 at a price per share of US$1.34.</w:t>
      </w:r>
    </w:p>
    <w:p>
      <w:pPr>
        <w:spacing w:after="0" w:line="205" w:lineRule="exact"/>
        <w:rPr>
          <w:rFonts w:ascii="Arial" w:cs="Arial" w:eastAsia="Arial" w:hAnsi="Arial"/>
          <w:sz w:val="17"/>
          <w:szCs w:val="17"/>
          <w:color w:val="auto"/>
        </w:rPr>
      </w:pPr>
    </w:p>
    <w:p>
      <w:pPr>
        <w:ind w:left="463" w:hanging="463"/>
        <w:spacing w:after="0"/>
        <w:tabs>
          <w:tab w:leader="none" w:pos="463"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Upgrade Right</w:t>
      </w:r>
    </w:p>
    <w:p>
      <w:pPr>
        <w:spacing w:after="0" w:line="36" w:lineRule="exact"/>
        <w:rPr>
          <w:rFonts w:ascii="Arial" w:cs="Arial" w:eastAsia="Arial" w:hAnsi="Arial"/>
          <w:sz w:val="17"/>
          <w:szCs w:val="17"/>
          <w:color w:val="auto"/>
        </w:rPr>
      </w:pPr>
    </w:p>
    <w:p>
      <w:pPr>
        <w:jc w:val="both"/>
        <w:ind w:left="463"/>
        <w:spacing w:after="0" w:line="256" w:lineRule="auto"/>
        <w:rPr>
          <w:rFonts w:ascii="Arial" w:cs="Arial" w:eastAsia="Arial" w:hAnsi="Arial"/>
          <w:sz w:val="17"/>
          <w:szCs w:val="17"/>
          <w:color w:val="auto"/>
        </w:rPr>
      </w:pPr>
      <w:r>
        <w:rPr>
          <w:rFonts w:ascii="Arial" w:cs="Arial" w:eastAsia="Arial" w:hAnsi="Arial"/>
          <w:sz w:val="17"/>
          <w:szCs w:val="17"/>
          <w:color w:val="auto"/>
        </w:rPr>
        <w:t>At any time as of the date of issuance of shares to the Lender pursuant to Section 3 or Section 5 (as applicable) and until such date on which the Company shall have raised an aggregate amount of US$26,000,000 (twenty six million U.S. Dollars), taking into account the converted Loan Amount as well any and all funds which may raised pursuant to Section 3 and/or Section 4 (but including the financing round itself which results in the Company having raised at least US$26,000,000), in the event that the Company shall issue any shares to any person or entity, in consideration for an equity investment in the Company ("</w:t>
      </w:r>
      <w:r>
        <w:rPr>
          <w:rFonts w:ascii="Arial" w:cs="Arial" w:eastAsia="Arial" w:hAnsi="Arial"/>
          <w:sz w:val="17"/>
          <w:szCs w:val="17"/>
          <w:b w:val="1"/>
          <w:bCs w:val="1"/>
          <w:color w:val="auto"/>
        </w:rPr>
        <w:t>New Securities</w:t>
      </w:r>
      <w:r>
        <w:rPr>
          <w:rFonts w:ascii="Arial" w:cs="Arial" w:eastAsia="Arial" w:hAnsi="Arial"/>
          <w:sz w:val="17"/>
          <w:szCs w:val="17"/>
          <w:color w:val="auto"/>
        </w:rPr>
        <w:t>"), the Lender shall have the right to have its holdings in the Company converted into the New Securities at the time of closing of the issuance of such New Securities, at the price per share equal to the lowest price per share paid for such New Securities by the other investors thus subjecting and entitling the Lender, as a shareholder of the Company, to all rights, preferences, obligations and restrictions generally applying to all the holders of the New Securities.</w:t>
      </w:r>
    </w:p>
    <w:p>
      <w:pPr>
        <w:spacing w:after="0" w:line="209" w:lineRule="exact"/>
        <w:rPr>
          <w:rFonts w:ascii="Arial" w:cs="Arial" w:eastAsia="Arial" w:hAnsi="Arial"/>
          <w:sz w:val="17"/>
          <w:szCs w:val="17"/>
          <w:color w:val="auto"/>
        </w:rPr>
      </w:pPr>
    </w:p>
    <w:p>
      <w:pPr>
        <w:ind w:left="463" w:hanging="463"/>
        <w:spacing w:after="0"/>
        <w:tabs>
          <w:tab w:leader="none" w:pos="463"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p>
    <w:p>
      <w:pPr>
        <w:spacing w:after="0" w:line="30" w:lineRule="exact"/>
        <w:rPr>
          <w:rFonts w:ascii="Arial" w:cs="Arial" w:eastAsia="Arial" w:hAnsi="Arial"/>
          <w:sz w:val="17"/>
          <w:szCs w:val="17"/>
          <w:color w:val="auto"/>
        </w:rPr>
      </w:pPr>
    </w:p>
    <w:p>
      <w:pPr>
        <w:ind w:left="463"/>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Exhibit 7</w:t>
      </w:r>
      <w:r>
        <w:rPr>
          <w:rFonts w:ascii="Arial" w:cs="Arial" w:eastAsia="Arial" w:hAnsi="Arial"/>
          <w:sz w:val="17"/>
          <w:szCs w:val="17"/>
          <w:color w:val="auto"/>
        </w:rPr>
        <w:t xml:space="preserve"> (the "</w:t>
      </w:r>
      <w:r>
        <w:rPr>
          <w:rFonts w:ascii="Arial" w:cs="Arial" w:eastAsia="Arial" w:hAnsi="Arial"/>
          <w:sz w:val="17"/>
          <w:szCs w:val="17"/>
          <w:b w:val="1"/>
          <w:bCs w:val="1"/>
          <w:color w:val="auto"/>
        </w:rPr>
        <w:t>Disclosure Schedule</w:t>
      </w:r>
      <w:r>
        <w:rPr>
          <w:rFonts w:ascii="Arial" w:cs="Arial" w:eastAsia="Arial" w:hAnsi="Arial"/>
          <w:sz w:val="17"/>
          <w:szCs w:val="17"/>
          <w:color w:val="auto"/>
        </w:rPr>
        <w:t>"), the Company hereby represents and warrants to the Lender, and acknowledges that the Lender is entering into this Agreement in reliance thereon, as follows:</w:t>
      </w:r>
    </w:p>
    <w:p>
      <w:pPr>
        <w:spacing w:after="0" w:line="183" w:lineRule="exact"/>
        <w:rPr>
          <w:rFonts w:ascii="Arial" w:cs="Arial" w:eastAsia="Arial" w:hAnsi="Arial"/>
          <w:sz w:val="17"/>
          <w:szCs w:val="17"/>
          <w:color w:val="auto"/>
        </w:rPr>
      </w:pPr>
    </w:p>
    <w:p>
      <w:pPr>
        <w:ind w:left="1683" w:hanging="1235"/>
        <w:spacing w:after="0" w:line="261" w:lineRule="auto"/>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is duly organized and validly existing under the laws of Israel, and has full corporate power and authority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own, lease and operate its properties and assets and to conduct its business as now being conducted and as currently proposed to be conducted. The Company has all requisite power and authority to execute and deliver this Agreement and to consummate the transactions contemplated hereby.</w:t>
      </w:r>
    </w:p>
    <w:p>
      <w:pPr>
        <w:spacing w:after="0" w:line="204" w:lineRule="exact"/>
        <w:rPr>
          <w:rFonts w:ascii="Arial" w:cs="Arial" w:eastAsia="Arial" w:hAnsi="Arial"/>
          <w:sz w:val="17"/>
          <w:szCs w:val="17"/>
          <w:color w:val="auto"/>
        </w:rPr>
      </w:pPr>
    </w:p>
    <w:p>
      <w:pPr>
        <w:ind w:left="1683" w:hanging="1235"/>
        <w:spacing w:after="0" w:line="277" w:lineRule="auto"/>
        <w:rPr>
          <w:rFonts w:ascii="Arial" w:cs="Arial" w:eastAsia="Arial" w:hAnsi="Arial"/>
          <w:sz w:val="17"/>
          <w:szCs w:val="17"/>
          <w:color w:val="auto"/>
        </w:rPr>
      </w:pPr>
      <w:r>
        <w:rPr>
          <w:rFonts w:ascii="Arial" w:cs="Arial" w:eastAsia="Arial" w:hAnsi="Arial"/>
          <w:sz w:val="17"/>
          <w:szCs w:val="17"/>
          <w:color w:val="auto"/>
        </w:rPr>
        <w:t>7.2.</w:t>
      </w:r>
      <w:r>
        <w:rPr>
          <w:rFonts w:ascii="Arial" w:cs="Arial" w:eastAsia="Arial" w:hAnsi="Arial"/>
          <w:sz w:val="16"/>
          <w:szCs w:val="16"/>
          <w:u w:val="single" w:color="auto"/>
          <w:color w:val="auto"/>
        </w:rPr>
        <w:t>Share capital</w:t>
      </w:r>
      <w:r>
        <w:rPr>
          <w:rFonts w:ascii="Arial" w:cs="Arial" w:eastAsia="Arial" w:hAnsi="Arial"/>
          <w:sz w:val="16"/>
          <w:szCs w:val="16"/>
          <w:color w:val="auto"/>
        </w:rPr>
        <w:t>. The authorized share capital of the Company as of the Effective Date is NIS400,000 (four hundred thousand New Israeli</w:t>
      </w:r>
      <w:r>
        <w:rPr>
          <w:rFonts w:ascii="Arial" w:cs="Arial" w:eastAsia="Arial" w:hAnsi="Arial"/>
          <w:sz w:val="16"/>
          <w:szCs w:val="16"/>
          <w:u w:val="single" w:color="auto"/>
          <w:color w:val="auto"/>
        </w:rPr>
        <w:t xml:space="preserve"> </w:t>
      </w:r>
      <w:r>
        <w:rPr>
          <w:rFonts w:ascii="Arial" w:cs="Arial" w:eastAsia="Arial" w:hAnsi="Arial"/>
          <w:sz w:val="16"/>
          <w:szCs w:val="16"/>
          <w:color w:val="auto"/>
        </w:rPr>
        <w:t>Shekels), divided into 16,350,000 (sixteen million three hundred fifty thousand) Ordinary Shares, par value NIS 0.01 each, of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 13,650,000 (thirteen million six hundred fifty thousand) Series A Redeemable Preferred Shares, par value NIS 0.01 each, of the Company (the "</w:t>
      </w:r>
      <w:r>
        <w:rPr>
          <w:rFonts w:ascii="Arial" w:cs="Arial" w:eastAsia="Arial" w:hAnsi="Arial"/>
          <w:sz w:val="16"/>
          <w:szCs w:val="16"/>
          <w:b w:val="1"/>
          <w:bCs w:val="1"/>
          <w:color w:val="auto"/>
        </w:rPr>
        <w:t>Preferred A Shares</w:t>
      </w:r>
      <w:r>
        <w:rPr>
          <w:rFonts w:ascii="Arial" w:cs="Arial" w:eastAsia="Arial" w:hAnsi="Arial"/>
          <w:sz w:val="16"/>
          <w:szCs w:val="16"/>
          <w:color w:val="auto"/>
        </w:rPr>
        <w:t>"), and 10,000,000 (ten million) Series A-1 Redeemable Preferred Shares, par value NIS 0.01 each, of the Company (the "</w:t>
      </w:r>
      <w:r>
        <w:rPr>
          <w:rFonts w:ascii="Arial" w:cs="Arial" w:eastAsia="Arial" w:hAnsi="Arial"/>
          <w:sz w:val="16"/>
          <w:szCs w:val="16"/>
          <w:b w:val="1"/>
          <w:bCs w:val="1"/>
          <w:color w:val="auto"/>
        </w:rPr>
        <w:t>Preferred A-1 Shares</w:t>
      </w:r>
      <w:r>
        <w:rPr>
          <w:rFonts w:ascii="Arial" w:cs="Arial" w:eastAsia="Arial" w:hAnsi="Arial"/>
          <w:sz w:val="16"/>
          <w:szCs w:val="16"/>
          <w:color w:val="auto"/>
        </w:rPr>
        <w:t>"). A complete and correct list of the shareholders of the Company and their shareholdings as of the Effective Date is set forth in Section 7.2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372745</wp:posOffset>
            </wp:positionV>
            <wp:extent cx="7257415" cy="209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404" w:name="page405"/>
    <w:bookmarkEnd w:id="404"/>
    <w:p>
      <w:pPr>
        <w:ind w:left="4200"/>
        <w:spacing w:after="0"/>
        <w:rPr>
          <w:sz w:val="20"/>
          <w:szCs w:val="20"/>
          <w:color w:val="auto"/>
        </w:rPr>
      </w:pPr>
      <w:r>
        <w:rPr>
          <w:rFonts w:ascii="Arial" w:cs="Arial" w:eastAsia="Arial" w:hAnsi="Arial"/>
          <w:sz w:val="21"/>
          <w:szCs w:val="21"/>
          <w:color w:val="auto"/>
        </w:rPr>
        <w:t>— 4 —</w:t>
      </w:r>
    </w:p>
    <w:p>
      <w:pPr>
        <w:spacing w:after="0" w:line="230" w:lineRule="exact"/>
        <w:rPr>
          <w:sz w:val="20"/>
          <w:szCs w:val="20"/>
          <w:color w:val="auto"/>
        </w:rPr>
      </w:pPr>
    </w:p>
    <w:p>
      <w:pPr>
        <w:jc w:val="both"/>
        <w:ind w:left="660"/>
        <w:spacing w:after="0" w:line="257" w:lineRule="auto"/>
        <w:rPr>
          <w:sz w:val="20"/>
          <w:szCs w:val="20"/>
          <w:color w:val="auto"/>
        </w:rPr>
      </w:pPr>
      <w:r>
        <w:rPr>
          <w:rFonts w:ascii="Arial" w:cs="Arial" w:eastAsia="Arial" w:hAnsi="Arial"/>
          <w:sz w:val="17"/>
          <w:szCs w:val="17"/>
          <w:color w:val="auto"/>
        </w:rPr>
        <w:t>Except for the transactions contemplated by this Agreement and as set forth in the Articles and in Section 7.2 of the Disclosure Schedule, there are no other preemptive rights, rights of first refusal, convertible securities, outstanding warrants, options or other rights to subscribe for, purchase or acquire from the Company any share capital of the Company and there are not any contracts or binding commitments providing for the issuance of, or the granting of rights to acquire, any share capital of the Company or under which the Company is, or may become, obligated to issue any of its securities. All issued and outstanding shares of the Company have been duly authorized, and are validly issued and outstanding and fully paid and non-assessable.</w:t>
      </w:r>
    </w:p>
    <w:p>
      <w:pPr>
        <w:spacing w:after="0" w:line="210" w:lineRule="exact"/>
        <w:rPr>
          <w:sz w:val="20"/>
          <w:szCs w:val="20"/>
          <w:color w:val="auto"/>
        </w:rPr>
      </w:pPr>
    </w:p>
    <w:p>
      <w:pPr>
        <w:jc w:val="both"/>
        <w:ind w:left="660"/>
        <w:spacing w:after="0" w:line="278" w:lineRule="auto"/>
        <w:rPr>
          <w:sz w:val="20"/>
          <w:szCs w:val="20"/>
          <w:color w:val="auto"/>
        </w:rPr>
      </w:pPr>
      <w:r>
        <w:rPr>
          <w:rFonts w:ascii="Arial" w:cs="Arial" w:eastAsia="Arial" w:hAnsi="Arial"/>
          <w:sz w:val="17"/>
          <w:szCs w:val="17"/>
          <w:color w:val="auto"/>
        </w:rPr>
        <w:t>The Company is not under any current obligation to register for trading on any securities exchange any of its currently outstanding securities or any of its securities which may hereafter be issued.</w:t>
      </w:r>
    </w:p>
    <w:p>
      <w:pPr>
        <w:spacing w:after="0" w:line="190" w:lineRule="exact"/>
        <w:rPr>
          <w:sz w:val="20"/>
          <w:szCs w:val="20"/>
          <w:color w:val="auto"/>
        </w:rPr>
      </w:pPr>
    </w:p>
    <w:p>
      <w:pPr>
        <w:jc w:val="both"/>
        <w:ind w:left="640" w:hanging="1234"/>
        <w:spacing w:after="0" w:line="296" w:lineRule="auto"/>
        <w:tabs>
          <w:tab w:leader="none" w:pos="6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u w:val="single" w:color="auto"/>
          <w:color w:val="auto"/>
        </w:rPr>
        <w:t>Ownership of Shares</w:t>
      </w:r>
      <w:r>
        <w:rPr>
          <w:rFonts w:ascii="Arial" w:cs="Arial" w:eastAsia="Arial" w:hAnsi="Arial"/>
          <w:sz w:val="15"/>
          <w:szCs w:val="15"/>
          <w:color w:val="auto"/>
        </w:rPr>
        <w:t>. A complete and correct list of the shareholders of the Company on the Effective Date is set forth in Section 7.2 of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Disclosure Schedule. To the Company's knowledge, the individuals identified in Section 7.2 of the Disclosure Schedule as the shareholders of the Company are the lawful owners, beneficially and of record, of all of the issued and outstanding shares of share capital of the Company and of all rights thereto, free and clear of all liens, claims, charges, encumbrances, restrictions, rights, options to purchase, proxies, voting trust and other voting agreements, calls or commitments of every kind (except as specified in the Articles and the Shareholders Agreement dated September 26, 2005), and, to the Company's knowledge, none of the said individuals owns any other share, options or other rights to subscribe for, purchase or acquire any share capital of the Company from the Company or from each other.</w:t>
      </w:r>
    </w:p>
    <w:p>
      <w:pPr>
        <w:spacing w:after="0" w:line="183" w:lineRule="exact"/>
        <w:rPr>
          <w:sz w:val="20"/>
          <w:szCs w:val="20"/>
          <w:color w:val="auto"/>
        </w:rPr>
      </w:pPr>
    </w:p>
    <w:p>
      <w:pPr>
        <w:jc w:val="both"/>
        <w:ind w:left="640" w:hanging="1234"/>
        <w:spacing w:after="0" w:line="256" w:lineRule="auto"/>
        <w:tabs>
          <w:tab w:leader="none" w:pos="6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Company has furnished the Lender with its audited financial statements for the annual period ended on</w:t>
      </w:r>
      <w:r>
        <w:rPr>
          <w:rFonts w:ascii="Arial" w:cs="Arial" w:eastAsia="Arial" w:hAnsi="Arial"/>
          <w:sz w:val="17"/>
          <w:szCs w:val="17"/>
          <w:u w:val="single" w:color="auto"/>
          <w:color w:val="auto"/>
        </w:rPr>
        <w:t xml:space="preserve"> </w:t>
      </w:r>
      <w:r>
        <w:rPr>
          <w:rFonts w:ascii="Arial" w:cs="Arial" w:eastAsia="Arial" w:hAnsi="Arial"/>
          <w:sz w:val="17"/>
          <w:szCs w:val="17"/>
          <w:color w:val="auto"/>
        </w:rPr>
        <w:t>December 31, 2005, as well as un-audited balance sheets of the Company for the period ended on September 30, 2006 (hereinafter collectively referred to as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Financial Statements are true and correct, in accordance with the books and records of the Company, and have been prepared in accordance with Israeli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consistently applied, and fairly and accurately present the financial condition of the Company as of such dates and the results of its operations for the periods then ended. The Company does not have any material liabilities, debts or obligations, whether accrued, absolute or contingent, pertaining to the time periods referred to in the Financial Statements, other than liabilities reflected or reserved against in the Financial Statements.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Since September 30, 2006, there has not been:</w:t>
      </w:r>
    </w:p>
    <w:p>
      <w:pPr>
        <w:spacing w:after="0" w:line="242" w:lineRule="exact"/>
        <w:rPr>
          <w:sz w:val="20"/>
          <w:szCs w:val="20"/>
          <w:color w:val="auto"/>
        </w:rPr>
      </w:pPr>
    </w:p>
    <w:p>
      <w:pPr>
        <w:ind w:left="1280" w:hanging="625"/>
        <w:spacing w:after="0"/>
        <w:tabs>
          <w:tab w:leader="none" w:pos="12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material change in the assets, liabilities, condition (financial or otherwise) or business of the Company;</w:t>
      </w:r>
    </w:p>
    <w:p>
      <w:pPr>
        <w:spacing w:after="0" w:line="241" w:lineRule="exact"/>
        <w:rPr>
          <w:rFonts w:ascii="Arial" w:cs="Arial" w:eastAsia="Arial" w:hAnsi="Arial"/>
          <w:sz w:val="17"/>
          <w:szCs w:val="17"/>
          <w:color w:val="auto"/>
        </w:rPr>
      </w:pPr>
    </w:p>
    <w:p>
      <w:pPr>
        <w:ind w:left="1280" w:hanging="625"/>
        <w:spacing w:after="0" w:line="278" w:lineRule="auto"/>
        <w:tabs>
          <w:tab w:leader="none" w:pos="12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damage, destruction or loss, whether or not covered by insurance, materially and adversely affecting the material assets, properties, conditions (financial or otherwise), operating results or business of the Company;</w:t>
      </w:r>
    </w:p>
    <w:p>
      <w:pPr>
        <w:spacing w:after="0" w:line="190" w:lineRule="exact"/>
        <w:rPr>
          <w:rFonts w:ascii="Arial" w:cs="Arial" w:eastAsia="Arial" w:hAnsi="Arial"/>
          <w:sz w:val="17"/>
          <w:szCs w:val="17"/>
          <w:color w:val="auto"/>
        </w:rPr>
      </w:pPr>
    </w:p>
    <w:p>
      <w:pPr>
        <w:ind w:left="1280" w:hanging="625"/>
        <w:spacing w:after="0"/>
        <w:tabs>
          <w:tab w:leader="none" w:pos="12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waiver by the Company of a valuable right or of a material debt owed to it;</w:t>
      </w:r>
    </w:p>
    <w:p>
      <w:pPr>
        <w:spacing w:after="0" w:line="241" w:lineRule="exact"/>
        <w:rPr>
          <w:rFonts w:ascii="Arial" w:cs="Arial" w:eastAsia="Arial" w:hAnsi="Arial"/>
          <w:sz w:val="17"/>
          <w:szCs w:val="17"/>
          <w:color w:val="auto"/>
        </w:rPr>
      </w:pPr>
    </w:p>
    <w:p>
      <w:pPr>
        <w:jc w:val="both"/>
        <w:ind w:left="1280" w:hanging="625"/>
        <w:spacing w:after="0" w:line="265" w:lineRule="auto"/>
        <w:tabs>
          <w:tab w:leader="none" w:pos="12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satisfaction or discharge of any material lien, material claim or material encumbrance or payment of any material obligation by the Company, except in the ordinary course of business and that is not individually or in the aggregate adverse to the assets, properties, condition (financial or otherwise), operating results or business of the Company;</w:t>
      </w:r>
    </w:p>
    <w:p>
      <w:pPr>
        <w:spacing w:after="0" w:line="201" w:lineRule="exact"/>
        <w:rPr>
          <w:rFonts w:ascii="Arial" w:cs="Arial" w:eastAsia="Arial" w:hAnsi="Arial"/>
          <w:sz w:val="17"/>
          <w:szCs w:val="17"/>
          <w:color w:val="auto"/>
        </w:rPr>
      </w:pPr>
    </w:p>
    <w:p>
      <w:pPr>
        <w:ind w:left="1280" w:hanging="625"/>
        <w:spacing w:after="0" w:line="278" w:lineRule="auto"/>
        <w:tabs>
          <w:tab w:leader="none" w:pos="12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material change or amendment to a material contract or material arrangement by which the Company or any of its assets or properties is bound or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371475</wp:posOffset>
            </wp:positionV>
            <wp:extent cx="7257415" cy="209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1" w:right="239" w:bottom="1440" w:gutter="0" w:footer="0" w:header="0"/>
        </w:sectPr>
      </w:pPr>
    </w:p>
    <w:bookmarkStart w:id="405" w:name="page406"/>
    <w:bookmarkEnd w:id="405"/>
    <w:p>
      <w:pPr>
        <w:ind w:left="4200"/>
        <w:spacing w:after="0"/>
        <w:rPr>
          <w:sz w:val="20"/>
          <w:szCs w:val="20"/>
          <w:color w:val="auto"/>
        </w:rPr>
      </w:pPr>
      <w:r>
        <w:rPr>
          <w:rFonts w:ascii="Arial" w:cs="Arial" w:eastAsia="Arial" w:hAnsi="Arial"/>
          <w:sz w:val="21"/>
          <w:szCs w:val="21"/>
          <w:color w:val="auto"/>
        </w:rPr>
        <w:t>— 5 —</w:t>
      </w:r>
    </w:p>
    <w:p>
      <w:pPr>
        <w:spacing w:after="0" w:line="230" w:lineRule="exact"/>
        <w:rPr>
          <w:sz w:val="20"/>
          <w:szCs w:val="20"/>
          <w:color w:val="auto"/>
        </w:rPr>
      </w:pPr>
    </w:p>
    <w:p>
      <w:pPr>
        <w:ind w:left="1280" w:hanging="625"/>
        <w:spacing w:after="0" w:line="278" w:lineRule="auto"/>
        <w:tabs>
          <w:tab w:leader="none" w:pos="12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any loans made by the Company to its employees, officers, or directors, other than travel advances made in the ordinary course of business;</w:t>
      </w:r>
    </w:p>
    <w:p>
      <w:pPr>
        <w:spacing w:after="0" w:line="190" w:lineRule="exact"/>
        <w:rPr>
          <w:rFonts w:ascii="Arial" w:cs="Arial" w:eastAsia="Arial" w:hAnsi="Arial"/>
          <w:sz w:val="17"/>
          <w:szCs w:val="17"/>
          <w:color w:val="auto"/>
        </w:rPr>
      </w:pPr>
    </w:p>
    <w:p>
      <w:pPr>
        <w:ind w:left="1280" w:hanging="625"/>
        <w:spacing w:after="0" w:line="278" w:lineRule="auto"/>
        <w:tabs>
          <w:tab w:leader="none" w:pos="12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any sale, transfer or lease of, except in the ordinary course of business, or mortgage or pledge of imposition of lien on, any of the Company’s material assets;</w:t>
      </w:r>
    </w:p>
    <w:p>
      <w:pPr>
        <w:spacing w:after="0" w:line="190" w:lineRule="exact"/>
        <w:rPr>
          <w:rFonts w:ascii="Arial" w:cs="Arial" w:eastAsia="Arial" w:hAnsi="Arial"/>
          <w:sz w:val="17"/>
          <w:szCs w:val="17"/>
          <w:color w:val="auto"/>
        </w:rPr>
      </w:pPr>
    </w:p>
    <w:p>
      <w:pPr>
        <w:ind w:left="1280" w:hanging="625"/>
        <w:spacing w:after="0" w:line="278" w:lineRule="auto"/>
        <w:tabs>
          <w:tab w:leader="none" w:pos="12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any change in the accounting methods or accounting principles or practices employed by the Company, except as required by applicable laws, rules, regulations and standards; or</w:t>
      </w:r>
    </w:p>
    <w:p>
      <w:pPr>
        <w:spacing w:after="0" w:line="190" w:lineRule="exact"/>
        <w:rPr>
          <w:rFonts w:ascii="Arial" w:cs="Arial" w:eastAsia="Arial" w:hAnsi="Arial"/>
          <w:sz w:val="17"/>
          <w:szCs w:val="17"/>
          <w:color w:val="auto"/>
        </w:rPr>
      </w:pPr>
    </w:p>
    <w:p>
      <w:pPr>
        <w:ind w:left="1280" w:hanging="625"/>
        <w:spacing w:after="0" w:line="278" w:lineRule="auto"/>
        <w:tabs>
          <w:tab w:leader="none" w:pos="12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to the Company's knowledge, any other event or condition of any character that would materially adversely affect the assets, properties, condition (financial or otherwise), operating results or business of the Company.</w:t>
      </w:r>
    </w:p>
    <w:p>
      <w:pPr>
        <w:spacing w:after="0" w:line="190" w:lineRule="exact"/>
        <w:rPr>
          <w:sz w:val="20"/>
          <w:szCs w:val="20"/>
          <w:color w:val="auto"/>
        </w:rPr>
      </w:pPr>
    </w:p>
    <w:p>
      <w:pPr>
        <w:jc w:val="both"/>
        <w:ind w:left="640" w:hanging="1234"/>
        <w:spacing w:after="0" w:line="257" w:lineRule="auto"/>
        <w:tabs>
          <w:tab w:leader="none" w:pos="62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u w:val="single" w:color="auto"/>
          <w:color w:val="auto"/>
        </w:rPr>
        <w:t>Authorization; Approvals</w:t>
      </w:r>
      <w:r>
        <w:rPr>
          <w:rFonts w:ascii="Arial" w:cs="Arial" w:eastAsia="Arial" w:hAnsi="Arial"/>
          <w:sz w:val="17"/>
          <w:szCs w:val="17"/>
          <w:color w:val="auto"/>
        </w:rPr>
        <w:t>. All corporate action on the part of the Company necessary for the authorization, execution, delivery,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performance of all of the Company's obligations under this Agreement has been taken. This Agreement, when executed and delivered by or on behalf of the Company, shall constitute the valid and legally binding obligation of the Company, legally enforceable against the Company in accordance with its terms. No consent, approval, order, license, permit, action by, or authorization of or designation, declaration, or filing with any governmental authority on the part of the Company is required that has not been obtained by the Company in connection with the valid execution, delivery and performance of this Agreement.</w:t>
      </w:r>
    </w:p>
    <w:p>
      <w:pPr>
        <w:spacing w:after="0" w:line="210" w:lineRule="exact"/>
        <w:rPr>
          <w:sz w:val="20"/>
          <w:szCs w:val="20"/>
          <w:color w:val="auto"/>
        </w:rPr>
      </w:pPr>
    </w:p>
    <w:p>
      <w:pPr>
        <w:jc w:val="both"/>
        <w:ind w:left="640" w:hanging="1234"/>
        <w:spacing w:after="0" w:line="277" w:lineRule="auto"/>
        <w:tabs>
          <w:tab w:leader="none" w:pos="62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To the best of its knowledge, the Company is not in default (a) under the Articles, or under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material note, indenture, mortgage, lease, agreement, contract, purchase order or other instrument, document or agreement to which the Company is a party or (b) with respect to any Israeli law, statute, ordinance, regulation, order, writ, injunction, decree, or judgment of any court or any governmental authority, which default, in any such case, would adversely affect the Company's business, prospects, condition (financial or otherwise), affairs, operations or assets. To the best knowledge of the Company, no third party is in default under any agreement, contract or other instrument, document or agreement to which the Company is a party.</w:t>
      </w:r>
    </w:p>
    <w:p>
      <w:pPr>
        <w:spacing w:after="0" w:line="192" w:lineRule="exact"/>
        <w:rPr>
          <w:sz w:val="20"/>
          <w:szCs w:val="20"/>
          <w:color w:val="auto"/>
        </w:rPr>
      </w:pPr>
    </w:p>
    <w:p>
      <w:pPr>
        <w:jc w:val="both"/>
        <w:ind w:left="640" w:hanging="1234"/>
        <w:spacing w:after="0" w:line="296" w:lineRule="auto"/>
        <w:tabs>
          <w:tab w:leader="none" w:pos="62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u w:val="single" w:color="auto"/>
          <w:color w:val="auto"/>
        </w:rPr>
        <w:t>No Breach</w:t>
      </w:r>
      <w:r>
        <w:rPr>
          <w:rFonts w:ascii="Arial" w:cs="Arial" w:eastAsia="Arial" w:hAnsi="Arial"/>
          <w:sz w:val="15"/>
          <w:szCs w:val="15"/>
          <w:color w:val="auto"/>
        </w:rPr>
        <w:t>. Neither the execution and delivery of this Agreement nor compliance by the Company with the terms and provisions hereof,</w:t>
      </w:r>
      <w:r>
        <w:rPr>
          <w:rFonts w:ascii="Arial" w:cs="Arial" w:eastAsia="Arial" w:hAnsi="Arial"/>
          <w:sz w:val="15"/>
          <w:szCs w:val="15"/>
          <w:u w:val="single" w:color="auto"/>
          <w:color w:val="auto"/>
        </w:rPr>
        <w:t xml:space="preserve"> </w:t>
      </w:r>
      <w:r>
        <w:rPr>
          <w:rFonts w:ascii="Arial" w:cs="Arial" w:eastAsia="Arial" w:hAnsi="Arial"/>
          <w:sz w:val="15"/>
          <w:szCs w:val="15"/>
          <w:color w:val="auto"/>
        </w:rPr>
        <w:t>will conflict with, or result in a breach or violation of, any of the terms, conditions and provisions of: (i) the Articles, (ii) to the Company's knowledge, any judgment, order, injunction, decree, or ruling of any court or governmental authority, (iii) any material agreement, contract, lease, license or commitment to which the Company is a party, or (iv) to the best of its knowledge, applicable law. Such execution, delivery and compliance will not (a) give to others any rights, including rights of termination, cancellation or acceleration, in or with respect to any agreement, contract or commitment referred to in this paragraph, or to any of the properties of the Company or (b) unless otherwise specified herein, otherwise require the consent or approval of any person, which consent or approval has not heretofore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367030</wp:posOffset>
            </wp:positionV>
            <wp:extent cx="7257415" cy="209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0" w:right="239" w:bottom="1440" w:gutter="0" w:footer="0" w:header="0"/>
        </w:sectPr>
      </w:pPr>
    </w:p>
    <w:bookmarkStart w:id="406" w:name="page407"/>
    <w:bookmarkEnd w:id="406"/>
    <w:p>
      <w:pPr>
        <w:ind w:left="4800"/>
        <w:spacing w:after="0"/>
        <w:rPr>
          <w:sz w:val="20"/>
          <w:szCs w:val="20"/>
          <w:color w:val="auto"/>
        </w:rPr>
      </w:pPr>
      <w:r>
        <w:rPr>
          <w:rFonts w:ascii="Arial" w:cs="Arial" w:eastAsia="Arial" w:hAnsi="Arial"/>
          <w:sz w:val="21"/>
          <w:szCs w:val="21"/>
          <w:color w:val="auto"/>
        </w:rPr>
        <w:t>— 6 —</w:t>
      </w:r>
    </w:p>
    <w:p>
      <w:pPr>
        <w:spacing w:after="0" w:line="23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u w:val="single" w:color="auto"/>
          <w:color w:val="auto"/>
        </w:rPr>
        <w:t>Intellectual Property and Other Intangible Assets</w:t>
      </w:r>
      <w:r>
        <w:rPr>
          <w:rFonts w:ascii="Arial" w:cs="Arial" w:eastAsia="Arial" w:hAnsi="Arial"/>
          <w:sz w:val="15"/>
          <w:szCs w:val="15"/>
          <w:color w:val="auto"/>
        </w:rPr>
        <w:t>.</w:t>
      </w:r>
    </w:p>
    <w:p>
      <w:pPr>
        <w:spacing w:after="0" w:line="242" w:lineRule="exact"/>
        <w:rPr>
          <w:sz w:val="20"/>
          <w:szCs w:val="20"/>
          <w:color w:val="auto"/>
        </w:rPr>
      </w:pPr>
    </w:p>
    <w:p>
      <w:pPr>
        <w:jc w:val="both"/>
        <w:ind w:left="2460" w:hanging="1234"/>
        <w:spacing w:after="0" w:line="293" w:lineRule="auto"/>
        <w:tabs>
          <w:tab w:leader="none" w:pos="2440" w:val="left"/>
        </w:tabs>
        <w:rPr>
          <w:sz w:val="20"/>
          <w:szCs w:val="20"/>
          <w:color w:val="auto"/>
        </w:rPr>
      </w:pPr>
      <w:r>
        <w:rPr>
          <w:rFonts w:ascii="Arial" w:cs="Arial" w:eastAsia="Arial" w:hAnsi="Arial"/>
          <w:sz w:val="17"/>
          <w:szCs w:val="17"/>
          <w:color w:val="auto"/>
        </w:rPr>
        <w:t>7.8.1.</w:t>
      </w:r>
      <w:r>
        <w:rPr>
          <w:sz w:val="20"/>
          <w:szCs w:val="20"/>
          <w:color w:val="auto"/>
        </w:rPr>
        <w:tab/>
      </w:r>
      <w:r>
        <w:rPr>
          <w:rFonts w:ascii="Arial" w:cs="Arial" w:eastAsia="Arial" w:hAnsi="Arial"/>
          <w:sz w:val="15"/>
          <w:szCs w:val="15"/>
          <w:color w:val="auto"/>
        </w:rPr>
        <w:t>Unless otherwise stated in any of the agreements referred to in Section 7.8.1 of the Disclosure Schedule, the Company owns and has developed, or has obtained the right to use, free and clear of all liens, claims and restrictions, all patents, trademarks, service marks, trade names and copyrights, and applications, licenses and rights with respect to the foregoing, and all related trade secrets, including know-how, inventions, designs, processes, works of authorship, computer programs and technical data and information (collectively herein "</w:t>
      </w:r>
      <w:r>
        <w:rPr>
          <w:rFonts w:ascii="Arial" w:cs="Arial" w:eastAsia="Arial" w:hAnsi="Arial"/>
          <w:sz w:val="15"/>
          <w:szCs w:val="15"/>
          <w:b w:val="1"/>
          <w:bCs w:val="1"/>
          <w:color w:val="auto"/>
        </w:rPr>
        <w:t>Intellectual Property</w:t>
      </w:r>
      <w:r>
        <w:rPr>
          <w:rFonts w:ascii="Arial" w:cs="Arial" w:eastAsia="Arial" w:hAnsi="Arial"/>
          <w:sz w:val="15"/>
          <w:szCs w:val="15"/>
          <w:color w:val="auto"/>
        </w:rPr>
        <w:t>"), without, to the knowledge of the Company, infringing upon or violating any right, lien, or claim of others. Unless otherwise stated in the applicable agreements referred to in Section 7.8.1 of the Disclosure Schedule, the Company is not obligated or under any liability whatsoever to make any payments by way of royalties, fees or otherwise to any owner or licensee of, or other claimant to, any patent, trademark, service mark, trade name, copyright or other intangible asset, with respect to the use thereof or in connection with the conduct of its business as now conducted or as currently proposed to be conducted or otherwise.</w:t>
      </w:r>
    </w:p>
    <w:p>
      <w:pPr>
        <w:spacing w:after="0" w:line="184" w:lineRule="exact"/>
        <w:rPr>
          <w:sz w:val="20"/>
          <w:szCs w:val="20"/>
          <w:color w:val="auto"/>
        </w:rPr>
      </w:pPr>
    </w:p>
    <w:p>
      <w:pPr>
        <w:jc w:val="both"/>
        <w:ind w:left="2460" w:hanging="1234"/>
        <w:spacing w:after="0" w:line="273" w:lineRule="auto"/>
        <w:tabs>
          <w:tab w:leader="none" w:pos="2440" w:val="left"/>
        </w:tabs>
        <w:rPr>
          <w:sz w:val="20"/>
          <w:szCs w:val="20"/>
          <w:color w:val="auto"/>
        </w:rPr>
      </w:pPr>
      <w:r>
        <w:rPr>
          <w:rFonts w:ascii="Arial" w:cs="Arial" w:eastAsia="Arial" w:hAnsi="Arial"/>
          <w:sz w:val="17"/>
          <w:szCs w:val="17"/>
          <w:color w:val="auto"/>
        </w:rPr>
        <w:t>7.8.2.</w:t>
      </w:r>
      <w:r>
        <w:rPr>
          <w:sz w:val="20"/>
          <w:szCs w:val="20"/>
          <w:color w:val="auto"/>
        </w:rPr>
        <w:tab/>
      </w:r>
      <w:r>
        <w:rPr>
          <w:rFonts w:ascii="Arial" w:cs="Arial" w:eastAsia="Arial" w:hAnsi="Arial"/>
          <w:sz w:val="16"/>
          <w:szCs w:val="16"/>
          <w:color w:val="auto"/>
        </w:rPr>
        <w:t>Any and all Intellectual Property of any kind which has been developed, is currently being developed, or will be developed in the future, by any employee of the Company in the course of their employment by the Company shall be the property solely of the Company. The Company has taken security measures to protect the secrecy, confidentiality and value of all the Intellectual Property, which measures are reasonable and customary in the industry in which the Company operates. Each of the Company's employees have entered into written agreements with the Company, assigning to the Company all rights in intellectual property developed in the course of their employment by the Company and each of the Company's employees who, either alone or in concert with others, developed, invented, discovered, derived, programmed or designed the Intellectual Property have entered into a written agreement with the Company, the forms of which have been made available to the Lender.</w:t>
      </w:r>
    </w:p>
    <w:p>
      <w:pPr>
        <w:spacing w:after="0" w:line="200" w:lineRule="exact"/>
        <w:rPr>
          <w:sz w:val="20"/>
          <w:szCs w:val="20"/>
          <w:color w:val="auto"/>
        </w:rPr>
      </w:pPr>
    </w:p>
    <w:p>
      <w:pPr>
        <w:jc w:val="both"/>
        <w:ind w:left="2460" w:hanging="1234"/>
        <w:spacing w:after="0" w:line="273" w:lineRule="auto"/>
        <w:tabs>
          <w:tab w:leader="none" w:pos="2440" w:val="left"/>
        </w:tabs>
        <w:rPr>
          <w:sz w:val="20"/>
          <w:szCs w:val="20"/>
          <w:color w:val="auto"/>
        </w:rPr>
      </w:pPr>
      <w:r>
        <w:rPr>
          <w:rFonts w:ascii="Arial" w:cs="Arial" w:eastAsia="Arial" w:hAnsi="Arial"/>
          <w:sz w:val="17"/>
          <w:szCs w:val="17"/>
          <w:color w:val="auto"/>
        </w:rPr>
        <w:t>7.8.3.</w:t>
      </w:r>
      <w:r>
        <w:rPr>
          <w:sz w:val="20"/>
          <w:szCs w:val="20"/>
          <w:color w:val="auto"/>
        </w:rPr>
        <w:tab/>
      </w:r>
      <w:r>
        <w:rPr>
          <w:rFonts w:ascii="Arial" w:cs="Arial" w:eastAsia="Arial" w:hAnsi="Arial"/>
          <w:sz w:val="16"/>
          <w:szCs w:val="16"/>
          <w:color w:val="auto"/>
        </w:rPr>
        <w:t>The Company has not received any communications alleging that the Company has violated or by conducting its business as proposed, would violate, any of the patents, trademarks, service marks, trade names, copyrights or trade secrets or other proprietary rights of any other person or entity. To the Company's knowledge, none of the Company's employees is obligated under any contract (including licenses, covenants or commitments of any nature) or other agreement, or subject to any judgment, decree or order of any court or administrative agency, that would interfere with the use of such employee's best efforts to promote the interests of the Company. To the Company's knowledge, neither the execution nor delivery of this Agreement, nor the carrying on of the Company's business by the employees of the Company, nor the conduct of the Company's business as currently proposed to be conducted, will conflict with or result in a breach of the terms, conditions or provisions of, or constitute a default under, any contract, covenant or instrument under which any of such employees is now obligated.</w:t>
      </w:r>
    </w:p>
    <w:p>
      <w:pPr>
        <w:spacing w:after="0" w:line="197" w:lineRule="exact"/>
        <w:rPr>
          <w:sz w:val="20"/>
          <w:szCs w:val="20"/>
          <w:color w:val="auto"/>
        </w:rPr>
      </w:pPr>
    </w:p>
    <w:p>
      <w:pPr>
        <w:jc w:val="both"/>
        <w:ind w:left="1240" w:hanging="1234"/>
        <w:spacing w:after="0" w:line="257" w:lineRule="auto"/>
        <w:tabs>
          <w:tab w:leader="none" w:pos="122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Section 7.9 of the Disclosure Schedule, no action, proceeding or governmental inquiry or investigation is</w:t>
      </w:r>
      <w:r>
        <w:rPr>
          <w:rFonts w:ascii="Arial" w:cs="Arial" w:eastAsia="Arial" w:hAnsi="Arial"/>
          <w:sz w:val="17"/>
          <w:szCs w:val="17"/>
          <w:u w:val="single" w:color="auto"/>
          <w:color w:val="auto"/>
        </w:rPr>
        <w:t xml:space="preserve"> </w:t>
      </w:r>
      <w:r>
        <w:rPr>
          <w:rFonts w:ascii="Arial" w:cs="Arial" w:eastAsia="Arial" w:hAnsi="Arial"/>
          <w:sz w:val="17"/>
          <w:szCs w:val="17"/>
          <w:color w:val="auto"/>
        </w:rPr>
        <w:t>pending or, to the knowledge of the Company, threatened against the Company or any of its officers, directors, or employees (in their capacity as such), or against any of the Company's properties, before any court, arbitration board or tribunal or administrative or other governmental agency, nor, to the knowledge of the Company, is there is any basis for the foregoing. To its knowledge, the Company is not a party to or subject to the provisions of any order, writ, injunction, judgment or decree of any court or governmental agency or instrumentality. There is no action, suit, proceeding or investigation by the Company currently pending or that the Company intends to initiate.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382270</wp:posOffset>
            </wp:positionV>
            <wp:extent cx="7257415" cy="209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20"/>
          </w:cols>
          <w:pgMar w:left="840" w:top="491" w:right="239" w:bottom="1440" w:gutter="0" w:footer="0" w:header="0"/>
        </w:sectPr>
      </w:pPr>
    </w:p>
    <w:bookmarkStart w:id="407" w:name="page408"/>
    <w:bookmarkEnd w:id="407"/>
    <w:p>
      <w:pPr>
        <w:jc w:val="center"/>
        <w:ind w:right="137"/>
        <w:spacing w:after="0"/>
        <w:rPr>
          <w:sz w:val="20"/>
          <w:szCs w:val="20"/>
          <w:color w:val="auto"/>
        </w:rPr>
      </w:pPr>
      <w:r>
        <w:rPr>
          <w:rFonts w:ascii="Arial" w:cs="Arial" w:eastAsia="Arial" w:hAnsi="Arial"/>
          <w:sz w:val="21"/>
          <w:szCs w:val="21"/>
          <w:color w:val="auto"/>
        </w:rPr>
        <w:t>— 7 —</w:t>
      </w:r>
    </w:p>
    <w:p>
      <w:pPr>
        <w:spacing w:after="0" w:line="230" w:lineRule="exact"/>
        <w:rPr>
          <w:sz w:val="20"/>
          <w:szCs w:val="20"/>
          <w:color w:val="auto"/>
        </w:rPr>
      </w:pPr>
    </w:p>
    <w:p>
      <w:pPr>
        <w:jc w:val="both"/>
        <w:ind w:left="1683" w:hanging="1234"/>
        <w:spacing w:after="0" w:line="265" w:lineRule="auto"/>
        <w:tabs>
          <w:tab w:leader="none" w:pos="1662"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7"/>
          <w:szCs w:val="17"/>
          <w:u w:val="single" w:color="auto"/>
          <w:color w:val="auto"/>
        </w:rPr>
        <w:t>No Public Offer</w:t>
      </w:r>
      <w:r>
        <w:rPr>
          <w:rFonts w:ascii="Arial" w:cs="Arial" w:eastAsia="Arial" w:hAnsi="Arial"/>
          <w:sz w:val="17"/>
          <w:szCs w:val="17"/>
          <w:color w:val="auto"/>
        </w:rPr>
        <w:t>. Neither the Company nor anyone acting on its behalf has offered securities of the Company or any part thereof or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similar securities for issuance or sale to, or solicited any offer to acquire any of the same from, anyone so as to make the execution and performance of this Agreement not in compliance with applicable securities laws.</w:t>
      </w:r>
    </w:p>
    <w:p>
      <w:pPr>
        <w:spacing w:after="0" w:line="201" w:lineRule="exact"/>
        <w:rPr>
          <w:sz w:val="20"/>
          <w:szCs w:val="20"/>
          <w:color w:val="auto"/>
        </w:rPr>
      </w:pPr>
    </w:p>
    <w:p>
      <w:pPr>
        <w:jc w:val="both"/>
        <w:ind w:left="1683" w:hanging="1234"/>
        <w:spacing w:after="0" w:line="259" w:lineRule="auto"/>
        <w:tabs>
          <w:tab w:leader="none" w:pos="1662"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7"/>
          <w:szCs w:val="17"/>
          <w:u w:val="single" w:color="auto"/>
          <w:color w:val="auto"/>
        </w:rPr>
        <w:t>Full Disclosure</w:t>
      </w:r>
      <w:r>
        <w:rPr>
          <w:rFonts w:ascii="Arial" w:cs="Arial" w:eastAsia="Arial" w:hAnsi="Arial"/>
          <w:sz w:val="17"/>
          <w:szCs w:val="17"/>
          <w:color w:val="auto"/>
        </w:rPr>
        <w:t>. Neither this Agreement (including the Schedules and Exhibits attached hereto) nor any certificate made or delivered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connection herewith contains any untrue statement of a material fact or omits to state a material fact necessary to make the statements herein or therein not misleading, in view of the circumstances in which they were made. To the best knowledge of the Company, there is no material fact or information relating to the business, prospects, condition (financial or otherwise), affairs, operations, or assets of the Company that has not been disclosed to the Lender by the Company.</w:t>
      </w:r>
    </w:p>
    <w:p>
      <w:pPr>
        <w:spacing w:after="0" w:line="206" w:lineRule="exact"/>
        <w:rPr>
          <w:sz w:val="20"/>
          <w:szCs w:val="20"/>
          <w:color w:val="auto"/>
        </w:rPr>
      </w:pPr>
    </w:p>
    <w:p>
      <w:pPr>
        <w:jc w:val="both"/>
        <w:ind w:left="463"/>
        <w:spacing w:after="0" w:line="291" w:lineRule="auto"/>
        <w:rPr>
          <w:sz w:val="20"/>
          <w:szCs w:val="20"/>
          <w:color w:val="auto"/>
        </w:rPr>
      </w:pPr>
      <w:r>
        <w:rPr>
          <w:rFonts w:ascii="Arial" w:cs="Arial" w:eastAsia="Arial" w:hAnsi="Arial"/>
          <w:sz w:val="15"/>
          <w:szCs w:val="15"/>
          <w:color w:val="auto"/>
        </w:rPr>
        <w:t xml:space="preserve">Each representation and warranty herein is deemed to be made on the effective Date and shall survive and remain in full force and effect after the Effective Date until the earlier of: (i) the conversion of the Loan Amount pursuant to Section 3, </w:t>
      </w:r>
      <w:r>
        <w:rPr>
          <w:rFonts w:ascii="Arial" w:cs="Arial" w:eastAsia="Arial" w:hAnsi="Arial"/>
          <w:sz w:val="15"/>
          <w:szCs w:val="15"/>
          <w:i w:val="1"/>
          <w:iCs w:val="1"/>
          <w:color w:val="auto"/>
        </w:rPr>
        <w:t>provided</w:t>
      </w:r>
      <w:r>
        <w:rPr>
          <w:rFonts w:ascii="Arial" w:cs="Arial" w:eastAsia="Arial" w:hAnsi="Arial"/>
          <w:sz w:val="15"/>
          <w:szCs w:val="15"/>
          <w:color w:val="auto"/>
        </w:rPr>
        <w:t>, that the Lender receives representations and warranties in the agreement governing the Private Placement which are no less favorable, in all material respects, than those contained herein; (ii) a period of two (2) years;</w:t>
      </w:r>
    </w:p>
    <w:p>
      <w:pPr>
        <w:spacing w:after="0" w:line="1" w:lineRule="exact"/>
        <w:rPr>
          <w:sz w:val="20"/>
          <w:szCs w:val="20"/>
          <w:color w:val="auto"/>
        </w:rPr>
      </w:pPr>
    </w:p>
    <w:p>
      <w:pPr>
        <w:jc w:val="both"/>
        <w:ind w:left="463"/>
        <w:spacing w:after="0" w:line="272" w:lineRule="auto"/>
        <w:tabs>
          <w:tab w:leader="none" w:pos="803"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 M&amp;A Transaction (as defined in the Articles), or (iv) consummation of an IPO (as defined in the Articles). In the event of any breach or misrepresentation of any covenant, warranty, or representation made by the Company under this Agreement (a “</w:t>
      </w:r>
      <w:r>
        <w:rPr>
          <w:rFonts w:ascii="Arial" w:cs="Arial" w:eastAsia="Arial" w:hAnsi="Arial"/>
          <w:sz w:val="16"/>
          <w:szCs w:val="16"/>
          <w:b w:val="1"/>
          <w:bCs w:val="1"/>
          <w:color w:val="auto"/>
        </w:rPr>
        <w:t>Misrepresentation</w:t>
      </w:r>
      <w:r>
        <w:rPr>
          <w:rFonts w:ascii="Arial" w:cs="Arial" w:eastAsia="Arial" w:hAnsi="Arial"/>
          <w:sz w:val="16"/>
          <w:szCs w:val="16"/>
          <w:color w:val="auto"/>
        </w:rPr>
        <w:t>”), the Company shall indemnify the Lender and hold it harmless from and against any and all direct claims, loss, damage, liability, and expense (including reasonable legal fees and costs), actually sustained or incurred by it as a result of or in connection with said Misrepresentation. The liability of the Company to the Lender for claims brought against it by the Lender shall not exceed the Loan Amount. In no case shall the Company be liable to indemnify the Lender for any incidental, indirect, consequential, special or punitive damages. Notwithstanding the foregoing provisions of this Section, no claims shall be asserted under this Section unless the aggregate amount claimed is in excess of $50,000 (fifty thousand U.S. Dollars), in which case a claim can be submitted for the entire amount at issue, subject to the limits set forth in this Section above. The remedies listed hereinabove are the sole and exclusive remedies, to the exclusion of all other remedies, for any Misrepresentation.</w:t>
      </w:r>
    </w:p>
    <w:p>
      <w:pPr>
        <w:spacing w:after="0" w:line="196" w:lineRule="exact"/>
        <w:rPr>
          <w:rFonts w:ascii="Arial" w:cs="Arial" w:eastAsia="Arial" w:hAnsi="Arial"/>
          <w:sz w:val="16"/>
          <w:szCs w:val="16"/>
          <w:color w:val="auto"/>
        </w:rPr>
      </w:pPr>
    </w:p>
    <w:p>
      <w:pPr>
        <w:ind w:left="463" w:hanging="463"/>
        <w:spacing w:after="0"/>
        <w:tabs>
          <w:tab w:leader="none" w:pos="463"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Lender</w:t>
      </w:r>
    </w:p>
    <w:p>
      <w:pPr>
        <w:spacing w:after="0" w:line="36" w:lineRule="exact"/>
        <w:rPr>
          <w:rFonts w:ascii="Arial" w:cs="Arial" w:eastAsia="Arial" w:hAnsi="Arial"/>
          <w:sz w:val="17"/>
          <w:szCs w:val="17"/>
          <w:color w:val="auto"/>
        </w:rPr>
      </w:pPr>
    </w:p>
    <w:p>
      <w:pPr>
        <w:ind w:left="463"/>
        <w:spacing w:after="0"/>
        <w:rPr>
          <w:rFonts w:ascii="Arial" w:cs="Arial" w:eastAsia="Arial" w:hAnsi="Arial"/>
          <w:sz w:val="17"/>
          <w:szCs w:val="17"/>
          <w:color w:val="auto"/>
        </w:rPr>
      </w:pPr>
      <w:r>
        <w:rPr>
          <w:rFonts w:ascii="Arial" w:cs="Arial" w:eastAsia="Arial" w:hAnsi="Arial"/>
          <w:sz w:val="17"/>
          <w:szCs w:val="17"/>
          <w:color w:val="auto"/>
        </w:rPr>
        <w:t>The Lender hereby represents and warrants to the Company as follows:</w:t>
      </w:r>
    </w:p>
    <w:p>
      <w:pPr>
        <w:spacing w:after="0" w:line="241" w:lineRule="exact"/>
        <w:rPr>
          <w:rFonts w:ascii="Arial" w:cs="Arial" w:eastAsia="Arial" w:hAnsi="Arial"/>
          <w:sz w:val="17"/>
          <w:szCs w:val="17"/>
          <w:color w:val="auto"/>
        </w:rPr>
      </w:pPr>
    </w:p>
    <w:p>
      <w:pPr>
        <w:ind w:left="1683" w:hanging="1235"/>
        <w:spacing w:after="0" w:line="279" w:lineRule="auto"/>
        <w:rPr>
          <w:rFonts w:ascii="Arial" w:cs="Arial" w:eastAsia="Arial" w:hAnsi="Arial"/>
          <w:sz w:val="17"/>
          <w:szCs w:val="17"/>
          <w:color w:val="auto"/>
        </w:rPr>
      </w:pPr>
      <w:r>
        <w:rPr>
          <w:rFonts w:ascii="Arial" w:cs="Arial" w:eastAsia="Arial" w:hAnsi="Arial"/>
          <w:sz w:val="17"/>
          <w:szCs w:val="17"/>
          <w:color w:val="auto"/>
        </w:rPr>
        <w:t>8.1.</w:t>
      </w:r>
      <w:r>
        <w:rPr>
          <w:rFonts w:ascii="Arial" w:cs="Arial" w:eastAsia="Arial" w:hAnsi="Arial"/>
          <w:sz w:val="16"/>
          <w:szCs w:val="16"/>
          <w:color w:val="auto"/>
        </w:rPr>
        <w:t>The execution, delivery and performance of this Agreement by it have been duly authorized by all requisite corporate action and will not violate any provision of law, any order of any court or other agency of government, its corporate documents or any provision of any indenture, agreement or other instrument to which it or any of its properties or assets is bound, conflict with, result in a breach of or constitute (with due notice or lapse of time or both) a default under any such indenture, agreement or other instrument or result in the creation or imposition of any charge, attachment or lien upon any of the properties or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372110</wp:posOffset>
            </wp:positionV>
            <wp:extent cx="7257415" cy="209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408" w:name="page409"/>
    <w:bookmarkEnd w:id="408"/>
    <w:p>
      <w:pPr>
        <w:jc w:val="center"/>
        <w:ind w:right="137"/>
        <w:spacing w:after="0"/>
        <w:rPr>
          <w:sz w:val="20"/>
          <w:szCs w:val="20"/>
          <w:color w:val="auto"/>
        </w:rPr>
      </w:pPr>
      <w:r>
        <w:rPr>
          <w:rFonts w:ascii="Arial" w:cs="Arial" w:eastAsia="Arial" w:hAnsi="Arial"/>
          <w:sz w:val="21"/>
          <w:szCs w:val="21"/>
          <w:color w:val="auto"/>
        </w:rPr>
        <w:t>— 8 —</w:t>
      </w:r>
    </w:p>
    <w:p>
      <w:pPr>
        <w:spacing w:after="0" w:line="230" w:lineRule="exact"/>
        <w:rPr>
          <w:sz w:val="20"/>
          <w:szCs w:val="20"/>
          <w:color w:val="auto"/>
        </w:rPr>
      </w:pPr>
    </w:p>
    <w:p>
      <w:pPr>
        <w:jc w:val="both"/>
        <w:ind w:left="1683" w:hanging="1234"/>
        <w:spacing w:after="0" w:line="259" w:lineRule="auto"/>
        <w:tabs>
          <w:tab w:leader="none" w:pos="1662"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This Agreement has been duly executed and delivered by it and constitutes its legal, valid and binding obligation, enforceable against it in accordance with its terms, subject to (i) applicable bankruptcy, insolvency, reorganization, fraudulent conveyance and moratorium laws and other laws of general application affecting enforcement of creditors' rights generally and (ii) the availability of equitable remedies as such remedies may be limited by equitable principles of general applicability (regardless of whether enforcement is sought in a proceeding in equity or at law).</w:t>
      </w:r>
    </w:p>
    <w:p>
      <w:pPr>
        <w:spacing w:after="0" w:line="206" w:lineRule="exact"/>
        <w:rPr>
          <w:sz w:val="20"/>
          <w:szCs w:val="20"/>
          <w:color w:val="auto"/>
        </w:rPr>
      </w:pPr>
    </w:p>
    <w:p>
      <w:pPr>
        <w:jc w:val="both"/>
        <w:ind w:left="1683" w:hanging="1234"/>
        <w:spacing w:after="0" w:line="278" w:lineRule="auto"/>
        <w:tabs>
          <w:tab w:leader="none" w:pos="1662"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The Lender is investing in the Company for the Lender's own account (not as a nominee or agent), for its investment only, and not with a view towards the distribution or resale of any securities which may be issued to the Lender ("</w:t>
      </w:r>
      <w:r>
        <w:rPr>
          <w:rFonts w:ascii="Arial" w:cs="Arial" w:eastAsia="Arial" w:hAnsi="Arial"/>
          <w:sz w:val="17"/>
          <w:szCs w:val="17"/>
          <w:b w:val="1"/>
          <w:bCs w:val="1"/>
          <w:color w:val="auto"/>
        </w:rPr>
        <w:t>Securities</w:t>
      </w:r>
      <w:r>
        <w:rPr>
          <w:rFonts w:ascii="Arial" w:cs="Arial" w:eastAsia="Arial" w:hAnsi="Arial"/>
          <w:sz w:val="17"/>
          <w:szCs w:val="17"/>
          <w:color w:val="auto"/>
        </w:rPr>
        <w:t>").</w:t>
      </w:r>
    </w:p>
    <w:p>
      <w:pPr>
        <w:spacing w:after="0" w:line="190" w:lineRule="exact"/>
        <w:rPr>
          <w:sz w:val="20"/>
          <w:szCs w:val="20"/>
          <w:color w:val="auto"/>
        </w:rPr>
      </w:pPr>
    </w:p>
    <w:p>
      <w:pPr>
        <w:jc w:val="both"/>
        <w:ind w:left="1683" w:hanging="1234"/>
        <w:spacing w:after="0" w:line="289" w:lineRule="auto"/>
        <w:tabs>
          <w:tab w:leader="none" w:pos="1662"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6"/>
          <w:szCs w:val="16"/>
          <w:color w:val="auto"/>
        </w:rPr>
        <w:t>The Lender understands that any Securities it may be issued by the Company shall not be registered under Israeli laws (including but not limited to the Israel Securities Law - 1968) or other securities laws (including but not limited to the U.S. Securities Act of 1933), that there is no established market for such Securities and that no public market is presently foreseeable.</w:t>
      </w:r>
    </w:p>
    <w:p>
      <w:pPr>
        <w:spacing w:after="0" w:line="184" w:lineRule="exact"/>
        <w:rPr>
          <w:sz w:val="20"/>
          <w:szCs w:val="20"/>
          <w:color w:val="auto"/>
        </w:rPr>
      </w:pPr>
    </w:p>
    <w:p>
      <w:pPr>
        <w:jc w:val="both"/>
        <w:ind w:left="1683" w:hanging="1234"/>
        <w:spacing w:after="0" w:line="292" w:lineRule="auto"/>
        <w:tabs>
          <w:tab w:leader="none" w:pos="1662"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color w:val="auto"/>
        </w:rPr>
        <w:t>The Lender has experience in evaluating and investing in private placement transactions of securities in companies similar to the Company and it has such knowledge and experience in financial and business matters so that it is capable of evaluating the merits and risks of its investment in the Company, and has the capacity to protect its own interests and bear the economic risk of its investment in the Company. The Lender has had the opportunity to pose to the Company any and all questions it may have had in connection with its investment in the Company (including, without limitation, questions regarding the due diligence materials asked for and delivered to it, the terms and conditions of the investment in the Company and the business, properties, prospects and financial condition of the Company) and has received, to its satisfaction, answers to all such questions. The Lender has independently evaluated the risks and merits of investing in the Company, has reached a knowledgeable decision to make the investment in the Company and has independently determined that it is a suitable investment for it. The Lender understands that there is no assurance that any exemption from registration under Israeli or foreign securities laws will be available and that, even if available, such exemption may not allow the Lender to transfer all or any portion of any Securities it may be issued, under the circumstances, in the amounts or at the times the Lender might propose.</w:t>
      </w:r>
    </w:p>
    <w:p>
      <w:pPr>
        <w:spacing w:after="0" w:line="187" w:lineRule="exact"/>
        <w:rPr>
          <w:sz w:val="20"/>
          <w:szCs w:val="20"/>
          <w:color w:val="auto"/>
        </w:rPr>
      </w:pPr>
    </w:p>
    <w:p>
      <w:pPr>
        <w:jc w:val="both"/>
        <w:ind w:left="1683" w:hanging="1234"/>
        <w:spacing w:after="0" w:line="289" w:lineRule="auto"/>
        <w:tabs>
          <w:tab w:leader="none" w:pos="1662"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6"/>
          <w:szCs w:val="16"/>
          <w:color w:val="auto"/>
        </w:rPr>
        <w:t>No agent, broker, investment banker, person, or firm acting in a similar capacity on behalf of or under the authority of the Lender is or will be entitled to any broker’s or finder’s fee or any other commission or similar fee, directly or indirectly, from the Company and the Company shall be entitled to receive the entire Loan Amount without any deductions or payments of such fees.</w:t>
      </w:r>
    </w:p>
    <w:p>
      <w:pPr>
        <w:spacing w:after="0" w:line="184" w:lineRule="exact"/>
        <w:rPr>
          <w:sz w:val="20"/>
          <w:szCs w:val="20"/>
          <w:color w:val="auto"/>
        </w:rPr>
      </w:pPr>
    </w:p>
    <w:p>
      <w:pPr>
        <w:ind w:left="463" w:hanging="463"/>
        <w:spacing w:after="0"/>
        <w:tabs>
          <w:tab w:leader="none" w:pos="463"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Conditions to Obligations of the Lender</w:t>
      </w:r>
    </w:p>
    <w:p>
      <w:pPr>
        <w:spacing w:after="0" w:line="36" w:lineRule="exact"/>
        <w:rPr>
          <w:rFonts w:ascii="Arial" w:cs="Arial" w:eastAsia="Arial" w:hAnsi="Arial"/>
          <w:sz w:val="17"/>
          <w:szCs w:val="17"/>
          <w:color w:val="auto"/>
        </w:rPr>
      </w:pPr>
    </w:p>
    <w:p>
      <w:pPr>
        <w:ind w:left="463"/>
        <w:spacing w:after="0"/>
        <w:rPr>
          <w:rFonts w:ascii="Arial" w:cs="Arial" w:eastAsia="Arial" w:hAnsi="Arial"/>
          <w:sz w:val="17"/>
          <w:szCs w:val="17"/>
          <w:color w:val="auto"/>
        </w:rPr>
      </w:pPr>
      <w:r>
        <w:rPr>
          <w:rFonts w:ascii="Arial" w:cs="Arial" w:eastAsia="Arial" w:hAnsi="Arial"/>
          <w:sz w:val="15"/>
          <w:szCs w:val="15"/>
          <w:color w:val="auto"/>
        </w:rPr>
        <w:t>The obligations of the Lender to consummate the transactions contemplated hereby, shall be subject to the satisfaction of each of the following conditions:</w:t>
      </w:r>
    </w:p>
    <w:p>
      <w:pPr>
        <w:spacing w:after="0" w:line="264" w:lineRule="exact"/>
        <w:rPr>
          <w:rFonts w:ascii="Arial" w:cs="Arial" w:eastAsia="Arial" w:hAnsi="Arial"/>
          <w:sz w:val="17"/>
          <w:szCs w:val="17"/>
          <w:color w:val="auto"/>
        </w:rPr>
      </w:pPr>
    </w:p>
    <w:p>
      <w:pPr>
        <w:ind w:left="1683" w:hanging="1235"/>
        <w:spacing w:after="0" w:line="278" w:lineRule="auto"/>
        <w:rPr>
          <w:rFonts w:ascii="Arial" w:cs="Arial" w:eastAsia="Arial" w:hAnsi="Arial"/>
          <w:sz w:val="17"/>
          <w:szCs w:val="17"/>
          <w:color w:val="auto"/>
        </w:rPr>
      </w:pPr>
      <w:r>
        <w:rPr>
          <w:rFonts w:ascii="Arial" w:cs="Arial" w:eastAsia="Arial" w:hAnsi="Arial"/>
          <w:sz w:val="17"/>
          <w:szCs w:val="17"/>
          <w:color w:val="auto"/>
        </w:rPr>
        <w:t>9.1.The representations and warranties of the Company contained in this Agreement shall have been true and correct in all material respects as of the Effective Date.</w:t>
      </w:r>
    </w:p>
    <w:p>
      <w:pPr>
        <w:spacing w:after="0" w:line="190" w:lineRule="exact"/>
        <w:rPr>
          <w:rFonts w:ascii="Arial" w:cs="Arial" w:eastAsia="Arial" w:hAnsi="Arial"/>
          <w:sz w:val="17"/>
          <w:szCs w:val="17"/>
          <w:color w:val="auto"/>
        </w:rPr>
      </w:pPr>
    </w:p>
    <w:p>
      <w:pPr>
        <w:ind w:left="1683" w:hanging="1235"/>
        <w:spacing w:after="0" w:line="278" w:lineRule="auto"/>
        <w:rPr>
          <w:rFonts w:ascii="Arial" w:cs="Arial" w:eastAsia="Arial" w:hAnsi="Arial"/>
          <w:sz w:val="17"/>
          <w:szCs w:val="17"/>
          <w:color w:val="auto"/>
        </w:rPr>
      </w:pPr>
      <w:r>
        <w:rPr>
          <w:rFonts w:ascii="Arial" w:cs="Arial" w:eastAsia="Arial" w:hAnsi="Arial"/>
          <w:sz w:val="17"/>
          <w:szCs w:val="17"/>
          <w:color w:val="auto"/>
        </w:rPr>
        <w:t xml:space="preserve">9.2.The Company shall have delivered to the Lender an opinion of Danziger, Klagsbald &amp; Co., counsel to the Company, in the form attached hereto as </w:t>
      </w:r>
      <w:r>
        <w:rPr>
          <w:rFonts w:ascii="Arial" w:cs="Arial" w:eastAsia="Arial" w:hAnsi="Arial"/>
          <w:sz w:val="17"/>
          <w:szCs w:val="17"/>
          <w:u w:val="single" w:color="auto"/>
          <w:color w:val="auto"/>
        </w:rPr>
        <w:t>Schedule B</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ind w:left="1683" w:hanging="1235"/>
        <w:spacing w:after="0" w:line="278" w:lineRule="auto"/>
        <w:rPr>
          <w:rFonts w:ascii="Arial" w:cs="Arial" w:eastAsia="Arial" w:hAnsi="Arial"/>
          <w:sz w:val="17"/>
          <w:szCs w:val="17"/>
          <w:color w:val="auto"/>
        </w:rPr>
      </w:pPr>
      <w:r>
        <w:rPr>
          <w:rFonts w:ascii="Arial" w:cs="Arial" w:eastAsia="Arial" w:hAnsi="Arial"/>
          <w:sz w:val="17"/>
          <w:szCs w:val="17"/>
          <w:color w:val="auto"/>
        </w:rPr>
        <w:t xml:space="preserve">9.3.The Company shall have delivered to the Lender minutes of resolutions of the Board in substantially the form attached hereto as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371475</wp:posOffset>
            </wp:positionV>
            <wp:extent cx="7257415" cy="209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409" w:name="page410"/>
    <w:bookmarkEnd w:id="409"/>
    <w:p>
      <w:pPr>
        <w:jc w:val="center"/>
        <w:ind w:right="137"/>
        <w:spacing w:after="0"/>
        <w:rPr>
          <w:sz w:val="20"/>
          <w:szCs w:val="20"/>
          <w:color w:val="auto"/>
        </w:rPr>
      </w:pPr>
      <w:r>
        <w:rPr>
          <w:rFonts w:ascii="Arial" w:cs="Arial" w:eastAsia="Arial" w:hAnsi="Arial"/>
          <w:sz w:val="21"/>
          <w:szCs w:val="21"/>
          <w:color w:val="auto"/>
        </w:rPr>
        <w:t>— 9 —</w:t>
      </w:r>
    </w:p>
    <w:p>
      <w:pPr>
        <w:spacing w:after="0" w:line="230" w:lineRule="exact"/>
        <w:rPr>
          <w:sz w:val="20"/>
          <w:szCs w:val="20"/>
          <w:color w:val="auto"/>
        </w:rPr>
      </w:pPr>
    </w:p>
    <w:p>
      <w:pPr>
        <w:ind w:left="1683" w:hanging="1234"/>
        <w:spacing w:after="0" w:line="278" w:lineRule="auto"/>
        <w:tabs>
          <w:tab w:leader="none" w:pos="1662"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 xml:space="preserve">The Company shall have delivered to the Lender a certificate duly executed by an executive officer of the Company in the form attached hereto as </w:t>
      </w:r>
      <w:r>
        <w:rPr>
          <w:rFonts w:ascii="Arial" w:cs="Arial" w:eastAsia="Arial" w:hAnsi="Arial"/>
          <w:sz w:val="17"/>
          <w:szCs w:val="17"/>
          <w:u w:val="single" w:color="auto"/>
          <w:color w:val="auto"/>
        </w:rPr>
        <w:t>Schedule D</w:t>
      </w:r>
      <w:r>
        <w:rPr>
          <w:rFonts w:ascii="Arial" w:cs="Arial" w:eastAsia="Arial" w:hAnsi="Arial"/>
          <w:sz w:val="17"/>
          <w:szCs w:val="17"/>
          <w:color w:val="auto"/>
        </w:rPr>
        <w:t>, dated as of the date hereof.</w:t>
      </w:r>
    </w:p>
    <w:p>
      <w:pPr>
        <w:spacing w:after="0" w:line="190" w:lineRule="exact"/>
        <w:rPr>
          <w:sz w:val="20"/>
          <w:szCs w:val="20"/>
          <w:color w:val="auto"/>
        </w:rPr>
      </w:pPr>
    </w:p>
    <w:p>
      <w:pPr>
        <w:ind w:left="1683" w:hanging="1234"/>
        <w:spacing w:after="0" w:line="278" w:lineRule="auto"/>
        <w:tabs>
          <w:tab w:leader="none" w:pos="1662"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7"/>
          <w:szCs w:val="17"/>
          <w:color w:val="auto"/>
        </w:rPr>
        <w:t>Any and all preemptive rights or other participation rights with respect to the transactions contemplated hereby shall have been validly waived or satisfied.</w:t>
      </w:r>
    </w:p>
    <w:p>
      <w:pPr>
        <w:spacing w:after="0" w:line="190" w:lineRule="exact"/>
        <w:rPr>
          <w:sz w:val="20"/>
          <w:szCs w:val="20"/>
          <w:color w:val="auto"/>
        </w:rPr>
      </w:pPr>
    </w:p>
    <w:p>
      <w:pPr>
        <w:ind w:left="463" w:hanging="463"/>
        <w:spacing w:after="0"/>
        <w:tabs>
          <w:tab w:leader="none" w:pos="463"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Observership Right</w:t>
      </w:r>
    </w:p>
    <w:p>
      <w:pPr>
        <w:spacing w:after="0" w:line="36" w:lineRule="exact"/>
        <w:rPr>
          <w:rFonts w:ascii="Arial" w:cs="Arial" w:eastAsia="Arial" w:hAnsi="Arial"/>
          <w:sz w:val="17"/>
          <w:szCs w:val="17"/>
          <w:color w:val="auto"/>
        </w:rPr>
      </w:pPr>
    </w:p>
    <w:p>
      <w:pPr>
        <w:jc w:val="both"/>
        <w:ind w:left="463"/>
        <w:spacing w:after="0" w:line="265" w:lineRule="auto"/>
        <w:rPr>
          <w:rFonts w:ascii="Arial" w:cs="Arial" w:eastAsia="Arial" w:hAnsi="Arial"/>
          <w:sz w:val="17"/>
          <w:szCs w:val="17"/>
          <w:color w:val="auto"/>
        </w:rPr>
      </w:pPr>
      <w:r>
        <w:rPr>
          <w:rFonts w:ascii="Arial" w:cs="Arial" w:eastAsia="Arial" w:hAnsi="Arial"/>
          <w:sz w:val="17"/>
          <w:szCs w:val="17"/>
          <w:color w:val="auto"/>
        </w:rPr>
        <w:t>Until the conversion or repayment of the Loan Amount, the Lender shall be entitled to appoint, replace and terminate, from time to time, at its discretion, one observer to the Board. Such right shall be subject to the applicable provisions in the Articles applying to observers and shall include any rights of such observer (as they may be from time to time).</w:t>
      </w:r>
    </w:p>
    <w:p>
      <w:pPr>
        <w:spacing w:after="0" w:line="201" w:lineRule="exact"/>
        <w:rPr>
          <w:rFonts w:ascii="Arial" w:cs="Arial" w:eastAsia="Arial" w:hAnsi="Arial"/>
          <w:sz w:val="17"/>
          <w:szCs w:val="17"/>
          <w:color w:val="auto"/>
        </w:rPr>
      </w:pPr>
    </w:p>
    <w:p>
      <w:pPr>
        <w:ind w:left="463" w:hanging="463"/>
        <w:spacing w:after="0"/>
        <w:tabs>
          <w:tab w:leader="none" w:pos="463"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Confidentiality</w:t>
      </w:r>
    </w:p>
    <w:p>
      <w:pPr>
        <w:spacing w:after="0" w:line="36" w:lineRule="exact"/>
        <w:rPr>
          <w:rFonts w:ascii="Arial" w:cs="Arial" w:eastAsia="Arial" w:hAnsi="Arial"/>
          <w:sz w:val="17"/>
          <w:szCs w:val="17"/>
          <w:color w:val="auto"/>
        </w:rPr>
      </w:pPr>
    </w:p>
    <w:p>
      <w:pPr>
        <w:jc w:val="both"/>
        <w:ind w:left="463"/>
        <w:spacing w:after="0" w:line="272" w:lineRule="auto"/>
        <w:rPr>
          <w:rFonts w:ascii="Arial" w:cs="Arial" w:eastAsia="Arial" w:hAnsi="Arial"/>
          <w:sz w:val="17"/>
          <w:szCs w:val="17"/>
          <w:color w:val="auto"/>
        </w:rPr>
      </w:pPr>
      <w:r>
        <w:rPr>
          <w:rFonts w:ascii="Arial" w:cs="Arial" w:eastAsia="Arial" w:hAnsi="Arial"/>
          <w:sz w:val="16"/>
          <w:szCs w:val="16"/>
          <w:color w:val="auto"/>
        </w:rPr>
        <w:t>Without derogating from any other agreement or undertaking to which the Lender is or may become subject, and in addition to any such agreement or undertaking, the Lender undertakes that it shall keep in confidence, and not use for any purpose whatsoever except in connection with the exercise of any of its rights under this Agreement, any and all information relating to the Company which has been provided to it by the Company or was otherwise obtained by it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except for information: (i) which is or shall be in the public domain not due to any act of the Lender in breach of law or agreement; (ii) which, at the time of disclosure to the Lender was already known to the Lender and was not acquired directly or indirectly from the Company or any of its affiliates, all as may be evidenced by written records of the Lender; (iii) which, at the time of disclosure to the Lender was already received by the Lender from a third party who did not acquire it directly or indirectly from the Company or any of its affiliates under an obligation of confidence, all as may be evidenced by written records of the Lender; (iv) was independently developed by the Lender without the use of Confidential Information, as may be evidenced by written records of the Lender; or (v) which the Lender is required to disclose under any applicable law or stock exchange regulations. Notwithstanding the above, the Lender will have the right to disclose its funding of the Company under this Agreement and under the Early Development Program Agreement between the Lender and the Company, dated January 10, 2007.</w:t>
      </w:r>
    </w:p>
    <w:p>
      <w:pPr>
        <w:spacing w:after="0" w:line="201" w:lineRule="exact"/>
        <w:rPr>
          <w:rFonts w:ascii="Arial" w:cs="Arial" w:eastAsia="Arial" w:hAnsi="Arial"/>
          <w:sz w:val="17"/>
          <w:szCs w:val="17"/>
          <w:color w:val="auto"/>
        </w:rPr>
      </w:pPr>
    </w:p>
    <w:p>
      <w:pPr>
        <w:ind w:left="463" w:hanging="463"/>
        <w:spacing w:after="0"/>
        <w:tabs>
          <w:tab w:leader="none" w:pos="463"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Settlement of Conflicts</w:t>
      </w:r>
    </w:p>
    <w:p>
      <w:pPr>
        <w:spacing w:after="0" w:line="36" w:lineRule="exact"/>
        <w:rPr>
          <w:rFonts w:ascii="Arial" w:cs="Arial" w:eastAsia="Arial" w:hAnsi="Arial"/>
          <w:sz w:val="17"/>
          <w:szCs w:val="17"/>
          <w:color w:val="auto"/>
        </w:rPr>
      </w:pPr>
    </w:p>
    <w:p>
      <w:pPr>
        <w:jc w:val="both"/>
        <w:ind w:left="463"/>
        <w:spacing w:after="0" w:line="289" w:lineRule="auto"/>
        <w:rPr>
          <w:rFonts w:ascii="Arial" w:cs="Arial" w:eastAsia="Arial" w:hAnsi="Arial"/>
          <w:sz w:val="17"/>
          <w:szCs w:val="17"/>
          <w:color w:val="auto"/>
        </w:rPr>
      </w:pPr>
      <w:r>
        <w:rPr>
          <w:rFonts w:ascii="Arial" w:cs="Arial" w:eastAsia="Arial" w:hAnsi="Arial"/>
          <w:sz w:val="16"/>
          <w:szCs w:val="16"/>
          <w:color w:val="auto"/>
        </w:rPr>
        <w:t>The laws of the State of Israel, without giving effect to conflict of law rules, shall govern the interpretation and enforcement of this Agreement. The parties hereto agree to submit to the jurisdiction of the courts of Tel-Aviv-Jaffa with respect to the breach or interpretation of this Agreement or the enforcement of any and all rights, duties, liabilities, obligations, powers, and other relations between the parties arising under this Agreement.</w:t>
      </w:r>
    </w:p>
    <w:p>
      <w:pPr>
        <w:spacing w:after="0" w:line="184" w:lineRule="exact"/>
        <w:rPr>
          <w:rFonts w:ascii="Arial" w:cs="Arial" w:eastAsia="Arial" w:hAnsi="Arial"/>
          <w:sz w:val="17"/>
          <w:szCs w:val="17"/>
          <w:color w:val="auto"/>
        </w:rPr>
      </w:pPr>
    </w:p>
    <w:p>
      <w:pPr>
        <w:ind w:left="463" w:hanging="463"/>
        <w:spacing w:after="0"/>
        <w:tabs>
          <w:tab w:leader="none" w:pos="463"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267" w:lineRule="exact"/>
        <w:rPr>
          <w:rFonts w:ascii="Arial" w:cs="Arial" w:eastAsia="Arial" w:hAnsi="Arial"/>
          <w:sz w:val="17"/>
          <w:szCs w:val="17"/>
          <w:color w:val="auto"/>
        </w:rPr>
      </w:pPr>
    </w:p>
    <w:p>
      <w:pPr>
        <w:ind w:left="1683" w:hanging="1235"/>
        <w:spacing w:after="0" w:line="265" w:lineRule="auto"/>
        <w:rPr>
          <w:rFonts w:ascii="Arial" w:cs="Arial" w:eastAsia="Arial" w:hAnsi="Arial"/>
          <w:sz w:val="17"/>
          <w:szCs w:val="17"/>
          <w:color w:val="auto"/>
        </w:rPr>
      </w:pPr>
      <w:r>
        <w:rPr>
          <w:rFonts w:ascii="Arial" w:cs="Arial" w:eastAsia="Arial" w:hAnsi="Arial"/>
          <w:sz w:val="17"/>
          <w:szCs w:val="17"/>
          <w:color w:val="auto"/>
        </w:rPr>
        <w:t>13.1.This Agreement embodies the entire agreement between the parties and supersedes all other agreements or understandings between any of the parties in connection with the subject matter hereof. This Agreement cannot be modified, supplemented or rescinded except in writing signed by the Company and the Lender.</w:t>
      </w:r>
    </w:p>
    <w:p>
      <w:pPr>
        <w:spacing w:after="0" w:line="201" w:lineRule="exact"/>
        <w:rPr>
          <w:rFonts w:ascii="Arial" w:cs="Arial" w:eastAsia="Arial" w:hAnsi="Arial"/>
          <w:sz w:val="17"/>
          <w:szCs w:val="17"/>
          <w:color w:val="auto"/>
        </w:rPr>
      </w:pPr>
    </w:p>
    <w:p>
      <w:pPr>
        <w:ind w:left="1683" w:hanging="1235"/>
        <w:spacing w:after="0" w:line="273" w:lineRule="auto"/>
        <w:rPr>
          <w:rFonts w:ascii="Arial" w:cs="Arial" w:eastAsia="Arial" w:hAnsi="Arial"/>
          <w:sz w:val="17"/>
          <w:szCs w:val="17"/>
          <w:color w:val="auto"/>
        </w:rPr>
      </w:pPr>
      <w:r>
        <w:rPr>
          <w:rFonts w:ascii="Arial" w:cs="Arial" w:eastAsia="Arial" w:hAnsi="Arial"/>
          <w:sz w:val="17"/>
          <w:szCs w:val="17"/>
          <w:color w:val="auto"/>
        </w:rPr>
        <w:t>13.2.</w:t>
      </w:r>
      <w:r>
        <w:rPr>
          <w:rFonts w:ascii="Arial" w:cs="Arial" w:eastAsia="Arial" w:hAnsi="Arial"/>
          <w:sz w:val="16"/>
          <w:szCs w:val="16"/>
          <w:color w:val="auto"/>
        </w:rPr>
        <w:t>The Lender may not assign, transfer, or otherwise dispose of any of its rights, obligations or duties under this Agreement to any other person or entity, except with the prior written consent of the Company, and any assignment in violation of this Section shall be void. Notwithstanding anything to the contrary contained in this Agreement, the Lender may transfer all or any portion of its rights hereunder without restriction to its Affiliates (as defined below) or to any officer or director of the Lender or an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 transfer to an officer or director such transfer not exceed 3% of the Loan Amount) and </w:t>
      </w:r>
      <w:r>
        <w:rPr>
          <w:rFonts w:ascii="Arial" w:cs="Arial" w:eastAsia="Arial" w:hAnsi="Arial"/>
          <w:sz w:val="16"/>
          <w:szCs w:val="16"/>
          <w:i w:val="1"/>
          <w:iCs w:val="1"/>
          <w:color w:val="auto"/>
        </w:rPr>
        <w:t>provided</w:t>
      </w:r>
      <w:r>
        <w:rPr>
          <w:rFonts w:ascii="Arial" w:cs="Arial" w:eastAsia="Arial" w:hAnsi="Arial"/>
          <w:sz w:val="16"/>
          <w:szCs w:val="16"/>
          <w:color w:val="auto"/>
        </w:rPr>
        <w:t>, that such transferee agrees to be bound by the terms and conditions of this Agreement. For the purposes of this Agreement, an “Affiliate” of any person or entity means any other person or entity, directly or indirectly, through one or more intermediary persons or entities, controlling, controlled by or under direct or indirect common control with /or having the same beneficial ownership as/ such person or entity. For purposes of this definition, “control” means the power to direct the management and policies of such person or firm, directly or indirectly,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375285</wp:posOffset>
            </wp:positionV>
            <wp:extent cx="7257415" cy="209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491" w:right="239" w:bottom="1440" w:gutter="0" w:footer="0" w:header="0"/>
        </w:sectPr>
      </w:pPr>
    </w:p>
    <w:bookmarkStart w:id="410" w:name="page411"/>
    <w:bookmarkEnd w:id="410"/>
    <w:p>
      <w:pPr>
        <w:ind w:left="4160"/>
        <w:spacing w:after="0"/>
        <w:rPr>
          <w:sz w:val="20"/>
          <w:szCs w:val="20"/>
          <w:color w:val="auto"/>
        </w:rPr>
      </w:pPr>
      <w:r>
        <w:rPr>
          <w:rFonts w:ascii="Arial" w:cs="Arial" w:eastAsia="Arial" w:hAnsi="Arial"/>
          <w:sz w:val="21"/>
          <w:szCs w:val="21"/>
          <w:color w:val="auto"/>
        </w:rPr>
        <w:t>— 10 —</w:t>
      </w:r>
    </w:p>
    <w:p>
      <w:pPr>
        <w:spacing w:after="0" w:line="230" w:lineRule="exact"/>
        <w:rPr>
          <w:sz w:val="20"/>
          <w:szCs w:val="20"/>
          <w:color w:val="auto"/>
        </w:rPr>
      </w:pPr>
    </w:p>
    <w:p>
      <w:pPr>
        <w:jc w:val="both"/>
        <w:ind w:left="640" w:hanging="1234"/>
        <w:spacing w:after="0" w:line="259" w:lineRule="auto"/>
        <w:tabs>
          <w:tab w:leader="none" w:pos="6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All notices to be given pursuant to this Agreement shall be in writing, and shall be deemed to have been duly given if hand delivered to such party's designated representative, or mailed, postage prepaid, by registered mail, or faxed (with a confirming copy sent by registered mail) and shall be deemed given (i) when so delivered personally; (ii) if mailed, five (5) days after the time of mailing; (iii) if faxed or sent by electronic mail (email), twenty four (24) hours after the time of sending the fax or electronic mail. Addresses for notices (which may be changed from time to time by a written notice pursuant hereto) are: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the Lender:</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Pan Atlantic Investments Limited</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Musson Building, 2nd Floor</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Hincks Street</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Bridgetown, Barbados West Indies 11000</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Attention: Robert J. Bourque, Managing Director</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+1-246-436-9756</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Fax: +1-246-437-6690</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a copy (which shall not constitute notice) to:</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Gross, Kleinhendler, Hodak, Halevy, Greenberg &amp; Co.</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One Azrieli Center</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Aviv, 67021 Israel</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+972-3-607-4444</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Fax: +972 3 607 4411</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Attention: Daniel Gamulka, Adv</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the Company:</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Jerusalem 91450, Israel</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Attention: Vice President Finance and Corporate Development</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+972-2-548-9100</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Fax:+972-2-548-9101</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a copy (which shall not constitute notice) to:</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Danziger, Klagsbald &amp; Co.</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Attn. Joeri Kreisberg, Adv.</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7 Menachem Begin Street</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Ramat Gan 52521, Israel</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Tel: +972-3-611-0700</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Fax: +972 3-611-0707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397510</wp:posOffset>
            </wp:positionV>
            <wp:extent cx="7257415" cy="209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1" w:right="2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21"/>
          <w:szCs w:val="21"/>
          <w:color w:val="auto"/>
        </w:rPr>
        <w:t>— 11 —</w:t>
      </w:r>
    </w:p>
    <w:p>
      <w:pPr>
        <w:spacing w:after="0" w:line="230" w:lineRule="exact"/>
        <w:rPr>
          <w:sz w:val="20"/>
          <w:szCs w:val="20"/>
          <w:color w:val="auto"/>
        </w:rPr>
      </w:pPr>
    </w:p>
    <w:p>
      <w:pPr>
        <w:jc w:val="both"/>
        <w:ind w:left="1840" w:hanging="1234"/>
        <w:spacing w:after="0" w:line="278" w:lineRule="auto"/>
        <w:tabs>
          <w:tab w:leader="none" w:pos="182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90" w:lineRule="exact"/>
        <w:rPr>
          <w:sz w:val="20"/>
          <w:szCs w:val="20"/>
          <w:color w:val="auto"/>
        </w:rPr>
      </w:pPr>
    </w:p>
    <w:p>
      <w:pPr>
        <w:jc w:val="both"/>
        <w:ind w:left="1840" w:hanging="1234"/>
        <w:spacing w:after="0" w:line="265" w:lineRule="auto"/>
        <w:tabs>
          <w:tab w:leader="none" w:pos="182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Each of the parties shall bear its own costs and expenses in negotiating and executing this Agreement, except that subject to and following of the receipt of the Loan Amount, the Company shall reimburse the Lender for its actual put of pocket legal expenses of up to $10,000 plus applicable value added tax.</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signed this Bridge Loan Agreement as of the date first herein above set forth.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20" w:type="dxa"/>
            <w:vAlign w:val="bottom"/>
            <w:gridSpan w:val="2"/>
          </w:tcPr>
          <w:p>
            <w:pPr>
              <w:spacing w:after="0"/>
              <w:rPr>
                <w:sz w:val="20"/>
                <w:szCs w:val="20"/>
                <w:color w:val="auto"/>
              </w:rPr>
            </w:pPr>
            <w:r>
              <w:rPr>
                <w:rFonts w:ascii="Arial" w:cs="Arial" w:eastAsia="Arial" w:hAnsi="Arial"/>
                <w:sz w:val="17"/>
                <w:szCs w:val="17"/>
                <w:color w:val="auto"/>
              </w:rPr>
              <w:t>BIOLINERX LTD.</w:t>
            </w:r>
          </w:p>
        </w:tc>
        <w:tc>
          <w:tcPr>
            <w:tcW w:w="3300" w:type="dxa"/>
            <w:vAlign w:val="bottom"/>
          </w:tcPr>
          <w:p>
            <w:pPr>
              <w:spacing w:after="0"/>
              <w:rPr>
                <w:sz w:val="18"/>
                <w:szCs w:val="18"/>
                <w:color w:val="auto"/>
              </w:rPr>
            </w:pPr>
          </w:p>
        </w:tc>
        <w:tc>
          <w:tcPr>
            <w:tcW w:w="6500" w:type="dxa"/>
            <w:vAlign w:val="bottom"/>
            <w:gridSpan w:val="2"/>
          </w:tcPr>
          <w:p>
            <w:pPr>
              <w:ind w:left="800"/>
              <w:spacing w:after="0"/>
              <w:rPr>
                <w:sz w:val="20"/>
                <w:szCs w:val="20"/>
                <w:color w:val="auto"/>
              </w:rPr>
            </w:pPr>
            <w:r>
              <w:rPr>
                <w:rFonts w:ascii="Arial" w:cs="Arial" w:eastAsia="Arial" w:hAnsi="Arial"/>
                <w:sz w:val="17"/>
                <w:szCs w:val="17"/>
                <w:color w:val="auto"/>
              </w:rPr>
              <w:t>PAN ATLANTIC INVESTMENTS LIMITED</w:t>
            </w:r>
          </w:p>
        </w:tc>
      </w:tr>
      <w:tr>
        <w:trPr>
          <w:trHeight w:val="419"/>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/s/ Morris Laster  /s/ Aharon Schwartz</w:t>
            </w:r>
          </w:p>
        </w:tc>
        <w:tc>
          <w:tcPr>
            <w:tcW w:w="1440" w:type="dxa"/>
            <w:vAlign w:val="bottom"/>
          </w:tcPr>
          <w:p>
            <w:pPr>
              <w:ind w:left="800"/>
              <w:spacing w:after="0"/>
              <w:rPr>
                <w:sz w:val="20"/>
                <w:szCs w:val="20"/>
                <w:color w:val="auto"/>
              </w:rPr>
            </w:pPr>
            <w:r>
              <w:rPr>
                <w:rFonts w:ascii="Arial" w:cs="Arial" w:eastAsia="Arial" w:hAnsi="Arial"/>
                <w:sz w:val="17"/>
                <w:szCs w:val="17"/>
                <w:color w:val="auto"/>
              </w:rPr>
              <w:t>By:</w:t>
            </w:r>
          </w:p>
        </w:tc>
        <w:tc>
          <w:tcPr>
            <w:tcW w:w="5060" w:type="dxa"/>
            <w:vAlign w:val="bottom"/>
          </w:tcPr>
          <w:p>
            <w:pPr>
              <w:ind w:left="160"/>
              <w:spacing w:after="0"/>
              <w:rPr>
                <w:sz w:val="20"/>
                <w:szCs w:val="20"/>
                <w:color w:val="auto"/>
              </w:rPr>
            </w:pPr>
            <w:r>
              <w:rPr>
                <w:rFonts w:ascii="Arial" w:cs="Arial" w:eastAsia="Arial" w:hAnsi="Arial"/>
                <w:sz w:val="17"/>
                <w:szCs w:val="17"/>
                <w:color w:val="auto"/>
              </w:rPr>
              <w:t>/s/ Robert J. Bourque</w:t>
            </w:r>
          </w:p>
        </w:tc>
      </w:tr>
      <w:tr>
        <w:trPr>
          <w:trHeight w:val="187"/>
        </w:trPr>
        <w:tc>
          <w:tcPr>
            <w:tcW w:w="460" w:type="dxa"/>
            <w:vAlign w:val="bottom"/>
          </w:tcPr>
          <w:p>
            <w:pPr>
              <w:spacing w:after="0" w:line="188" w:lineRule="exact"/>
              <w:rPr>
                <w:sz w:val="20"/>
                <w:szCs w:val="20"/>
                <w:color w:val="auto"/>
              </w:rPr>
            </w:pPr>
            <w:r>
              <w:rPr>
                <w:rFonts w:ascii="Arial" w:cs="Arial" w:eastAsia="Arial" w:hAnsi="Arial"/>
                <w:sz w:val="17"/>
                <w:szCs w:val="17"/>
                <w:color w:val="auto"/>
                <w:w w:val="87"/>
              </w:rPr>
              <w:t>Name:</w:t>
            </w:r>
          </w:p>
        </w:tc>
        <w:tc>
          <w:tcPr>
            <w:tcW w:w="1160" w:type="dxa"/>
            <w:vAlign w:val="bottom"/>
          </w:tcPr>
          <w:p>
            <w:pPr>
              <w:ind w:left="40"/>
              <w:spacing w:after="0" w:line="188" w:lineRule="exact"/>
              <w:rPr>
                <w:sz w:val="20"/>
                <w:szCs w:val="20"/>
                <w:color w:val="auto"/>
              </w:rPr>
            </w:pPr>
            <w:r>
              <w:rPr>
                <w:rFonts w:ascii="Arial" w:cs="Arial" w:eastAsia="Arial" w:hAnsi="Arial"/>
                <w:sz w:val="17"/>
                <w:szCs w:val="17"/>
                <w:b w:val="1"/>
                <w:bCs w:val="1"/>
                <w:color w:val="auto"/>
              </w:rPr>
              <w:t>Morris Laster</w:t>
            </w:r>
          </w:p>
        </w:tc>
        <w:tc>
          <w:tcPr>
            <w:tcW w:w="3300" w:type="dxa"/>
            <w:vAlign w:val="bottom"/>
          </w:tcPr>
          <w:p>
            <w:pPr>
              <w:ind w:left="80"/>
              <w:spacing w:after="0" w:line="188" w:lineRule="exact"/>
              <w:rPr>
                <w:sz w:val="20"/>
                <w:szCs w:val="20"/>
                <w:color w:val="auto"/>
              </w:rPr>
            </w:pPr>
            <w:r>
              <w:rPr>
                <w:rFonts w:ascii="Arial" w:cs="Arial" w:eastAsia="Arial" w:hAnsi="Arial"/>
                <w:sz w:val="17"/>
                <w:szCs w:val="17"/>
                <w:b w:val="1"/>
                <w:bCs w:val="1"/>
                <w:color w:val="auto"/>
              </w:rPr>
              <w:t>Aharon Schwartz</w:t>
            </w:r>
          </w:p>
        </w:tc>
        <w:tc>
          <w:tcPr>
            <w:tcW w:w="1440" w:type="dxa"/>
            <w:vAlign w:val="bottom"/>
          </w:tcPr>
          <w:p>
            <w:pPr>
              <w:ind w:left="800"/>
              <w:spacing w:after="0" w:line="188" w:lineRule="exact"/>
              <w:rPr>
                <w:sz w:val="20"/>
                <w:szCs w:val="20"/>
                <w:color w:val="auto"/>
              </w:rPr>
            </w:pPr>
            <w:r>
              <w:rPr>
                <w:rFonts w:ascii="Arial" w:cs="Arial" w:eastAsia="Arial" w:hAnsi="Arial"/>
                <w:sz w:val="17"/>
                <w:szCs w:val="17"/>
                <w:color w:val="auto"/>
              </w:rPr>
              <w:t>Name:</w:t>
            </w:r>
          </w:p>
        </w:tc>
        <w:tc>
          <w:tcPr>
            <w:tcW w:w="5060" w:type="dxa"/>
            <w:vAlign w:val="bottom"/>
          </w:tcPr>
          <w:p>
            <w:pPr>
              <w:ind w:left="160"/>
              <w:spacing w:after="0" w:line="188" w:lineRule="exact"/>
              <w:rPr>
                <w:sz w:val="20"/>
                <w:szCs w:val="20"/>
                <w:color w:val="auto"/>
              </w:rPr>
            </w:pPr>
            <w:r>
              <w:rPr>
                <w:rFonts w:ascii="Arial" w:cs="Arial" w:eastAsia="Arial" w:hAnsi="Arial"/>
                <w:sz w:val="17"/>
                <w:szCs w:val="17"/>
                <w:color w:val="auto"/>
              </w:rPr>
              <w:t>ROBERT J. BOURQUE</w:t>
            </w:r>
          </w:p>
        </w:tc>
      </w:tr>
      <w:tr>
        <w:trPr>
          <w:trHeight w:val="223"/>
        </w:trPr>
        <w:tc>
          <w:tcPr>
            <w:tcW w:w="460" w:type="dxa"/>
            <w:vAlign w:val="bottom"/>
          </w:tcPr>
          <w:p>
            <w:pPr>
              <w:spacing w:after="0"/>
              <w:rPr>
                <w:sz w:val="20"/>
                <w:szCs w:val="20"/>
                <w:color w:val="auto"/>
              </w:rPr>
            </w:pPr>
            <w:r>
              <w:rPr>
                <w:rFonts w:ascii="Arial" w:cs="Arial" w:eastAsia="Arial" w:hAnsi="Arial"/>
                <w:sz w:val="17"/>
                <w:szCs w:val="17"/>
                <w:color w:val="auto"/>
              </w:rPr>
              <w:t>Title:</w:t>
            </w:r>
          </w:p>
        </w:tc>
        <w:tc>
          <w:tcPr>
            <w:tcW w:w="1160" w:type="dxa"/>
            <w:vAlign w:val="bottom"/>
          </w:tcPr>
          <w:p>
            <w:pPr>
              <w:ind w:left="40"/>
              <w:spacing w:after="0"/>
              <w:rPr>
                <w:sz w:val="20"/>
                <w:szCs w:val="20"/>
                <w:color w:val="auto"/>
              </w:rPr>
            </w:pPr>
            <w:r>
              <w:rPr>
                <w:rFonts w:ascii="Arial" w:cs="Arial" w:eastAsia="Arial" w:hAnsi="Arial"/>
                <w:sz w:val="17"/>
                <w:szCs w:val="17"/>
                <w:b w:val="1"/>
                <w:bCs w:val="1"/>
                <w:color w:val="auto"/>
              </w:rPr>
              <w:t>CEO</w:t>
            </w:r>
          </w:p>
        </w:tc>
        <w:tc>
          <w:tcPr>
            <w:tcW w:w="3300" w:type="dxa"/>
            <w:vAlign w:val="bottom"/>
          </w:tcPr>
          <w:p>
            <w:pPr>
              <w:ind w:left="100"/>
              <w:spacing w:after="0"/>
              <w:rPr>
                <w:sz w:val="20"/>
                <w:szCs w:val="20"/>
                <w:color w:val="auto"/>
              </w:rPr>
            </w:pPr>
            <w:r>
              <w:rPr>
                <w:rFonts w:ascii="Arial" w:cs="Arial" w:eastAsia="Arial" w:hAnsi="Arial"/>
                <w:sz w:val="17"/>
                <w:szCs w:val="17"/>
                <w:b w:val="1"/>
                <w:bCs w:val="1"/>
                <w:color w:val="auto"/>
              </w:rPr>
              <w:t>VP Finance</w:t>
            </w:r>
          </w:p>
        </w:tc>
        <w:tc>
          <w:tcPr>
            <w:tcW w:w="1440" w:type="dxa"/>
            <w:vAlign w:val="bottom"/>
          </w:tcPr>
          <w:p>
            <w:pPr>
              <w:ind w:left="800"/>
              <w:spacing w:after="0"/>
              <w:rPr>
                <w:sz w:val="20"/>
                <w:szCs w:val="20"/>
                <w:color w:val="auto"/>
              </w:rPr>
            </w:pPr>
            <w:r>
              <w:rPr>
                <w:rFonts w:ascii="Arial" w:cs="Arial" w:eastAsia="Arial" w:hAnsi="Arial"/>
                <w:sz w:val="17"/>
                <w:szCs w:val="17"/>
                <w:color w:val="auto"/>
              </w:rPr>
              <w:t>Title:</w:t>
            </w:r>
          </w:p>
        </w:tc>
        <w:tc>
          <w:tcPr>
            <w:tcW w:w="5060" w:type="dxa"/>
            <w:vAlign w:val="bottom"/>
          </w:tcPr>
          <w:p>
            <w:pPr>
              <w:ind w:left="160"/>
              <w:spacing w:after="0"/>
              <w:rPr>
                <w:sz w:val="20"/>
                <w:szCs w:val="20"/>
                <w:color w:val="auto"/>
              </w:rPr>
            </w:pPr>
            <w:r>
              <w:rPr>
                <w:rFonts w:ascii="Arial" w:cs="Arial" w:eastAsia="Arial" w:hAnsi="Arial"/>
                <w:sz w:val="17"/>
                <w:szCs w:val="17"/>
                <w:color w:val="auto"/>
              </w:rPr>
              <w:t>Managing Director</w:t>
            </w:r>
          </w:p>
        </w:tc>
      </w:tr>
      <w:tr>
        <w:trPr>
          <w:trHeight w:val="628"/>
        </w:trPr>
        <w:tc>
          <w:tcPr>
            <w:tcW w:w="4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7"/>
          <w:szCs w:val="17"/>
          <w:color w:val="auto"/>
        </w:rPr>
        <w:t>EXHIBIT 4.15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EARLY DEVELOPMENT PROGRAM AGREEMENT</w:t>
      </w:r>
    </w:p>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Early Development Program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January 10, 2007, by and between PAN ATLANTIC INVESTMENTS LIMITED, a Barbados company (“</w:t>
      </w:r>
      <w:r>
        <w:rPr>
          <w:rFonts w:ascii="Arial" w:cs="Arial" w:eastAsia="Arial" w:hAnsi="Arial"/>
          <w:sz w:val="17"/>
          <w:szCs w:val="17"/>
          <w:b w:val="1"/>
          <w:bCs w:val="1"/>
          <w:color w:val="auto"/>
        </w:rPr>
        <w:t>Pan Atlantic</w:t>
      </w:r>
      <w:r>
        <w:rPr>
          <w:rFonts w:ascii="Arial" w:cs="Arial" w:eastAsia="Arial" w:hAnsi="Arial"/>
          <w:sz w:val="17"/>
          <w:szCs w:val="17"/>
          <w:color w:val="auto"/>
        </w:rPr>
        <w:t>”) and BIOLINERX LTD., a company organized under the laws of the State of Israel (“</w:t>
      </w:r>
      <w:r>
        <w:rPr>
          <w:rFonts w:ascii="Arial" w:cs="Arial" w:eastAsia="Arial" w:hAnsi="Arial"/>
          <w:sz w:val="17"/>
          <w:szCs w:val="17"/>
          <w:b w:val="1"/>
          <w:bCs w:val="1"/>
          <w:color w:val="auto"/>
        </w:rPr>
        <w:t>BioLine</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BioLine is a drug development company that focuses its research on drug candidates that have demonstrated in vivo results; and</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Pan Atlantic would like to provide financial resources to BioLine in order to encourage research in earlier stage drug development; and</w:t>
      </w:r>
    </w:p>
    <w:p>
      <w:pPr>
        <w:spacing w:after="0" w:line="253"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WHEREAS, Pan Atlantic has agreed, pursuant to the terms of this Agreement, to invest the Program Funds (as defined in Section 1 hereto), in BioLine for the purpose of financing a program to be known as the “</w:t>
      </w:r>
      <w:r>
        <w:rPr>
          <w:rFonts w:ascii="Arial" w:cs="Arial" w:eastAsia="Arial" w:hAnsi="Arial"/>
          <w:sz w:val="17"/>
          <w:szCs w:val="17"/>
          <w:b w:val="1"/>
          <w:bCs w:val="1"/>
          <w:color w:val="auto"/>
        </w:rPr>
        <w:t>Early Development Program</w:t>
      </w:r>
      <w:r>
        <w:rPr>
          <w:rFonts w:ascii="Arial" w:cs="Arial" w:eastAsia="Arial" w:hAnsi="Arial"/>
          <w:sz w:val="17"/>
          <w:szCs w:val="17"/>
          <w:color w:val="auto"/>
        </w:rPr>
        <w:t>”;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BioLine has agreed to receive the Program Funds, and to allocate Matching Funds (as described in Section 1 hereto);</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the parties hereby agree as follows:</w:t>
      </w:r>
    </w:p>
    <w:p>
      <w:pPr>
        <w:spacing w:after="0" w:line="242" w:lineRule="exact"/>
        <w:rPr>
          <w:sz w:val="20"/>
          <w:szCs w:val="20"/>
          <w:color w:val="auto"/>
        </w:rPr>
      </w:pPr>
    </w:p>
    <w:p>
      <w:pPr>
        <w:ind w:left="620" w:hanging="463"/>
        <w:spacing w:after="0"/>
        <w:tabs>
          <w:tab w:leader="none" w:pos="62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Budget</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700" w:hanging="1080"/>
        <w:spacing w:after="0" w:line="265" w:lineRule="auto"/>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7"/>
          <w:szCs w:val="17"/>
          <w:u w:val="single" w:color="auto"/>
          <w:color w:val="auto"/>
        </w:rPr>
        <w:t>Program Funds</w:t>
      </w:r>
      <w:r>
        <w:rPr>
          <w:rFonts w:ascii="Arial" w:cs="Arial" w:eastAsia="Arial" w:hAnsi="Arial"/>
          <w:sz w:val="17"/>
          <w:szCs w:val="17"/>
          <w:color w:val="auto"/>
        </w:rPr>
        <w:t>. Subject to the terms and conditions of this Agreement, Pan Atlantic hereby agrees to invest (or to cause others to invest)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BioLine an aggregate amount of US$5 million (the “</w:t>
      </w:r>
      <w:r>
        <w:rPr>
          <w:rFonts w:ascii="Arial" w:cs="Arial" w:eastAsia="Arial" w:hAnsi="Arial"/>
          <w:sz w:val="17"/>
          <w:szCs w:val="17"/>
          <w:b w:val="1"/>
          <w:bCs w:val="1"/>
          <w:color w:val="auto"/>
        </w:rPr>
        <w:t>Program Funds</w:t>
      </w:r>
      <w:r>
        <w:rPr>
          <w:rFonts w:ascii="Arial" w:cs="Arial" w:eastAsia="Arial" w:hAnsi="Arial"/>
          <w:sz w:val="17"/>
          <w:szCs w:val="17"/>
          <w:color w:val="auto"/>
        </w:rPr>
        <w:t>”) in order to finance the Research Projects (as defined in Section 2), to be disbursed in accordance with Section 3 below.</w:t>
      </w:r>
    </w:p>
    <w:p>
      <w:pPr>
        <w:spacing w:after="0" w:line="201" w:lineRule="exact"/>
        <w:rPr>
          <w:rFonts w:ascii="Arial" w:cs="Arial" w:eastAsia="Arial" w:hAnsi="Arial"/>
          <w:sz w:val="17"/>
          <w:szCs w:val="17"/>
          <w:color w:val="auto"/>
        </w:rPr>
      </w:pPr>
    </w:p>
    <w:p>
      <w:pPr>
        <w:ind w:left="1700" w:hanging="1080"/>
        <w:spacing w:after="0" w:line="306" w:lineRule="auto"/>
        <w:rPr>
          <w:rFonts w:ascii="Arial" w:cs="Arial" w:eastAsia="Arial" w:hAnsi="Arial"/>
          <w:sz w:val="17"/>
          <w:szCs w:val="17"/>
          <w:color w:val="auto"/>
        </w:rPr>
      </w:pPr>
      <w:r>
        <w:rPr>
          <w:rFonts w:ascii="Arial" w:cs="Arial" w:eastAsia="Arial" w:hAnsi="Arial"/>
          <w:sz w:val="17"/>
          <w:szCs w:val="17"/>
          <w:color w:val="auto"/>
        </w:rPr>
        <w:t>1.2.</w:t>
      </w:r>
      <w:r>
        <w:rPr>
          <w:rFonts w:ascii="Arial" w:cs="Arial" w:eastAsia="Arial" w:hAnsi="Arial"/>
          <w:sz w:val="15"/>
          <w:szCs w:val="15"/>
          <w:u w:val="single" w:color="auto"/>
          <w:color w:val="auto"/>
        </w:rPr>
        <w:t>Right to Invest</w:t>
      </w:r>
      <w:r>
        <w:rPr>
          <w:rFonts w:ascii="Arial" w:cs="Arial" w:eastAsia="Arial" w:hAnsi="Arial"/>
          <w:sz w:val="15"/>
          <w:szCs w:val="15"/>
          <w:color w:val="auto"/>
        </w:rPr>
        <w:t>. In consideration for the commitment of the Program Funds, Pan Atlantic will have the right to invest up to $5 million in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first public offering of BioLine’s shares outside of Israel, at the public offering price. If and to the extent such Program Funds are actually invested by another entity to which Pan Atlantic has assigned its obligations hereunder, such entity will have the right described in this Section 1.2 with respect to the amount invested by such entity, and Pan Atlantic’s rights under this Section 1.2 will be reduced accordingly.</w:t>
      </w:r>
    </w:p>
    <w:p>
      <w:pPr>
        <w:spacing w:after="0" w:line="175" w:lineRule="exact"/>
        <w:rPr>
          <w:rFonts w:ascii="Arial" w:cs="Arial" w:eastAsia="Arial" w:hAnsi="Arial"/>
          <w:sz w:val="17"/>
          <w:szCs w:val="17"/>
          <w:color w:val="auto"/>
        </w:rPr>
      </w:pPr>
    </w:p>
    <w:p>
      <w:pPr>
        <w:ind w:left="1700" w:hanging="1080"/>
        <w:spacing w:after="0" w:line="265" w:lineRule="auto"/>
        <w:rPr>
          <w:rFonts w:ascii="Arial" w:cs="Arial" w:eastAsia="Arial" w:hAnsi="Arial"/>
          <w:sz w:val="17"/>
          <w:szCs w:val="17"/>
          <w:color w:val="auto"/>
        </w:rPr>
      </w:pPr>
      <w:r>
        <w:rPr>
          <w:rFonts w:ascii="Arial" w:cs="Arial" w:eastAsia="Arial" w:hAnsi="Arial"/>
          <w:sz w:val="17"/>
          <w:szCs w:val="17"/>
          <w:color w:val="auto"/>
        </w:rPr>
        <w:t>1.3.</w:t>
      </w:r>
      <w:r>
        <w:rPr>
          <w:rFonts w:ascii="Arial" w:cs="Arial" w:eastAsia="Arial" w:hAnsi="Arial"/>
          <w:sz w:val="17"/>
          <w:szCs w:val="17"/>
          <w:u w:val="single" w:color="auto"/>
          <w:color w:val="auto"/>
        </w:rPr>
        <w:t>Matching Funds</w:t>
      </w:r>
      <w:r>
        <w:rPr>
          <w:rFonts w:ascii="Arial" w:cs="Arial" w:eastAsia="Arial" w:hAnsi="Arial"/>
          <w:sz w:val="17"/>
          <w:szCs w:val="17"/>
          <w:color w:val="auto"/>
        </w:rPr>
        <w:t>. For every dollar invested by Pan Atlantic hereunder, BioLine will allocate an additional $0.20 for the Research Projects</w:t>
      </w:r>
      <w:r>
        <w:rPr>
          <w:rFonts w:ascii="Arial" w:cs="Arial" w:eastAsia="Arial" w:hAnsi="Arial"/>
          <w:sz w:val="17"/>
          <w:szCs w:val="17"/>
          <w:u w:val="single" w:color="auto"/>
          <w:color w:val="auto"/>
        </w:rPr>
        <w:t xml:space="preserve"> </w:t>
      </w:r>
      <w:r>
        <w:rPr>
          <w:rFonts w:ascii="Arial" w:cs="Arial" w:eastAsia="Arial" w:hAnsi="Arial"/>
          <w:sz w:val="17"/>
          <w:szCs w:val="17"/>
          <w:color w:val="auto"/>
        </w:rPr>
        <w:t>from resources other than the Program Funds, up to an aggregate amount of US$1 million (the “</w:t>
      </w:r>
      <w:r>
        <w:rPr>
          <w:rFonts w:ascii="Arial" w:cs="Arial" w:eastAsia="Arial" w:hAnsi="Arial"/>
          <w:sz w:val="17"/>
          <w:szCs w:val="17"/>
          <w:b w:val="1"/>
          <w:bCs w:val="1"/>
          <w:color w:val="auto"/>
        </w:rPr>
        <w:t>Matching Funds</w:t>
      </w:r>
      <w:r>
        <w:rPr>
          <w:rFonts w:ascii="Arial" w:cs="Arial" w:eastAsia="Arial" w:hAnsi="Arial"/>
          <w:sz w:val="17"/>
          <w:szCs w:val="17"/>
          <w:color w:val="auto"/>
        </w:rPr>
        <w:t>”, and, together with the Program Funds, the “</w:t>
      </w:r>
      <w:r>
        <w:rPr>
          <w:rFonts w:ascii="Arial" w:cs="Arial" w:eastAsia="Arial" w:hAnsi="Arial"/>
          <w:sz w:val="17"/>
          <w:szCs w:val="17"/>
          <w:b w:val="1"/>
          <w:bCs w:val="1"/>
          <w:color w:val="auto"/>
        </w:rPr>
        <w:t>Budget</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700" w:hanging="1080"/>
        <w:spacing w:after="0" w:line="278" w:lineRule="auto"/>
        <w:rPr>
          <w:rFonts w:ascii="Arial" w:cs="Arial" w:eastAsia="Arial" w:hAnsi="Arial"/>
          <w:sz w:val="17"/>
          <w:szCs w:val="17"/>
          <w:color w:val="auto"/>
        </w:rPr>
      </w:pPr>
      <w:r>
        <w:rPr>
          <w:rFonts w:ascii="Arial" w:cs="Arial" w:eastAsia="Arial" w:hAnsi="Arial"/>
          <w:sz w:val="17"/>
          <w:szCs w:val="17"/>
          <w:color w:val="auto"/>
        </w:rPr>
        <w:t>1.4.</w:t>
      </w:r>
      <w:r>
        <w:rPr>
          <w:rFonts w:ascii="Arial" w:cs="Arial" w:eastAsia="Arial" w:hAnsi="Arial"/>
          <w:sz w:val="17"/>
          <w:szCs w:val="17"/>
          <w:u w:val="single" w:color="auto"/>
          <w:color w:val="auto"/>
        </w:rPr>
        <w:t>Director</w:t>
      </w:r>
      <w:r>
        <w:rPr>
          <w:rFonts w:ascii="Arial" w:cs="Arial" w:eastAsia="Arial" w:hAnsi="Arial"/>
          <w:sz w:val="17"/>
          <w:szCs w:val="17"/>
          <w:color w:val="auto"/>
        </w:rPr>
        <w:t>. No later than June 1, 2007, BioLine shall retain a full-time staff person to administer the Early Development Program. The direct</w:t>
      </w:r>
      <w:r>
        <w:rPr>
          <w:rFonts w:ascii="Arial" w:cs="Arial" w:eastAsia="Arial" w:hAnsi="Arial"/>
          <w:sz w:val="17"/>
          <w:szCs w:val="17"/>
          <w:u w:val="single" w:color="auto"/>
          <w:color w:val="auto"/>
        </w:rPr>
        <w:t xml:space="preserve"> </w:t>
      </w:r>
      <w:r>
        <w:rPr>
          <w:rFonts w:ascii="Arial" w:cs="Arial" w:eastAsia="Arial" w:hAnsi="Arial"/>
          <w:sz w:val="17"/>
          <w:szCs w:val="17"/>
          <w:color w:val="auto"/>
        </w:rPr>
        <w:t>expenses related to the employment of such employee shall be derived from the Budget.</w:t>
      </w:r>
    </w:p>
    <w:p>
      <w:pPr>
        <w:spacing w:after="0" w:line="190" w:lineRule="exact"/>
        <w:rPr>
          <w:rFonts w:ascii="Arial" w:cs="Arial" w:eastAsia="Arial" w:hAnsi="Arial"/>
          <w:sz w:val="17"/>
          <w:szCs w:val="17"/>
          <w:color w:val="auto"/>
        </w:rPr>
      </w:pPr>
    </w:p>
    <w:p>
      <w:pPr>
        <w:ind w:left="620" w:hanging="463"/>
        <w:spacing w:after="0"/>
        <w:tabs>
          <w:tab w:leader="none" w:pos="62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Research Projects</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700" w:hanging="1080"/>
        <w:spacing w:after="0" w:line="259" w:lineRule="auto"/>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7"/>
          <w:szCs w:val="17"/>
          <w:u w:val="single" w:color="auto"/>
          <w:color w:val="auto"/>
        </w:rPr>
        <w:t>Eligibility</w:t>
      </w:r>
      <w:r>
        <w:rPr>
          <w:rFonts w:ascii="Arial" w:cs="Arial" w:eastAsia="Arial" w:hAnsi="Arial"/>
          <w:sz w:val="17"/>
          <w:szCs w:val="17"/>
          <w:color w:val="auto"/>
        </w:rPr>
        <w:t>. BioLine will use the Program Funds for funding research of drug candidates that have not yet demonstrated in vivo results (each,</w:t>
      </w:r>
      <w:r>
        <w:rPr>
          <w:rFonts w:ascii="Arial" w:cs="Arial" w:eastAsia="Arial" w:hAnsi="Arial"/>
          <w:sz w:val="17"/>
          <w:szCs w:val="17"/>
          <w:u w:val="single" w:color="auto"/>
          <w:color w:val="auto"/>
        </w:rPr>
        <w:t xml:space="preserve"> </w:t>
      </w:r>
      <w:r>
        <w:rPr>
          <w:rFonts w:ascii="Arial" w:cs="Arial" w:eastAsia="Arial" w:hAnsi="Arial"/>
          <w:sz w:val="17"/>
          <w:szCs w:val="17"/>
          <w:color w:val="auto"/>
        </w:rPr>
        <w:t>a “</w:t>
      </w:r>
      <w:r>
        <w:rPr>
          <w:rFonts w:ascii="Arial" w:cs="Arial" w:eastAsia="Arial" w:hAnsi="Arial"/>
          <w:sz w:val="17"/>
          <w:szCs w:val="17"/>
          <w:b w:val="1"/>
          <w:bCs w:val="1"/>
          <w:color w:val="auto"/>
        </w:rPr>
        <w:t>Research Project</w:t>
      </w:r>
      <w:r>
        <w:rPr>
          <w:rFonts w:ascii="Arial" w:cs="Arial" w:eastAsia="Arial" w:hAnsi="Arial"/>
          <w:sz w:val="17"/>
          <w:szCs w:val="17"/>
          <w:color w:val="auto"/>
        </w:rPr>
        <w:t>”). At least 70% (seventy percent) of the Research Projects will originate in Israel, with at most 30% (thirty percent) originating outside of Israel. BioLine’s Scientific Advisory Board (the "</w:t>
      </w:r>
      <w:r>
        <w:rPr>
          <w:rFonts w:ascii="Arial" w:cs="Arial" w:eastAsia="Arial" w:hAnsi="Arial"/>
          <w:sz w:val="17"/>
          <w:szCs w:val="17"/>
          <w:b w:val="1"/>
          <w:bCs w:val="1"/>
          <w:color w:val="auto"/>
        </w:rPr>
        <w:t>SAB</w:t>
      </w:r>
      <w:r>
        <w:rPr>
          <w:rFonts w:ascii="Arial" w:cs="Arial" w:eastAsia="Arial" w:hAnsi="Arial"/>
          <w:sz w:val="17"/>
          <w:szCs w:val="17"/>
          <w:color w:val="auto"/>
        </w:rPr>
        <w:t>") will evaluate each candidate to be a Research Project. A Research Project will be accepted to the Early Development Program if at least one member of the SAB is in favor of such acceptance and one other member abstains.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13" w:name="page414"/>
    <w:bookmarkEnd w:id="413"/>
    <w:p>
      <w:pPr>
        <w:jc w:val="center"/>
        <w:ind w:right="137"/>
        <w:spacing w:after="0"/>
        <w:rPr>
          <w:sz w:val="20"/>
          <w:szCs w:val="20"/>
          <w:color w:val="auto"/>
        </w:rPr>
      </w:pPr>
      <w:r>
        <w:rPr>
          <w:rFonts w:ascii="Arial" w:cs="Arial" w:eastAsia="Arial" w:hAnsi="Arial"/>
          <w:sz w:val="17"/>
          <w:szCs w:val="17"/>
          <w:color w:val="auto"/>
        </w:rPr>
        <w:t>- 2 -</w:t>
      </w:r>
    </w:p>
    <w:p>
      <w:pPr>
        <w:spacing w:after="0" w:line="242" w:lineRule="exact"/>
        <w:rPr>
          <w:sz w:val="20"/>
          <w:szCs w:val="20"/>
          <w:color w:val="auto"/>
        </w:rPr>
      </w:pPr>
    </w:p>
    <w:p>
      <w:pPr>
        <w:jc w:val="both"/>
        <w:ind w:left="1543" w:hanging="1079"/>
        <w:spacing w:after="0" w:line="278" w:lineRule="auto"/>
        <w:tabs>
          <w:tab w:leader="none" w:pos="1522"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Budget</w:t>
      </w:r>
      <w:r>
        <w:rPr>
          <w:rFonts w:ascii="Arial" w:cs="Arial" w:eastAsia="Arial" w:hAnsi="Arial"/>
          <w:sz w:val="17"/>
          <w:szCs w:val="17"/>
          <w:color w:val="auto"/>
        </w:rPr>
        <w:t>. BioLine will allocate up to $100,000 to each Research Project per year, as determined by BioLine. Amounts in excess of $100,000</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 year for any Research Project would require the consent Pan Atlantic.</w:t>
      </w:r>
    </w:p>
    <w:p>
      <w:pPr>
        <w:spacing w:after="0" w:line="190" w:lineRule="exact"/>
        <w:rPr>
          <w:sz w:val="20"/>
          <w:szCs w:val="20"/>
          <w:color w:val="auto"/>
        </w:rPr>
      </w:pPr>
    </w:p>
    <w:p>
      <w:pPr>
        <w:jc w:val="both"/>
        <w:ind w:left="1543" w:hanging="1079"/>
        <w:spacing w:after="0" w:line="261" w:lineRule="auto"/>
        <w:tabs>
          <w:tab w:leader="none" w:pos="1522"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Duration</w:t>
      </w:r>
      <w:r>
        <w:rPr>
          <w:rFonts w:ascii="Arial" w:cs="Arial" w:eastAsia="Arial" w:hAnsi="Arial"/>
          <w:sz w:val="17"/>
          <w:szCs w:val="17"/>
          <w:color w:val="auto"/>
        </w:rPr>
        <w:t>. Each Research Project will be for a period time no longer than necessary to demonstrate in vivo results, and in any event for no</w:t>
      </w:r>
      <w:r>
        <w:rPr>
          <w:rFonts w:ascii="Arial" w:cs="Arial" w:eastAsia="Arial" w:hAnsi="Arial"/>
          <w:sz w:val="17"/>
          <w:szCs w:val="17"/>
          <w:u w:val="single" w:color="auto"/>
          <w:color w:val="auto"/>
        </w:rPr>
        <w:t xml:space="preserve"> </w:t>
      </w:r>
      <w:r>
        <w:rPr>
          <w:rFonts w:ascii="Arial" w:cs="Arial" w:eastAsia="Arial" w:hAnsi="Arial"/>
          <w:sz w:val="17"/>
          <w:szCs w:val="17"/>
          <w:color w:val="auto"/>
        </w:rPr>
        <w:t>more than two years without Pan Atlantic’s consent. At the completion of any Research Project, at BioLine's discretion, the Research Project may be reviewed in depth by the SAB to determine if it should be introduced into the BioLine pipeline for accelerated development into the clinic and beyond.</w:t>
      </w:r>
    </w:p>
    <w:p>
      <w:pPr>
        <w:spacing w:after="0" w:line="204" w:lineRule="exact"/>
        <w:rPr>
          <w:sz w:val="20"/>
          <w:szCs w:val="20"/>
          <w:color w:val="auto"/>
        </w:rPr>
      </w:pPr>
    </w:p>
    <w:p>
      <w:pPr>
        <w:jc w:val="both"/>
        <w:ind w:left="1543" w:hanging="1079"/>
        <w:spacing w:after="0" w:line="265" w:lineRule="auto"/>
        <w:tabs>
          <w:tab w:leader="none" w:pos="1522"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u w:val="single" w:color="auto"/>
          <w:color w:val="auto"/>
        </w:rPr>
        <w:t>Rights in Research Projects</w:t>
      </w:r>
      <w:r>
        <w:rPr>
          <w:rFonts w:ascii="Arial" w:cs="Arial" w:eastAsia="Arial" w:hAnsi="Arial"/>
          <w:sz w:val="17"/>
          <w:szCs w:val="17"/>
          <w:color w:val="auto"/>
        </w:rPr>
        <w:t>. BioLine or any of its subsidiaries or affiliates, to the full exclusion of Pan Atlantic, shall retain all rights in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Research Projects, as well as any and all moral rights, to the extent applicable. Pan Atlantic will benefit from the success of the Research Projects through the exercise of its right under Section 1.2</w:t>
      </w:r>
    </w:p>
    <w:p>
      <w:pPr>
        <w:spacing w:after="0" w:line="201" w:lineRule="exact"/>
        <w:rPr>
          <w:sz w:val="20"/>
          <w:szCs w:val="20"/>
          <w:color w:val="auto"/>
        </w:rPr>
      </w:pPr>
    </w:p>
    <w:p>
      <w:pPr>
        <w:ind w:left="463" w:hanging="463"/>
        <w:spacing w:after="0"/>
        <w:tabs>
          <w:tab w:leader="none" w:pos="463"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Disbursement; Deadline</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jc w:val="both"/>
        <w:ind w:left="463"/>
        <w:spacing w:after="0" w:line="239" w:lineRule="auto"/>
        <w:rPr>
          <w:rFonts w:ascii="Arial" w:cs="Arial" w:eastAsia="Arial" w:hAnsi="Arial"/>
          <w:sz w:val="17"/>
          <w:szCs w:val="17"/>
          <w:color w:val="auto"/>
        </w:rPr>
      </w:pPr>
      <w:r>
        <w:rPr>
          <w:rFonts w:ascii="Arial" w:cs="Arial" w:eastAsia="Arial" w:hAnsi="Arial"/>
          <w:sz w:val="17"/>
          <w:szCs w:val="17"/>
          <w:color w:val="auto"/>
        </w:rPr>
        <w:t>Program Funds will be transferred to BioLine twice a year, on March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and on September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year following receipt of a written request from BioLine. Each such request must be for an amount no greater than $625,000 (unless agreed by Pan Atlantic) and shall include, to the extent applicable and available a description of currently active and contemplated Research Projects and the budgets therefor (the aforesaid shall not be deemed to imply that such funds are restricted only to such specific Research Projects). Pan Atlantic shall not be obligated to make any such transfers for any request received after April 1</w:t>
      </w:r>
      <w:r>
        <w:rPr>
          <w:rFonts w:ascii="Arial" w:cs="Arial" w:eastAsia="Arial" w:hAnsi="Arial"/>
          <w:sz w:val="24"/>
          <w:szCs w:val="24"/>
          <w:color w:val="auto"/>
          <w:vertAlign w:val="superscript"/>
        </w:rPr>
        <w:t>st</w:t>
      </w:r>
      <w:r>
        <w:rPr>
          <w:rFonts w:ascii="Arial" w:cs="Arial" w:eastAsia="Arial" w:hAnsi="Arial"/>
          <w:sz w:val="17"/>
          <w:szCs w:val="17"/>
          <w:color w:val="auto"/>
        </w:rPr>
        <w:t>, 2011.</w:t>
      </w:r>
    </w:p>
    <w:p>
      <w:pPr>
        <w:spacing w:after="0" w:line="128" w:lineRule="exact"/>
        <w:rPr>
          <w:rFonts w:ascii="Arial" w:cs="Arial" w:eastAsia="Arial" w:hAnsi="Arial"/>
          <w:sz w:val="17"/>
          <w:szCs w:val="17"/>
          <w:color w:val="auto"/>
        </w:rPr>
      </w:pPr>
    </w:p>
    <w:p>
      <w:pPr>
        <w:ind w:left="463" w:hanging="463"/>
        <w:spacing w:after="0"/>
        <w:tabs>
          <w:tab w:leader="none" w:pos="463"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Launch; Publicity</w:t>
      </w:r>
      <w:r>
        <w:rPr>
          <w:rFonts w:ascii="Arial" w:cs="Arial" w:eastAsia="Arial" w:hAnsi="Arial"/>
          <w:sz w:val="17"/>
          <w:szCs w:val="17"/>
          <w:color w:val="auto"/>
        </w:rPr>
        <w:t>.</w:t>
      </w:r>
    </w:p>
    <w:p>
      <w:pPr>
        <w:spacing w:after="0" w:line="36" w:lineRule="exact"/>
        <w:rPr>
          <w:rFonts w:ascii="Arial" w:cs="Arial" w:eastAsia="Arial" w:hAnsi="Arial"/>
          <w:sz w:val="17"/>
          <w:szCs w:val="17"/>
          <w:color w:val="auto"/>
        </w:rPr>
      </w:pPr>
    </w:p>
    <w:p>
      <w:pPr>
        <w:jc w:val="both"/>
        <w:ind w:left="463"/>
        <w:spacing w:after="0" w:line="277" w:lineRule="auto"/>
        <w:rPr>
          <w:rFonts w:ascii="Arial" w:cs="Arial" w:eastAsia="Arial" w:hAnsi="Arial"/>
          <w:sz w:val="17"/>
          <w:szCs w:val="17"/>
          <w:color w:val="auto"/>
        </w:rPr>
      </w:pPr>
      <w:r>
        <w:rPr>
          <w:rFonts w:ascii="Arial" w:cs="Arial" w:eastAsia="Arial" w:hAnsi="Arial"/>
          <w:sz w:val="16"/>
          <w:szCs w:val="16"/>
          <w:color w:val="auto"/>
        </w:rPr>
        <w:t>BioLine will make good faith efforts to launch the Early Development Program no later than March 1, 2007. Such launch will include advertisements and other publicity to make the scientific community in Israel aware of the Program. All print and electronic publications about the Program will include a reference to the fact that the Program is underwritten by Pan Atlantic Bank and Trust Limited, a subsidiary of a Canadian company controlled by the Friedberg Family. Notwithstanding anything herein to the contrary, it is agreed that the costs of the launch and on-going publicity, etc. shall be covered by the Program Funds, and funds required for the launch may be requested in addition to the maximum amount set forth in Section 3, provided however that the aggregate amount of all Program Funds shall not exceed the amount set forth in Section 1.1.</w:t>
      </w:r>
    </w:p>
    <w:p>
      <w:pPr>
        <w:spacing w:after="0" w:line="192" w:lineRule="exact"/>
        <w:rPr>
          <w:rFonts w:ascii="Arial" w:cs="Arial" w:eastAsia="Arial" w:hAnsi="Arial"/>
          <w:sz w:val="17"/>
          <w:szCs w:val="17"/>
          <w:color w:val="auto"/>
        </w:rPr>
      </w:pPr>
    </w:p>
    <w:p>
      <w:pPr>
        <w:ind w:left="463" w:hanging="463"/>
        <w:spacing w:after="0"/>
        <w:tabs>
          <w:tab w:leader="none" w:pos="463"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Expense Allocation; Audit Right</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543" w:hanging="1080"/>
        <w:spacing w:after="0" w:line="279" w:lineRule="auto"/>
        <w:rPr>
          <w:rFonts w:ascii="Arial" w:cs="Arial" w:eastAsia="Arial" w:hAnsi="Arial"/>
          <w:sz w:val="17"/>
          <w:szCs w:val="17"/>
          <w:color w:val="auto"/>
        </w:rPr>
      </w:pPr>
      <w:r>
        <w:rPr>
          <w:rFonts w:ascii="Arial" w:cs="Arial" w:eastAsia="Arial" w:hAnsi="Arial"/>
          <w:sz w:val="17"/>
          <w:szCs w:val="17"/>
          <w:color w:val="auto"/>
        </w:rPr>
        <w:t>5.1.</w:t>
      </w:r>
      <w:r>
        <w:rPr>
          <w:rFonts w:ascii="Arial" w:cs="Arial" w:eastAsia="Arial" w:hAnsi="Arial"/>
          <w:sz w:val="16"/>
          <w:szCs w:val="16"/>
          <w:u w:val="single" w:color="auto"/>
          <w:color w:val="auto"/>
        </w:rPr>
        <w:t>Allocation</w:t>
      </w:r>
      <w:r>
        <w:rPr>
          <w:rFonts w:ascii="Arial" w:cs="Arial" w:eastAsia="Arial" w:hAnsi="Arial"/>
          <w:sz w:val="16"/>
          <w:szCs w:val="16"/>
          <w:color w:val="auto"/>
        </w:rPr>
        <w:t>. BioLine will allocate expenses to the Early Development Program in a manner consistent with generally accepted accounting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principles,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Program Amount shall not be used to pay for any expenses (such as overhead) that BioLine would have had if the Early Development Program had not been created. Pan Atlantic will have the right, upon reasonable notice, and subject to confidentiality obligations of BioLine towards third parties such as licensors of the Research Projects subject matters, etc., to review BioLine’s books and records with respect to BioLine’s compliance with its obligations under this Agreement.</w:t>
      </w:r>
    </w:p>
    <w:p>
      <w:pPr>
        <w:spacing w:after="0" w:line="191" w:lineRule="exact"/>
        <w:rPr>
          <w:rFonts w:ascii="Arial" w:cs="Arial" w:eastAsia="Arial" w:hAnsi="Arial"/>
          <w:sz w:val="17"/>
          <w:szCs w:val="17"/>
          <w:color w:val="auto"/>
        </w:rPr>
      </w:pPr>
    </w:p>
    <w:p>
      <w:pPr>
        <w:ind w:left="1543" w:hanging="1080"/>
        <w:spacing w:after="0" w:line="261" w:lineRule="auto"/>
        <w:rPr>
          <w:rFonts w:ascii="Arial" w:cs="Arial" w:eastAsia="Arial" w:hAnsi="Arial"/>
          <w:sz w:val="17"/>
          <w:szCs w:val="17"/>
          <w:color w:val="auto"/>
        </w:rPr>
      </w:pPr>
      <w:r>
        <w:rPr>
          <w:rFonts w:ascii="Arial" w:cs="Arial" w:eastAsia="Arial" w:hAnsi="Arial"/>
          <w:sz w:val="17"/>
          <w:szCs w:val="17"/>
          <w:color w:val="auto"/>
        </w:rPr>
        <w:t>5.2.</w:t>
      </w:r>
      <w:r>
        <w:rPr>
          <w:rFonts w:ascii="Arial" w:cs="Arial" w:eastAsia="Arial" w:hAnsi="Arial"/>
          <w:sz w:val="17"/>
          <w:szCs w:val="17"/>
          <w:u w:val="single" w:color="auto"/>
          <w:color w:val="auto"/>
        </w:rPr>
        <w:t>Expenses, Taxes and Benefits</w:t>
      </w:r>
      <w:r>
        <w:rPr>
          <w:rFonts w:ascii="Arial" w:cs="Arial" w:eastAsia="Arial" w:hAnsi="Arial"/>
          <w:sz w:val="17"/>
          <w:szCs w:val="17"/>
          <w:color w:val="auto"/>
        </w:rPr>
        <w:t>. It is understood and agreed that nothing in this Agreement is intended to, nor will it result in, Pan Atlantic</w:t>
      </w:r>
      <w:r>
        <w:rPr>
          <w:rFonts w:ascii="Arial" w:cs="Arial" w:eastAsia="Arial" w:hAnsi="Arial"/>
          <w:sz w:val="17"/>
          <w:szCs w:val="17"/>
          <w:u w:val="single" w:color="auto"/>
          <w:color w:val="auto"/>
        </w:rPr>
        <w:t xml:space="preserve"> </w:t>
      </w:r>
      <w:r>
        <w:rPr>
          <w:rFonts w:ascii="Arial" w:cs="Arial" w:eastAsia="Arial" w:hAnsi="Arial"/>
          <w:sz w:val="17"/>
          <w:szCs w:val="17"/>
          <w:color w:val="auto"/>
        </w:rPr>
        <w:t>being responsible for the payment of expenses relating to the Research Projects, including without limitation rent, taxes, salaries, social security or national insurance payments, insurance, workers' compensation payments, disability insurance or similar items, including interest and penalties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380365</wp:posOffset>
            </wp:positionV>
            <wp:extent cx="7257415" cy="209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268" w:right="239" w:bottom="1440" w:gutter="0" w:footer="0" w:header="0"/>
        </w:sectPr>
      </w:pPr>
    </w:p>
    <w:bookmarkStart w:id="414" w:name="page415"/>
    <w:bookmarkEnd w:id="414"/>
    <w:p>
      <w:pPr>
        <w:jc w:val="center"/>
        <w:ind w:right="137"/>
        <w:spacing w:after="0"/>
        <w:rPr>
          <w:sz w:val="20"/>
          <w:szCs w:val="20"/>
          <w:color w:val="auto"/>
        </w:rPr>
      </w:pPr>
      <w:r>
        <w:rPr>
          <w:rFonts w:ascii="Arial" w:cs="Arial" w:eastAsia="Arial" w:hAnsi="Arial"/>
          <w:sz w:val="17"/>
          <w:szCs w:val="17"/>
          <w:color w:val="auto"/>
        </w:rPr>
        <w:t>- 3 -</w:t>
      </w:r>
    </w:p>
    <w:p>
      <w:pPr>
        <w:spacing w:after="0" w:line="242" w:lineRule="exact"/>
        <w:rPr>
          <w:sz w:val="20"/>
          <w:szCs w:val="20"/>
          <w:color w:val="auto"/>
        </w:rPr>
      </w:pPr>
    </w:p>
    <w:p>
      <w:pPr>
        <w:ind w:left="463" w:hanging="463"/>
        <w:spacing w:after="0"/>
        <w:tabs>
          <w:tab w:leader="none" w:pos="463"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523" w:hanging="1081"/>
        <w:spacing w:after="0" w:line="347" w:lineRule="auto"/>
        <w:rPr>
          <w:rFonts w:ascii="Arial" w:cs="Arial" w:eastAsia="Arial" w:hAnsi="Arial"/>
          <w:sz w:val="17"/>
          <w:szCs w:val="17"/>
          <w:color w:val="auto"/>
        </w:rPr>
      </w:pPr>
      <w:r>
        <w:rPr>
          <w:rFonts w:ascii="Arial" w:cs="Arial" w:eastAsia="Arial" w:hAnsi="Arial"/>
          <w:sz w:val="17"/>
          <w:szCs w:val="17"/>
          <w:color w:val="auto"/>
        </w:rPr>
        <w:t>6.1.</w:t>
      </w:r>
      <w:r>
        <w:rPr>
          <w:rFonts w:ascii="Arial" w:cs="Arial" w:eastAsia="Arial" w:hAnsi="Arial"/>
          <w:sz w:val="15"/>
          <w:szCs w:val="15"/>
          <w:color w:val="auto"/>
        </w:rPr>
        <w:t>This Agreement shall commence on the date hereof and continue until the earlier of (i) completion of the disbursement of the entire Program Funds and completion of all Research Projects funded thereby and (ii) termination by the parties as provided in Sections 6.2 or 6.3 below.</w:t>
      </w:r>
    </w:p>
    <w:p>
      <w:pPr>
        <w:spacing w:after="0" w:line="138" w:lineRule="exact"/>
        <w:rPr>
          <w:rFonts w:ascii="Arial" w:cs="Arial" w:eastAsia="Arial" w:hAnsi="Arial"/>
          <w:sz w:val="17"/>
          <w:szCs w:val="17"/>
          <w:color w:val="auto"/>
        </w:rPr>
      </w:pPr>
    </w:p>
    <w:p>
      <w:pPr>
        <w:ind w:left="1523" w:hanging="1081"/>
        <w:spacing w:after="0" w:line="319" w:lineRule="auto"/>
        <w:rPr>
          <w:rFonts w:ascii="Arial" w:cs="Arial" w:eastAsia="Arial" w:hAnsi="Arial"/>
          <w:sz w:val="17"/>
          <w:szCs w:val="17"/>
          <w:color w:val="auto"/>
        </w:rPr>
      </w:pPr>
      <w:r>
        <w:rPr>
          <w:rFonts w:ascii="Arial" w:cs="Arial" w:eastAsia="Arial" w:hAnsi="Arial"/>
          <w:sz w:val="17"/>
          <w:szCs w:val="17"/>
          <w:color w:val="auto"/>
        </w:rPr>
        <w:t>6.2.</w:t>
      </w:r>
      <w:r>
        <w:rPr>
          <w:rFonts w:ascii="Arial" w:cs="Arial" w:eastAsia="Arial" w:hAnsi="Arial"/>
          <w:sz w:val="16"/>
          <w:szCs w:val="16"/>
          <w:color w:val="auto"/>
        </w:rPr>
        <w:t>If a party fails to meet one or more of any material terms and conditions hereof (a “</w:t>
      </w:r>
      <w:r>
        <w:rPr>
          <w:rFonts w:ascii="Arial" w:cs="Arial" w:eastAsia="Arial" w:hAnsi="Arial"/>
          <w:sz w:val="16"/>
          <w:szCs w:val="16"/>
          <w:b w:val="1"/>
          <w:bCs w:val="1"/>
          <w:color w:val="auto"/>
        </w:rPr>
        <w:t>default</w:t>
      </w:r>
      <w:r>
        <w:rPr>
          <w:rFonts w:ascii="Arial" w:cs="Arial" w:eastAsia="Arial" w:hAnsi="Arial"/>
          <w:sz w:val="16"/>
          <w:szCs w:val="16"/>
          <w:color w:val="auto"/>
        </w:rPr>
        <w:t>”), and the defaulting party fails to cure such default within thirty (30) days following notice of default, the non-defaulting party shall have the right to terminate this Agreement.</w:t>
      </w:r>
    </w:p>
    <w:p>
      <w:pPr>
        <w:spacing w:after="0" w:line="160" w:lineRule="exact"/>
        <w:rPr>
          <w:rFonts w:ascii="Arial" w:cs="Arial" w:eastAsia="Arial" w:hAnsi="Arial"/>
          <w:sz w:val="17"/>
          <w:szCs w:val="17"/>
          <w:color w:val="auto"/>
        </w:rPr>
      </w:pPr>
    </w:p>
    <w:p>
      <w:pPr>
        <w:ind w:left="1523" w:hanging="1081"/>
        <w:spacing w:after="0" w:line="257" w:lineRule="auto"/>
        <w:rPr>
          <w:rFonts w:ascii="Arial" w:cs="Arial" w:eastAsia="Arial" w:hAnsi="Arial"/>
          <w:sz w:val="17"/>
          <w:szCs w:val="17"/>
          <w:color w:val="auto"/>
        </w:rPr>
      </w:pPr>
      <w:r>
        <w:rPr>
          <w:rFonts w:ascii="Arial" w:cs="Arial" w:eastAsia="Arial" w:hAnsi="Arial"/>
          <w:sz w:val="17"/>
          <w:szCs w:val="17"/>
          <w:color w:val="auto"/>
        </w:rPr>
        <w:t>6.3.A party shall have a right to terminate this Agreement immediately should the other party enter into or file on its own a petition or proceeding seeking an order for relief under the bankruptcy or reorganization laws of its respective jurisdiction; have filed against it an involuntary petition or proceeding seeking an order for relief under the bankruptcy or reorganization laws of its respective jurisdiction, which is not dismissed within ninety (90) days after filing; enter into a receivership of any of its assets; enter into a dissolution or liquidation of its assets or an assignment for the benefit of its creditors; or engage in a sale of all or substantially all of its assets as would cause such party to be unwilling to fulfill its obligations under this Agreement.</w:t>
      </w:r>
    </w:p>
    <w:p>
      <w:pPr>
        <w:spacing w:after="0" w:line="210" w:lineRule="exact"/>
        <w:rPr>
          <w:rFonts w:ascii="Arial" w:cs="Arial" w:eastAsia="Arial" w:hAnsi="Arial"/>
          <w:sz w:val="17"/>
          <w:szCs w:val="17"/>
          <w:color w:val="auto"/>
        </w:rPr>
      </w:pPr>
    </w:p>
    <w:p>
      <w:pPr>
        <w:ind w:left="463" w:hanging="463"/>
        <w:spacing w:after="0"/>
        <w:tabs>
          <w:tab w:leader="none" w:pos="463"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36" w:lineRule="exact"/>
        <w:rPr>
          <w:rFonts w:ascii="Arial" w:cs="Arial" w:eastAsia="Arial" w:hAnsi="Arial"/>
          <w:sz w:val="17"/>
          <w:szCs w:val="17"/>
          <w:color w:val="auto"/>
        </w:rPr>
      </w:pPr>
    </w:p>
    <w:p>
      <w:pPr>
        <w:jc w:val="both"/>
        <w:ind w:left="463"/>
        <w:spacing w:after="0" w:line="272" w:lineRule="auto"/>
        <w:rPr>
          <w:rFonts w:ascii="Arial" w:cs="Arial" w:eastAsia="Arial" w:hAnsi="Arial"/>
          <w:sz w:val="17"/>
          <w:szCs w:val="17"/>
          <w:color w:val="auto"/>
        </w:rPr>
      </w:pPr>
      <w:r>
        <w:rPr>
          <w:rFonts w:ascii="Arial" w:cs="Arial" w:eastAsia="Arial" w:hAnsi="Arial"/>
          <w:sz w:val="16"/>
          <w:szCs w:val="16"/>
          <w:color w:val="auto"/>
        </w:rPr>
        <w:t>Without derogating from any other agreement or undertaking to which Pan Atlantic is or may become subject, and in addition to any such agreement or undertaking, Pan Atlantic undertakes that it shall keep in confidence, and not use for any purpose whatsoever except in connection with the exercise of any of its rights under this Agreement, any and all information relating to BioLine and/or any Research Projects which has been provided to it by BioLine or was otherwise obtained by it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except for information: (i) which is or shall be in the public domain not due to any act of Pan Atlantic in breach of law or agreement; (ii) which, at the time of disclosure to Pan Atlantic was already known to Pan Atlantic and was not acquired directly or indirectly from BioLine or any of its affiliates, all as may be evidenced by written records of Pan Atlantic; (iii) which, at the time of disclosure to Pan Atlantic was already received by Pan Atlantic from a third party who did not acquire it directly or indirectly from BioLine or any of its affiliates under an obligation of confidence, all as may be evidenced by written records of Pan Atlantic; (iv) was independently developed by Pan Atlantic without the use of Confidential Information, as may be evidenced by written records of Pan Atlantic; or (v) which Pan Atlantic is required to disclose under any applicable law or stock exchange regulations. Notwithstanding the above, Pan Atlantic or the Friedberg Family will have the right to disclose its funding of BioLine under this Agreement and under the Bridge Loan Agreement between Pan Atlantic and BioLine, dated as of the date hereof.</w:t>
      </w:r>
    </w:p>
    <w:p>
      <w:pPr>
        <w:spacing w:after="0" w:line="201" w:lineRule="exact"/>
        <w:rPr>
          <w:rFonts w:ascii="Arial" w:cs="Arial" w:eastAsia="Arial" w:hAnsi="Arial"/>
          <w:sz w:val="17"/>
          <w:szCs w:val="17"/>
          <w:color w:val="auto"/>
        </w:rPr>
      </w:pPr>
    </w:p>
    <w:p>
      <w:pPr>
        <w:ind w:left="463" w:hanging="463"/>
        <w:spacing w:after="0"/>
        <w:tabs>
          <w:tab w:leader="none" w:pos="463"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1523" w:hanging="1081"/>
        <w:spacing w:after="0" w:line="289" w:lineRule="auto"/>
        <w:rPr>
          <w:rFonts w:ascii="Arial" w:cs="Arial" w:eastAsia="Arial" w:hAnsi="Arial"/>
          <w:sz w:val="17"/>
          <w:szCs w:val="17"/>
          <w:color w:val="auto"/>
        </w:rPr>
      </w:pPr>
      <w:r>
        <w:rPr>
          <w:rFonts w:ascii="Arial" w:cs="Arial" w:eastAsia="Arial" w:hAnsi="Arial"/>
          <w:sz w:val="17"/>
          <w:szCs w:val="17"/>
          <w:color w:val="auto"/>
        </w:rPr>
        <w:t>8.1.</w:t>
      </w:r>
      <w:r>
        <w:rPr>
          <w:rFonts w:ascii="Arial" w:cs="Arial" w:eastAsia="Arial" w:hAnsi="Arial"/>
          <w:sz w:val="16"/>
          <w:szCs w:val="16"/>
          <w:u w:val="single" w:color="auto"/>
          <w:color w:val="auto"/>
        </w:rPr>
        <w:t>Relationship of Parties</w:t>
      </w:r>
      <w:r>
        <w:rPr>
          <w:rFonts w:ascii="Arial" w:cs="Arial" w:eastAsia="Arial" w:hAnsi="Arial"/>
          <w:sz w:val="16"/>
          <w:szCs w:val="16"/>
          <w:color w:val="auto"/>
        </w:rPr>
        <w:t>. Neither party, their affiliates, nor their employees, consultants, contractors or agents are agents, employees, partners</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joint venturers of the other party, nor do they have any authority whatsoever to bind the other party by contract or otherwise. They will not make any representations to the contrary, either expressly, implicitly, by appearance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367665</wp:posOffset>
            </wp:positionV>
            <wp:extent cx="7257415" cy="209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63"/>
          </w:cols>
          <w:pgMar w:left="397" w:top="268" w:right="239" w:bottom="1440" w:gutter="0" w:footer="0" w:header="0"/>
        </w:sectPr>
      </w:pPr>
    </w:p>
    <w:bookmarkStart w:id="415" w:name="page416"/>
    <w:bookmarkEnd w:id="415"/>
    <w:p>
      <w:pPr>
        <w:ind w:left="4380"/>
        <w:spacing w:after="0"/>
        <w:rPr>
          <w:sz w:val="20"/>
          <w:szCs w:val="20"/>
          <w:color w:val="auto"/>
        </w:rPr>
      </w:pPr>
      <w:r>
        <w:rPr>
          <w:rFonts w:ascii="Arial" w:cs="Arial" w:eastAsia="Arial" w:hAnsi="Arial"/>
          <w:sz w:val="17"/>
          <w:szCs w:val="17"/>
          <w:color w:val="auto"/>
        </w:rPr>
        <w:t>- 4 -</w:t>
      </w:r>
    </w:p>
    <w:p>
      <w:pPr>
        <w:spacing w:after="0" w:line="242" w:lineRule="exact"/>
        <w:rPr>
          <w:sz w:val="20"/>
          <w:szCs w:val="20"/>
          <w:color w:val="auto"/>
        </w:rPr>
      </w:pPr>
    </w:p>
    <w:p>
      <w:pPr>
        <w:jc w:val="both"/>
        <w:ind w:left="480" w:hanging="1080"/>
        <w:spacing w:after="0" w:line="293" w:lineRule="auto"/>
        <w:tabs>
          <w:tab w:leader="none" w:pos="46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be binding upon and inure to the benefit of each party's successors and assigns. Notwithstanding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foregoing, unless otherwise stated herein, (a) Pan Atlantic shall not assign, by operation of law or otherwise, any of its rights or obligations hereunder nor permit the same to be assigned by operation of law, except with BioLine's prior written consent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however, nothing contained herein shall restrict the ability of Pan Atlantic to assign, by operation of law or otherwise, this Agreement or any of its rights or obligations hereunder, nor prohibit the same to be assigned by operation of law or otherwise, to an Affiliate. that agrees to be bound by all of the terms and conditions in this Agreement and (b) BioLine shall not assign, by operation of law or otherwise, any of its rights or obligations hereunder nor permit the same to be assigned by operation of law, except with Pan Atlantic’s prior written consent </w:t>
      </w:r>
      <w:r>
        <w:rPr>
          <w:rFonts w:ascii="Arial" w:cs="Arial" w:eastAsia="Arial" w:hAnsi="Arial"/>
          <w:sz w:val="15"/>
          <w:szCs w:val="15"/>
          <w:i w:val="1"/>
          <w:iCs w:val="1"/>
          <w:color w:val="auto"/>
        </w:rPr>
        <w:t>provided</w:t>
      </w:r>
      <w:r>
        <w:rPr>
          <w:rFonts w:ascii="Arial" w:cs="Arial" w:eastAsia="Arial" w:hAnsi="Arial"/>
          <w:sz w:val="15"/>
          <w:szCs w:val="15"/>
          <w:color w:val="auto"/>
        </w:rPr>
        <w:t>, however, nothing contained herein shall restrict the ability of BioLine to assign, by operation of law or otherwise, this Agreement or any of its rights or obligations hereunder, nor prohibit the same to be assigned by operation of law or otherwise, pursuant to a sale of substantially all of the assets of BioLine, to a successor-in-interest to it or to an affiliate that agrees to be bound by all of the terms and conditions in this Agreement.</w:t>
      </w:r>
    </w:p>
    <w:p>
      <w:pPr>
        <w:spacing w:after="0" w:line="184" w:lineRule="exact"/>
        <w:rPr>
          <w:sz w:val="20"/>
          <w:szCs w:val="20"/>
          <w:color w:val="auto"/>
        </w:rPr>
      </w:pPr>
    </w:p>
    <w:p>
      <w:pPr>
        <w:jc w:val="both"/>
        <w:ind w:left="500"/>
        <w:spacing w:after="0" w:line="261" w:lineRule="auto"/>
        <w:rPr>
          <w:sz w:val="20"/>
          <w:szCs w:val="20"/>
          <w:color w:val="auto"/>
        </w:rPr>
      </w:pPr>
      <w:r>
        <w:rPr>
          <w:rFonts w:ascii="Arial" w:cs="Arial" w:eastAsia="Arial" w:hAnsi="Arial"/>
          <w:sz w:val="17"/>
          <w:szCs w:val="17"/>
          <w:color w:val="auto"/>
        </w:rPr>
        <w:t>For the purposes of this Agreement, an “Affiliate” of any person or entity means any other person or entity directly or indirectly controlling, controlled by or under direct or indirect common control with, or having the same beneficial ownership as, such person or entity. For purposes of this definition, “control” means the power to direct the management and policies of such person or firm, directly or indirectly, whether through the ownership of voting securities, by contract or otherwise.</w:t>
      </w:r>
    </w:p>
    <w:p>
      <w:pPr>
        <w:spacing w:after="0" w:line="204" w:lineRule="exact"/>
        <w:rPr>
          <w:sz w:val="20"/>
          <w:szCs w:val="20"/>
          <w:color w:val="auto"/>
        </w:rPr>
      </w:pPr>
    </w:p>
    <w:p>
      <w:pPr>
        <w:jc w:val="both"/>
        <w:ind w:left="480" w:hanging="1080"/>
        <w:spacing w:after="0" w:line="306" w:lineRule="auto"/>
        <w:tabs>
          <w:tab w:leader="none" w:pos="46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u w:val="single" w:color="auto"/>
          <w:color w:val="auto"/>
        </w:rPr>
        <w:t>Notices</w:t>
      </w:r>
      <w:r>
        <w:rPr>
          <w:rFonts w:ascii="Arial" w:cs="Arial" w:eastAsia="Arial" w:hAnsi="Arial"/>
          <w:sz w:val="15"/>
          <w:szCs w:val="15"/>
          <w:color w:val="auto"/>
        </w:rPr>
        <w:t>. Any notice or other communication required or which may be given hereunder shall be in writing and either delivered personally to</w:t>
      </w:r>
      <w:r>
        <w:rPr>
          <w:rFonts w:ascii="Arial" w:cs="Arial" w:eastAsia="Arial" w:hAnsi="Arial"/>
          <w:sz w:val="15"/>
          <w:szCs w:val="15"/>
          <w:u w:val="single" w:color="auto"/>
          <w:color w:val="auto"/>
        </w:rPr>
        <w:t xml:space="preserve"> </w:t>
      </w:r>
      <w:r>
        <w:rPr>
          <w:rFonts w:ascii="Arial" w:cs="Arial" w:eastAsia="Arial" w:hAnsi="Arial"/>
          <w:sz w:val="15"/>
          <w:szCs w:val="15"/>
          <w:color w:val="auto"/>
        </w:rPr>
        <w:t>an officer of the addressee or mailed, certified or registered mail, postage prepaid, or by facsimile transmission (with a confirming copy sent by registered mail) and shall be deemed given (i) when so delivered personally; (ii) if mailed, five (5) days after the time of mailing; (iii) if faxed or sent by electronic mail (email), twenty four (24) hours after the time of sending the fax or electronic mail. Addresses for notices are: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to Pan Atlantic:</w:t>
      </w:r>
    </w:p>
    <w:p>
      <w:pPr>
        <w:spacing w:after="0" w:line="24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Pan Atlantic Investments Limited</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Musson Building, 2nd Floor</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Hincks Street</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Bridgetown, Barbados West Indies 11000</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Attention: Robert J. Bourque, Managing Director</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Tel: +1-246-436-9756</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Fax: +1-246-437-6690</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With a copy (which shall not constitute notice) to:</w:t>
      </w:r>
    </w:p>
    <w:p>
      <w:pPr>
        <w:spacing w:after="0" w:line="24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Gross, Kleinhendler, Hodak, Halevy, Greenberg &amp; Co.</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One Azrieli Center</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Tel Aviv, 67021 Israel</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Tel: +972-3-607-4444</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Fax: +972 3 607 4411</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Attention: Daniel Gamulka, Adv</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to BioLine:</w:t>
      </w:r>
    </w:p>
    <w:p>
      <w:pPr>
        <w:spacing w:after="0" w:line="24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Jerusalem 91450, Israel</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Attention: Vice President Finance and Corporate Development</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Tel: +972-2-548-9100</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Fax:+972-2-548-9101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397510</wp:posOffset>
            </wp:positionV>
            <wp:extent cx="7257415" cy="209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268" w:right="239" w:bottom="1440" w:gutter="0" w:footer="0" w:header="0"/>
        </w:sectPr>
      </w:pPr>
    </w:p>
    <w:bookmarkStart w:id="416" w:name="page417"/>
    <w:bookmarkEnd w:id="416"/>
    <w:p>
      <w:pPr>
        <w:ind w:left="4380"/>
        <w:spacing w:after="0"/>
        <w:rPr>
          <w:sz w:val="20"/>
          <w:szCs w:val="20"/>
          <w:color w:val="auto"/>
        </w:rPr>
      </w:pPr>
      <w:r>
        <w:rPr>
          <w:rFonts w:ascii="Arial" w:cs="Arial" w:eastAsia="Arial" w:hAnsi="Arial"/>
          <w:sz w:val="17"/>
          <w:szCs w:val="17"/>
          <w:color w:val="auto"/>
        </w:rPr>
        <w:t>- 5 -</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With a copy (which shall not constitute notice) to:</w:t>
      </w:r>
    </w:p>
    <w:p>
      <w:pPr>
        <w:spacing w:after="0" w:line="24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Danziger, Klagsbald &amp; Co.</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Attn. Joeri Kreisberg, Adv.</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7 Menachem Begin Street</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Ramat Gan 52521, Israel</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Tel: +972-3-611-0700</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Fax: +972 3-611-0707</w:t>
      </w:r>
    </w:p>
    <w:p>
      <w:pPr>
        <w:spacing w:after="0" w:line="231" w:lineRule="exact"/>
        <w:rPr>
          <w:sz w:val="20"/>
          <w:szCs w:val="20"/>
          <w:color w:val="auto"/>
        </w:rPr>
      </w:pPr>
    </w:p>
    <w:p>
      <w:pPr>
        <w:jc w:val="both"/>
        <w:ind w:left="480" w:hanging="1080"/>
        <w:spacing w:after="0" w:line="265" w:lineRule="auto"/>
        <w:tabs>
          <w:tab w:leader="none" w:pos="46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all appendices, exhibits and schedules hereto, constitute the entire understanding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of the parties with respect to the subject matter of this Agreement, and supersede all prior and contemporaneous understandings and agreements, whether written or oral, with respect to such subject matter.</w:t>
      </w:r>
    </w:p>
    <w:p>
      <w:pPr>
        <w:spacing w:after="0" w:line="201" w:lineRule="exact"/>
        <w:rPr>
          <w:sz w:val="20"/>
          <w:szCs w:val="20"/>
          <w:color w:val="auto"/>
        </w:rPr>
      </w:pPr>
    </w:p>
    <w:p>
      <w:pPr>
        <w:jc w:val="both"/>
        <w:ind w:left="480" w:hanging="1080"/>
        <w:spacing w:after="0" w:line="265" w:lineRule="auto"/>
        <w:tabs>
          <w:tab w:leader="none" w:pos="46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u w:val="single" w:color="auto"/>
          <w:color w:val="auto"/>
        </w:rPr>
        <w:t>Waivers</w:t>
      </w:r>
      <w:r>
        <w:rPr>
          <w:rFonts w:ascii="Arial" w:cs="Arial" w:eastAsia="Arial" w:hAnsi="Arial"/>
          <w:sz w:val="17"/>
          <w:szCs w:val="17"/>
          <w:color w:val="auto"/>
        </w:rPr>
        <w:t>. No delay or failure by either party to exercise or enforce at any time any right or provision of this Agreement will be considered a</w:t>
      </w:r>
      <w:r>
        <w:rPr>
          <w:rFonts w:ascii="Arial" w:cs="Arial" w:eastAsia="Arial" w:hAnsi="Arial"/>
          <w:sz w:val="17"/>
          <w:szCs w:val="17"/>
          <w:u w:val="single" w:color="auto"/>
          <w:color w:val="auto"/>
        </w:rPr>
        <w:t xml:space="preserve"> </w:t>
      </w:r>
      <w:r>
        <w:rPr>
          <w:rFonts w:ascii="Arial" w:cs="Arial" w:eastAsia="Arial" w:hAnsi="Arial"/>
          <w:sz w:val="17"/>
          <w:szCs w:val="17"/>
          <w:color w:val="auto"/>
        </w:rPr>
        <w:t>waiver thereof or of such party's right thereafter to exercise or enforce each and every right and provision of this Agreement. No single waiver will constitute a continuing or subsequent waiver.</w:t>
      </w:r>
    </w:p>
    <w:p>
      <w:pPr>
        <w:spacing w:after="0" w:line="201" w:lineRule="exact"/>
        <w:rPr>
          <w:sz w:val="20"/>
          <w:szCs w:val="20"/>
          <w:color w:val="auto"/>
        </w:rPr>
      </w:pPr>
    </w:p>
    <w:p>
      <w:pPr>
        <w:jc w:val="both"/>
        <w:ind w:left="480" w:hanging="1080"/>
        <w:spacing w:after="0" w:line="278" w:lineRule="auto"/>
        <w:tabs>
          <w:tab w:leader="none" w:pos="46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This Agreement may not be modified or amended, in whole or in part, except in writing signed by both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parties. Such modification or amendment need not be supported by consideration.</w:t>
      </w:r>
    </w:p>
    <w:p>
      <w:pPr>
        <w:spacing w:after="0" w:line="190" w:lineRule="exact"/>
        <w:rPr>
          <w:sz w:val="20"/>
          <w:szCs w:val="20"/>
          <w:color w:val="auto"/>
        </w:rPr>
      </w:pPr>
    </w:p>
    <w:p>
      <w:pPr>
        <w:jc w:val="both"/>
        <w:ind w:left="480" w:hanging="1080"/>
        <w:spacing w:after="0" w:line="259" w:lineRule="auto"/>
        <w:tabs>
          <w:tab w:leader="none" w:pos="46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7"/>
          <w:szCs w:val="17"/>
          <w:u w:val="single" w:color="auto"/>
          <w:color w:val="auto"/>
        </w:rPr>
        <w:t>Publicity</w:t>
      </w:r>
      <w:r>
        <w:rPr>
          <w:rFonts w:ascii="Arial" w:cs="Arial" w:eastAsia="Arial" w:hAnsi="Arial"/>
          <w:sz w:val="17"/>
          <w:szCs w:val="17"/>
          <w:color w:val="auto"/>
        </w:rPr>
        <w:t>. Except as described in Section 4, nothing contained in this Agreement shall be construed as conferring any right to use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advertising, publicity, or other promotional activities any name, trade name, trademark, or other designation of either party to this Agreement (including any contraction, abbreviation, or simulation of any of the foregoing) and each party hereto agrees not to disclose to others the terms and conditions of this Agreement, except as may be required by law or governmental regulation, without the express written consent of the other party.</w:t>
      </w:r>
    </w:p>
    <w:p>
      <w:pPr>
        <w:spacing w:after="0" w:line="206" w:lineRule="exact"/>
        <w:rPr>
          <w:sz w:val="20"/>
          <w:szCs w:val="20"/>
          <w:color w:val="auto"/>
        </w:rPr>
      </w:pPr>
    </w:p>
    <w:p>
      <w:pPr>
        <w:jc w:val="both"/>
        <w:ind w:left="480" w:hanging="1080"/>
        <w:spacing w:after="0" w:line="289" w:lineRule="auto"/>
        <w:tabs>
          <w:tab w:leader="none" w:pos="46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liable for any non-performance or delay in performance directly or indirectly caused by or resulting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from acts of God, fire, flood, accident, riot, war, government intervention, embargoes, strikes, labor difficulties, equipment failure, lack of goods, late delivery by suppliers or other difficulties which are beyond the reasonable control of either party.</w:t>
      </w:r>
    </w:p>
    <w:p>
      <w:pPr>
        <w:spacing w:after="0" w:line="184" w:lineRule="exact"/>
        <w:rPr>
          <w:sz w:val="20"/>
          <w:szCs w:val="20"/>
          <w:color w:val="auto"/>
        </w:rPr>
      </w:pPr>
    </w:p>
    <w:p>
      <w:pPr>
        <w:jc w:val="both"/>
        <w:ind w:left="480" w:hanging="1080"/>
        <w:spacing w:after="0" w:line="278" w:lineRule="auto"/>
        <w:tabs>
          <w:tab w:leader="none" w:pos="46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The construction, interpretation and performance of this Agreement and all transactions under it shall be governed by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laws of the State of Israel without giving effect to principles of conflicts of laws.</w:t>
      </w:r>
    </w:p>
    <w:p>
      <w:pPr>
        <w:spacing w:after="0" w:line="190" w:lineRule="exact"/>
        <w:rPr>
          <w:sz w:val="20"/>
          <w:szCs w:val="20"/>
          <w:color w:val="auto"/>
        </w:rPr>
      </w:pPr>
    </w:p>
    <w:p>
      <w:pPr>
        <w:jc w:val="both"/>
        <w:ind w:left="480" w:hanging="1080"/>
        <w:spacing w:after="0" w:line="256" w:lineRule="auto"/>
        <w:tabs>
          <w:tab w:leader="none" w:pos="46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that a dispute cannot be resolved amicably by the parties through negotiations within thirty (30) days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commencement of such negotiations, the dispute shall be submitted to arbitration in accordance with the Israeli Arbitration Law - 1968, with such arbitration to be held in Tel Aviv, Israel. The parties agree that any dispute shall be resolved by one arbitrator, the identity of whom shall be agreed upon by both parties and in the event that the parties shall fail to agree on the identity of such person within thirty (30) days from the date on which either party asked for the appointment of an arbitrator, the identity of the arbitrator shall be decided by the competent courts of Tel Aviv. The arbitration shall be conducted in English. Any decision resulting from such arbitration shall be final and binding upon the parties to this Agreement and on any other persons participating in the arbitration. Judgment upon the award may be entered in any court having jurisdiction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384175</wp:posOffset>
            </wp:positionV>
            <wp:extent cx="7257415" cy="209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268" w:right="239" w:bottom="1440" w:gutter="0" w:footer="0" w:header="0"/>
        </w:sectPr>
      </w:pPr>
    </w:p>
    <w:bookmarkStart w:id="417" w:name="page418"/>
    <w:bookmarkEnd w:id="417"/>
    <w:p>
      <w:pPr>
        <w:ind w:left="4980"/>
        <w:spacing w:after="0"/>
        <w:rPr>
          <w:sz w:val="20"/>
          <w:szCs w:val="20"/>
          <w:color w:val="auto"/>
        </w:rPr>
      </w:pPr>
      <w:r>
        <w:rPr>
          <w:rFonts w:ascii="Arial" w:cs="Arial" w:eastAsia="Arial" w:hAnsi="Arial"/>
          <w:sz w:val="17"/>
          <w:szCs w:val="17"/>
          <w:color w:val="auto"/>
        </w:rPr>
        <w:t>- 6 -</w:t>
      </w:r>
    </w:p>
    <w:p>
      <w:pPr>
        <w:spacing w:after="0" w:line="242" w:lineRule="exact"/>
        <w:rPr>
          <w:sz w:val="20"/>
          <w:szCs w:val="20"/>
          <w:color w:val="auto"/>
        </w:rPr>
      </w:pPr>
    </w:p>
    <w:p>
      <w:pPr>
        <w:ind w:left="1080" w:hanging="1080"/>
        <w:spacing w:after="0" w:line="278" w:lineRule="auto"/>
        <w:tabs>
          <w:tab w:leader="none" w:pos="106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constitute one and the same instrument.</w:t>
      </w:r>
    </w:p>
    <w:p>
      <w:pPr>
        <w:spacing w:after="0" w:line="190"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 * * *</w:t>
      </w:r>
    </w:p>
    <w:p>
      <w:pPr>
        <w:spacing w:after="0" w:line="216"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[Remainder of this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404495</wp:posOffset>
            </wp:positionV>
            <wp:extent cx="7257415" cy="209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20"/>
          </w:cols>
          <w:pgMar w:left="840" w:top="268" w:right="239" w:bottom="1440" w:gutter="0" w:footer="0" w:header="0"/>
        </w:sectPr>
      </w:pPr>
    </w:p>
    <w:bookmarkStart w:id="418" w:name="page419"/>
    <w:bookmarkEnd w:id="418"/>
    <w:p>
      <w:pPr>
        <w:jc w:val="center"/>
        <w:ind w:right="-19"/>
        <w:spacing w:after="0"/>
        <w:rPr>
          <w:sz w:val="20"/>
          <w:szCs w:val="20"/>
          <w:color w:val="auto"/>
        </w:rPr>
      </w:pPr>
      <w:r>
        <w:rPr>
          <w:rFonts w:ascii="Arial" w:cs="Arial" w:eastAsia="Arial" w:hAnsi="Arial"/>
          <w:sz w:val="17"/>
          <w:szCs w:val="17"/>
          <w:color w:val="auto"/>
        </w:rPr>
        <w:t>- 7 -</w:t>
      </w:r>
    </w:p>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Early Development Program Agreement to be signed by their respective duly authorized representatives as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date first above written.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PAN ATLANTIC INVESTMENTS LIMITED</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By:</w:t>
      </w:r>
      <w:r>
        <w:rPr>
          <w:sz w:val="20"/>
          <w:szCs w:val="20"/>
          <w:color w:val="auto"/>
        </w:rPr>
        <w:tab/>
      </w:r>
      <w:r>
        <w:rPr>
          <w:rFonts w:ascii="Arial" w:cs="Arial" w:eastAsia="Arial" w:hAnsi="Arial"/>
          <w:sz w:val="17"/>
          <w:szCs w:val="17"/>
          <w:color w:val="auto"/>
        </w:rPr>
        <w:t>/s/ Robert J. Bourque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18415</wp:posOffset>
            </wp:positionV>
            <wp:extent cx="1527175" cy="1651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527175" cy="16510"/>
                    </a:xfrm>
                    <a:prstGeom prst="rect">
                      <a:avLst/>
                    </a:prstGeom>
                    <a:noFill/>
                  </pic:spPr>
                </pic:pic>
              </a:graphicData>
            </a:graphic>
          </wp:anchor>
        </w:drawing>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Name: Robert J. Bourque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Title:  Managing Director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By:</w:t>
      </w:r>
      <w:r>
        <w:rPr>
          <w:sz w:val="20"/>
          <w:szCs w:val="20"/>
          <w:color w:val="auto"/>
        </w:rPr>
        <w:tab/>
      </w:r>
      <w:r>
        <w:rPr>
          <w:rFonts w:ascii="Arial" w:cs="Arial" w:eastAsia="Arial" w:hAnsi="Arial"/>
          <w:sz w:val="17"/>
          <w:szCs w:val="17"/>
          <w:color w:val="auto"/>
        </w:rPr>
        <w:t>/s/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18415</wp:posOffset>
            </wp:positionV>
            <wp:extent cx="1527175" cy="165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527175" cy="16510"/>
                    </a:xfrm>
                    <a:prstGeom prst="rect">
                      <a:avLst/>
                    </a:prstGeom>
                    <a:noFill/>
                  </pic:spPr>
                </pic:pic>
              </a:graphicData>
            </a:graphic>
          </wp:anchor>
        </w:drawing>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Name: Yuri Shoshan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Title: Vice President, Finance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4.16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 AGREEMENT</w:t>
      </w:r>
    </w:p>
    <w:p>
      <w:pPr>
        <w:spacing w:after="0" w:line="242" w:lineRule="exact"/>
        <w:rPr>
          <w:sz w:val="20"/>
          <w:szCs w:val="20"/>
          <w:color w:val="auto"/>
        </w:rPr>
      </w:pPr>
    </w:p>
    <w:p>
      <w:pPr>
        <w:jc w:val="both"/>
        <w:ind w:firstLine="617"/>
        <w:spacing w:after="0" w:line="309" w:lineRule="auto"/>
        <w:rPr>
          <w:sz w:val="20"/>
          <w:szCs w:val="20"/>
          <w:color w:val="auto"/>
        </w:rPr>
      </w:pPr>
      <w:r>
        <w:rPr>
          <w:rFonts w:ascii="Arial" w:cs="Arial" w:eastAsia="Arial" w:hAnsi="Arial"/>
          <w:sz w:val="15"/>
          <w:szCs w:val="15"/>
          <w:color w:val="auto"/>
        </w:rPr>
        <w:t>THIS LICENSE AGREEMENT (the “</w:t>
      </w:r>
      <w:r>
        <w:rPr>
          <w:rFonts w:ascii="Arial" w:cs="Arial" w:eastAsia="Arial" w:hAnsi="Arial"/>
          <w:sz w:val="15"/>
          <w:szCs w:val="15"/>
          <w:b w:val="1"/>
          <w:bCs w:val="1"/>
          <w:color w:val="auto"/>
        </w:rPr>
        <w:t>Agreement</w:t>
      </w:r>
      <w:r>
        <w:rPr>
          <w:rFonts w:ascii="Arial" w:cs="Arial" w:eastAsia="Arial" w:hAnsi="Arial"/>
          <w:sz w:val="15"/>
          <w:szCs w:val="15"/>
          <w:color w:val="auto"/>
        </w:rPr>
        <w:t>”) is entered into as of this 25 day of November, 2007 (the “</w:t>
      </w:r>
      <w:r>
        <w:rPr>
          <w:rFonts w:ascii="Arial" w:cs="Arial" w:eastAsia="Arial" w:hAnsi="Arial"/>
          <w:sz w:val="15"/>
          <w:szCs w:val="15"/>
          <w:b w:val="1"/>
          <w:bCs w:val="1"/>
          <w:color w:val="auto"/>
        </w:rPr>
        <w:t>Effective Date</w:t>
      </w:r>
      <w:r>
        <w:rPr>
          <w:rFonts w:ascii="Arial" w:cs="Arial" w:eastAsia="Arial" w:hAnsi="Arial"/>
          <w:sz w:val="15"/>
          <w:szCs w:val="15"/>
          <w:color w:val="auto"/>
        </w:rPr>
        <w:t>”), by and among BioLine Innovations Jerusalem, LP, a limited partnership formed and existing under the laws of the State of Israel, having a place of business at 19 Hartum Street, P.O. Box 45158, Jerusalem, 91450, Israel (“</w:t>
      </w:r>
      <w:r>
        <w:rPr>
          <w:rFonts w:ascii="Arial" w:cs="Arial" w:eastAsia="Arial" w:hAnsi="Arial"/>
          <w:sz w:val="15"/>
          <w:szCs w:val="15"/>
          <w:b w:val="1"/>
          <w:bCs w:val="1"/>
          <w:color w:val="auto"/>
        </w:rPr>
        <w:t>BioLine</w:t>
      </w:r>
      <w:r>
        <w:rPr>
          <w:rFonts w:ascii="Arial" w:cs="Arial" w:eastAsia="Arial" w:hAnsi="Arial"/>
          <w:sz w:val="15"/>
          <w:szCs w:val="15"/>
          <w:color w:val="auto"/>
        </w:rPr>
        <w:t>”), and Innovative Pharmaceutical Concepts (IPC) Inc., a company formed and existing under the laws of the British Virgin Islands, having a place of business at Geneva Place, 2nd Floor, 333 Waterfront Drive, P.O. Box 3339, Road Town, Tortola, British Virgin Islands (“</w:t>
      </w:r>
      <w:r>
        <w:rPr>
          <w:rFonts w:ascii="Arial" w:cs="Arial" w:eastAsia="Arial" w:hAnsi="Arial"/>
          <w:sz w:val="15"/>
          <w:szCs w:val="15"/>
          <w:b w:val="1"/>
          <w:bCs w:val="1"/>
          <w:color w:val="auto"/>
        </w:rPr>
        <w:t>Licensor</w:t>
      </w:r>
      <w:r>
        <w:rPr>
          <w:rFonts w:ascii="Arial" w:cs="Arial" w:eastAsia="Arial" w:hAnsi="Arial"/>
          <w:sz w:val="15"/>
          <w:szCs w:val="15"/>
          <w:color w:val="auto"/>
        </w:rPr>
        <w: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Licensor is the owner of inventions related to Pharmaceutical Preparations useful for Treating Tumors and Lesions of the Skin; and</w:t>
      </w:r>
    </w:p>
    <w:p>
      <w:pPr>
        <w:spacing w:after="0" w:line="242" w:lineRule="exact"/>
        <w:rPr>
          <w:sz w:val="20"/>
          <w:szCs w:val="20"/>
          <w:color w:val="auto"/>
        </w:rPr>
      </w:pPr>
    </w:p>
    <w:p>
      <w:pPr>
        <w:jc w:val="both"/>
        <w:ind w:firstLine="617"/>
        <w:spacing w:after="0" w:line="311" w:lineRule="auto"/>
        <w:rPr>
          <w:sz w:val="20"/>
          <w:szCs w:val="20"/>
          <w:color w:val="auto"/>
        </w:rPr>
      </w:pPr>
      <w:r>
        <w:rPr>
          <w:rFonts w:ascii="Arial" w:cs="Arial" w:eastAsia="Arial" w:hAnsi="Arial"/>
          <w:sz w:val="16"/>
          <w:szCs w:val="16"/>
          <w:color w:val="auto"/>
        </w:rPr>
        <w:t>WHEREAS, BioLine wishes to obtain an exclusive license with respect to the foregoing invention(s) in order to develop and commercialize products based thereon, and Licensor wishes to grant BioLine a license with respect thereto, all in accordance with the terms and conditions of this Agreement;</w:t>
      </w:r>
    </w:p>
    <w:p>
      <w:pPr>
        <w:spacing w:after="0" w:line="160"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hereto, intending to be</w:t>
      </w:r>
      <w:r>
        <w:rPr>
          <w:rFonts w:ascii="Arial" w:cs="Arial" w:eastAsia="Arial" w:hAnsi="Arial"/>
          <w:sz w:val="17"/>
          <w:szCs w:val="17"/>
          <w:b w:val="1"/>
          <w:bCs w:val="1"/>
          <w:color w:val="auto"/>
        </w:rPr>
        <w:t xml:space="preserve"> </w:t>
      </w:r>
      <w:r>
        <w:rPr>
          <w:rFonts w:ascii="Arial" w:cs="Arial" w:eastAsia="Arial" w:hAnsi="Arial"/>
          <w:sz w:val="17"/>
          <w:szCs w:val="17"/>
          <w:color w:val="auto"/>
        </w:rPr>
        <w:t>legally bound, hereby agree as follows:</w:t>
      </w:r>
    </w:p>
    <w:p>
      <w:pPr>
        <w:spacing w:after="0" w:line="177" w:lineRule="exact"/>
        <w:rPr>
          <w:sz w:val="20"/>
          <w:szCs w:val="20"/>
          <w:color w:val="auto"/>
        </w:rPr>
      </w:pPr>
    </w:p>
    <w:p>
      <w:pPr>
        <w:ind w:left="520" w:hanging="517"/>
        <w:spacing w:after="0"/>
        <w:tabs>
          <w:tab w:leader="none" w:pos="520"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48"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Whenever used in this Agreement with an initial capital letter, the terms defined in this Section 1, whether used in the singular or the plural, shall have the meanings specified below.</w:t>
      </w:r>
    </w:p>
    <w:p>
      <w:pPr>
        <w:spacing w:after="0" w:line="184"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“Additional Ingredient” </w:t>
      </w:r>
      <w:r>
        <w:rPr>
          <w:rFonts w:ascii="Arial" w:cs="Arial" w:eastAsia="Arial" w:hAnsi="Arial"/>
          <w:sz w:val="17"/>
          <w:szCs w:val="17"/>
          <w:color w:val="auto"/>
        </w:rPr>
        <w:t>shall mean any compound or substance which (i) is contained in a product and (ii) when administered to a patient has a therapeutic</w:t>
      </w:r>
      <w:r>
        <w:rPr>
          <w:rFonts w:ascii="Arial" w:cs="Arial" w:eastAsia="Arial" w:hAnsi="Arial"/>
          <w:sz w:val="17"/>
          <w:szCs w:val="17"/>
          <w:b w:val="1"/>
          <w:bCs w:val="1"/>
          <w:color w:val="auto"/>
        </w:rPr>
        <w:t xml:space="preserve"> </w:t>
      </w:r>
      <w:r>
        <w:rPr>
          <w:rFonts w:ascii="Arial" w:cs="Arial" w:eastAsia="Arial" w:hAnsi="Arial"/>
          <w:sz w:val="17"/>
          <w:szCs w:val="17"/>
          <w:color w:val="auto"/>
        </w:rPr>
        <w:t>or prophylactic clinical effect independent of a Licensed Product, either directly or by acting synergistically with or otherwise enhancing the effect of other compounds or substances contained in such product.</w:t>
      </w:r>
    </w:p>
    <w:p>
      <w:pPr>
        <w:spacing w:after="0" w:line="192" w:lineRule="exact"/>
        <w:rPr>
          <w:sz w:val="20"/>
          <w:szCs w:val="20"/>
          <w:color w:val="auto"/>
        </w:rPr>
      </w:pPr>
    </w:p>
    <w:p>
      <w:pPr>
        <w:jc w:val="both"/>
        <w:ind w:firstLine="617"/>
        <w:spacing w:after="0" w:line="298" w:lineRule="auto"/>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shall mean, with respect to a party, any person, organization or entity controlling, controlled by or under common control with, such party,</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with respect to a limited partnership, its limited partners, general partners, and any person, organization or entity controlling, controlled by or under common control with, such party. For purposes of this definition only, “control” of another person, organization or entity shall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shall be presumed to exist when a person, organization or entity (i) owns or directly controls fifty percent (50%) or more of the outstanding voting stock or other ownership interest of the other organization or entity, or (ii) possesses, directly or indirectly, the power to elect or appoint fifty percent (50%) or more of the members of the governing body of the organization or other entity.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20" w:name="page421"/>
    <w:bookmarkEnd w:id="420"/>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“Calendar Quarter” </w:t>
      </w:r>
      <w:r>
        <w:rPr>
          <w:rFonts w:ascii="Arial" w:cs="Arial" w:eastAsia="Arial" w:hAnsi="Arial"/>
          <w:sz w:val="17"/>
          <w:szCs w:val="17"/>
          <w:color w:val="auto"/>
        </w:rPr>
        <w:t>shall mean the respective periods of three (3) consecutive calendar months ending on March 31, June 30, September 30 or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31, for so long as this Agreement is in effect.</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“Combination Product” </w:t>
      </w:r>
      <w:r>
        <w:rPr>
          <w:rFonts w:ascii="Arial" w:cs="Arial" w:eastAsia="Arial" w:hAnsi="Arial"/>
          <w:sz w:val="16"/>
          <w:szCs w:val="16"/>
          <w:color w:val="auto"/>
        </w:rPr>
        <w:t>shall mean a product, substance or devise which comprises a Licensed Product and at least one Additional Ingredient.</w:t>
      </w:r>
    </w:p>
    <w:p>
      <w:pPr>
        <w:spacing w:after="0" w:line="253" w:lineRule="exact"/>
        <w:rPr>
          <w:sz w:val="20"/>
          <w:szCs w:val="20"/>
          <w:color w:val="auto"/>
        </w:rPr>
      </w:pPr>
    </w:p>
    <w:p>
      <w:pPr>
        <w:jc w:val="both"/>
        <w:ind w:firstLine="617"/>
        <w:spacing w:after="0" w:line="303" w:lineRule="auto"/>
        <w:rPr>
          <w:sz w:val="20"/>
          <w:szCs w:val="20"/>
          <w:color w:val="auto"/>
        </w:rPr>
      </w:pPr>
      <w:r>
        <w:rPr>
          <w:rFonts w:ascii="Arial" w:cs="Arial" w:eastAsia="Arial" w:hAnsi="Arial"/>
          <w:sz w:val="15"/>
          <w:szCs w:val="15"/>
          <w:b w:val="1"/>
          <w:bCs w:val="1"/>
          <w:color w:val="auto"/>
        </w:rPr>
        <w:t xml:space="preserve">“Commercially Reasonable Efforts” </w:t>
      </w:r>
      <w:r>
        <w:rPr>
          <w:rFonts w:ascii="Arial" w:cs="Arial" w:eastAsia="Arial" w:hAnsi="Arial"/>
          <w:sz w:val="15"/>
          <w:szCs w:val="15"/>
          <w:color w:val="auto"/>
        </w:rPr>
        <w:t>shall mean (i) with respect to any objective by an entity, reasonable, diligent, good faith efforts to accomplish such</w:t>
      </w:r>
      <w:r>
        <w:rPr>
          <w:rFonts w:ascii="Arial" w:cs="Arial" w:eastAsia="Arial" w:hAnsi="Arial"/>
          <w:sz w:val="15"/>
          <w:szCs w:val="15"/>
          <w:b w:val="1"/>
          <w:bCs w:val="1"/>
          <w:color w:val="auto"/>
        </w:rPr>
        <w:t xml:space="preserve"> </w:t>
      </w:r>
      <w:r>
        <w:rPr>
          <w:rFonts w:ascii="Arial" w:cs="Arial" w:eastAsia="Arial" w:hAnsi="Arial"/>
          <w:sz w:val="15"/>
          <w:szCs w:val="15"/>
          <w:color w:val="auto"/>
        </w:rPr>
        <w:t>objective as other entities in the business of such entity (together with its Affiliates as a group) would normally use in the ordinary course of business and research to accomplish a similar objective under similar circumstances; and (ii) with respect to research, development and commercialization of any Licensed Product hereunder, shall mean those efforts and resources normally used by other entities in the business of such entity (together with its Affiliates as a group) for a product owned by it or to which it has rights, which is of similar market potential at a similar stage in its development or product life as such Licensed Product.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Plan</w:t>
      </w:r>
      <w:r>
        <w:rPr>
          <w:rFonts w:ascii="Arial" w:cs="Arial" w:eastAsia="Arial" w:hAnsi="Arial"/>
          <w:sz w:val="17"/>
          <w:szCs w:val="17"/>
          <w:color w:val="auto"/>
        </w:rPr>
        <w:t>” shall have the meaning set out in Section 5.1.</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“Development Results” </w:t>
      </w:r>
      <w:r>
        <w:rPr>
          <w:rFonts w:ascii="Arial" w:cs="Arial" w:eastAsia="Arial" w:hAnsi="Arial"/>
          <w:sz w:val="17"/>
          <w:szCs w:val="17"/>
          <w:color w:val="auto"/>
        </w:rPr>
        <w:t>shall mean all data, summaries, analyses, reports and other results and information relating to the Licensed Technology generated</w:t>
      </w:r>
      <w:r>
        <w:rPr>
          <w:rFonts w:ascii="Arial" w:cs="Arial" w:eastAsia="Arial" w:hAnsi="Arial"/>
          <w:sz w:val="17"/>
          <w:szCs w:val="17"/>
          <w:b w:val="1"/>
          <w:bCs w:val="1"/>
          <w:color w:val="auto"/>
        </w:rPr>
        <w:t xml:space="preserve"> </w:t>
      </w:r>
      <w:r>
        <w:rPr>
          <w:rFonts w:ascii="Arial" w:cs="Arial" w:eastAsia="Arial" w:hAnsi="Arial"/>
          <w:sz w:val="17"/>
          <w:szCs w:val="17"/>
          <w:color w:val="auto"/>
        </w:rPr>
        <w:t>by or on behalf of BioLine in the exercise of its rights and its performance under this Agreement.</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“First Commercial Sale” </w:t>
      </w:r>
      <w:r>
        <w:rPr>
          <w:rFonts w:ascii="Arial" w:cs="Arial" w:eastAsia="Arial" w:hAnsi="Arial"/>
          <w:sz w:val="17"/>
          <w:szCs w:val="17"/>
          <w:color w:val="auto"/>
        </w:rPr>
        <w:t>shall mean the first sale of a Licensed Product by BioLine, an Affiliate of BioLine or a Sublicensee to an unaffiliated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after Regulatory Approval has been achieved in the country in which such Licensed Product is sold. Sales for test marketing, sampling and promotional uses, clinical trial purposes or compassionate or similar use shall not be considered to constitute a First Commercial Sale.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“FDA” </w:t>
      </w:r>
      <w:r>
        <w:rPr>
          <w:rFonts w:ascii="Arial" w:cs="Arial" w:eastAsia="Arial" w:hAnsi="Arial"/>
          <w:sz w:val="17"/>
          <w:szCs w:val="17"/>
          <w:color w:val="auto"/>
        </w:rPr>
        <w:t>shall mean the United States Food and Drug Administration.</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“Government Programs” </w:t>
      </w:r>
      <w:r>
        <w:rPr>
          <w:rFonts w:ascii="Arial" w:cs="Arial" w:eastAsia="Arial" w:hAnsi="Arial"/>
          <w:sz w:val="17"/>
          <w:szCs w:val="17"/>
          <w:color w:val="auto"/>
        </w:rPr>
        <w:t>shall mean the Biotech Incubators Program of the Office of the Chief Scientist of the Israeli Ministry of Industry and Trade, and</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funding programs sponsored by the Israeli or other governments.</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“Grants” </w:t>
      </w:r>
      <w:r>
        <w:rPr>
          <w:rFonts w:ascii="Arial" w:cs="Arial" w:eastAsia="Arial" w:hAnsi="Arial"/>
          <w:sz w:val="17"/>
          <w:szCs w:val="17"/>
          <w:color w:val="auto"/>
        </w:rPr>
        <w:t>shall mean any funds or benefits received by BioLine from governmental, quasi-governmental or other non-profit sources for the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or other benefits, including but not limited to grants provided within the context of Government Programs.</w:t>
      </w:r>
    </w:p>
    <w:p>
      <w:pPr>
        <w:spacing w:after="0" w:line="177"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“IND” </w:t>
      </w:r>
      <w:r>
        <w:rPr>
          <w:rFonts w:ascii="Arial" w:cs="Arial" w:eastAsia="Arial" w:hAnsi="Arial"/>
          <w:sz w:val="16"/>
          <w:szCs w:val="16"/>
          <w:color w:val="auto"/>
        </w:rPr>
        <w:t>shall mean (i) an Investigational New Drug Application, as defined in the U.S. Federal Food, Drug, and Cosmetic Act, as amended,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promulgated thereunder, that is required to be filed with the FDA before beginning clinical testing of a Licensed Product in human subjects, or any successor application or procedure, and (ii) any comparable application filed with a Regulatory Agency in any other country or jurisdiction.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21" w:name="page422"/>
    <w:bookmarkEnd w:id="421"/>
    <w:p>
      <w:pPr>
        <w:ind w:left="620"/>
        <w:spacing w:after="0"/>
        <w:rPr>
          <w:sz w:val="20"/>
          <w:szCs w:val="20"/>
          <w:color w:val="auto"/>
        </w:rPr>
      </w:pPr>
      <w:r>
        <w:rPr>
          <w:rFonts w:ascii="Arial" w:cs="Arial" w:eastAsia="Arial" w:hAnsi="Arial"/>
          <w:sz w:val="17"/>
          <w:szCs w:val="17"/>
          <w:b w:val="1"/>
          <w:bCs w:val="1"/>
          <w:color w:val="auto"/>
        </w:rPr>
        <w:t xml:space="preserve">“Licensed Product” </w:t>
      </w:r>
      <w:r>
        <w:rPr>
          <w:rFonts w:ascii="Arial" w:cs="Arial" w:eastAsia="Arial" w:hAnsi="Arial"/>
          <w:sz w:val="17"/>
          <w:szCs w:val="17"/>
          <w:color w:val="auto"/>
        </w:rPr>
        <w:t>shall mean any product that comprises, contains or incorporates Licensed Technology.</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“Licensed Technology</w:t>
      </w:r>
      <w:r>
        <w:rPr>
          <w:rFonts w:ascii="Arial" w:cs="Arial" w:eastAsia="Arial" w:hAnsi="Arial"/>
          <w:sz w:val="17"/>
          <w:szCs w:val="17"/>
          <w:color w:val="auto"/>
        </w:rPr>
        <w:t>” shall mean the Licensed Patents, and all inventions, know-how and other intellectual property owned by or licensed to Licensor</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thereto.</w:t>
      </w:r>
    </w:p>
    <w:p>
      <w:pPr>
        <w:spacing w:after="0" w:line="177"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“Licensed Patents” </w:t>
      </w:r>
      <w:r>
        <w:rPr>
          <w:rFonts w:ascii="Arial" w:cs="Arial" w:eastAsia="Arial" w:hAnsi="Arial"/>
          <w:sz w:val="17"/>
          <w:szCs w:val="17"/>
          <w:color w:val="auto"/>
        </w:rPr>
        <w:t>shall mean (i) the patents and/or patent applications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(ii) all national-phase member patents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patent applications corresponding thereto, (iii) all improvements, updates, modifications and enhancements thereto made by Licensor by the Effective Date (if any), and (iv) all provisional applications, continuations, continuations-in-part, divisions, reissues, renewals, and patents granted thereon, all patents-of-addition, reissue patents, re-examinations and extensions or restorations by existing or future extension or restoration mechanisms, including, without limitation, supplementary protection certificates or the equivalent thereof, all related to the foregoing.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include and shall be updated from time to time to reflect inclusion of new Licensed Patents.</w:t>
      </w:r>
    </w:p>
    <w:p>
      <w:pPr>
        <w:spacing w:after="0" w:line="201"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“M&amp;A Transaction” </w:t>
      </w:r>
      <w:r>
        <w:rPr>
          <w:rFonts w:ascii="Arial" w:cs="Arial" w:eastAsia="Arial" w:hAnsi="Arial"/>
          <w:sz w:val="17"/>
          <w:szCs w:val="17"/>
          <w:color w:val="auto"/>
        </w:rPr>
        <w:t>shall mean a transaction in which all or substantially all of the partnership interests of BioLine and/or all or substantially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share capital of its general and/or limited partner(s) are acquired by or assigned to a third party.</w:t>
      </w:r>
    </w:p>
    <w:p>
      <w:pPr>
        <w:spacing w:after="0" w:line="177"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17"/>
          <w:szCs w:val="17"/>
          <w:color w:val="auto"/>
        </w:rPr>
        <w:t>shall mean the gross amount billed or invoiced by or on behalf of BioLine and/or its Affiliates (the “</w:t>
      </w:r>
      <w:r>
        <w:rPr>
          <w:rFonts w:ascii="Arial" w:cs="Arial" w:eastAsia="Arial" w:hAnsi="Arial"/>
          <w:sz w:val="17"/>
          <w:szCs w:val="17"/>
          <w:b w:val="1"/>
          <w:bCs w:val="1"/>
          <w:color w:val="auto"/>
        </w:rPr>
        <w:t>Invoicing Entity</w:t>
      </w:r>
      <w:r>
        <w:rPr>
          <w:rFonts w:ascii="Arial" w:cs="Arial" w:eastAsia="Arial" w:hAnsi="Arial"/>
          <w:sz w:val="17"/>
          <w:szCs w:val="17"/>
          <w:color w:val="auto"/>
        </w:rPr>
        <w:t>”) on sales of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Products (whether made before or after the First Commercial Sale of the Licensed Product),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following: (a) customary trade, quantity, or cash discounts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import, export, delivery, or use of a Licensed Product which is paid by or on behalf of the Invoicing Entity; (d) payment to one or more third parties to obtain a Third Party License from such third party(ies) in order to practice the Licensed Technology; and (e) outbound transportation, packing and delivery charges, as well as prepaid freight (including shipping insurance) actually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207" w:lineRule="exact"/>
        <w:rPr>
          <w:sz w:val="20"/>
          <w:szCs w:val="20"/>
          <w:color w:val="auto"/>
        </w:rPr>
      </w:pPr>
    </w:p>
    <w:p>
      <w:pPr>
        <w:jc w:val="both"/>
        <w:ind w:firstLine="1238"/>
        <w:spacing w:after="0" w:line="265" w:lineRule="auto"/>
        <w:tabs>
          <w:tab w:leader="none" w:pos="144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In any transfers of Licensed Products between the Invoicing Entity and an Affiliate of the Invoicing Entity not for the purpose of resale by such Affiliate, Net Sales shall be equal to the fair market value of the Licensed Products so transferred, assuming an arm’s length transaction made in the ordinary course of business; and</w:t>
      </w:r>
    </w:p>
    <w:p>
      <w:pPr>
        <w:spacing w:after="0" w:line="201" w:lineRule="exact"/>
        <w:rPr>
          <w:rFonts w:ascii="Arial" w:cs="Arial" w:eastAsia="Arial" w:hAnsi="Arial"/>
          <w:sz w:val="17"/>
          <w:szCs w:val="17"/>
          <w:color w:val="auto"/>
        </w:rPr>
      </w:pPr>
    </w:p>
    <w:p>
      <w:pPr>
        <w:jc w:val="both"/>
        <w:ind w:firstLine="1238"/>
        <w:spacing w:after="0" w:line="265" w:lineRule="auto"/>
        <w:tabs>
          <w:tab w:leader="none" w:pos="149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In the event that the Invoicing Entity, or the Affiliate of the Invoicing Entity, receives non-monetary consideration for any Licensed Products or in the case of transactions not at arm’s length with a non-Affiliate of the Invoicing Entity, Net Sales shall be calculated based on the fair market value of such consideration or transaction, assuming an arm’s length transaction made in the ordinary course of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22" w:name="page423"/>
    <w:bookmarkEnd w:id="422"/>
    <w:p>
      <w:pPr>
        <w:jc w:val="both"/>
        <w:ind w:firstLine="617"/>
        <w:spacing w:after="0" w:line="311" w:lineRule="auto"/>
        <w:rPr>
          <w:sz w:val="20"/>
          <w:szCs w:val="20"/>
          <w:color w:val="auto"/>
        </w:rPr>
      </w:pPr>
      <w:r>
        <w:rPr>
          <w:rFonts w:ascii="Arial" w:cs="Arial" w:eastAsia="Arial" w:hAnsi="Arial"/>
          <w:sz w:val="16"/>
          <w:szCs w:val="16"/>
          <w:color w:val="auto"/>
        </w:rPr>
        <w:t>Sales of Licensed Products by an Invoicing Party to an Affiliate of such Invoicing Party, for resale by such Affiliate, shall not be deemed Net Sales and Net Sales shall be determined based on the total amount invoiced or billed by such Affiliate on resale to an independent third party purchaser.</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“Regulatory Agency” </w:t>
      </w:r>
      <w:r>
        <w:rPr>
          <w:rFonts w:ascii="Arial" w:cs="Arial" w:eastAsia="Arial" w:hAnsi="Arial"/>
          <w:sz w:val="17"/>
          <w:szCs w:val="17"/>
          <w:color w:val="auto"/>
        </w:rPr>
        <w:t>shall mean the FDA or equivalent agency or government body of another country.</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“Regulatory Approval” </w:t>
      </w:r>
      <w:r>
        <w:rPr>
          <w:rFonts w:ascii="Arial" w:cs="Arial" w:eastAsia="Arial" w:hAnsi="Arial"/>
          <w:sz w:val="17"/>
          <w:szCs w:val="17"/>
          <w:color w:val="auto"/>
        </w:rPr>
        <w:t>shall mean (i) approval by the FDA permitting commercial sale of a Licensed Product, or (ii) any comparable approval permitting</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sale of a Licensed Product granted by the applicable Regulatory Agency in any other country or jurisdiction.</w:t>
      </w:r>
    </w:p>
    <w:p>
      <w:pPr>
        <w:spacing w:after="0" w:line="177"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“Sublicense” </w:t>
      </w:r>
      <w:r>
        <w:rPr>
          <w:rFonts w:ascii="Arial" w:cs="Arial" w:eastAsia="Arial" w:hAnsi="Arial"/>
          <w:sz w:val="16"/>
          <w:szCs w:val="16"/>
          <w:color w:val="auto"/>
        </w:rPr>
        <w:t>shall mean any right granted, license given, or agreement entered into, by BioLine to or with any other person or entity, under or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or permitting any use of any of the Licensed Technology (or any part thereof) or otherwise permitting the development, manufacture, marketing, distribution and/or sale of Licensed Products (regardless of whether such grant of rights, license given or agreement entered into is referred to or is described as a sublicense or as an agreement with respect to the development and/or manufacture and/or sale and/or distribution and/or marketing of Licensed Products).</w:t>
      </w:r>
    </w:p>
    <w:p>
      <w:pPr>
        <w:spacing w:after="0" w:line="181"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 xml:space="preserve">“Sublicense Receipts” </w:t>
      </w:r>
      <w:r>
        <w:rPr>
          <w:rFonts w:ascii="Arial" w:cs="Arial" w:eastAsia="Arial" w:hAnsi="Arial"/>
          <w:sz w:val="16"/>
          <w:szCs w:val="16"/>
          <w:color w:val="auto"/>
        </w:rPr>
        <w:t>shall mean any payments or other consideration that BioLine or an Affiliate of BioLine actually received in connection with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Sublicense, or the grant of an option to obtain a Sublicense, including without limitation royalties, license fees, milestone payments, license maintenance fees and equity;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BioLine or an Affiliate of BioLine receives non-monetary consideration in connection with a Sublicense or the grant of an option to obtain a Sublicense or in the case of transactions not at arm’s length, Sublicense Receipts shall be calculated based on the fair market value of such consideration or transaction, assuming an arm’s length transaction made in the ordinary course of business;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Sublicensing Receipts will be reduced by any amounts returned by BioLine or an Affiliate to a Sublicensee on account of refunds or rebates given in respect of Sublicense Receipts or payment to one or more third parties to obtain a Third Party License from such third party(ies) in order to practice the Licensed Technology. For the avoidance of doubt, Sublicensing Receipts shall not include any amounts received as Grants, in connection with Government Programs, or otherwise as research grants from national or international not-for-profit funding bodies, or in connection with an M&amp;A Transaction.</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“Sublicensee” </w:t>
      </w:r>
      <w:r>
        <w:rPr>
          <w:rFonts w:ascii="Arial" w:cs="Arial" w:eastAsia="Arial" w:hAnsi="Arial"/>
          <w:sz w:val="16"/>
          <w:szCs w:val="16"/>
          <w:color w:val="auto"/>
        </w:rPr>
        <w:t>shall mean a person or entity granted a Sublicense in accordance with Section 2.2, including any sublicensees of other Sublicensees.</w:t>
      </w:r>
    </w:p>
    <w:p>
      <w:pPr>
        <w:spacing w:after="0" w:line="253"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“Third Party License” </w:t>
      </w:r>
      <w:r>
        <w:rPr>
          <w:rFonts w:ascii="Arial" w:cs="Arial" w:eastAsia="Arial" w:hAnsi="Arial"/>
          <w:sz w:val="17"/>
          <w:szCs w:val="17"/>
          <w:color w:val="auto"/>
        </w:rPr>
        <w:t>shall mean a license from an unaffiliated third party to one or more valid and enforceable patents issued in the United States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jurisdiction, the claims of which cover one or more functional components that is essential for the efficacy of the Licensed Product.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23" w:name="page424"/>
    <w:bookmarkEnd w:id="423"/>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“Trial” </w:t>
      </w:r>
      <w:r>
        <w:rPr>
          <w:rFonts w:ascii="Arial" w:cs="Arial" w:eastAsia="Arial" w:hAnsi="Arial"/>
          <w:sz w:val="17"/>
          <w:szCs w:val="17"/>
          <w:color w:val="auto"/>
        </w:rPr>
        <w:t>shall mean a clinical trial or trials performed by BioLine or a third party engaged by BioLine either in countries of the European Union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USA, as part of Phase I and Phase II clinical trials, pursuant to which treatment based on the Licensed Technology is administered to not less than sixty (60) subjects. It is agreed that following the receipt of the Trial's Final Clinical Study Report from the Clinical Research Organization (CRO), it shall have the right to treat more subjects in Israel.</w:t>
      </w:r>
    </w:p>
    <w:p>
      <w:pPr>
        <w:spacing w:after="0" w:line="198" w:lineRule="exact"/>
        <w:rPr>
          <w:sz w:val="20"/>
          <w:szCs w:val="20"/>
          <w:color w:val="auto"/>
        </w:rPr>
      </w:pPr>
    </w:p>
    <w:p>
      <w:pPr>
        <w:ind w:left="600" w:hanging="597"/>
        <w:spacing w:after="0"/>
        <w:tabs>
          <w:tab w:leader="none" w:pos="60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License Grant</w:t>
      </w:r>
      <w:r>
        <w:rPr>
          <w:rFonts w:ascii="Arial" w:cs="Arial" w:eastAsia="Arial" w:hAnsi="Arial"/>
          <w:sz w:val="17"/>
          <w:szCs w:val="17"/>
          <w:color w:val="auto"/>
        </w:rPr>
        <w:t>.</w:t>
      </w:r>
    </w:p>
    <w:p>
      <w:pPr>
        <w:spacing w:after="0" w:line="242"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2.1. License. </w:t>
      </w:r>
      <w:r>
        <w:rPr>
          <w:rFonts w:ascii="Arial" w:cs="Arial" w:eastAsia="Arial" w:hAnsi="Arial"/>
          <w:sz w:val="16"/>
          <w:szCs w:val="16"/>
          <w:color w:val="auto"/>
        </w:rPr>
        <w:t>Subject to the terms of this Agreement, Licensor hereby grants to BioLine an exclusive, worldwide license under Licensor’s rights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Technology to research, have researched, develop, have developed, manufacture, have manufactured, use, market, distribute, offer for sale, sell, have sold, export and import Licensed Products and/or provide services relating thereto, and to conduct or have conducted clinical trials. For purposes of this Section 2.1, the term “exclusive” means that Licensor shall not have any right to grant such licenses or rights to any third party or engage in any of the foregoing.</w:t>
      </w:r>
    </w:p>
    <w:p>
      <w:pPr>
        <w:spacing w:after="0" w:line="18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4"/>
          <w:szCs w:val="14"/>
          <w:b w:val="1"/>
          <w:bCs w:val="1"/>
          <w:color w:val="auto"/>
        </w:rPr>
        <w:t>Sublicenses.</w:t>
      </w:r>
    </w:p>
    <w:p>
      <w:pPr>
        <w:spacing w:after="0" w:line="242" w:lineRule="exact"/>
        <w:rPr>
          <w:sz w:val="20"/>
          <w:szCs w:val="20"/>
          <w:color w:val="auto"/>
        </w:rPr>
      </w:pPr>
    </w:p>
    <w:p>
      <w:pPr>
        <w:ind w:left="1240"/>
        <w:spacing w:after="0"/>
        <w:tabs>
          <w:tab w:leader="none" w:pos="1820" w:val="left"/>
        </w:tabs>
        <w:rPr>
          <w:sz w:val="20"/>
          <w:szCs w:val="20"/>
          <w:color w:val="auto"/>
        </w:rPr>
      </w:pPr>
      <w:r>
        <w:rPr>
          <w:rFonts w:ascii="Arial" w:cs="Arial" w:eastAsia="Arial" w:hAnsi="Arial"/>
          <w:sz w:val="17"/>
          <w:szCs w:val="17"/>
          <w:b w:val="1"/>
          <w:bCs w:val="1"/>
          <w:color w:val="auto"/>
        </w:rPr>
        <w:t>2.2.1.</w:t>
      </w:r>
      <w:r>
        <w:rPr>
          <w:sz w:val="20"/>
          <w:szCs w:val="20"/>
          <w:color w:val="auto"/>
        </w:rPr>
        <w:tab/>
      </w:r>
      <w:r>
        <w:rPr>
          <w:rFonts w:ascii="Arial" w:cs="Arial" w:eastAsia="Arial" w:hAnsi="Arial"/>
          <w:sz w:val="15"/>
          <w:szCs w:val="15"/>
          <w:i w:val="1"/>
          <w:iCs w:val="1"/>
          <w:color w:val="auto"/>
        </w:rPr>
        <w:t xml:space="preserve">Sublicense Grant. </w:t>
      </w:r>
      <w:r>
        <w:rPr>
          <w:rFonts w:ascii="Arial" w:cs="Arial" w:eastAsia="Arial" w:hAnsi="Arial"/>
          <w:sz w:val="15"/>
          <w:szCs w:val="15"/>
          <w:color w:val="auto"/>
        </w:rPr>
        <w:t>BioLine shall be entitled to grant Sublicenses or other rights to third parties under the license granted pursuant to Section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2.1. Such Sublicenses shall be made for consideration and in arm’s length transactions.</w:t>
      </w:r>
    </w:p>
    <w:p>
      <w:pPr>
        <w:spacing w:after="0" w:line="225" w:lineRule="exact"/>
        <w:rPr>
          <w:sz w:val="20"/>
          <w:szCs w:val="20"/>
          <w:color w:val="auto"/>
        </w:rPr>
      </w:pPr>
    </w:p>
    <w:p>
      <w:pPr>
        <w:jc w:val="both"/>
        <w:ind w:firstLine="1235"/>
        <w:spacing w:after="0" w:line="269"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i w:val="1"/>
          <w:iCs w:val="1"/>
          <w:color w:val="auto"/>
        </w:rPr>
        <w:t>Sublicense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Sublicenses shall only be granted pursuant to written agreements. BioLine shall provide Licensor with a copy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sublicense agreement within (30) days of receipt of an executed draft thereof from the Sublicensee. Each such sublicense agreement shall contain, </w:t>
      </w:r>
      <w:r>
        <w:rPr>
          <w:rFonts w:ascii="Arial" w:cs="Arial" w:eastAsia="Arial" w:hAnsi="Arial"/>
          <w:sz w:val="17"/>
          <w:szCs w:val="17"/>
          <w:i w:val="1"/>
          <w:iCs w:val="1"/>
          <w:color w:val="auto"/>
        </w:rPr>
        <w:t>inter alia</w:t>
      </w:r>
      <w:r>
        <w:rPr>
          <w:rFonts w:ascii="Arial" w:cs="Arial" w:eastAsia="Arial" w:hAnsi="Arial"/>
          <w:sz w:val="17"/>
          <w:szCs w:val="17"/>
          <w:color w:val="auto"/>
        </w:rPr>
        <w:t>, provisions to the following effect:</w:t>
      </w:r>
    </w:p>
    <w:p>
      <w:pPr>
        <w:spacing w:after="0" w:line="192" w:lineRule="exact"/>
        <w:rPr>
          <w:sz w:val="20"/>
          <w:szCs w:val="20"/>
          <w:color w:val="auto"/>
        </w:rPr>
      </w:pPr>
    </w:p>
    <w:p>
      <w:pPr>
        <w:ind w:left="1860"/>
        <w:spacing w:after="0"/>
        <w:rPr>
          <w:sz w:val="20"/>
          <w:szCs w:val="20"/>
          <w:color w:val="auto"/>
        </w:rPr>
      </w:pPr>
      <w:r>
        <w:rPr>
          <w:rFonts w:ascii="Arial" w:cs="Arial" w:eastAsia="Arial" w:hAnsi="Arial"/>
          <w:sz w:val="15"/>
          <w:szCs w:val="15"/>
          <w:b w:val="1"/>
          <w:bCs w:val="1"/>
          <w:color w:val="auto"/>
        </w:rPr>
        <w:t xml:space="preserve">2.2.2.1. </w:t>
      </w:r>
      <w:r>
        <w:rPr>
          <w:rFonts w:ascii="Arial" w:cs="Arial" w:eastAsia="Arial" w:hAnsi="Arial"/>
          <w:sz w:val="15"/>
          <w:szCs w:val="15"/>
          <w:color w:val="auto"/>
        </w:rPr>
        <w:t>All provisions necessary to ensure BioLine’s ability to perform its obligations under this Agreement, including reporting and audit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requirements;</w:t>
      </w:r>
    </w:p>
    <w:p>
      <w:pPr>
        <w:spacing w:after="0" w:line="225" w:lineRule="exact"/>
        <w:rPr>
          <w:sz w:val="20"/>
          <w:szCs w:val="20"/>
          <w:color w:val="auto"/>
        </w:rPr>
      </w:pPr>
    </w:p>
    <w:p>
      <w:pPr>
        <w:jc w:val="both"/>
        <w:ind w:firstLine="1852"/>
        <w:spacing w:after="0" w:line="276" w:lineRule="auto"/>
        <w:rPr>
          <w:sz w:val="20"/>
          <w:szCs w:val="20"/>
          <w:color w:val="auto"/>
        </w:rPr>
      </w:pPr>
      <w:r>
        <w:rPr>
          <w:rFonts w:ascii="Arial" w:cs="Arial" w:eastAsia="Arial" w:hAnsi="Arial"/>
          <w:sz w:val="16"/>
          <w:szCs w:val="16"/>
          <w:b w:val="1"/>
          <w:bCs w:val="1"/>
          <w:color w:val="auto"/>
        </w:rPr>
        <w:t xml:space="preserve">2.2.2.2. </w:t>
      </w:r>
      <w:r>
        <w:rPr>
          <w:rFonts w:ascii="Arial" w:cs="Arial" w:eastAsia="Arial" w:hAnsi="Arial"/>
          <w:sz w:val="16"/>
          <w:szCs w:val="16"/>
          <w:color w:val="auto"/>
        </w:rPr>
        <w:t>In the event of termination of the license set forth in Section 2.1 above (in whole or in part – e.g. termination in a particular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country), any existing agreements that contain a Sublicense of, or other grant of right with respect to, Licensed Technology shall terminate to the extent of such Sublicense or other grant of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each Sublicensee, upon termination of the Sublicense agreement with such Sublicensee, if the Sublicensee is not then in breach of such Sublicense agreement with BioLine such that BioLine would have the right to terminate such Sublicense, Licensor shall be obligated, at the request of such Sublicensee, to enter into a new agreement with such Sublicensee on substantially the same terms as those contained in such Sublicense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such terms shall be amended, if necessary, to the extent required to ensure that such Sublicense agreement does not impose any obligations or liabilities on Licensor which are not included in this Agreement; and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24" w:name="page425"/>
    <w:bookmarkEnd w:id="424"/>
    <w:p>
      <w:pPr>
        <w:jc w:val="both"/>
        <w:ind w:firstLine="1235"/>
        <w:spacing w:after="0" w:line="269" w:lineRule="auto"/>
        <w:rPr>
          <w:sz w:val="20"/>
          <w:szCs w:val="20"/>
          <w:color w:val="auto"/>
        </w:rPr>
      </w:pPr>
      <w:r>
        <w:rPr>
          <w:rFonts w:ascii="Arial" w:cs="Arial" w:eastAsia="Arial" w:hAnsi="Arial"/>
          <w:sz w:val="17"/>
          <w:szCs w:val="17"/>
          <w:b w:val="1"/>
          <w:bCs w:val="1"/>
          <w:color w:val="auto"/>
        </w:rPr>
        <w:t xml:space="preserve">2.2.3. </w:t>
      </w:r>
      <w:r>
        <w:rPr>
          <w:rFonts w:ascii="Arial" w:cs="Arial" w:eastAsia="Arial" w:hAnsi="Arial"/>
          <w:sz w:val="17"/>
          <w:szCs w:val="17"/>
          <w:color w:val="auto"/>
        </w:rPr>
        <w:t>A Sublicensee shall be entitled to Sublicense its rights under a Sublicense agreement, and so forth through a chain of sublicenses,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each such sublicense shall be subject to execution of a written agreement consistent with the terms of this Section, and shall be made for consideration and in arm’s length transactions.</w:t>
      </w:r>
    </w:p>
    <w:p>
      <w:pPr>
        <w:spacing w:after="0" w:line="192"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2.3. Contractors and Affiliates. </w:t>
      </w:r>
      <w:r>
        <w:rPr>
          <w:rFonts w:ascii="Arial" w:cs="Arial" w:eastAsia="Arial" w:hAnsi="Arial"/>
          <w:sz w:val="17"/>
          <w:szCs w:val="17"/>
          <w:color w:val="auto"/>
        </w:rPr>
        <w:t>BioLine shall have the right to utilize third party contractors in connection with BioLine’s activities in exploiting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granted hereunder. Provided that such contractors perform activities on BioLine’s behalf, and BioLine maintains control of and remains solely responsible for such activities, the provisions of Section 2.2 shall not apply with respect to such contractors. Sublicenses to Affiliates of BioLine shall not be considered Sublicenses under this Agreement.</w:t>
      </w:r>
    </w:p>
    <w:p>
      <w:pPr>
        <w:spacing w:after="0" w:line="198" w:lineRule="exact"/>
        <w:rPr>
          <w:sz w:val="20"/>
          <w:szCs w:val="20"/>
          <w:color w:val="auto"/>
        </w:rPr>
      </w:pPr>
    </w:p>
    <w:p>
      <w:pPr>
        <w:ind w:left="600" w:hanging="597"/>
        <w:spacing w:after="0"/>
        <w:tabs>
          <w:tab w:leader="none" w:pos="600"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Title.</w:t>
      </w:r>
    </w:p>
    <w:p>
      <w:pPr>
        <w:spacing w:after="0" w:line="248"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Subject to the license granted to BioLine pursuant to the terms of this Agreement, all rights, title and interest in and to the Licensed Technology are and shall be owned solely and exclusively by Licensor. Licensor shall not accept any funding from any third party for research relating or connected to the Licensed Technology without the prior written consent of BioLine.</w:t>
      </w:r>
    </w:p>
    <w:p>
      <w:pPr>
        <w:spacing w:after="0" w:line="195" w:lineRule="exact"/>
        <w:rPr>
          <w:sz w:val="20"/>
          <w:szCs w:val="20"/>
          <w:color w:val="auto"/>
        </w:rPr>
      </w:pPr>
    </w:p>
    <w:p>
      <w:pPr>
        <w:ind w:left="600" w:hanging="597"/>
        <w:spacing w:after="0"/>
        <w:tabs>
          <w:tab w:leader="none" w:pos="600"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Patent Filing, Prosecution and Maintenance.</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4.1. Filing, Prosecution and maintenance. </w:t>
      </w:r>
      <w:r>
        <w:rPr>
          <w:rFonts w:ascii="Arial" w:cs="Arial" w:eastAsia="Arial" w:hAnsi="Arial"/>
          <w:sz w:val="16"/>
          <w:szCs w:val="16"/>
          <w:color w:val="auto"/>
        </w:rPr>
        <w:t>BioLine shall have the first right to prepare, file, prosecute and maintain any patent applications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patents, in respect of the Licensed Technology and/or any part thereof, and at BioLine’s sole expense, provided that such patent applications and patents shall be registered in the name of Licensor. BioLine shall provide Licensor with copies of all patent applications and Licensor undertakes to cooperate in a timely manner with BioLine’s efforts to register the patent, including by executing any documents as may be required for such purpose. BioLine shall have to pay, on time, all future payments necessary to prosecute and maintain all patent applications and/or patents in respect of the Licensed Technology,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all patent applications and/or patents which BioLine decided to file under this Section 4.1.</w:t>
      </w:r>
    </w:p>
    <w:p>
      <w:pPr>
        <w:spacing w:after="0" w:line="18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7"/>
          <w:szCs w:val="17"/>
          <w:color w:val="auto"/>
        </w:rPr>
        <w:t>[</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161" w:lineRule="exact"/>
        <w:rPr>
          <w:sz w:val="20"/>
          <w:szCs w:val="20"/>
          <w:color w:val="auto"/>
        </w:rPr>
      </w:pPr>
    </w:p>
    <w:p>
      <w:pPr>
        <w:jc w:val="both"/>
        <w:ind w:firstLine="617"/>
        <w:spacing w:after="0" w:line="290" w:lineRule="auto"/>
        <w:rPr>
          <w:sz w:val="20"/>
          <w:szCs w:val="20"/>
          <w:color w:val="auto"/>
        </w:rPr>
      </w:pPr>
      <w:r>
        <w:rPr>
          <w:rFonts w:ascii="Arial" w:cs="Arial" w:eastAsia="Arial" w:hAnsi="Arial"/>
          <w:sz w:val="15"/>
          <w:szCs w:val="15"/>
          <w:b w:val="1"/>
          <w:bCs w:val="1"/>
          <w:color w:val="auto"/>
        </w:rPr>
        <w:t xml:space="preserve">4.3 Consultation. </w:t>
      </w:r>
      <w:r>
        <w:rPr>
          <w:rFonts w:ascii="Arial" w:cs="Arial" w:eastAsia="Arial" w:hAnsi="Arial"/>
          <w:sz w:val="15"/>
          <w:szCs w:val="15"/>
          <w:color w:val="auto"/>
        </w:rPr>
        <w:t>BioLine shall consult with Licensor regarding the preparation, filing and prosecution of all patent applications, and the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of all patents, included within the Licensed Patents, including, without limitation, the content, timing and jurisdiction of the filing of such patent applications and their prosecution, and other details and overall global strategy pertaining to the procurement and maintenance of the Licensed Patents. To avoid doubt, Licensor and BioLine may agree not to pursue the filing and/or maintenance of patents in certain jurisdictions. All Licensed Patents shall be filed, prosecuted and maintained by the parties through a law or patent attorney firm selected by BioLine, subject to Licensor’s approval, not to be unreasonably withheld. BioLine shall reimburse Licensor for all documented patent-related expenses incurred by Licensor with respect to the filing, prosecution and maintenance of the Licensed Patents within thirty</w:t>
      </w:r>
    </w:p>
    <w:p>
      <w:pPr>
        <w:spacing w:after="0" w:line="1" w:lineRule="exact"/>
        <w:rPr>
          <w:sz w:val="20"/>
          <w:szCs w:val="20"/>
          <w:color w:val="auto"/>
        </w:rPr>
      </w:pPr>
    </w:p>
    <w:p>
      <w:pPr>
        <w:ind w:firstLine="3"/>
        <w:spacing w:after="0" w:line="265" w:lineRule="auto"/>
        <w:tabs>
          <w:tab w:leader="none" w:pos="343"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days after Licensor invoices BioLine in respect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(i) BioLine is copied on all correspondence in respect of the aforementioned filing, prosecution and maintenance activities, and (ii) all such expenses are approved in advance and in writing by BioLine.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200660</wp:posOffset>
            </wp:positionV>
            <wp:extent cx="147002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393" w:lineRule="exact"/>
        <w:rPr>
          <w:sz w:val="20"/>
          <w:szCs w:val="20"/>
          <w:color w:val="auto"/>
        </w:rPr>
      </w:pPr>
    </w:p>
    <w:p>
      <w:pPr>
        <w:ind w:left="5680" w:right="2360" w:hanging="5677"/>
        <w:spacing w:after="0" w:line="744" w:lineRule="auto"/>
        <w:tabs>
          <w:tab w:leader="none" w:pos="426" w:val="left"/>
        </w:tabs>
        <w:numPr>
          <w:ilvl w:val="0"/>
          <w:numId w:val="337"/>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25" w:name="page426"/>
    <w:bookmarkEnd w:id="425"/>
    <w:p>
      <w:pPr>
        <w:ind w:firstLine="617"/>
        <w:spacing w:after="0" w:line="319" w:lineRule="auto"/>
        <w:rPr>
          <w:sz w:val="20"/>
          <w:szCs w:val="20"/>
          <w:color w:val="auto"/>
        </w:rPr>
      </w:pPr>
      <w:r>
        <w:rPr>
          <w:rFonts w:ascii="Arial" w:cs="Arial" w:eastAsia="Arial" w:hAnsi="Arial"/>
          <w:sz w:val="16"/>
          <w:szCs w:val="16"/>
          <w:b w:val="1"/>
          <w:bCs w:val="1"/>
          <w:color w:val="auto"/>
        </w:rPr>
        <w:t xml:space="preserve">4.4. No Warranty. </w:t>
      </w:r>
      <w:r>
        <w:rPr>
          <w:rFonts w:ascii="Arial" w:cs="Arial" w:eastAsia="Arial" w:hAnsi="Arial"/>
          <w:sz w:val="16"/>
          <w:szCs w:val="16"/>
          <w:color w:val="auto"/>
        </w:rPr>
        <w:t>Nothing contained herein shall be deemed to be a warranty by any of the parties that they can or will be able to obtain patents on</w:t>
      </w:r>
      <w:r>
        <w:rPr>
          <w:rFonts w:ascii="Arial" w:cs="Arial" w:eastAsia="Arial" w:hAnsi="Arial"/>
          <w:sz w:val="16"/>
          <w:szCs w:val="16"/>
          <w:b w:val="1"/>
          <w:bCs w:val="1"/>
          <w:color w:val="auto"/>
        </w:rPr>
        <w:t xml:space="preserve"> </w:t>
      </w:r>
      <w:r>
        <w:rPr>
          <w:rFonts w:ascii="Arial" w:cs="Arial" w:eastAsia="Arial" w:hAnsi="Arial"/>
          <w:sz w:val="16"/>
          <w:szCs w:val="16"/>
          <w:color w:val="auto"/>
        </w:rPr>
        <w:t>patent applications included in the Licensed Patents, or that any of the Licensed Patents will afford adequate or commercially worthwhile protection.</w:t>
      </w:r>
    </w:p>
    <w:p>
      <w:pPr>
        <w:spacing w:after="0" w:line="154" w:lineRule="exact"/>
        <w:rPr>
          <w:sz w:val="20"/>
          <w:szCs w:val="20"/>
          <w:color w:val="auto"/>
        </w:rPr>
      </w:pPr>
    </w:p>
    <w:p>
      <w:pPr>
        <w:ind w:left="600" w:hanging="597"/>
        <w:spacing w:after="0"/>
        <w:tabs>
          <w:tab w:leader="none" w:pos="600"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Diligence and Information Exchange.</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5.1. Diligence. </w:t>
      </w:r>
      <w:r>
        <w:rPr>
          <w:rFonts w:ascii="Arial" w:cs="Arial" w:eastAsia="Arial" w:hAnsi="Arial"/>
          <w:sz w:val="16"/>
          <w:szCs w:val="16"/>
          <w:color w:val="auto"/>
        </w:rPr>
        <w:t>BioLine shall use Commercially Reasonable Efforts, and/or shall cause its Affiliates and/or Sublicensees to use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Efforts, to develop Licensed Products based upon the road-map and timetable for the development of the Licensed Products in accordance with a development plan (the “</w:t>
      </w:r>
      <w:r>
        <w:rPr>
          <w:rFonts w:ascii="Arial" w:cs="Arial" w:eastAsia="Arial" w:hAnsi="Arial"/>
          <w:sz w:val="16"/>
          <w:szCs w:val="16"/>
          <w:b w:val="1"/>
          <w:bCs w:val="1"/>
          <w:color w:val="auto"/>
        </w:rPr>
        <w:t>Development Plan</w:t>
      </w:r>
      <w:r>
        <w:rPr>
          <w:rFonts w:ascii="Arial" w:cs="Arial" w:eastAsia="Arial" w:hAnsi="Arial"/>
          <w:sz w:val="16"/>
          <w:szCs w:val="16"/>
          <w:color w:val="auto"/>
        </w:rPr>
        <w:t>”) set out in Exhibit B attached hereto. It is understood that the Development Plan is subject to change at BioLine’s discretion in order to meet the development obligations set out above. Notwithstanding the foregoing, BioLine shall [***]. It is hereby agreed that BioLine shall consider in good faith to further invest in research and development based on the Licensed Technology, including the design of a disposable pen-like application device, improvement of tissue preservation and histopathology and treatment of additional skin conditions such as viral and/or fungal infections of the skin.</w:t>
      </w:r>
    </w:p>
    <w:p>
      <w:pPr>
        <w:spacing w:after="0" w:line="188" w:lineRule="exact"/>
        <w:rPr>
          <w:sz w:val="20"/>
          <w:szCs w:val="20"/>
          <w:color w:val="auto"/>
        </w:rPr>
      </w:pPr>
    </w:p>
    <w:p>
      <w:pPr>
        <w:jc w:val="both"/>
        <w:ind w:firstLine="617"/>
        <w:spacing w:after="0" w:line="257" w:lineRule="auto"/>
        <w:rPr>
          <w:sz w:val="20"/>
          <w:szCs w:val="20"/>
          <w:color w:val="auto"/>
        </w:rPr>
      </w:pPr>
      <w:r>
        <w:rPr>
          <w:rFonts w:ascii="Arial" w:cs="Arial" w:eastAsia="Arial" w:hAnsi="Arial"/>
          <w:sz w:val="17"/>
          <w:szCs w:val="17"/>
          <w:b w:val="1"/>
          <w:bCs w:val="1"/>
          <w:color w:val="auto"/>
        </w:rPr>
        <w:t xml:space="preserve">5.2. Steering Committee, Consultation and Progress Reports. </w:t>
      </w:r>
      <w:r>
        <w:rPr>
          <w:rFonts w:ascii="Arial" w:cs="Arial" w:eastAsia="Arial" w:hAnsi="Arial"/>
          <w:sz w:val="17"/>
          <w:szCs w:val="17"/>
          <w:color w:val="auto"/>
        </w:rPr>
        <w:t>The parties shall establish a steering committee (the “</w:t>
      </w:r>
      <w:r>
        <w:rPr>
          <w:rFonts w:ascii="Arial" w:cs="Arial" w:eastAsia="Arial" w:hAnsi="Arial"/>
          <w:sz w:val="17"/>
          <w:szCs w:val="17"/>
          <w:b w:val="1"/>
          <w:bCs w:val="1"/>
          <w:color w:val="auto"/>
        </w:rPr>
        <w:t>Committee</w:t>
      </w:r>
      <w:r>
        <w:rPr>
          <w:rFonts w:ascii="Arial" w:cs="Arial" w:eastAsia="Arial" w:hAnsi="Arial"/>
          <w:sz w:val="17"/>
          <w:szCs w:val="17"/>
          <w:color w:val="auto"/>
        </w:rPr>
        <w:t>”) to oversee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the License. Each party shall be entitled to designate one representative to the Committee (the “</w:t>
      </w:r>
      <w:r>
        <w:rPr>
          <w:rFonts w:ascii="Arial" w:cs="Arial" w:eastAsia="Arial" w:hAnsi="Arial"/>
          <w:sz w:val="17"/>
          <w:szCs w:val="17"/>
          <w:b w:val="1"/>
          <w:bCs w:val="1"/>
          <w:color w:val="auto"/>
        </w:rPr>
        <w:t>Representative</w:t>
      </w:r>
      <w:r>
        <w:rPr>
          <w:rFonts w:ascii="Arial" w:cs="Arial" w:eastAsia="Arial" w:hAnsi="Arial"/>
          <w:sz w:val="17"/>
          <w:szCs w:val="17"/>
          <w:color w:val="auto"/>
        </w:rPr>
        <w:t>”), which shall meet at least twice per calendar year. The Representatives shall be bound by the confidentiality arrangements set out in this Agreement. BioLine agrees to consult with Licensor, via the Licensor Representative, in respect of significant decisions related to the exercise of the License. In the context of the Steering Committee, BioLine shall (i) provide Licensor via Licensor’s Representative with periodic reports concerning all material activities undertaken in respect of the exercise of the License, and (ii) keep Licensor fully informed via Licensor’s Representative concerning all material activities undertaken in respect of the exercise of the License. For the avoidance of doubt, the Committee shall be a forum for the exchange of information between the parties with respect to the foregoing, shall act only in an advisory capacity and shall not have any decision-making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206375</wp:posOffset>
            </wp:positionV>
            <wp:extent cx="14700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680" w:right="2360" w:hanging="5677"/>
        <w:spacing w:after="0" w:line="744" w:lineRule="auto"/>
        <w:tabs>
          <w:tab w:leader="none" w:pos="426" w:val="left"/>
        </w:tabs>
        <w:numPr>
          <w:ilvl w:val="0"/>
          <w:numId w:val="339"/>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26" w:name="page427"/>
    <w:bookmarkEnd w:id="426"/>
    <w:p>
      <w:pPr>
        <w:jc w:val="both"/>
        <w:ind w:firstLine="617"/>
        <w:spacing w:after="0" w:line="276" w:lineRule="auto"/>
        <w:rPr>
          <w:sz w:val="20"/>
          <w:szCs w:val="20"/>
          <w:color w:val="auto"/>
        </w:rPr>
      </w:pPr>
      <w:r>
        <w:rPr>
          <w:rFonts w:ascii="Arial" w:cs="Arial" w:eastAsia="Arial" w:hAnsi="Arial"/>
          <w:sz w:val="16"/>
          <w:szCs w:val="16"/>
          <w:b w:val="1"/>
          <w:bCs w:val="1"/>
          <w:color w:val="auto"/>
        </w:rPr>
        <w:t>5.3. Grants and Government Programs</w:t>
      </w:r>
      <w:r>
        <w:rPr>
          <w:rFonts w:ascii="Arial" w:cs="Arial" w:eastAsia="Arial" w:hAnsi="Arial"/>
          <w:sz w:val="16"/>
          <w:szCs w:val="16"/>
          <w:color w:val="auto"/>
        </w:rPr>
        <w:t>. Licensor acknowledges and agrees that BioLine may apply for Grants as part of Government Programs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funding of the development and commercialization of Licensed Products. Licensor agrees to perform such further acts and execute such further documents as may reasonably be necessary to support the preparation and submission of the aforementioned Grants. If BioLine receives Grants and the associated Government Programs so require, this Agreement will become subject to the applicable laws and regulations governing such Grants including, without limitation, the Law for the Encouragement of Industrial Research and Development, 5744-1984 as amended or supplemented from time to time and all regulations promulgated thereunder, the rules and regulations of the Office of the Chief Scientist (the “</w:t>
      </w:r>
      <w:r>
        <w:rPr>
          <w:rFonts w:ascii="Arial" w:cs="Arial" w:eastAsia="Arial" w:hAnsi="Arial"/>
          <w:sz w:val="16"/>
          <w:szCs w:val="16"/>
          <w:b w:val="1"/>
          <w:bCs w:val="1"/>
          <w:color w:val="auto"/>
        </w:rPr>
        <w:t>OCS</w:t>
      </w:r>
      <w:r>
        <w:rPr>
          <w:rFonts w:ascii="Arial" w:cs="Arial" w:eastAsia="Arial" w:hAnsi="Arial"/>
          <w:sz w:val="16"/>
          <w:szCs w:val="16"/>
          <w:color w:val="auto"/>
        </w:rPr>
        <w:t>”) and the relevant directives of the Director General of the Ministry of Trade, Industry and Employment, and the rules and regulations of the Incubator Program of the OCS.</w:t>
      </w:r>
    </w:p>
    <w:p>
      <w:pPr>
        <w:spacing w:after="0" w:line="191" w:lineRule="exact"/>
        <w:rPr>
          <w:sz w:val="20"/>
          <w:szCs w:val="20"/>
          <w:color w:val="auto"/>
        </w:rPr>
      </w:pPr>
    </w:p>
    <w:p>
      <w:pPr>
        <w:ind w:left="600" w:hanging="597"/>
        <w:spacing w:after="0"/>
        <w:tabs>
          <w:tab w:leader="none" w:pos="60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Consideration.</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 xml:space="preserve">Payments. </w:t>
      </w:r>
      <w:r>
        <w:rPr>
          <w:rFonts w:ascii="Arial" w:cs="Arial" w:eastAsia="Arial" w:hAnsi="Arial"/>
          <w:sz w:val="15"/>
          <w:szCs w:val="15"/>
          <w:color w:val="auto"/>
        </w:rPr>
        <w:t>Subject to the terms below, BioLine shall pay Licensor a license fee of [***] (the “</w:t>
      </w:r>
      <w:r>
        <w:rPr>
          <w:rFonts w:ascii="Arial" w:cs="Arial" w:eastAsia="Arial" w:hAnsi="Arial"/>
          <w:sz w:val="15"/>
          <w:szCs w:val="15"/>
          <w:b w:val="1"/>
          <w:bCs w:val="1"/>
          <w:color w:val="auto"/>
        </w:rPr>
        <w:t>Licensee Fee</w:t>
      </w:r>
      <w:r>
        <w:rPr>
          <w:rFonts w:ascii="Arial" w:cs="Arial" w:eastAsia="Arial" w:hAnsi="Arial"/>
          <w:sz w:val="15"/>
          <w:szCs w:val="15"/>
          <w:color w:val="auto"/>
        </w:rPr>
        <w:t>”). The License Fee shall be payable 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31" w:lineRule="exact"/>
        <w:rPr>
          <w:sz w:val="20"/>
          <w:szCs w:val="20"/>
          <w:color w:val="auto"/>
        </w:rPr>
      </w:pPr>
    </w:p>
    <w:p>
      <w:pPr>
        <w:ind w:left="1240"/>
        <w:spacing w:after="0"/>
        <w:tabs>
          <w:tab w:leader="none" w:pos="186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6"/>
          <w:szCs w:val="16"/>
          <w:color w:val="auto"/>
        </w:rPr>
        <w:t>[***] shall be paid to Licensor within ten (10) days following the execution of this Agreement.</w:t>
      </w:r>
    </w:p>
    <w:p>
      <w:pPr>
        <w:spacing w:after="0" w:line="242" w:lineRule="exact"/>
        <w:rPr>
          <w:sz w:val="20"/>
          <w:szCs w:val="20"/>
          <w:color w:val="auto"/>
        </w:rPr>
      </w:pPr>
    </w:p>
    <w:p>
      <w:pPr>
        <w:ind w:left="1240"/>
        <w:spacing w:after="0"/>
        <w:tabs>
          <w:tab w:leader="none" w:pos="186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w:t>
      </w:r>
    </w:p>
    <w:p>
      <w:pPr>
        <w:spacing w:after="0" w:line="242" w:lineRule="exact"/>
        <w:rPr>
          <w:sz w:val="20"/>
          <w:szCs w:val="20"/>
          <w:color w:val="auto"/>
        </w:rPr>
      </w:pPr>
    </w:p>
    <w:p>
      <w:pPr>
        <w:ind w:left="1900"/>
        <w:spacing w:after="0"/>
        <w:tabs>
          <w:tab w:leader="none" w:pos="2600" w:val="left"/>
        </w:tabs>
        <w:rPr>
          <w:sz w:val="20"/>
          <w:szCs w:val="20"/>
          <w:color w:val="auto"/>
        </w:rPr>
      </w:pPr>
      <w:r>
        <w:rPr>
          <w:rFonts w:ascii="Arial" w:cs="Arial" w:eastAsia="Arial" w:hAnsi="Arial"/>
          <w:sz w:val="17"/>
          <w:szCs w:val="17"/>
          <w:color w:val="auto"/>
        </w:rPr>
        <w:t>6.1.2.1.</w:t>
        <w:tab/>
        <w:t>[***]</w:t>
      </w:r>
    </w:p>
    <w:p>
      <w:pPr>
        <w:spacing w:after="0" w:line="242" w:lineRule="exact"/>
        <w:rPr>
          <w:sz w:val="20"/>
          <w:szCs w:val="20"/>
          <w:color w:val="auto"/>
        </w:rPr>
      </w:pPr>
    </w:p>
    <w:p>
      <w:pPr>
        <w:ind w:left="1900"/>
        <w:spacing w:after="0"/>
        <w:tabs>
          <w:tab w:leader="none" w:pos="2600" w:val="left"/>
        </w:tabs>
        <w:rPr>
          <w:sz w:val="20"/>
          <w:szCs w:val="20"/>
          <w:color w:val="auto"/>
        </w:rPr>
      </w:pPr>
      <w:r>
        <w:rPr>
          <w:rFonts w:ascii="Arial" w:cs="Arial" w:eastAsia="Arial" w:hAnsi="Arial"/>
          <w:sz w:val="17"/>
          <w:szCs w:val="17"/>
          <w:color w:val="auto"/>
        </w:rPr>
        <w:t>6.1.2.2.</w:t>
        <w:tab/>
        <w:t>[***]</w:t>
      </w:r>
    </w:p>
    <w:p>
      <w:pPr>
        <w:spacing w:after="0" w:line="242"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80010</wp:posOffset>
            </wp:positionV>
            <wp:extent cx="14700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3" w:lineRule="exact"/>
        <w:rPr>
          <w:sz w:val="20"/>
          <w:szCs w:val="20"/>
          <w:color w:val="auto"/>
        </w:rPr>
      </w:pPr>
    </w:p>
    <w:p>
      <w:pPr>
        <w:ind w:left="5680" w:right="2360" w:hanging="5677"/>
        <w:spacing w:after="0" w:line="744" w:lineRule="auto"/>
        <w:tabs>
          <w:tab w:leader="none" w:pos="426"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27" w:name="page428"/>
    <w:bookmarkEnd w:id="427"/>
    <w:p>
      <w:pPr>
        <w:ind w:left="620"/>
        <w:spacing w:after="0"/>
        <w:tabs>
          <w:tab w:leader="none" w:pos="1240" w:val="left"/>
        </w:tabs>
        <w:rPr>
          <w:sz w:val="20"/>
          <w:szCs w:val="20"/>
          <w:color w:val="auto"/>
        </w:rPr>
      </w:pPr>
      <w:r>
        <w:rPr>
          <w:rFonts w:ascii="Arial" w:cs="Arial" w:eastAsia="Arial" w:hAnsi="Arial"/>
          <w:sz w:val="17"/>
          <w:szCs w:val="17"/>
          <w:color w:val="auto"/>
        </w:rPr>
        <w:t>6.1.4.</w:t>
      </w:r>
      <w:r>
        <w:rPr>
          <w:sz w:val="20"/>
          <w:szCs w:val="20"/>
          <w:color w:val="auto"/>
        </w:rPr>
        <w:tab/>
      </w:r>
      <w:r>
        <w:rPr>
          <w:rFonts w:ascii="Arial" w:cs="Arial" w:eastAsia="Arial" w:hAnsi="Arial"/>
          <w:sz w:val="15"/>
          <w:szCs w:val="15"/>
          <w:color w:val="auto"/>
        </w:rPr>
        <w:t>The License Fee shall be non-refundable.</w:t>
      </w:r>
    </w:p>
    <w:p>
      <w:pPr>
        <w:spacing w:after="0" w:line="236"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6.2 Royalty Payments. </w:t>
      </w:r>
      <w:r>
        <w:rPr>
          <w:rFonts w:ascii="Arial" w:cs="Arial" w:eastAsia="Arial" w:hAnsi="Arial"/>
          <w:sz w:val="17"/>
          <w:szCs w:val="17"/>
          <w:color w:val="auto"/>
        </w:rPr>
        <w:t>In the event that BioLine itself will actually manufacture and/or sell Licensed Products under the license, then BioLine will pay</w:t>
      </w:r>
      <w:r>
        <w:rPr>
          <w:rFonts w:ascii="Arial" w:cs="Arial" w:eastAsia="Arial" w:hAnsi="Arial"/>
          <w:sz w:val="17"/>
          <w:szCs w:val="17"/>
          <w:b w:val="1"/>
          <w:bCs w:val="1"/>
          <w:color w:val="auto"/>
        </w:rPr>
        <w:t xml:space="preserve"> </w:t>
      </w:r>
      <w:r>
        <w:rPr>
          <w:rFonts w:ascii="Arial" w:cs="Arial" w:eastAsia="Arial" w:hAnsi="Arial"/>
          <w:sz w:val="17"/>
          <w:szCs w:val="17"/>
          <w:color w:val="auto"/>
        </w:rPr>
        <w:t>to Licensor [***]of Net Sales on a Licensed Product-by-Licensed Product and country-by-country basis until the last to expire of any patent included within the Licensed Technology in such country.</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6.3. Payments on Sublicense Receipts. </w:t>
      </w:r>
      <w:r>
        <w:rPr>
          <w:rFonts w:ascii="Arial" w:cs="Arial" w:eastAsia="Arial" w:hAnsi="Arial"/>
          <w:sz w:val="17"/>
          <w:szCs w:val="17"/>
          <w:color w:val="auto"/>
        </w:rPr>
        <w:t>BioLine shall pay Licensor an amount equal to [***] of all Sublicense Receipts received by BioLine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exploitation of the license granted hereunder (the “</w:t>
      </w:r>
      <w:r>
        <w:rPr>
          <w:rFonts w:ascii="Arial" w:cs="Arial" w:eastAsia="Arial" w:hAnsi="Arial"/>
          <w:sz w:val="17"/>
          <w:szCs w:val="17"/>
          <w:b w:val="1"/>
          <w:bCs w:val="1"/>
          <w:color w:val="auto"/>
        </w:rPr>
        <w:t>Sublicense Payment</w:t>
      </w:r>
      <w:r>
        <w:rPr>
          <w:rFonts w:ascii="Arial" w:cs="Arial" w:eastAsia="Arial" w:hAnsi="Arial"/>
          <w:sz w:val="17"/>
          <w:szCs w:val="17"/>
          <w:color w:val="auto"/>
        </w:rPr>
        <w:t>”).</w:t>
      </w:r>
    </w:p>
    <w:p>
      <w:pPr>
        <w:spacing w:after="0" w:line="177"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b w:val="1"/>
          <w:bCs w:val="1"/>
          <w:color w:val="auto"/>
        </w:rPr>
        <w:t xml:space="preserve">6.4. Combination Products. </w:t>
      </w:r>
      <w:r>
        <w:rPr>
          <w:rFonts w:ascii="Arial" w:cs="Arial" w:eastAsia="Arial" w:hAnsi="Arial"/>
          <w:sz w:val="16"/>
          <w:szCs w:val="16"/>
          <w:color w:val="auto"/>
        </w:rPr>
        <w:t>Notwithstanding anything to the contrary set forth herein, in the event a Licensed Product is sold by BioLine or an</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BioLine in the form of a Combination Product, Net Sales from such Combination Product, for purposes of determining royalty payments, shall be determined by multiplying the actual Net Sales of such Combination Product during the applicable royalty reporting period, by the fraction A/(A+B) where: “A” is the average sale price of the Licensed Product contained in the Combination Product when sold separately by BioLine or its Affiliate; and “B” is the average price of the other Additional Ingredients included in the Combination Product when sold separately by its supplier, in each case during the applicable royalty reporting period or if sales of both the Licensed Product and/or other Additional Ingredients did not occur in such period, then in the most recent royalty reporting period in which sales of both occurred. In the event that such average sale price cannot be determined for both the Licensed Product and all other Additional Ingredients included in the Combination Product, Net Sales for the purpose of determining royalty payments shall be calculated by multiplying the Net Sales of the Combination Products by the fraction of C/(C+D) where “C” is the fair market value of the Licensed Product; and “D” is the fair market value of all other Additional Ingredients included in the Combination Product. In such event, the parties shall negotiate in good faith to arrive at a determination of the respective fair market values of the Licensed Product and all other Additional Ingredients included in the Combination Product.</w:t>
      </w:r>
    </w:p>
    <w:p>
      <w:pPr>
        <w:spacing w:after="0" w:line="193" w:lineRule="exact"/>
        <w:rPr>
          <w:sz w:val="20"/>
          <w:szCs w:val="20"/>
          <w:color w:val="auto"/>
        </w:rPr>
      </w:pPr>
    </w:p>
    <w:p>
      <w:pPr>
        <w:ind w:left="620" w:right="8440" w:hanging="617"/>
        <w:spacing w:after="0" w:line="608" w:lineRule="auto"/>
        <w:tabs>
          <w:tab w:leader="none" w:pos="603" w:val="left"/>
        </w:tabs>
        <w:numPr>
          <w:ilvl w:val="0"/>
          <w:numId w:val="342"/>
        </w:numPr>
        <w:rPr>
          <w:rFonts w:ascii="Arial" w:cs="Arial" w:eastAsia="Arial" w:hAnsi="Arial"/>
          <w:sz w:val="15"/>
          <w:szCs w:val="15"/>
          <w:b w:val="1"/>
          <w:bCs w:val="1"/>
          <w:color w:val="auto"/>
        </w:rPr>
      </w:pPr>
      <w:r>
        <w:rPr>
          <w:rFonts w:ascii="Arial" w:cs="Arial" w:eastAsia="Arial" w:hAnsi="Arial"/>
          <w:sz w:val="15"/>
          <w:szCs w:val="15"/>
          <w:b w:val="1"/>
          <w:bCs w:val="1"/>
          <w:color w:val="auto"/>
        </w:rPr>
        <w:t>Reports, Payments and Records. 7.1. Reports and Payments.</w:t>
      </w:r>
    </w:p>
    <w:p>
      <w:pPr>
        <w:spacing w:after="0" w:line="1" w:lineRule="exact"/>
        <w:rPr>
          <w:sz w:val="20"/>
          <w:szCs w:val="20"/>
          <w:color w:val="auto"/>
        </w:rPr>
      </w:pPr>
    </w:p>
    <w:p>
      <w:pPr>
        <w:ind w:left="1240"/>
        <w:spacing w:after="0"/>
        <w:tabs>
          <w:tab w:leader="none" w:pos="1920" w:val="left"/>
        </w:tabs>
        <w:rPr>
          <w:sz w:val="20"/>
          <w:szCs w:val="20"/>
          <w:color w:val="auto"/>
        </w:rPr>
      </w:pPr>
      <w:r>
        <w:rPr>
          <w:rFonts w:ascii="Arial" w:cs="Arial" w:eastAsia="Arial" w:hAnsi="Arial"/>
          <w:sz w:val="17"/>
          <w:szCs w:val="17"/>
          <w:b w:val="1"/>
          <w:bCs w:val="1"/>
          <w:color w:val="auto"/>
        </w:rPr>
        <w:t>7.1.1.</w:t>
      </w:r>
      <w:r>
        <w:rPr>
          <w:sz w:val="20"/>
          <w:szCs w:val="20"/>
          <w:color w:val="auto"/>
        </w:rPr>
        <w:tab/>
      </w:r>
      <w:r>
        <w:rPr>
          <w:rFonts w:ascii="Arial" w:cs="Arial" w:eastAsia="Arial" w:hAnsi="Arial"/>
          <w:sz w:val="16"/>
          <w:szCs w:val="16"/>
          <w:i w:val="1"/>
          <w:iCs w:val="1"/>
          <w:color w:val="auto"/>
        </w:rPr>
        <w:t xml:space="preserve">Reports. </w:t>
      </w:r>
      <w:r>
        <w:rPr>
          <w:rFonts w:ascii="Arial" w:cs="Arial" w:eastAsia="Arial" w:hAnsi="Arial"/>
          <w:sz w:val="16"/>
          <w:szCs w:val="16"/>
          <w:color w:val="auto"/>
        </w:rPr>
        <w:t>Within thirty (30) days after the conclusion of each Calendar Quarter commencing with the first Calendar Quarter in which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BioLine or an Affiliate of BioLine first receives Net Sales or Sublicense Receipts, BioLine shall deliver to Licensor a report containing the following information:</w:t>
      </w:r>
    </w:p>
    <w:p>
      <w:pPr>
        <w:spacing w:after="0" w:line="242" w:lineRule="exact"/>
        <w:rPr>
          <w:sz w:val="20"/>
          <w:szCs w:val="20"/>
          <w:color w:val="auto"/>
        </w:rPr>
      </w:pPr>
    </w:p>
    <w:p>
      <w:pPr>
        <w:ind w:left="2520" w:hanging="665"/>
        <w:spacing w:after="0"/>
        <w:tabs>
          <w:tab w:leader="none" w:pos="2520" w:val="left"/>
        </w:tabs>
        <w:numPr>
          <w:ilvl w:val="0"/>
          <w:numId w:val="343"/>
        </w:numPr>
        <w:rPr>
          <w:rFonts w:ascii="Arial" w:cs="Arial" w:eastAsia="Arial" w:hAnsi="Arial"/>
          <w:sz w:val="15"/>
          <w:szCs w:val="15"/>
          <w:b w:val="1"/>
          <w:bCs w:val="1"/>
          <w:color w:val="auto"/>
        </w:rPr>
      </w:pPr>
      <w:r>
        <w:rPr>
          <w:rFonts w:ascii="Arial" w:cs="Arial" w:eastAsia="Arial" w:hAnsi="Arial"/>
          <w:sz w:val="15"/>
          <w:szCs w:val="15"/>
          <w:color w:val="auto"/>
        </w:rPr>
        <w:t>the number of units of Licensed Products sold by BioLine and its Affiliates in each country for the applicable Calendar Quarter;</w:t>
      </w:r>
    </w:p>
    <w:p>
      <w:pPr>
        <w:spacing w:after="0" w:line="264" w:lineRule="exact"/>
        <w:rPr>
          <w:rFonts w:ascii="Arial" w:cs="Arial" w:eastAsia="Arial" w:hAnsi="Arial"/>
          <w:sz w:val="15"/>
          <w:szCs w:val="15"/>
          <w:b w:val="1"/>
          <w:bCs w:val="1"/>
          <w:color w:val="auto"/>
        </w:rPr>
      </w:pPr>
    </w:p>
    <w:p>
      <w:pPr>
        <w:ind w:left="2760" w:hanging="905"/>
        <w:spacing w:after="0"/>
        <w:tabs>
          <w:tab w:leader="none" w:pos="2760" w:val="left"/>
        </w:tabs>
        <w:numPr>
          <w:ilvl w:val="0"/>
          <w:numId w:val="343"/>
        </w:numPr>
        <w:rPr>
          <w:rFonts w:ascii="Arial" w:cs="Arial" w:eastAsia="Arial" w:hAnsi="Arial"/>
          <w:sz w:val="16"/>
          <w:szCs w:val="16"/>
          <w:b w:val="1"/>
          <w:bCs w:val="1"/>
          <w:color w:val="auto"/>
        </w:rPr>
      </w:pPr>
      <w:r>
        <w:rPr>
          <w:rFonts w:ascii="Arial" w:cs="Arial" w:eastAsia="Arial" w:hAnsi="Arial"/>
          <w:sz w:val="16"/>
          <w:szCs w:val="16"/>
          <w:color w:val="auto"/>
        </w:rPr>
        <w:t>the gross amount billed for the Licensed Product sold by BioLine and its Affiliates in each country during the applicable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219710</wp:posOffset>
            </wp:positionV>
            <wp:extent cx="147002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680" w:right="2360" w:hanging="5677"/>
        <w:spacing w:after="0" w:line="744" w:lineRule="auto"/>
        <w:tabs>
          <w:tab w:leader="none" w:pos="426" w:val="left"/>
        </w:tabs>
        <w:numPr>
          <w:ilvl w:val="0"/>
          <w:numId w:val="344"/>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28" w:name="page429"/>
    <w:bookmarkEnd w:id="428"/>
    <w:p>
      <w:pPr>
        <w:ind w:left="2520" w:hanging="665"/>
        <w:spacing w:after="0"/>
        <w:tabs>
          <w:tab w:leader="none" w:pos="2520" w:val="left"/>
        </w:tabs>
        <w:numPr>
          <w:ilvl w:val="0"/>
          <w:numId w:val="345"/>
        </w:numPr>
        <w:rPr>
          <w:rFonts w:ascii="Arial" w:cs="Arial" w:eastAsia="Arial" w:hAnsi="Arial"/>
          <w:sz w:val="16"/>
          <w:szCs w:val="16"/>
          <w:b w:val="1"/>
          <w:bCs w:val="1"/>
          <w:color w:val="auto"/>
        </w:rPr>
      </w:pPr>
      <w:r>
        <w:rPr>
          <w:rFonts w:ascii="Arial" w:cs="Arial" w:eastAsia="Arial" w:hAnsi="Arial"/>
          <w:sz w:val="16"/>
          <w:szCs w:val="16"/>
          <w:color w:val="auto"/>
        </w:rPr>
        <w:t>a calculation of Net Sales for the applicable Calendar Quarter in each country, including a listing of applicable deductions;</w:t>
      </w:r>
    </w:p>
    <w:p>
      <w:pPr>
        <w:spacing w:after="0" w:line="253" w:lineRule="exact"/>
        <w:rPr>
          <w:rFonts w:ascii="Arial" w:cs="Arial" w:eastAsia="Arial" w:hAnsi="Arial"/>
          <w:sz w:val="16"/>
          <w:szCs w:val="16"/>
          <w:b w:val="1"/>
          <w:bCs w:val="1"/>
          <w:color w:val="auto"/>
        </w:rPr>
      </w:pPr>
    </w:p>
    <w:p>
      <w:pPr>
        <w:ind w:firstLine="1855"/>
        <w:spacing w:after="0" w:line="278" w:lineRule="auto"/>
        <w:tabs>
          <w:tab w:leader="none" w:pos="2542"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the total amount payable to Licensor in U.S. dollars on Net Sales for the applicable Calendar Quarter, together with the exchange rates used for conversion on the date that the sale was recognized in accordance with IFRS (IAS 21); and</w:t>
      </w:r>
    </w:p>
    <w:p>
      <w:pPr>
        <w:spacing w:after="0" w:line="190" w:lineRule="exact"/>
        <w:rPr>
          <w:rFonts w:ascii="Arial" w:cs="Arial" w:eastAsia="Arial" w:hAnsi="Arial"/>
          <w:sz w:val="17"/>
          <w:szCs w:val="17"/>
          <w:b w:val="1"/>
          <w:bCs w:val="1"/>
          <w:color w:val="auto"/>
        </w:rPr>
      </w:pPr>
    </w:p>
    <w:p>
      <w:pPr>
        <w:ind w:left="2520" w:hanging="665"/>
        <w:spacing w:after="0"/>
        <w:tabs>
          <w:tab w:leader="none" w:pos="2520"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a calculation of any Sublicense Receipts for the applicable Calendar Quarter.</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report shall state if no amounts are due to Licensor for any Calendar Quarter.</w:t>
      </w:r>
    </w:p>
    <w:p>
      <w:pPr>
        <w:spacing w:after="0" w:line="236" w:lineRule="exact"/>
        <w:rPr>
          <w:sz w:val="20"/>
          <w:szCs w:val="20"/>
          <w:color w:val="auto"/>
        </w:rPr>
      </w:pPr>
    </w:p>
    <w:p>
      <w:pPr>
        <w:jc w:val="both"/>
        <w:ind w:firstLine="1235"/>
        <w:spacing w:after="0" w:line="286"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i w:val="1"/>
          <w:iCs w:val="1"/>
          <w:color w:val="auto"/>
        </w:rPr>
        <w:t>Payment.</w:t>
      </w:r>
      <w:r>
        <w:rPr>
          <w:rFonts w:ascii="Arial" w:cs="Arial" w:eastAsia="Arial" w:hAnsi="Arial"/>
          <w:sz w:val="17"/>
          <w:szCs w:val="17"/>
          <w:b w:val="1"/>
          <w:bCs w:val="1"/>
          <w:color w:val="auto"/>
        </w:rPr>
        <w:t xml:space="preserve"> </w:t>
      </w:r>
      <w:r>
        <w:rPr>
          <w:rFonts w:ascii="Arial" w:cs="Arial" w:eastAsia="Arial" w:hAnsi="Arial"/>
          <w:sz w:val="17"/>
          <w:szCs w:val="17"/>
          <w:color w:val="auto"/>
        </w:rPr>
        <w:t>Concurrent with the delivery of each report delivered pursuant to Section 7.1.1, BioLine shall remit to Licensor all amounts due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6 for the applicable Calendar Quarter.</w:t>
      </w:r>
    </w:p>
    <w:p>
      <w:pPr>
        <w:spacing w:after="0" w:line="177" w:lineRule="exact"/>
        <w:rPr>
          <w:sz w:val="20"/>
          <w:szCs w:val="20"/>
          <w:color w:val="auto"/>
        </w:rPr>
      </w:pPr>
    </w:p>
    <w:p>
      <w:pPr>
        <w:jc w:val="both"/>
        <w:ind w:firstLine="617"/>
        <w:spacing w:after="0" w:line="272" w:lineRule="auto"/>
        <w:rPr>
          <w:sz w:val="20"/>
          <w:szCs w:val="20"/>
          <w:color w:val="auto"/>
        </w:rPr>
      </w:pPr>
      <w:r>
        <w:rPr>
          <w:rFonts w:ascii="Arial" w:cs="Arial" w:eastAsia="Arial" w:hAnsi="Arial"/>
          <w:sz w:val="16"/>
          <w:szCs w:val="16"/>
          <w:b w:val="1"/>
          <w:bCs w:val="1"/>
          <w:color w:val="auto"/>
        </w:rPr>
        <w:t xml:space="preserve">7.2. Records. </w:t>
      </w:r>
      <w:r>
        <w:rPr>
          <w:rFonts w:ascii="Arial" w:cs="Arial" w:eastAsia="Arial" w:hAnsi="Arial"/>
          <w:sz w:val="16"/>
          <w:szCs w:val="16"/>
          <w:color w:val="auto"/>
        </w:rPr>
        <w:t>BioLine shall maintain, and shall cause its Affiliates and Sublicensees to maintain, complete and accurate records of Licensed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made, used, marketed or sold under this Agreement, any amounts payable to Licensor in relation to such Licensed Products and all Sublicense Receipts received by BioLine and its Affiliates, which records shall contain sufficient information to permit the Licensor to confirm the accuracy of any reports or notifications delivered to Licensor under Section 7.1. The relevant party shall retain such records relating to a given Calendar Quarter for at least seven (7) years after the conclusion of that Calendar Quarter. During such seven (7) year period, Licensor shall have the right, at Licensor’s expense, to cause an independent, certified public accountant, who is bound by a suitable confidentiality arrangement with BioLine, to inspect BioLine’s and the relevant Affiliates’ records during normal business hours for the sole purpose of verifying any reports and payments delivered under this Agreement. Such accountant shall not disclose to Licensor or any third party any information gained during the course of such inspection, except that such accountant may disclose to Licensor and BioLine information gained during the course of such inspection relating to the accuracy of reports and payments delivered under this Agreement. The parties shall reconcile any underpayment or overpayment within thirty (30) days after the accountant delivers the results of the audit. In the event that any audit performed under this Section 7.2 reveals an underpayment in excess of five percent (5%) in any calendar year, the audited party shall bear the full cost of such audit. Licensor may exercise its rights under this Section 7.2 only twice every year per audited party and only with twenty (20) business days prior notice to the audited party. BioLine shall cause its Affiliates and Sublicensees to comply with the terms of this Section 7.2.</w:t>
      </w:r>
    </w:p>
    <w:p>
      <w:pPr>
        <w:spacing w:after="0" w:line="196"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7.3. Audited Report. </w:t>
      </w:r>
      <w:r>
        <w:rPr>
          <w:rFonts w:ascii="Arial" w:cs="Arial" w:eastAsia="Arial" w:hAnsi="Arial"/>
          <w:sz w:val="17"/>
          <w:szCs w:val="17"/>
          <w:color w:val="auto"/>
        </w:rPr>
        <w:t>BioLine shall furnish Licensor, and shall cause its Affiliates who make, use, market or sell Licensed Products to furnish Licensor,</w:t>
      </w:r>
      <w:r>
        <w:rPr>
          <w:rFonts w:ascii="Arial" w:cs="Arial" w:eastAsia="Arial" w:hAnsi="Arial"/>
          <w:sz w:val="17"/>
          <w:szCs w:val="17"/>
          <w:b w:val="1"/>
          <w:bCs w:val="1"/>
          <w:color w:val="auto"/>
        </w:rPr>
        <w:t xml:space="preserve"> </w:t>
      </w:r>
      <w:r>
        <w:rPr>
          <w:rFonts w:ascii="Arial" w:cs="Arial" w:eastAsia="Arial" w:hAnsi="Arial"/>
          <w:sz w:val="17"/>
          <w:szCs w:val="17"/>
          <w:color w:val="auto"/>
        </w:rPr>
        <w:t>within ninety (90) days after the end of each calendar year, commencing at the end of the calendar year of the First Commercial Sale, with a report, certified by an independent certified public accountant, relating to royalties and other payments due to Licensor pursuant to this Agreement in respect to the previous calendar year and containing the same details as those specified in Section 7.1 in respect to the previous calendar year.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29" w:name="page430"/>
    <w:bookmarkEnd w:id="429"/>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7.4. Payment Method. </w:t>
      </w:r>
      <w:r>
        <w:rPr>
          <w:rFonts w:ascii="Arial" w:cs="Arial" w:eastAsia="Arial" w:hAnsi="Arial"/>
          <w:sz w:val="17"/>
          <w:szCs w:val="17"/>
          <w:color w:val="auto"/>
        </w:rPr>
        <w:t>Each payment due to Licensor under this Agreement shall be made by wire transfer of funds to Licensor’s accounts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written instructions provided by Licensor.</w:t>
      </w:r>
    </w:p>
    <w:p>
      <w:pPr>
        <w:spacing w:after="0" w:line="177"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7.5. Withholding and Similar Taxes. </w:t>
      </w:r>
      <w:r>
        <w:rPr>
          <w:rFonts w:ascii="Arial" w:cs="Arial" w:eastAsia="Arial" w:hAnsi="Arial"/>
          <w:sz w:val="17"/>
          <w:szCs w:val="17"/>
          <w:color w:val="auto"/>
        </w:rPr>
        <w:t>If applicable laws require that taxes be withheld from any amounts due to Licensor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BioLine shall (a) deduct these taxes from the remittable amount, (b) pay the taxes to the proper taxing authority, and (c) promptly deliver to Licensor a statement including the amount of tax withheld and justification therefore, and such other information as may be necessary for tax credit purposes. For the avoidance of doubt, all amounts to be paid to Licensor pursuant to this Agreement are exclusive of Value Added Tax. BioLine shall add value added tax, as required by law, to all such amounts.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0" w:name="page431"/>
    <w:bookmarkEnd w:id="430"/>
    <w:p>
      <w:pPr>
        <w:ind w:left="620" w:right="8960" w:hanging="617"/>
        <w:spacing w:after="0" w:line="570" w:lineRule="auto"/>
        <w:tabs>
          <w:tab w:leader="none" w:pos="603" w:val="left"/>
        </w:tabs>
        <w:numPr>
          <w:ilvl w:val="0"/>
          <w:numId w:val="34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8.1. Confidentiality.</w:t>
      </w:r>
    </w:p>
    <w:p>
      <w:pPr>
        <w:spacing w:after="0" w:line="1" w:lineRule="exact"/>
        <w:rPr>
          <w:sz w:val="20"/>
          <w:szCs w:val="20"/>
          <w:color w:val="auto"/>
        </w:rPr>
      </w:pPr>
    </w:p>
    <w:p>
      <w:pPr>
        <w:jc w:val="both"/>
        <w:ind w:firstLine="1235"/>
        <w:spacing w:after="0" w:line="271"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i w:val="1"/>
          <w:iCs w:val="1"/>
          <w:color w:val="auto"/>
        </w:rPr>
        <w:t>Licensor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agrees that, without the prior written consent of Licensor, in each case, during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and for a period of seven (7) years from date of disclosure, it will keep confidential, and not disclose or use Licensor Confidential Information (as defined below) other than for the purposes of this Agreement. BioLine shall treat such Licensor Confidential Information with the same degree of confidentiality as it keeps its own confidential information, but in all events no less than a reasonable degree of confidentiality. BioLine may disclose the Licensor Confidential Information only (a) to employees and consultants of BioLine or of its Affiliates or Sublicensees who have a “need to know” such information in order to enable BioLine to exercise its rights or fulfill its obligations under this Agreement and are legally bound by agreements which impose confidentiality and non-use obligations comparable to those set forth in this Agreement, and (b) to actual and potential business partners, collaborators, investors, contractors, service providers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in each case, that such recipient of Confidential Information first enters into a legally binding agreement with BioLine which imposes confidentiality and non-use obligations with respect to Confidential Information comparable to those set forth in this Agreement and has a minimum term of five (5) years from date of signature of the binding agreement. For purposes of this Agreement, “</w:t>
      </w:r>
      <w:r>
        <w:rPr>
          <w:rFonts w:ascii="Arial" w:cs="Arial" w:eastAsia="Arial" w:hAnsi="Arial"/>
          <w:sz w:val="16"/>
          <w:szCs w:val="16"/>
          <w:b w:val="1"/>
          <w:bCs w:val="1"/>
          <w:color w:val="auto"/>
        </w:rPr>
        <w:t>Licensor Confidential Information</w:t>
      </w:r>
      <w:r>
        <w:rPr>
          <w:rFonts w:ascii="Arial" w:cs="Arial" w:eastAsia="Arial" w:hAnsi="Arial"/>
          <w:sz w:val="16"/>
          <w:szCs w:val="16"/>
          <w:color w:val="auto"/>
        </w:rPr>
        <w:t xml:space="preserve">” means any scientific, technical, trade or business information relating to the subject matter of this Agreement designated as confidential or which otherwise should reasonably be construed under the circumstances as being confidential disclosed by or on behalf of the Licensor or any of its employees or researchers to BioLine, whether in oral, written, graphic or machine-readable form,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to the extent such information: (i) was known to BioLine at the time it was disclosed, other than by previous disclosure by or on behalf of the Licensor or any of its employees or researchers, as evidenced by BioLine’s written records at the time of disclosure; (ii) is at the time of disclosure or later becomes publicly known under circumstances involving no breach of this Agreement; (iii) is lawfully and in good faith made available to BioLine by a third party who is not subject to obligations of confidentiality to the Licensor with respect to such information; (iv) is explicitly approved for release by written authorization of Licensor; (v) is required by law or court order to be disclosed; or (vi) is independently developed by BioLine without the use of or reference to the Licensor Confidential Information, as demonstrated by documentary evidence.</w:t>
      </w:r>
    </w:p>
    <w:p>
      <w:pPr>
        <w:spacing w:after="0" w:line="197" w:lineRule="exact"/>
        <w:rPr>
          <w:sz w:val="20"/>
          <w:szCs w:val="20"/>
          <w:color w:val="auto"/>
        </w:rPr>
      </w:pPr>
    </w:p>
    <w:p>
      <w:pPr>
        <w:jc w:val="both"/>
        <w:ind w:firstLine="1235"/>
        <w:spacing w:after="0" w:line="272" w:lineRule="auto"/>
        <w:rPr>
          <w:sz w:val="20"/>
          <w:szCs w:val="20"/>
          <w:color w:val="auto"/>
        </w:rPr>
      </w:pPr>
      <w:r>
        <w:rPr>
          <w:rFonts w:ascii="Arial" w:cs="Arial" w:eastAsia="Arial" w:hAnsi="Arial"/>
          <w:sz w:val="16"/>
          <w:szCs w:val="16"/>
          <w:b w:val="1"/>
          <w:bCs w:val="1"/>
          <w:color w:val="auto"/>
        </w:rPr>
        <w:t xml:space="preserve">8.1.2. </w:t>
      </w:r>
      <w:r>
        <w:rPr>
          <w:rFonts w:ascii="Arial" w:cs="Arial" w:eastAsia="Arial" w:hAnsi="Arial"/>
          <w:sz w:val="16"/>
          <w:szCs w:val="16"/>
          <w:i w:val="1"/>
          <w:iCs w:val="1"/>
          <w:color w:val="auto"/>
        </w:rPr>
        <w:t>BioLine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agree that, without the prior written consent of BioLine, in each case, during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for a period of seven (7) years thereafter, it will keep confidential, and not disclose or use BioLine Confidential Information (as defined below) other than for the purposes of this Agreement. Licensor shall treat such BioLine Confidential Information with the same degree of confidentiality as it keeps its own confidential information, but in all events no less than a reasonable degree of confidentiality. Licensor may disclose the BioLine Confidential Information only to employees and consultants of Licensor or of its Affiliates who have a “need to know” such information in order to enable Licensor to exercise its rights or fulfill its obligations under this Agreement and are legally bound by agreements which impose confidentiality and non-use obligations comparable to those set forth in this Agreement. For purposes of this Agreement, “</w:t>
      </w:r>
      <w:r>
        <w:rPr>
          <w:rFonts w:ascii="Arial" w:cs="Arial" w:eastAsia="Arial" w:hAnsi="Arial"/>
          <w:sz w:val="16"/>
          <w:szCs w:val="16"/>
          <w:b w:val="1"/>
          <w:bCs w:val="1"/>
          <w:color w:val="auto"/>
        </w:rPr>
        <w:t>BioLine Confidential Information</w:t>
      </w:r>
      <w:r>
        <w:rPr>
          <w:rFonts w:ascii="Arial" w:cs="Arial" w:eastAsia="Arial" w:hAnsi="Arial"/>
          <w:sz w:val="16"/>
          <w:szCs w:val="16"/>
          <w:color w:val="auto"/>
        </w:rPr>
        <w:t xml:space="preserve">” means any scientific, technical, trade or business information relating to the subject matter of this Agreement designated as confidential or which otherwise should reasonably be construed under the circumstances as being confidential disclosed by or on behalf of BioLine pursuant to this Agreement, whether in oral, written, graphic or machine-readable form,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to the extent such information: (i) was known to Licensor at the time it was disclosed, other than by previous disclosure by or on behalf of BioLine as evidenced by Licensor’s written records at the time of disclosure; (ii) is at the time of disclosure or later becomes publicly known under circumstances involving no breach of this Agreement; (iii) is lawfully and in good faith made available to Licensor by a third party who is not subject to obligations of confidentiality to BioLine with respect to such information; (iv) is explicitly approved for release by written authorization of BioLine; (v) is required by law or court order to be disclosed; or (vi) is independently developed by Licensor without the use of or reference to the BioLine Confidential Information, as demonstrated by documentary evidence.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1" w:name="page432"/>
    <w:bookmarkEnd w:id="431"/>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8.2. Disclosure of Agreement. </w:t>
      </w:r>
      <w:r>
        <w:rPr>
          <w:rFonts w:ascii="Arial" w:cs="Arial" w:eastAsia="Arial" w:hAnsi="Arial"/>
          <w:sz w:val="17"/>
          <w:szCs w:val="17"/>
          <w:color w:val="auto"/>
        </w:rPr>
        <w:t>Each party may disclose the terms of this Agreement to the extent required, in the reasonable opinion of such party’s</w:t>
      </w:r>
      <w:r>
        <w:rPr>
          <w:rFonts w:ascii="Arial" w:cs="Arial" w:eastAsia="Arial" w:hAnsi="Arial"/>
          <w:sz w:val="17"/>
          <w:szCs w:val="17"/>
          <w:b w:val="1"/>
          <w:bCs w:val="1"/>
          <w:color w:val="auto"/>
        </w:rPr>
        <w:t xml:space="preserve"> </w:t>
      </w:r>
      <w:r>
        <w:rPr>
          <w:rFonts w:ascii="Arial" w:cs="Arial" w:eastAsia="Arial" w:hAnsi="Arial"/>
          <w:sz w:val="17"/>
          <w:szCs w:val="17"/>
          <w:color w:val="auto"/>
        </w:rPr>
        <w:t>legal counsel, to comply with applicable laws, as well as to Sublicensees and prospective and current investors, pursuant to appropriate non-disclosure arrangements. If a party discloses this Agreement or any of the terms hereof in accordance with this Section 8.2, such party agrees, at its own expense, to seek confidential treatment of portions of this Agreement or such terms, as may be reasonably requested by the other party.</w:t>
      </w:r>
    </w:p>
    <w:p>
      <w:pPr>
        <w:spacing w:after="0" w:line="198"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8.3. Publicity. </w:t>
      </w:r>
      <w:r>
        <w:rPr>
          <w:rFonts w:ascii="Arial" w:cs="Arial" w:eastAsia="Arial" w:hAnsi="Arial"/>
          <w:sz w:val="17"/>
          <w:szCs w:val="17"/>
          <w:color w:val="auto"/>
        </w:rPr>
        <w:t>Without derogating from Section 8.2, BioLine may make announcements, publications, presentations and similar disclosures (i)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subject matter of this Agreement, (ii) in connection with the marketing or sale of any Licensed Products, or (iii) in respect of the progress of the exercise of the license granted hereunder without the approval of Licensor,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so doing BioLine does not disclose any Licensor Confidential Information without having obtained the prior written consent of Licensor. Except as provided in the immediately preceding sentence, no party will make any public announcement regarding this Agreement without the prior written approval of the other party.</w:t>
      </w:r>
    </w:p>
    <w:p>
      <w:pPr>
        <w:spacing w:after="0" w:line="198" w:lineRule="exact"/>
        <w:rPr>
          <w:sz w:val="20"/>
          <w:szCs w:val="20"/>
          <w:color w:val="auto"/>
        </w:rPr>
      </w:pPr>
    </w:p>
    <w:p>
      <w:pPr>
        <w:ind w:left="600" w:hanging="597"/>
        <w:spacing w:after="0"/>
        <w:tabs>
          <w:tab w:leader="none" w:pos="600"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Patent Infringement.</w:t>
      </w:r>
    </w:p>
    <w:p>
      <w:pPr>
        <w:spacing w:after="0" w:line="24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9.1</w:t>
      </w:r>
      <w:r>
        <w:rPr>
          <w:rFonts w:ascii="Arial" w:cs="Arial" w:eastAsia="Arial" w:hAnsi="Arial"/>
          <w:sz w:val="15"/>
          <w:szCs w:val="15"/>
          <w:b w:val="1"/>
          <w:bCs w:val="1"/>
          <w:color w:val="auto"/>
        </w:rPr>
        <w:t>Enforcement of Patent Rights.</w:t>
      </w:r>
    </w:p>
    <w:p>
      <w:pPr>
        <w:spacing w:after="0" w:line="242" w:lineRule="exact"/>
        <w:rPr>
          <w:sz w:val="20"/>
          <w:szCs w:val="20"/>
          <w:color w:val="auto"/>
        </w:rPr>
      </w:pPr>
    </w:p>
    <w:p>
      <w:pPr>
        <w:ind w:firstLine="1235"/>
        <w:spacing w:after="0" w:line="356" w:lineRule="auto"/>
        <w:rPr>
          <w:sz w:val="20"/>
          <w:szCs w:val="20"/>
          <w:color w:val="auto"/>
        </w:rPr>
      </w:pPr>
      <w:r>
        <w:rPr>
          <w:rFonts w:ascii="Arial" w:cs="Arial" w:eastAsia="Arial" w:hAnsi="Arial"/>
          <w:sz w:val="15"/>
          <w:szCs w:val="15"/>
          <w:b w:val="1"/>
          <w:bCs w:val="1"/>
          <w:color w:val="auto"/>
        </w:rPr>
        <w:t xml:space="preserve">9.1.1. </w:t>
      </w:r>
      <w:r>
        <w:rPr>
          <w:rFonts w:ascii="Arial" w:cs="Arial" w:eastAsia="Arial" w:hAnsi="Arial"/>
          <w:sz w:val="15"/>
          <w:szCs w:val="15"/>
          <w:i w:val="1"/>
          <w:iCs w:val="1"/>
          <w:color w:val="auto"/>
        </w:rPr>
        <w:t>Notice.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any party becomes aware of any possible or actual infringement or unauthorized possession, knowledge or use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Licensed Patents (collectively, an “</w:t>
      </w:r>
      <w:r>
        <w:rPr>
          <w:rFonts w:ascii="Arial" w:cs="Arial" w:eastAsia="Arial" w:hAnsi="Arial"/>
          <w:sz w:val="15"/>
          <w:szCs w:val="15"/>
          <w:b w:val="1"/>
          <w:bCs w:val="1"/>
          <w:color w:val="auto"/>
        </w:rPr>
        <w:t>Infringement</w:t>
      </w:r>
      <w:r>
        <w:rPr>
          <w:rFonts w:ascii="Arial" w:cs="Arial" w:eastAsia="Arial" w:hAnsi="Arial"/>
          <w:sz w:val="15"/>
          <w:szCs w:val="15"/>
          <w:color w:val="auto"/>
        </w:rPr>
        <w:t>”), that party shall promptly notify the other parties and provide them with details regarding such Infringement.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2" w:name="page433"/>
    <w:bookmarkEnd w:id="432"/>
    <w:p>
      <w:pPr>
        <w:jc w:val="both"/>
        <w:ind w:firstLine="1235"/>
        <w:spacing w:after="0" w:line="274"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i w:val="1"/>
          <w:iCs w:val="1"/>
          <w:color w:val="auto"/>
        </w:rPr>
        <w:t>Suit by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shall have the right, but not the obligation, to take action in the prosecution, prevention, or termination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Licensed Patents. Should BioLine elect to bring suit against an infringer and Licensor is joined as party plaintiff in any such suit, Licensor shall have the right to approve the counsel selected by BioLine to represent BioLine and Licensor, such approval not to be unreasonably withheld. The expenses of such suit or suits that BioLine elects to bring, including any expenses of Licensor incurred in conjunction with the prosecution of such suits or the settlement thereof, shall be paid for entirely by BioLine and BioLine shall hold Licensor free, clear and harmless from and against any and all costs of such litigation, including reasonable attorneys’ fees. BioLine shall not compromise or settle such litigation without the prior written consent of Licensor, which consent shall not be unreasonably withheld or delayed. In the event BioLine exercises its right to sue pursuant to this Section 9.1.2,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then Licensor shall receive an amount equal to [***] of such funds and the remaining [***] of such funds shall be retained by BioLine.</w:t>
      </w:r>
    </w:p>
    <w:p>
      <w:pPr>
        <w:spacing w:after="0" w:line="189" w:lineRule="exact"/>
        <w:rPr>
          <w:sz w:val="20"/>
          <w:szCs w:val="20"/>
          <w:color w:val="auto"/>
        </w:rPr>
      </w:pPr>
    </w:p>
    <w:p>
      <w:pPr>
        <w:jc w:val="both"/>
        <w:ind w:firstLine="1235"/>
        <w:spacing w:after="0" w:line="274" w:lineRule="auto"/>
        <w:rPr>
          <w:sz w:val="20"/>
          <w:szCs w:val="20"/>
          <w:color w:val="auto"/>
        </w:rPr>
      </w:pPr>
      <w:r>
        <w:rPr>
          <w:rFonts w:ascii="Arial" w:cs="Arial" w:eastAsia="Arial" w:hAnsi="Arial"/>
          <w:sz w:val="16"/>
          <w:szCs w:val="16"/>
          <w:b w:val="1"/>
          <w:bCs w:val="1"/>
          <w:color w:val="auto"/>
        </w:rPr>
        <w:t xml:space="preserve">9.1.3. </w:t>
      </w:r>
      <w:r>
        <w:rPr>
          <w:rFonts w:ascii="Arial" w:cs="Arial" w:eastAsia="Arial" w:hAnsi="Arial"/>
          <w:sz w:val="16"/>
          <w:szCs w:val="16"/>
          <w:i w:val="1"/>
          <w:iCs w:val="1"/>
          <w:color w:val="auto"/>
        </w:rPr>
        <w:t>Suit by Licensor.</w:t>
      </w:r>
      <w:r>
        <w:rPr>
          <w:rFonts w:ascii="Arial" w:cs="Arial" w:eastAsia="Arial" w:hAnsi="Arial"/>
          <w:sz w:val="16"/>
          <w:szCs w:val="16"/>
          <w:b w:val="1"/>
          <w:bCs w:val="1"/>
          <w:color w:val="auto"/>
        </w:rPr>
        <w:t xml:space="preserve"> </w:t>
      </w:r>
      <w:r>
        <w:rPr>
          <w:rFonts w:ascii="Arial" w:cs="Arial" w:eastAsia="Arial" w:hAnsi="Arial"/>
          <w:sz w:val="16"/>
          <w:szCs w:val="16"/>
          <w:color w:val="auto"/>
        </w:rPr>
        <w:t>If BioLine does not take action in the prosecution, prevention, or termination of any Infringement pursuant to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9.1.2 above, and has not commenced negotiations with the infringer for the discontinuance of said Infringement, within ninety (90) days after receipt of notice to BioLine by Licensor of the existence of an Infringement, Licensor may elect to do so. Should Licensor elect to bring suit against an infringer and BioLine is joined as party plaintiff in any such suit, BioLine shall have the right to approve the counsel selected by Licensor to represent Licensor and BioLine, such approval not to be unreasonably withheld. The expenses of such suit or suits that Licensor elects to bring, including any expenses of BioLine incurred in conjunction with the prosecution of such suits or the settlement thereof, shall be paid for entirely by Licensor and Licensor shall hold BioLine free, clear and harmless from and against any and all costs of such litigation, including reasonable attorneys’ fees. Licensor shall not compromise or settle such litigation without the prior written consent of BioLine, which consent shall not be unreasonably withheld or delayed. In the event Licensor exercise its right to sue pursuant to this Section 9.1.3, it shall first reimburse itself out of any sums recovered in such suit or in settlement thereof for all costs and expenses of every kind and character, including reasonable attorneys’ fees, necessarily involved in the prosecution of any such suit. If, after such reimbursement, any funds shall remain from said recovery, [***].</w:t>
      </w:r>
    </w:p>
    <w:p>
      <w:pPr>
        <w:spacing w:after="0" w:line="189" w:lineRule="exact"/>
        <w:rPr>
          <w:sz w:val="20"/>
          <w:szCs w:val="20"/>
          <w:color w:val="auto"/>
        </w:rPr>
      </w:pPr>
    </w:p>
    <w:p>
      <w:pPr>
        <w:jc w:val="both"/>
        <w:ind w:firstLine="1235"/>
        <w:spacing w:after="0" w:line="286" w:lineRule="auto"/>
        <w:rPr>
          <w:sz w:val="20"/>
          <w:szCs w:val="20"/>
          <w:color w:val="auto"/>
        </w:rPr>
      </w:pPr>
      <w:r>
        <w:rPr>
          <w:rFonts w:ascii="Arial" w:cs="Arial" w:eastAsia="Arial" w:hAnsi="Arial"/>
          <w:sz w:val="17"/>
          <w:szCs w:val="17"/>
          <w:b w:val="1"/>
          <w:bCs w:val="1"/>
          <w:color w:val="auto"/>
        </w:rPr>
        <w:t xml:space="preserve">9.1.4. </w:t>
      </w:r>
      <w:r>
        <w:rPr>
          <w:rFonts w:ascii="Arial" w:cs="Arial" w:eastAsia="Arial" w:hAnsi="Arial"/>
          <w:sz w:val="17"/>
          <w:szCs w:val="17"/>
          <w:i w:val="1"/>
          <w:iCs w:val="1"/>
          <w:color w:val="auto"/>
        </w:rPr>
        <w:t>Own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always have the right to be represented by counsel of its own selection and at its own expense in any suit</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instituted under this Section 9 by another party for Infringement.</w:t>
      </w:r>
    </w:p>
    <w:p>
      <w:pPr>
        <w:spacing w:after="0" w:line="177" w:lineRule="exact"/>
        <w:rPr>
          <w:sz w:val="20"/>
          <w:szCs w:val="20"/>
          <w:color w:val="auto"/>
        </w:rPr>
      </w:pPr>
    </w:p>
    <w:p>
      <w:pPr>
        <w:jc w:val="both"/>
        <w:ind w:firstLine="1235"/>
        <w:spacing w:after="0" w:line="269" w:lineRule="auto"/>
        <w:rPr>
          <w:sz w:val="20"/>
          <w:szCs w:val="20"/>
          <w:color w:val="auto"/>
        </w:rPr>
      </w:pPr>
      <w:r>
        <w:rPr>
          <w:rFonts w:ascii="Arial" w:cs="Arial" w:eastAsia="Arial" w:hAnsi="Arial"/>
          <w:sz w:val="17"/>
          <w:szCs w:val="17"/>
          <w:b w:val="1"/>
          <w:bCs w:val="1"/>
          <w:color w:val="auto"/>
        </w:rPr>
        <w:t xml:space="preserve">9.1.5. </w:t>
      </w:r>
      <w:r>
        <w:rPr>
          <w:rFonts w:ascii="Arial" w:cs="Arial" w:eastAsia="Arial" w:hAnsi="Arial"/>
          <w:sz w:val="17"/>
          <w:szCs w:val="17"/>
          <w:i w:val="1"/>
          <w:iCs w:val="1"/>
          <w:color w:val="auto"/>
        </w:rPr>
        <w:t>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agrees to cooperate fully in all reasonable respects in any action under this Section 9 which is controlled by</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party, provided that the controlling party reimburses the cooperating party promptly for any reasonable costs and expenses incurred by the cooperating party in connection with providing such assistance.</w:t>
      </w:r>
    </w:p>
    <w:p>
      <w:pPr>
        <w:spacing w:after="0" w:line="192" w:lineRule="exact"/>
        <w:rPr>
          <w:sz w:val="20"/>
          <w:szCs w:val="20"/>
          <w:color w:val="auto"/>
        </w:rPr>
      </w:pPr>
    </w:p>
    <w:p>
      <w:pPr>
        <w:jc w:val="both"/>
        <w:ind w:firstLine="1235"/>
        <w:spacing w:after="0" w:line="269" w:lineRule="auto"/>
        <w:rPr>
          <w:sz w:val="20"/>
          <w:szCs w:val="20"/>
          <w:color w:val="auto"/>
        </w:rPr>
      </w:pPr>
      <w:r>
        <w:rPr>
          <w:rFonts w:ascii="Arial" w:cs="Arial" w:eastAsia="Arial" w:hAnsi="Arial"/>
          <w:sz w:val="17"/>
          <w:szCs w:val="17"/>
          <w:b w:val="1"/>
          <w:bCs w:val="1"/>
          <w:color w:val="auto"/>
        </w:rPr>
        <w:t xml:space="preserve">9.1.6. </w:t>
      </w:r>
      <w:r>
        <w:rPr>
          <w:rFonts w:ascii="Arial" w:cs="Arial" w:eastAsia="Arial" w:hAnsi="Arial"/>
          <w:sz w:val="17"/>
          <w:szCs w:val="17"/>
          <w:i w:val="1"/>
          <w:iCs w:val="1"/>
          <w:color w:val="auto"/>
        </w:rPr>
        <w: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If a party lacks standing and the other party has standing to bring any such suit, action or proceeding, then such other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do so at the request of and at the expense of the requesting party. If the non-controlling party is joined in any such suit, action or proceeding, such party shall execute all papers and perform such other acts as may be reasonably required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198755</wp:posOffset>
            </wp:positionV>
            <wp:extent cx="147002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390" w:lineRule="exact"/>
        <w:rPr>
          <w:sz w:val="20"/>
          <w:szCs w:val="20"/>
          <w:color w:val="auto"/>
        </w:rPr>
      </w:pPr>
    </w:p>
    <w:p>
      <w:pPr>
        <w:ind w:left="5620" w:right="2360" w:hanging="5617"/>
        <w:spacing w:after="0" w:line="744" w:lineRule="auto"/>
        <w:tabs>
          <w:tab w:leader="none" w:pos="409" w:val="left"/>
        </w:tabs>
        <w:numPr>
          <w:ilvl w:val="0"/>
          <w:numId w:val="348"/>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3" w:name="page434"/>
    <w:bookmarkEnd w:id="433"/>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9.2 Legal Action against a Party. </w:t>
      </w:r>
      <w:r>
        <w:rPr>
          <w:rFonts w:ascii="Arial" w:cs="Arial" w:eastAsia="Arial" w:hAnsi="Arial"/>
          <w:sz w:val="17"/>
          <w:szCs w:val="17"/>
          <w:color w:val="auto"/>
        </w:rPr>
        <w:t>Each Party will provide the others with prompt notice of any action, suit or proceeding brought against it, alleging</w:t>
      </w:r>
      <w:r>
        <w:rPr>
          <w:rFonts w:ascii="Arial" w:cs="Arial" w:eastAsia="Arial" w:hAnsi="Arial"/>
          <w:sz w:val="17"/>
          <w:szCs w:val="17"/>
          <w:b w:val="1"/>
          <w:bCs w:val="1"/>
          <w:color w:val="auto"/>
        </w:rPr>
        <w:t xml:space="preserve"> </w:t>
      </w:r>
      <w:r>
        <w:rPr>
          <w:rFonts w:ascii="Arial" w:cs="Arial" w:eastAsia="Arial" w:hAnsi="Arial"/>
          <w:sz w:val="17"/>
          <w:szCs w:val="17"/>
          <w:color w:val="auto"/>
        </w:rPr>
        <w:t>the infringement of the intellectual property rights of a third party by reason of the discovery, development, manufacture, use, sale, importation, or offer for sale of a Licensed Product or otherwise due to the use or practice of the Licensed Technology.</w:t>
      </w:r>
    </w:p>
    <w:p>
      <w:pPr>
        <w:spacing w:after="0" w:line="192" w:lineRule="exact"/>
        <w:rPr>
          <w:sz w:val="20"/>
          <w:szCs w:val="20"/>
          <w:color w:val="auto"/>
        </w:rPr>
      </w:pPr>
    </w:p>
    <w:p>
      <w:pPr>
        <w:ind w:left="620" w:hanging="617"/>
        <w:spacing w:after="0"/>
        <w:tabs>
          <w:tab w:leader="none" w:pos="620" w:val="left"/>
        </w:tabs>
        <w:numPr>
          <w:ilvl w:val="0"/>
          <w:numId w:val="349"/>
        </w:numPr>
        <w:rPr>
          <w:rFonts w:ascii="Arial" w:cs="Arial" w:eastAsia="Arial" w:hAnsi="Arial"/>
          <w:sz w:val="17"/>
          <w:szCs w:val="17"/>
          <w:b w:val="1"/>
          <w:bCs w:val="1"/>
          <w:color w:val="auto"/>
        </w:rPr>
      </w:pPr>
      <w:r>
        <w:rPr>
          <w:rFonts w:ascii="Arial" w:cs="Arial" w:eastAsia="Arial" w:hAnsi="Arial"/>
          <w:sz w:val="17"/>
          <w:szCs w:val="17"/>
          <w:b w:val="1"/>
          <w:bCs w:val="1"/>
          <w:color w:val="auto"/>
        </w:rPr>
        <w:t>Warranties; Limitation of Liability.</w:t>
      </w:r>
    </w:p>
    <w:p>
      <w:pPr>
        <w:spacing w:after="0" w:line="241"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10.1.   Representations and Warranties.</w:t>
      </w:r>
    </w:p>
    <w:p>
      <w:pPr>
        <w:spacing w:after="0" w:line="242" w:lineRule="exact"/>
        <w:rPr>
          <w:sz w:val="20"/>
          <w:szCs w:val="20"/>
          <w:color w:val="auto"/>
        </w:rPr>
      </w:pPr>
    </w:p>
    <w:p>
      <w:pPr>
        <w:jc w:val="both"/>
        <w:ind w:firstLine="1235"/>
        <w:spacing w:after="0" w:line="298" w:lineRule="auto"/>
        <w:rPr>
          <w:sz w:val="20"/>
          <w:szCs w:val="20"/>
          <w:color w:val="auto"/>
        </w:rPr>
      </w:pPr>
      <w:r>
        <w:rPr>
          <w:rFonts w:ascii="Arial" w:cs="Arial" w:eastAsia="Arial" w:hAnsi="Arial"/>
          <w:sz w:val="15"/>
          <w:szCs w:val="15"/>
          <w:b w:val="1"/>
          <w:bCs w:val="1"/>
          <w:color w:val="auto"/>
        </w:rPr>
        <w:t xml:space="preserve">10.1.1. </w:t>
      </w:r>
      <w:r>
        <w:rPr>
          <w:rFonts w:ascii="Arial" w:cs="Arial" w:eastAsia="Arial" w:hAnsi="Arial"/>
          <w:sz w:val="15"/>
          <w:szCs w:val="15"/>
          <w:color w:val="auto"/>
        </w:rPr>
        <w:t>Licensor hereby represents and warrants that (i) it has sole and exclusive ownership of the patents and/or patent applications listed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(ii) it has not granted any rights in or to Licensed Technology that are inconsistent with the rights granted to BioLine under this Agreement;</w:t>
      </w:r>
    </w:p>
    <w:p>
      <w:pPr>
        <w:jc w:val="both"/>
        <w:ind w:firstLine="3"/>
        <w:spacing w:after="0" w:line="277" w:lineRule="auto"/>
        <w:tabs>
          <w:tab w:leader="none" w:pos="30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it has the right to grant the license granted under this Agreement free and clear of any third party rights or claims; (iv) it will not transfer, assign, grant rights to, sell, lease or otherwise dispose of or encumber the Licensed Technology other than as may be expressly permitted herein; and (v) there are no legal claims, demands, threats or proceeding of any sort by any third party against the Licensor contesting the ownership or validity of the Licensed Patents, or claiming that the practice of the Licensed Patents in the manner contemplated by this Agreement would infringe the rights of such third party.</w:t>
      </w:r>
    </w:p>
    <w:p>
      <w:pPr>
        <w:spacing w:after="0" w:line="188" w:lineRule="exact"/>
        <w:rPr>
          <w:sz w:val="20"/>
          <w:szCs w:val="20"/>
          <w:color w:val="auto"/>
        </w:rPr>
      </w:pPr>
    </w:p>
    <w:p>
      <w:pPr>
        <w:jc w:val="both"/>
        <w:ind w:firstLine="1235"/>
        <w:spacing w:after="0" w:line="261" w:lineRule="auto"/>
        <w:rPr>
          <w:sz w:val="20"/>
          <w:szCs w:val="20"/>
          <w:color w:val="auto"/>
        </w:rPr>
      </w:pPr>
      <w:r>
        <w:rPr>
          <w:rFonts w:ascii="Arial" w:cs="Arial" w:eastAsia="Arial" w:hAnsi="Arial"/>
          <w:sz w:val="17"/>
          <w:szCs w:val="17"/>
          <w:b w:val="1"/>
          <w:bCs w:val="1"/>
          <w:color w:val="auto"/>
        </w:rPr>
        <w:t xml:space="preserve">10.1.2. </w:t>
      </w:r>
      <w:r>
        <w:rPr>
          <w:rFonts w:ascii="Arial" w:cs="Arial" w:eastAsia="Arial" w:hAnsi="Arial"/>
          <w:sz w:val="17"/>
          <w:szCs w:val="17"/>
          <w:color w:val="auto"/>
        </w:rPr>
        <w:t>BioLine hereby represents and warrants that it (i) is a drug development company, (ii) has received and carefully reviewed, to its</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all the information it considers necessary or appropriate for deciding whether to enter into this Agreement, and (iii) has reached the decision to fulfill its obligations hereunder as a result of careful consideration. Without derogating from the aforementioned, BioLine further represents that it has had an opportunity to ask questions of and receive answers from Licensor regarding the intellectual property and the inventions of Licensor and has performed its independent due diligence with respect thereto after having received from Licensor the due diligence materials it requested.</w:t>
      </w:r>
    </w:p>
    <w:p>
      <w:pPr>
        <w:spacing w:after="0" w:line="19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10.2. Compliance with Law. </w:t>
      </w:r>
      <w:r>
        <w:rPr>
          <w:rFonts w:ascii="Arial" w:cs="Arial" w:eastAsia="Arial" w:hAnsi="Arial"/>
          <w:sz w:val="17"/>
          <w:szCs w:val="17"/>
          <w:color w:val="auto"/>
        </w:rPr>
        <w:t>BioLine warrants that it will comply with applicable laws and regulations relating to the development, manufacture, use,</w:t>
      </w:r>
      <w:r>
        <w:rPr>
          <w:rFonts w:ascii="Arial" w:cs="Arial" w:eastAsia="Arial" w:hAnsi="Arial"/>
          <w:sz w:val="17"/>
          <w:szCs w:val="17"/>
          <w:b w:val="1"/>
          <w:bCs w:val="1"/>
          <w:color w:val="auto"/>
        </w:rPr>
        <w:t xml:space="preserve"> </w:t>
      </w:r>
      <w:r>
        <w:rPr>
          <w:rFonts w:ascii="Arial" w:cs="Arial" w:eastAsia="Arial" w:hAnsi="Arial"/>
          <w:sz w:val="17"/>
          <w:szCs w:val="17"/>
          <w:color w:val="auto"/>
        </w:rPr>
        <w:t>and sale of Licensed Products.</w:t>
      </w:r>
    </w:p>
    <w:p>
      <w:pPr>
        <w:spacing w:after="0" w:line="177"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10.3. No Warranty</w:t>
      </w:r>
      <w:r>
        <w:rPr>
          <w:rFonts w:ascii="Arial" w:cs="Arial" w:eastAsia="Arial" w:hAnsi="Arial"/>
          <w:sz w:val="17"/>
          <w:szCs w:val="17"/>
          <w:color w:val="auto"/>
        </w:rPr>
        <w:t>. Except as otherwise expressly provided in this Agreement, neither party makes any warranty with respect to any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goods, services, rights or other subject matter of this Agreement, and each party hereby disclaims warranties of merchantability, fitness for a particular purpose and non-infringement with respect to any and all of the foregoing. It is further specifically agreed that no claim shall be made by either party against the other party (including such party’s directors, officers, employees, shareholders and agents and their respective successors, heirs and assigns) based on representations, written and/or oral, that are not specifically mentioned in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4" w:name="page435"/>
    <w:bookmarkEnd w:id="434"/>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10.4. Limitation of Liability. </w:t>
      </w:r>
      <w:r>
        <w:rPr>
          <w:rFonts w:ascii="Arial" w:cs="Arial" w:eastAsia="Arial" w:hAnsi="Arial"/>
          <w:sz w:val="17"/>
          <w:szCs w:val="17"/>
          <w:color w:val="auto"/>
        </w:rPr>
        <w:t>Notwithstanding anything else in this Agreement or otherwise, neither Licensor nor BioLine will be liable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subject matter of this Agreement under any contract, negligence, strict liability or other legal or equitable theory for (i) any indirect, incidental, consequential or punitive damages or lost profits or (ii) cost of procurement of substitute goods, technology or services.</w:t>
      </w:r>
    </w:p>
    <w:p>
      <w:pPr>
        <w:spacing w:after="0" w:line="192" w:lineRule="exact"/>
        <w:rPr>
          <w:sz w:val="20"/>
          <w:szCs w:val="20"/>
          <w:color w:val="auto"/>
        </w:rPr>
      </w:pPr>
    </w:p>
    <w:p>
      <w:pPr>
        <w:ind w:left="620" w:hanging="617"/>
        <w:spacing w:after="0"/>
        <w:tabs>
          <w:tab w:leader="none" w:pos="620" w:val="left"/>
        </w:tabs>
        <w:numPr>
          <w:ilvl w:val="0"/>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p>
    <w:p>
      <w:pPr>
        <w:spacing w:after="0" w:line="242"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 xml:space="preserve">11.1. Indemnity. </w:t>
      </w:r>
      <w:r>
        <w:rPr>
          <w:rFonts w:ascii="Arial" w:cs="Arial" w:eastAsia="Arial" w:hAnsi="Arial"/>
          <w:sz w:val="16"/>
          <w:szCs w:val="16"/>
          <w:color w:val="auto"/>
        </w:rPr>
        <w:t>BioLine shall indemnify, defend, and hold harmless Licensor, its directors, officers, employees and agents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heirs and assigns (the “</w:t>
      </w:r>
      <w:r>
        <w:rPr>
          <w:rFonts w:ascii="Arial" w:cs="Arial" w:eastAsia="Arial" w:hAnsi="Arial"/>
          <w:sz w:val="16"/>
          <w:szCs w:val="16"/>
          <w:b w:val="1"/>
          <w:bCs w:val="1"/>
          <w:color w:val="auto"/>
        </w:rPr>
        <w:t>Licensor Indemnitees</w:t>
      </w:r>
      <w:r>
        <w:rPr>
          <w:rFonts w:ascii="Arial" w:cs="Arial" w:eastAsia="Arial" w:hAnsi="Arial"/>
          <w:sz w:val="16"/>
          <w:szCs w:val="16"/>
          <w:color w:val="auto"/>
        </w:rPr>
        <w:t>”), against any liability, damage, loss, or expense (including reasonable attorneys’ fees and expenses of litigation) incurred by or imposed upon any of the Licensor Indemnitees in connection with any claims, suits, actions, demands or judgments (“</w:t>
      </w:r>
      <w:r>
        <w:rPr>
          <w:rFonts w:ascii="Arial" w:cs="Arial" w:eastAsia="Arial" w:hAnsi="Arial"/>
          <w:sz w:val="16"/>
          <w:szCs w:val="16"/>
          <w:b w:val="1"/>
          <w:bCs w:val="1"/>
          <w:color w:val="auto"/>
        </w:rPr>
        <w:t>Claims</w:t>
      </w:r>
      <w:r>
        <w:rPr>
          <w:rFonts w:ascii="Arial" w:cs="Arial" w:eastAsia="Arial" w:hAnsi="Arial"/>
          <w:sz w:val="16"/>
          <w:szCs w:val="16"/>
          <w:color w:val="auto"/>
        </w:rPr>
        <w:t xml:space="preserve">”) arising out of any theory of liability (including without limitation actions in the form of tort, warranty, or strict liability and regardless of whether such action has any factual basis) concerning the use of any Licensed Technology by BioLine, or any of its Affiliates or Sublicensees, or concerning any product, process, or service that is made, used, or sold pursuant to any right or license granted by Licensor to BioLine under this Agreement (except in cases where, and to the extent that, such claims, suits, actions, demands or judgments result from the negligence or willful misconduct on the part of any of the Licensor Indemnitees in which case Licensor shall indemnify BioLine and the provisions hereof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91" w:lineRule="exact"/>
        <w:rPr>
          <w:sz w:val="20"/>
          <w:szCs w:val="20"/>
          <w:color w:val="auto"/>
        </w:rPr>
      </w:pPr>
    </w:p>
    <w:p>
      <w:pPr>
        <w:jc w:val="both"/>
        <w:ind w:firstLine="617"/>
        <w:spacing w:after="0" w:line="256" w:lineRule="auto"/>
        <w:rPr>
          <w:sz w:val="20"/>
          <w:szCs w:val="20"/>
          <w:color w:val="auto"/>
        </w:rPr>
      </w:pPr>
      <w:r>
        <w:rPr>
          <w:rFonts w:ascii="Arial" w:cs="Arial" w:eastAsia="Arial" w:hAnsi="Arial"/>
          <w:sz w:val="17"/>
          <w:szCs w:val="17"/>
          <w:b w:val="1"/>
          <w:bCs w:val="1"/>
          <w:color w:val="auto"/>
        </w:rPr>
        <w:t xml:space="preserve">11.2. Procedures. </w:t>
      </w:r>
      <w:r>
        <w:rPr>
          <w:rFonts w:ascii="Arial" w:cs="Arial" w:eastAsia="Arial" w:hAnsi="Arial"/>
          <w:sz w:val="17"/>
          <w:szCs w:val="17"/>
          <w:color w:val="auto"/>
        </w:rPr>
        <w:t>If any Licensor Indemnitee receives notice of any Claim, Licensor shall, as promptly as is reasonably possible, give BioLine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Claim;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failure to give such notice promptly shall only relieve BioLine of any indemnification obligation it may have hereunder to the extent such failure diminishes the ability of BioLine to respond to or to defend the Licensor Indemnitee against such Claim. Licensor and BioLine shall consult and cooperate with each other regarding the response to and the defense of any such Claim and BioLine shall, upon its acknowledgment in writing of its obligation to indemnify the Licensor Indemnitee, be entitled to and shall assume the defense or represent the interests of the Licensor Indemnitee in respect of such Claim, that shall include the right to select and direct legal counsel and other consultants to appear in proceedings on behalf of the Licensor Indemnitee and to propose, accept or reject offers of settlement, all at its sole cost;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settlement shall be made without the written consent of the Licensor Indemnitee, such consent not to be unreasonably withheld. Nothing herein shall prevent the Licensor Indemnitee from retaining its own counsel and participating in its own defense at its own cost and expense.</w:t>
      </w:r>
    </w:p>
    <w:p>
      <w:pPr>
        <w:spacing w:after="0" w:line="20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11.3. Insurance. </w:t>
      </w:r>
      <w:r>
        <w:rPr>
          <w:rFonts w:ascii="Arial" w:cs="Arial" w:eastAsia="Arial" w:hAnsi="Arial"/>
          <w:sz w:val="17"/>
          <w:szCs w:val="17"/>
          <w:color w:val="auto"/>
        </w:rPr>
        <w:t>BioLine shall maintain insurance that is reasonably adequate to fulfill any potential obligation to the Licensor Indemnitees 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industry standards. BioLine shall provide Licensor, upon request, with written evidence of such insurance.</w:t>
      </w:r>
    </w:p>
    <w:p>
      <w:pPr>
        <w:spacing w:after="0" w:line="177" w:lineRule="exact"/>
        <w:rPr>
          <w:sz w:val="20"/>
          <w:szCs w:val="20"/>
          <w:color w:val="auto"/>
        </w:rPr>
      </w:pPr>
    </w:p>
    <w:p>
      <w:pPr>
        <w:ind w:left="620" w:hanging="617"/>
        <w:spacing w:after="0"/>
        <w:tabs>
          <w:tab w:leader="none" w:pos="620"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12.1. Term. </w:t>
      </w:r>
      <w:r>
        <w:rPr>
          <w:rFonts w:ascii="Arial" w:cs="Arial" w:eastAsia="Arial" w:hAnsi="Arial"/>
          <w:sz w:val="17"/>
          <w:szCs w:val="17"/>
          <w:color w:val="auto"/>
        </w:rPr>
        <w:t>The term of this Agreement shall commence on the Effective Date and, unless earlier terminated as provided in this Section 12,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in full force and effect on a Licensed Product-by-Licensed Product and country-by-country basis until the expiration of all payment obligations pursuant to Section 6 for such Licensed Product.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5" w:name="page436"/>
    <w:bookmarkEnd w:id="435"/>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12.2. Effect of Expiration. </w:t>
      </w:r>
      <w:r>
        <w:rPr>
          <w:rFonts w:ascii="Arial" w:cs="Arial" w:eastAsia="Arial" w:hAnsi="Arial"/>
          <w:sz w:val="17"/>
          <w:szCs w:val="17"/>
          <w:color w:val="auto"/>
        </w:rPr>
        <w:t>Following the expiration of this Agreement pursuant to Section 12.1 (and provided the Agreement has not been earlier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pursuant to Section12.3, in which case Section 12.4.1 shall apply), BioLine shall have a fully-paid up, non-exclusive, worldwide license (with the right to grant sublicenses) under the Licensed Technology to research, have researched, develop, have developed, manufacture, have manufactured, use, market, distribute, offer for sale, sell, have sold, export and import Licensed Products and/or provide services relating thereto.</w:t>
      </w:r>
    </w:p>
    <w:p>
      <w:pPr>
        <w:spacing w:after="0" w:line="198"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5"/>
          <w:szCs w:val="15"/>
          <w:b w:val="1"/>
          <w:bCs w:val="1"/>
          <w:color w:val="auto"/>
        </w:rPr>
        <w:t>Termination.</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12.3.1.  </w:t>
      </w:r>
      <w:r>
        <w:rPr>
          <w:rFonts w:ascii="Arial" w:cs="Arial" w:eastAsia="Arial" w:hAnsi="Arial"/>
          <w:sz w:val="17"/>
          <w:szCs w:val="17"/>
          <w:i w:val="1"/>
          <w:iCs w:val="1"/>
          <w:color w:val="auto"/>
        </w:rPr>
        <w:t>Termination Without Cause and for Scientific, Regulatory or Medical Reasons.</w:t>
      </w:r>
    </w:p>
    <w:p>
      <w:pPr>
        <w:spacing w:after="0" w:line="242" w:lineRule="exact"/>
        <w:rPr>
          <w:sz w:val="20"/>
          <w:szCs w:val="20"/>
          <w:color w:val="auto"/>
        </w:rPr>
      </w:pPr>
    </w:p>
    <w:p>
      <w:pPr>
        <w:jc w:val="both"/>
        <w:ind w:firstLine="1852"/>
        <w:spacing w:after="0" w:line="259" w:lineRule="auto"/>
        <w:rPr>
          <w:sz w:val="20"/>
          <w:szCs w:val="20"/>
          <w:color w:val="auto"/>
        </w:rPr>
      </w:pPr>
      <w:r>
        <w:rPr>
          <w:rFonts w:ascii="Arial" w:cs="Arial" w:eastAsia="Arial" w:hAnsi="Arial"/>
          <w:sz w:val="17"/>
          <w:szCs w:val="17"/>
          <w:b w:val="1"/>
          <w:bCs w:val="1"/>
          <w:color w:val="auto"/>
        </w:rPr>
        <w:t xml:space="preserve">12.3.1.1. </w:t>
      </w:r>
      <w:r>
        <w:rPr>
          <w:rFonts w:ascii="Arial" w:cs="Arial" w:eastAsia="Arial" w:hAnsi="Arial"/>
          <w:sz w:val="17"/>
          <w:szCs w:val="17"/>
          <w:color w:val="auto"/>
        </w:rPr>
        <w:t>BioLine may terminate this Agreement without cause upon thirty (30) days prior written notice to Licensor;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in the event that BioLine exercises such right prior to the completion of the Trial, BioLine shall pay for the completion of the Trial;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total amount that BioLine shall be obligated to pay in respect of the Trial (including amounts spent by BioLine prior to the exercise of the termination right hereunder, but excluding the Licensee Fee mentioned in Section 6.1) shall in no event exceed the sum of six hundred thousand United States Dollars (US $600,000). For the avoidance of doubt, BioLine shall not be obligated to pay any amounts hereunder in the event that BioLine terminates the Agreement pursuant to this subsection 12.3.1.1 after the completion of the Trial.</w:t>
      </w:r>
    </w:p>
    <w:p>
      <w:pPr>
        <w:spacing w:after="0" w:line="201" w:lineRule="exact"/>
        <w:rPr>
          <w:sz w:val="20"/>
          <w:szCs w:val="20"/>
          <w:color w:val="auto"/>
        </w:rPr>
      </w:pPr>
    </w:p>
    <w:p>
      <w:pPr>
        <w:jc w:val="both"/>
        <w:ind w:firstLine="1852"/>
        <w:spacing w:after="0" w:line="256" w:lineRule="auto"/>
        <w:rPr>
          <w:sz w:val="20"/>
          <w:szCs w:val="20"/>
          <w:color w:val="auto"/>
        </w:rPr>
      </w:pPr>
      <w:r>
        <w:rPr>
          <w:rFonts w:ascii="Arial" w:cs="Arial" w:eastAsia="Arial" w:hAnsi="Arial"/>
          <w:sz w:val="17"/>
          <w:szCs w:val="17"/>
          <w:b w:val="1"/>
          <w:bCs w:val="1"/>
          <w:color w:val="auto"/>
        </w:rPr>
        <w:t xml:space="preserve">12.3.1.2. </w:t>
      </w:r>
      <w:r>
        <w:rPr>
          <w:rFonts w:ascii="Arial" w:cs="Arial" w:eastAsia="Arial" w:hAnsi="Arial"/>
          <w:sz w:val="17"/>
          <w:szCs w:val="17"/>
          <w:color w:val="auto"/>
        </w:rPr>
        <w:t>BioLine may terminate this Agreement at any time upon sixty (60) days’ prior written notice to Licensor for scientific,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or medical reasons which would prevent BioLine from continuing the development of the Licensed Technology pursuant to the Development Plan as may be determined by BioLine’s Scientific Advisory Board (“</w:t>
      </w:r>
      <w:r>
        <w:rPr>
          <w:rFonts w:ascii="Arial" w:cs="Arial" w:eastAsia="Arial" w:hAnsi="Arial"/>
          <w:sz w:val="17"/>
          <w:szCs w:val="17"/>
          <w:b w:val="1"/>
          <w:bCs w:val="1"/>
          <w:color w:val="auto"/>
        </w:rPr>
        <w:t>SAB</w:t>
      </w:r>
      <w:r>
        <w:rPr>
          <w:rFonts w:ascii="Arial" w:cs="Arial" w:eastAsia="Arial" w:hAnsi="Arial"/>
          <w:sz w:val="17"/>
          <w:szCs w:val="17"/>
          <w:color w:val="auto"/>
        </w:rPr>
        <w:t>”). Prior to the exercise of such right, Licensor shall have the right to present orally and/or in writing its opinion regarding the proposed termination to the SAB and offer its solutions for the obstacles and/or problems raised by the SAB. For the purpose of preparing for its presentation to the SAB, Licensor may contract with an independent expert to assist with such preparation and such expert shall have the right to present before the SAB. BioLine agrees to contribute up to [***] to offset any documented costs directly incurred by Licensor in retaining such expert against presentation of appropriate invoices. It is specifically agreed between the parties that in the event that BioLine terminates the Agreement pursuant to this subsection 12.3.1.2, regardless of whether such termination occurs prior to the completion of the Trial, BioLine shall not be obligated to pay any amounts in respect of the completion of the Trial.</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12.3.2.  </w:t>
      </w:r>
      <w:r>
        <w:rPr>
          <w:rFonts w:ascii="Arial" w:cs="Arial" w:eastAsia="Arial" w:hAnsi="Arial"/>
          <w:sz w:val="17"/>
          <w:szCs w:val="17"/>
          <w:i w:val="1"/>
          <w:iCs w:val="1"/>
          <w:color w:val="auto"/>
        </w:rPr>
        <w:t>Termination for Default.</w:t>
      </w:r>
    </w:p>
    <w:p>
      <w:pPr>
        <w:spacing w:after="0" w:line="242" w:lineRule="exact"/>
        <w:rPr>
          <w:sz w:val="20"/>
          <w:szCs w:val="20"/>
          <w:color w:val="auto"/>
        </w:rPr>
      </w:pPr>
    </w:p>
    <w:p>
      <w:pPr>
        <w:jc w:val="both"/>
        <w:ind w:firstLine="1852"/>
        <w:spacing w:after="0" w:line="261" w:lineRule="auto"/>
        <w:rPr>
          <w:sz w:val="20"/>
          <w:szCs w:val="20"/>
          <w:color w:val="auto"/>
        </w:rPr>
      </w:pPr>
      <w:r>
        <w:rPr>
          <w:rFonts w:ascii="Arial" w:cs="Arial" w:eastAsia="Arial" w:hAnsi="Arial"/>
          <w:sz w:val="17"/>
          <w:szCs w:val="17"/>
          <w:b w:val="1"/>
          <w:bCs w:val="1"/>
          <w:color w:val="auto"/>
        </w:rPr>
        <w:t xml:space="preserve">12.3.2.1. </w:t>
      </w:r>
      <w:r>
        <w:rPr>
          <w:rFonts w:ascii="Arial" w:cs="Arial" w:eastAsia="Arial" w:hAnsi="Arial"/>
          <w:sz w:val="17"/>
          <w:szCs w:val="17"/>
          <w:color w:val="auto"/>
        </w:rPr>
        <w:t>In the event that BioLine commits a material breach of its obligations under this Agreement and fails to cure that breach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thirty (30) days after receiving written notice thereof from Licensor, Licensor may terminate this Agreement immediately upon written notice to BioLine. Notwithstanding the foregoing, in the event that any breach is not susceptible of cure within the stated period and BioLine uses diligent good faith efforts to cure such breach, the stated period will be extended by an additional thirty (30) days. In the event of an uncured material breach by BioLine, Licensor may elect not to terminate this Agreement but, instead, to sue BioLine for damages arising from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202565</wp:posOffset>
            </wp:positionV>
            <wp:extent cx="147002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396" w:lineRule="exact"/>
        <w:rPr>
          <w:sz w:val="20"/>
          <w:szCs w:val="20"/>
          <w:color w:val="auto"/>
        </w:rPr>
      </w:pPr>
    </w:p>
    <w:p>
      <w:pPr>
        <w:ind w:left="5620" w:right="2360" w:hanging="5617"/>
        <w:spacing w:after="0" w:line="744" w:lineRule="auto"/>
        <w:tabs>
          <w:tab w:leader="none" w:pos="409" w:val="left"/>
        </w:tabs>
        <w:numPr>
          <w:ilvl w:val="0"/>
          <w:numId w:val="353"/>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6" w:name="page437"/>
    <w:bookmarkEnd w:id="436"/>
    <w:p>
      <w:pPr>
        <w:jc w:val="both"/>
        <w:ind w:firstLine="1852"/>
        <w:spacing w:after="0" w:line="259" w:lineRule="auto"/>
        <w:rPr>
          <w:sz w:val="20"/>
          <w:szCs w:val="20"/>
          <w:color w:val="auto"/>
        </w:rPr>
      </w:pPr>
      <w:r>
        <w:rPr>
          <w:rFonts w:ascii="Arial" w:cs="Arial" w:eastAsia="Arial" w:hAnsi="Arial"/>
          <w:sz w:val="17"/>
          <w:szCs w:val="17"/>
          <w:b w:val="1"/>
          <w:bCs w:val="1"/>
          <w:color w:val="auto"/>
        </w:rPr>
        <w:t xml:space="preserve">12.3.2.2. </w:t>
      </w:r>
      <w:r>
        <w:rPr>
          <w:rFonts w:ascii="Arial" w:cs="Arial" w:eastAsia="Arial" w:hAnsi="Arial"/>
          <w:sz w:val="17"/>
          <w:szCs w:val="17"/>
          <w:color w:val="auto"/>
        </w:rPr>
        <w:t>In the event that Licensor commits a material breach of its obligations under this Agreement and fails to cure that breach or</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within thirty (30) days after receiving written notice thereof from BioLine, BioLine may terminate this Agreement immediately upon written notice to Licensor. Notwithstanding the foregoing, in the event that any breach or default is not susceptible of cure within the stated period and Licensor uses diligent good faith efforts to cure such breach or default during the initial thirty (30) day cure period, the stated period will be extended by an additional thirty (30) days. In the event of an uncured material breach by Licensor, BioLine may elect not to terminate this Agreement but, instead, to sue Licensor for damages arising from such breach.</w:t>
      </w:r>
    </w:p>
    <w:p>
      <w:pPr>
        <w:spacing w:after="0" w:line="20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12.3.3.  </w:t>
      </w:r>
      <w:r>
        <w:rPr>
          <w:rFonts w:ascii="Arial" w:cs="Arial" w:eastAsia="Arial" w:hAnsi="Arial"/>
          <w:sz w:val="17"/>
          <w:szCs w:val="17"/>
          <w:i w:val="1"/>
          <w:iCs w:val="1"/>
          <w:color w:val="auto"/>
        </w:rPr>
        <w:t>Bankruptcy.</w:t>
      </w:r>
    </w:p>
    <w:p>
      <w:pPr>
        <w:spacing w:after="0" w:line="242" w:lineRule="exact"/>
        <w:rPr>
          <w:sz w:val="20"/>
          <w:szCs w:val="20"/>
          <w:color w:val="auto"/>
        </w:rPr>
      </w:pPr>
    </w:p>
    <w:p>
      <w:pPr>
        <w:jc w:val="both"/>
        <w:ind w:firstLine="1852"/>
        <w:spacing w:after="0" w:line="261" w:lineRule="auto"/>
        <w:rPr>
          <w:sz w:val="20"/>
          <w:szCs w:val="20"/>
          <w:color w:val="auto"/>
        </w:rPr>
      </w:pPr>
      <w:r>
        <w:rPr>
          <w:rFonts w:ascii="Arial" w:cs="Arial" w:eastAsia="Arial" w:hAnsi="Arial"/>
          <w:sz w:val="17"/>
          <w:szCs w:val="17"/>
          <w:b w:val="1"/>
          <w:bCs w:val="1"/>
          <w:color w:val="auto"/>
        </w:rPr>
        <w:t xml:space="preserve">12.3.3.1. </w:t>
      </w:r>
      <w:r>
        <w:rPr>
          <w:rFonts w:ascii="Arial" w:cs="Arial" w:eastAsia="Arial" w:hAnsi="Arial"/>
          <w:sz w:val="17"/>
          <w:szCs w:val="17"/>
          <w:color w:val="auto"/>
        </w:rPr>
        <w:t>Either BioLine or Licensor may terminate this Agreement upon notice to the other if the other party becomes insolvent, is</w:t>
      </w:r>
      <w:r>
        <w:rPr>
          <w:rFonts w:ascii="Arial" w:cs="Arial" w:eastAsia="Arial" w:hAnsi="Arial"/>
          <w:sz w:val="17"/>
          <w:szCs w:val="17"/>
          <w:b w:val="1"/>
          <w:bCs w:val="1"/>
          <w:color w:val="auto"/>
        </w:rPr>
        <w:t xml:space="preserve"> </w:t>
      </w:r>
      <w:r>
        <w:rPr>
          <w:rFonts w:ascii="Arial" w:cs="Arial" w:eastAsia="Arial" w:hAnsi="Arial"/>
          <w:sz w:val="17"/>
          <w:szCs w:val="17"/>
          <w:color w:val="auto"/>
        </w:rPr>
        <w:t>adjudged 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ninety (90) days, or if the other party becomes the subject of liquidation or dissolution proceedings or otherwise discontinues business.</w:t>
      </w:r>
    </w:p>
    <w:p>
      <w:pPr>
        <w:spacing w:after="0" w:line="198" w:lineRule="exact"/>
        <w:rPr>
          <w:sz w:val="20"/>
          <w:szCs w:val="20"/>
          <w:color w:val="auto"/>
        </w:rPr>
      </w:pPr>
    </w:p>
    <w:p>
      <w:pPr>
        <w:jc w:val="both"/>
        <w:ind w:firstLine="1852"/>
        <w:spacing w:after="0" w:line="269" w:lineRule="auto"/>
        <w:rPr>
          <w:sz w:val="20"/>
          <w:szCs w:val="20"/>
          <w:color w:val="auto"/>
        </w:rPr>
      </w:pPr>
      <w:r>
        <w:rPr>
          <w:rFonts w:ascii="Arial" w:cs="Arial" w:eastAsia="Arial" w:hAnsi="Arial"/>
          <w:sz w:val="17"/>
          <w:szCs w:val="17"/>
          <w:b w:val="1"/>
          <w:bCs w:val="1"/>
          <w:color w:val="auto"/>
        </w:rPr>
        <w:t xml:space="preserve">12.3.3.2. </w:t>
      </w:r>
      <w:r>
        <w:rPr>
          <w:rFonts w:ascii="Arial" w:cs="Arial" w:eastAsia="Arial" w:hAnsi="Arial"/>
          <w:sz w:val="17"/>
          <w:szCs w:val="17"/>
          <w:color w:val="auto"/>
        </w:rPr>
        <w:t>Notwithstanding the foregoing, in the event a receiver or trustee (or the like) is appointed or BioLine has entered into a settlement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its creditors and BioLine is otherwise meeting its obligations pursuant to this Agreement, Licensor shall not be entitled to terminate this Agreement as contemplated under Section 12.3.3.1 during such period.</w:t>
      </w:r>
    </w:p>
    <w:p>
      <w:pPr>
        <w:spacing w:after="0" w:line="19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5"/>
          <w:szCs w:val="15"/>
          <w:b w:val="1"/>
          <w:bCs w:val="1"/>
          <w:color w:val="auto"/>
        </w:rPr>
        <w:t>Effect of Termination.</w:t>
      </w:r>
    </w:p>
    <w:p>
      <w:pPr>
        <w:spacing w:after="0" w:line="242" w:lineRule="exact"/>
        <w:rPr>
          <w:sz w:val="20"/>
          <w:szCs w:val="20"/>
          <w:color w:val="auto"/>
        </w:rPr>
      </w:pPr>
    </w:p>
    <w:p>
      <w:pPr>
        <w:jc w:val="both"/>
        <w:ind w:firstLine="1235"/>
        <w:spacing w:after="0" w:line="274" w:lineRule="auto"/>
        <w:rPr>
          <w:sz w:val="20"/>
          <w:szCs w:val="20"/>
          <w:color w:val="auto"/>
        </w:rPr>
      </w:pPr>
      <w:r>
        <w:rPr>
          <w:rFonts w:ascii="Arial" w:cs="Arial" w:eastAsia="Arial" w:hAnsi="Arial"/>
          <w:sz w:val="16"/>
          <w:szCs w:val="16"/>
          <w:b w:val="1"/>
          <w:bCs w:val="1"/>
          <w:color w:val="auto"/>
        </w:rPr>
        <w:t xml:space="preserve">12.4.1. </w:t>
      </w:r>
      <w:r>
        <w:rPr>
          <w:rFonts w:ascii="Arial" w:cs="Arial" w:eastAsia="Arial" w:hAnsi="Arial"/>
          <w:sz w:val="16"/>
          <w:szCs w:val="16"/>
          <w:i w:val="1"/>
          <w:iCs w:val="1"/>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by BioLine pursuant to Section 12.3.1, 12.3.2 or 12.3.3 hereof, or by Licensor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Sections 12.3.2 or 12.3.3 hereof (except in the circumstances set out in Section 12.3.3.2): (a) the rights and licenses granted to BioLine under Section 2 shall terminate; (b) all rights in and to the Licensed Technology shall revert to Licensor and BioLine shall not be entitled to make any further use whatsoever of the Licensed Technology nor shall BioLine research, develop, manufacture, use, market, distribute, offer for sale, sell, export or import Licensed Products and/or provide services relating thereto; and (c) any existing agreements that contain a sublicense of the Licensed Technology shall terminate to the extent of such sublicense;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each Sublicensee, upon termination of the sublicense agreement with such Sublicensee, Licensor shall be obligated, at the request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Sublicensee, to enter into a new license agreement with such Sublicensee on substantially the same terms as those contained in such Sublicense agreement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such terms shall be amended, if necessary, to the extent required to ensure that such sublicense agreement does not impose any obligations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on Licensor which are not included in this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37" w:name="page438"/>
    <w:bookmarkEnd w:id="437"/>
    <w:p>
      <w:pPr>
        <w:jc w:val="both"/>
        <w:ind w:firstLine="1235"/>
        <w:spacing w:after="0" w:line="256" w:lineRule="auto"/>
        <w:rPr>
          <w:sz w:val="20"/>
          <w:szCs w:val="20"/>
          <w:color w:val="auto"/>
        </w:rPr>
      </w:pPr>
      <w:r>
        <w:rPr>
          <w:rFonts w:ascii="Arial" w:cs="Arial" w:eastAsia="Arial" w:hAnsi="Arial"/>
          <w:sz w:val="17"/>
          <w:szCs w:val="17"/>
          <w:b w:val="1"/>
          <w:bCs w:val="1"/>
          <w:color w:val="auto"/>
        </w:rPr>
        <w:t xml:space="preserve">12.4.2 </w:t>
      </w:r>
      <w:r>
        <w:rPr>
          <w:rFonts w:ascii="Arial" w:cs="Arial" w:eastAsia="Arial" w:hAnsi="Arial"/>
          <w:sz w:val="17"/>
          <w:szCs w:val="17"/>
          <w:i w:val="1"/>
          <w:iCs w:val="1"/>
          <w:color w:val="auto"/>
        </w:rPr>
        <w:t>Transfer of Development Results</w:t>
      </w:r>
      <w:r>
        <w:rPr>
          <w:rFonts w:ascii="Arial" w:cs="Arial" w:eastAsia="Arial" w:hAnsi="Arial"/>
          <w:sz w:val="17"/>
          <w:szCs w:val="17"/>
          <w:color w:val="auto"/>
        </w:rPr>
        <w:t>. In the event BioLine terminates this Agreement pursuant to Section 12.3.1 or Licensor terminates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pursuant to Sections 12.3.2 or 12.3.3 hereof (except in the circumstances set out in Section 12.3.3.2), BioLine shall promptly transfer and assign to Licensor all Development Results and all right, title and interest therein; </w:t>
      </w:r>
      <w:r>
        <w:rPr>
          <w:rFonts w:ascii="Arial" w:cs="Arial" w:eastAsia="Arial" w:hAnsi="Arial"/>
          <w:sz w:val="17"/>
          <w:szCs w:val="17"/>
          <w:i w:val="1"/>
          <w:iCs w:val="1"/>
          <w:color w:val="auto"/>
        </w:rPr>
        <w:t>subject, however</w:t>
      </w:r>
      <w:r>
        <w:rPr>
          <w:rFonts w:ascii="Arial" w:cs="Arial" w:eastAsia="Arial" w:hAnsi="Arial"/>
          <w:sz w:val="17"/>
          <w:szCs w:val="17"/>
          <w:color w:val="auto"/>
        </w:rPr>
        <w:t>, to any conditions preventing or governing such transfer and assignment set out in the applicable laws and regulations governing the Grants received by BioLine and used in generation of the Development Results, (“</w:t>
      </w:r>
      <w:r>
        <w:rPr>
          <w:rFonts w:ascii="Arial" w:cs="Arial" w:eastAsia="Arial" w:hAnsi="Arial"/>
          <w:sz w:val="17"/>
          <w:szCs w:val="17"/>
          <w:b w:val="1"/>
          <w:bCs w:val="1"/>
          <w:color w:val="auto"/>
        </w:rPr>
        <w:t>Grant 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in which case BioLine will not be required to transfer and assign the Development Results as contemplated above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unless and until</w:t>
      </w:r>
      <w:r>
        <w:rPr>
          <w:rFonts w:ascii="Arial" w:cs="Arial" w:eastAsia="Arial" w:hAnsi="Arial"/>
          <w:sz w:val="17"/>
          <w:szCs w:val="17"/>
          <w:b w:val="1"/>
          <w:bCs w:val="1"/>
          <w:color w:val="auto"/>
        </w:rPr>
        <w:t xml:space="preserve"> </w:t>
      </w:r>
      <w:r>
        <w:rPr>
          <w:rFonts w:ascii="Arial" w:cs="Arial" w:eastAsia="Arial" w:hAnsi="Arial"/>
          <w:sz w:val="17"/>
          <w:szCs w:val="17"/>
          <w:color w:val="auto"/>
        </w:rPr>
        <w:t>Licensor either (i)</w:t>
      </w:r>
      <w:r>
        <w:rPr>
          <w:rFonts w:ascii="Arial" w:cs="Arial" w:eastAsia="Arial" w:hAnsi="Arial"/>
          <w:sz w:val="17"/>
          <w:szCs w:val="17"/>
          <w:b w:val="1"/>
          <w:bCs w:val="1"/>
          <w:color w:val="auto"/>
        </w:rPr>
        <w:t xml:space="preserve"> </w:t>
      </w:r>
      <w:r>
        <w:rPr>
          <w:rFonts w:ascii="Arial" w:cs="Arial" w:eastAsia="Arial" w:hAnsi="Arial"/>
          <w:sz w:val="17"/>
          <w:szCs w:val="17"/>
          <w:color w:val="auto"/>
        </w:rPr>
        <w:t>agrees in writing to assume all obligations required by the Grant Transfer Conditions, or (ii) reaches another arrangement with the grantors of the Grants which absolves BioLine of any liability to such grantors with respect to the transfer and/or assignment of the Development Results. In the event that the Development Results are transferred and assigned to Licensor as set out above, BioLine shall receive a perpetual carried interest in the commercial proceeds of the exploitation of the Licensed Technology as follows: [***]</w:t>
      </w:r>
    </w:p>
    <w:p>
      <w:pPr>
        <w:spacing w:after="0" w:line="207" w:lineRule="exact"/>
        <w:rPr>
          <w:sz w:val="20"/>
          <w:szCs w:val="20"/>
          <w:color w:val="auto"/>
        </w:rPr>
      </w:pPr>
    </w:p>
    <w:p>
      <w:pPr>
        <w:jc w:val="both"/>
        <w:ind w:firstLine="1235"/>
        <w:spacing w:after="0" w:line="286" w:lineRule="auto"/>
        <w:rPr>
          <w:sz w:val="20"/>
          <w:szCs w:val="20"/>
          <w:color w:val="auto"/>
        </w:rPr>
      </w:pPr>
      <w:r>
        <w:rPr>
          <w:rFonts w:ascii="Arial" w:cs="Arial" w:eastAsia="Arial" w:hAnsi="Arial"/>
          <w:sz w:val="17"/>
          <w:szCs w:val="17"/>
          <w:b w:val="1"/>
          <w:bCs w:val="1"/>
          <w:color w:val="auto"/>
        </w:rPr>
        <w:t xml:space="preserve">12.4.3. </w:t>
      </w:r>
      <w:r>
        <w:rPr>
          <w:rFonts w:ascii="Arial" w:cs="Arial" w:eastAsia="Arial" w:hAnsi="Arial"/>
          <w:sz w:val="17"/>
          <w:szCs w:val="17"/>
          <w:i w:val="1"/>
          <w:iCs w:val="1"/>
          <w:color w:val="auto"/>
        </w:rPr>
        <w:t>Accruing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this Agreement shall not relieve the parties of obligations occurring prior to such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obligations to pay amounts accruing hereunder up to the date of termination.</w:t>
      </w:r>
    </w:p>
    <w:p>
      <w:pPr>
        <w:spacing w:after="0" w:line="177" w:lineRule="exact"/>
        <w:rPr>
          <w:sz w:val="20"/>
          <w:szCs w:val="20"/>
          <w:color w:val="auto"/>
        </w:rPr>
      </w:pPr>
    </w:p>
    <w:p>
      <w:pPr>
        <w:jc w:val="both"/>
        <w:ind w:firstLine="617"/>
        <w:spacing w:after="0" w:line="319" w:lineRule="auto"/>
        <w:rPr>
          <w:sz w:val="20"/>
          <w:szCs w:val="20"/>
          <w:color w:val="auto"/>
        </w:rPr>
      </w:pPr>
      <w:r>
        <w:rPr>
          <w:rFonts w:ascii="Arial" w:cs="Arial" w:eastAsia="Arial" w:hAnsi="Arial"/>
          <w:sz w:val="16"/>
          <w:szCs w:val="16"/>
          <w:b w:val="1"/>
          <w:bCs w:val="1"/>
          <w:color w:val="auto"/>
        </w:rPr>
        <w:t xml:space="preserve">12.5. Survival. </w:t>
      </w:r>
      <w:r>
        <w:rPr>
          <w:rFonts w:ascii="Arial" w:cs="Arial" w:eastAsia="Arial" w:hAnsi="Arial"/>
          <w:sz w:val="16"/>
          <w:szCs w:val="16"/>
          <w:color w:val="auto"/>
        </w:rPr>
        <w:t>The parties’ respective rights, obligations and duties under Sections 8, 10.2, 10.4, 11, 12 and 13, as well as any rights, obligations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duties which by their nature extend beyond the expiration or termination of this Agreement, shall survive any expiration or termination of this Agreement.</w:t>
      </w:r>
    </w:p>
    <w:p>
      <w:pPr>
        <w:spacing w:after="0" w:line="154" w:lineRule="exact"/>
        <w:rPr>
          <w:sz w:val="20"/>
          <w:szCs w:val="20"/>
          <w:color w:val="auto"/>
        </w:rPr>
      </w:pPr>
    </w:p>
    <w:p>
      <w:pPr>
        <w:ind w:left="620" w:hanging="617"/>
        <w:spacing w:after="0"/>
        <w:tabs>
          <w:tab w:leader="none" w:pos="62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13.1. Entire Agreement. </w:t>
      </w:r>
      <w:r>
        <w:rPr>
          <w:rFonts w:ascii="Arial" w:cs="Arial" w:eastAsia="Arial" w:hAnsi="Arial"/>
          <w:sz w:val="17"/>
          <w:szCs w:val="17"/>
          <w:color w:val="auto"/>
        </w:rPr>
        <w:t>This Agreement (together with all schedules and exhibits attached hereto, which constitute an integral part of the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is the sole agreement with respect to the subject matter hereof and, except as expressly set forth herein, supersedes all other agreements and understandings between the parties with respect to same.</w:t>
      </w:r>
    </w:p>
    <w:p>
      <w:pPr>
        <w:spacing w:after="0" w:line="19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13.2. Notices. </w:t>
      </w:r>
      <w:r>
        <w:rPr>
          <w:rFonts w:ascii="Arial" w:cs="Arial" w:eastAsia="Arial" w:hAnsi="Arial"/>
          <w:sz w:val="17"/>
          <w:szCs w:val="17"/>
          <w:color w:val="auto"/>
        </w:rPr>
        <w:t>Unless otherwise specifically provided, all notices required or permitted by this Agreement shall be in writing and may be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may be sent by facsimile or certified mail, return receipt requested, to the following addresses, unless the parties are subsequently notified of any change of address in accordance with this Section 13.2:</w:t>
      </w:r>
    </w:p>
    <w:p>
      <w:pPr>
        <w:sectPr>
          <w:pgSz w:w="11900" w:h="16838" w:orient="portrait"/>
          <w:cols w:equalWidth="0" w:num="1">
            <w:col w:w="11420"/>
          </w:cols>
          <w:pgMar w:left="240" w:top="494"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to BioLine: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91450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Attention: VP Finance, BioLineRx, Ltd.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Fax: 972-2-548-9101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219710</wp:posOffset>
            </wp:positionV>
            <wp:extent cx="147002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8220"/>
          </w:cols>
          <w:pgMar w:left="240" w:top="494" w:right="239" w:bottom="1440" w:gutter="0" w:footer="0" w:header="0"/>
          <w:type w:val="continuous"/>
        </w:sectPr>
      </w:pPr>
    </w:p>
    <w:p>
      <w:pPr>
        <w:spacing w:after="0" w:line="244" w:lineRule="exact"/>
        <w:rPr>
          <w:sz w:val="20"/>
          <w:szCs w:val="20"/>
          <w:color w:val="auto"/>
        </w:rPr>
      </w:pPr>
    </w:p>
    <w:p>
      <w:pPr>
        <w:ind w:left="5620" w:right="2360" w:hanging="5617"/>
        <w:spacing w:after="0" w:line="744" w:lineRule="auto"/>
        <w:tabs>
          <w:tab w:leader="none" w:pos="409"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438" w:name="page439"/>
    <w:bookmarkEnd w:id="438"/>
    <w:p>
      <w:pPr>
        <w:spacing w:after="0" w:line="278" w:lineRule="auto"/>
        <w:rPr>
          <w:sz w:val="20"/>
          <w:szCs w:val="20"/>
          <w:color w:val="auto"/>
        </w:rPr>
      </w:pPr>
      <w:r>
        <w:rPr>
          <w:rFonts w:ascii="Arial" w:cs="Arial" w:eastAsia="Arial" w:hAnsi="Arial"/>
          <w:sz w:val="17"/>
          <w:szCs w:val="17"/>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Yigal Arnon &amp; Co., Law Offices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22 Rivlin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94263</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Attention: Barry Levenfeld, Adv.</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Fax: 972-2-623-9236</w:t>
      </w:r>
    </w:p>
    <w:p>
      <w:pPr>
        <w:spacing w:after="0" w:line="200" w:lineRule="exact"/>
        <w:rPr>
          <w:sz w:val="20"/>
          <w:szCs w:val="20"/>
          <w:color w:val="auto"/>
        </w:rPr>
      </w:pPr>
    </w:p>
    <w:p>
      <w:pPr>
        <w:sectPr>
          <w:pgSz w:w="11900" w:h="16838" w:orient="portrait"/>
          <w:cols w:equalWidth="0" w:num="2">
            <w:col w:w="2700" w:space="700"/>
            <w:col w:w="8020"/>
          </w:cols>
          <w:pgMar w:left="240" w:top="500"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If to the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Innovative Pharmaceutical Concepts (IPC) Inc.</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Geneva Place, 2nd Floor, 333 Waterfront Drive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P.O. Box 3339, Road Town, Tortola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British Virgin Islands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Attention: Dr. P. Burstein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972-3-540-2779</w:t>
      </w:r>
    </w:p>
    <w:p>
      <w:pPr>
        <w:spacing w:after="0" w:line="200" w:lineRule="exact"/>
        <w:rPr>
          <w:sz w:val="20"/>
          <w:szCs w:val="20"/>
          <w:color w:val="auto"/>
        </w:rPr>
      </w:pPr>
    </w:p>
    <w:p>
      <w:pPr>
        <w:sectPr>
          <w:pgSz w:w="11900" w:h="16838" w:orient="portrait"/>
          <w:cols w:equalWidth="0" w:num="2">
            <w:col w:w="2680" w:space="720"/>
            <w:col w:w="8020"/>
          </w:cols>
          <w:pgMar w:left="240" w:top="500" w:right="239" w:bottom="1440" w:gutter="0" w:footer="0" w:header="0"/>
          <w:type w:val="continuous"/>
        </w:sectPr>
      </w:pPr>
    </w:p>
    <w:p>
      <w:pPr>
        <w:spacing w:after="0" w:line="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Yoram L. Cohen, Ashlagi, Fisher, Eshel – Law Offices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2 Weizman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Tel-Aviv, 64239</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Attention: Zvi Fisher, Adv.</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972-3-693-1919</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Email: zvi@caflaw.co.il</w:t>
      </w:r>
    </w:p>
    <w:p>
      <w:pPr>
        <w:spacing w:after="0" w:line="200" w:lineRule="exact"/>
        <w:rPr>
          <w:sz w:val="20"/>
          <w:szCs w:val="20"/>
          <w:color w:val="auto"/>
        </w:rPr>
      </w:pPr>
    </w:p>
    <w:p>
      <w:pPr>
        <w:sectPr>
          <w:pgSz w:w="11900" w:h="16838" w:orient="portrait"/>
          <w:cols w:equalWidth="0" w:num="2">
            <w:col w:w="2700" w:space="700"/>
            <w:col w:w="8020"/>
          </w:cols>
          <w:pgMar w:left="240" w:top="500" w:right="239" w:bottom="1440" w:gutter="0" w:footer="0" w:header="0"/>
          <w:type w:val="continuous"/>
        </w:sectPr>
      </w:pPr>
    </w:p>
    <w:p>
      <w:pPr>
        <w:spacing w:after="0" w:line="31" w:lineRule="exact"/>
        <w:rPr>
          <w:sz w:val="20"/>
          <w:szCs w:val="20"/>
          <w:color w:val="auto"/>
        </w:rPr>
      </w:pPr>
    </w:p>
    <w:p>
      <w:pPr>
        <w:jc w:val="both"/>
        <w:ind w:firstLine="617"/>
        <w:spacing w:after="0" w:line="311" w:lineRule="auto"/>
        <w:rPr>
          <w:sz w:val="20"/>
          <w:szCs w:val="20"/>
          <w:color w:val="auto"/>
        </w:rPr>
      </w:pPr>
      <w:r>
        <w:rPr>
          <w:rFonts w:ascii="Arial" w:cs="Arial" w:eastAsia="Arial" w:hAnsi="Arial"/>
          <w:sz w:val="16"/>
          <w:szCs w:val="16"/>
          <w:color w:val="auto"/>
        </w:rPr>
        <w:t>Any notice shall be deemed to have been received as follows: (i) by personal delivery, upon receipt; (ii) by facsimile or email, receipt confirmed, one business day after transmission or dispatch; (iii) by airmail, three (3) business days after delivery to the postal authorities by the party serving notice.</w:t>
      </w:r>
    </w:p>
    <w:p>
      <w:pPr>
        <w:spacing w:after="0" w:line="160"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13.3. Governing Law and Jurisdiction. </w:t>
      </w:r>
      <w:r>
        <w:rPr>
          <w:rFonts w:ascii="Arial" w:cs="Arial" w:eastAsia="Arial" w:hAnsi="Arial"/>
          <w:sz w:val="17"/>
          <w:szCs w:val="17"/>
          <w:color w:val="auto"/>
        </w:rPr>
        <w:t>This Agreement shall be governed by and construed in accordance with the laws of the State of Israel,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regard to the application of principles of conflicts of law, except for matters of patent law, which, other than for matters of inventorship on patents, shall be governed by the patent laws of the relevant country of the patent. The parties hereby consent to personal jurisdiction in Tel Aviv, Israel and agree that any lawsuit they file to enforce their respective rights under this Agreement shall be brought in the competent court in Tel Aviv.</w:t>
      </w:r>
    </w:p>
    <w:p>
      <w:pPr>
        <w:spacing w:after="0" w:line="19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13.4. Binding Effect. </w:t>
      </w:r>
      <w:r>
        <w:rPr>
          <w:rFonts w:ascii="Arial" w:cs="Arial" w:eastAsia="Arial" w:hAnsi="Arial"/>
          <w:sz w:val="17"/>
          <w:szCs w:val="17"/>
          <w:color w:val="auto"/>
        </w:rPr>
        <w:t>This Agreement shall be binding upon and inure to the benefit of the parties and their respective legal representatives,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permitted assigns.</w:t>
      </w:r>
    </w:p>
    <w:p>
      <w:pPr>
        <w:spacing w:after="0" w:line="177"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b w:val="1"/>
          <w:bCs w:val="1"/>
          <w:color w:val="auto"/>
        </w:rPr>
        <w:t>13.5.</w:t>
      </w:r>
      <w:r>
        <w:rPr>
          <w:sz w:val="20"/>
          <w:szCs w:val="20"/>
          <w:color w:val="auto"/>
        </w:rPr>
        <w:tab/>
      </w:r>
      <w:r>
        <w:rPr>
          <w:rFonts w:ascii="Arial" w:cs="Arial" w:eastAsia="Arial" w:hAnsi="Arial"/>
          <w:sz w:val="15"/>
          <w:szCs w:val="15"/>
          <w:b w:val="1"/>
          <w:bCs w:val="1"/>
          <w:color w:val="auto"/>
        </w:rPr>
        <w:t xml:space="preserve">Headings. </w:t>
      </w:r>
      <w:r>
        <w:rPr>
          <w:rFonts w:ascii="Arial" w:cs="Arial" w:eastAsia="Arial" w:hAnsi="Arial"/>
          <w:sz w:val="15"/>
          <w:szCs w:val="15"/>
          <w:color w:val="auto"/>
        </w:rPr>
        <w:t>Section and subsection headings are inserted for convenience of reference only and do not form a part of this Agreement.</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13.6. Counterparts. </w:t>
      </w:r>
      <w:r>
        <w:rPr>
          <w:rFonts w:ascii="Arial" w:cs="Arial" w:eastAsia="Arial" w:hAnsi="Arial"/>
          <w:sz w:val="17"/>
          <w:szCs w:val="17"/>
          <w:color w:val="auto"/>
        </w:rPr>
        <w:t>This Agreement may be executed simultaneously in two or more counterparts, each of which when taken together shall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one and the same instrument.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type w:val="continuous"/>
        </w:sectPr>
      </w:pPr>
    </w:p>
    <w:bookmarkStart w:id="439" w:name="page440"/>
    <w:bookmarkEnd w:id="439"/>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13.7. Amendment; Waiver. </w:t>
      </w:r>
      <w:r>
        <w:rPr>
          <w:rFonts w:ascii="Arial" w:cs="Arial" w:eastAsia="Arial" w:hAnsi="Arial"/>
          <w:sz w:val="17"/>
          <w:szCs w:val="17"/>
          <w:color w:val="auto"/>
        </w:rPr>
        <w:t>This Agreement may be amended, modified, superseded, and any of the terms may be waived, only by a written instrument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by each party or, in the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9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13.8. No Agency or Partnership. </w:t>
      </w:r>
      <w:r>
        <w:rPr>
          <w:rFonts w:ascii="Arial" w:cs="Arial" w:eastAsia="Arial" w:hAnsi="Arial"/>
          <w:sz w:val="17"/>
          <w:szCs w:val="17"/>
          <w:color w:val="auto"/>
        </w:rPr>
        <w:t>The parties to this Agreement are independent contractors. Nothing contained in this Agreement shall give any party</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bind another, or be deemed to constitute either parties as agents for each other or as partners with each other or any third party.</w:t>
      </w:r>
    </w:p>
    <w:p>
      <w:pPr>
        <w:spacing w:after="0" w:line="17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13.9. Assignment and Successors. </w:t>
      </w:r>
      <w:r>
        <w:rPr>
          <w:rFonts w:ascii="Arial" w:cs="Arial" w:eastAsia="Arial" w:hAnsi="Arial"/>
          <w:sz w:val="17"/>
          <w:szCs w:val="17"/>
          <w:color w:val="auto"/>
        </w:rPr>
        <w:t>This Agreement may not be assigned by either party without the consent of the other, which consent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unreasonably withheld, except that each party may, without such consent, assign this Agreement and the rights, obligations and interests of such party, in whole or in part, to any of its Affiliates, to any purchaser of all or substantially all of its assets or research to which the subject matter of this Agreement relates, or to any successor corporation resulting from any merger or consolidation of such party with or into such corporation.</w:t>
      </w:r>
    </w:p>
    <w:p>
      <w:pPr>
        <w:spacing w:after="0" w:line="198"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13.10. Force Majeure. </w:t>
      </w:r>
      <w:r>
        <w:rPr>
          <w:rFonts w:ascii="Arial" w:cs="Arial" w:eastAsia="Arial" w:hAnsi="Arial"/>
          <w:sz w:val="16"/>
          <w:szCs w:val="16"/>
          <w:color w:val="auto"/>
        </w:rPr>
        <w:t>Neither party will be responsible for delays resulting from causes beyond the reasonable control of such party,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regulatory delay,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75"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13.11. Interpretation. </w:t>
      </w:r>
      <w:r>
        <w:rPr>
          <w:rFonts w:ascii="Arial" w:cs="Arial" w:eastAsia="Arial" w:hAnsi="Arial"/>
          <w:sz w:val="16"/>
          <w:szCs w:val="16"/>
          <w:color w:val="auto"/>
        </w:rPr>
        <w:t>The parties hereto acknowledge and agree that: (i) each Party and its counsel reviewed and negotiated the terms and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both parties hereto and not in favor of or against either party, regardless of which party was generally responsible for the preparation of this Agreement.</w:t>
      </w:r>
    </w:p>
    <w:p>
      <w:pPr>
        <w:spacing w:after="0" w:line="181"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13.12. Severability. </w:t>
      </w:r>
      <w:r>
        <w:rPr>
          <w:rFonts w:ascii="Arial" w:cs="Arial" w:eastAsia="Arial" w:hAnsi="Arial"/>
          <w:sz w:val="17"/>
          <w:szCs w:val="17"/>
          <w:color w:val="auto"/>
        </w:rPr>
        <w:t>If any provision of this Agreement is or becomes invalid or is ruled invalid by any court of competent jurisdiction or is deemed</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such provision or provisions shall be reformed to approximate as nearly as possible the intent of the parties, and it is the intention of the parties that the remainder of this Agreement shall not be affected.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[Remainder of page intentionally left blank]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440" w:name="page441"/>
    <w:bookmarkEnd w:id="440"/>
    <w:p>
      <w:pPr>
        <w:jc w:val="center"/>
        <w:spacing w:after="0"/>
        <w:rPr>
          <w:sz w:val="20"/>
          <w:szCs w:val="20"/>
          <w:color w:val="auto"/>
        </w:rPr>
      </w:pPr>
      <w:r>
        <w:rPr>
          <w:rFonts w:ascii="Arial" w:cs="Arial" w:eastAsia="Arial" w:hAnsi="Arial"/>
          <w:sz w:val="17"/>
          <w:szCs w:val="17"/>
          <w:b w:val="1"/>
          <w:bCs w:val="1"/>
          <w:i w:val="1"/>
          <w:iCs w:val="1"/>
          <w:color w:val="auto"/>
        </w:rPr>
        <w:t>[Signature page to License Agreement]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 by their duly authorized representatives as of the Effective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7"/>
          </w:tcPr>
          <w:p>
            <w:pPr>
              <w:spacing w:after="0"/>
              <w:rPr>
                <w:sz w:val="20"/>
                <w:szCs w:val="20"/>
                <w:color w:val="auto"/>
              </w:rPr>
            </w:pPr>
            <w:r>
              <w:rPr>
                <w:rFonts w:ascii="Arial" w:cs="Arial" w:eastAsia="Arial" w:hAnsi="Arial"/>
                <w:sz w:val="17"/>
                <w:szCs w:val="17"/>
                <w:b w:val="1"/>
                <w:bCs w:val="1"/>
                <w:color w:val="auto"/>
              </w:rPr>
              <w:t>Innovative Pharmaceutical Concepts</w:t>
            </w:r>
          </w:p>
        </w:tc>
        <w:tc>
          <w:tcPr>
            <w:tcW w:w="7260" w:type="dxa"/>
            <w:vAlign w:val="bottom"/>
            <w:gridSpan w:val="4"/>
          </w:tcPr>
          <w:p>
            <w:pPr>
              <w:ind w:left="1560"/>
              <w:spacing w:after="0"/>
              <w:rPr>
                <w:sz w:val="20"/>
                <w:szCs w:val="20"/>
                <w:color w:val="auto"/>
              </w:rPr>
            </w:pPr>
            <w:r>
              <w:rPr>
                <w:rFonts w:ascii="Arial" w:cs="Arial" w:eastAsia="Arial" w:hAnsi="Arial"/>
                <w:sz w:val="17"/>
                <w:szCs w:val="17"/>
                <w:b w:val="1"/>
                <w:bCs w:val="1"/>
                <w:color w:val="auto"/>
              </w:rPr>
              <w:t>BioLine Innovations Jerusalem L.P.</w:t>
            </w:r>
          </w:p>
        </w:tc>
      </w:tr>
      <w:tr>
        <w:trPr>
          <w:trHeight w:val="206"/>
        </w:trPr>
        <w:tc>
          <w:tcPr>
            <w:tcW w:w="4160" w:type="dxa"/>
            <w:vAlign w:val="bottom"/>
            <w:gridSpan w:val="7"/>
          </w:tcPr>
          <w:p>
            <w:pPr>
              <w:spacing w:after="0"/>
              <w:rPr>
                <w:sz w:val="20"/>
                <w:szCs w:val="20"/>
                <w:color w:val="auto"/>
              </w:rPr>
            </w:pPr>
            <w:r>
              <w:rPr>
                <w:rFonts w:ascii="Arial" w:cs="Arial" w:eastAsia="Arial" w:hAnsi="Arial"/>
                <w:sz w:val="17"/>
                <w:szCs w:val="17"/>
                <w:b w:val="1"/>
                <w:bCs w:val="1"/>
                <w:color w:val="auto"/>
              </w:rPr>
              <w:t>(IPC) Inc.</w:t>
            </w:r>
          </w:p>
        </w:tc>
        <w:tc>
          <w:tcPr>
            <w:tcW w:w="3440" w:type="dxa"/>
            <w:vAlign w:val="bottom"/>
            <w:gridSpan w:val="2"/>
          </w:tcPr>
          <w:p>
            <w:pPr>
              <w:ind w:left="1560"/>
              <w:spacing w:after="0"/>
              <w:rPr>
                <w:sz w:val="20"/>
                <w:szCs w:val="20"/>
                <w:color w:val="auto"/>
              </w:rPr>
            </w:pPr>
            <w:r>
              <w:rPr>
                <w:rFonts w:ascii="Arial" w:cs="Arial" w:eastAsia="Arial" w:hAnsi="Arial"/>
                <w:sz w:val="17"/>
                <w:szCs w:val="17"/>
                <w:b w:val="1"/>
                <w:bCs w:val="1"/>
                <w:color w:val="auto"/>
              </w:rPr>
              <w:t>By its General Partner:</w:t>
            </w:r>
          </w:p>
        </w:tc>
        <w:tc>
          <w:tcPr>
            <w:tcW w:w="23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3"/>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60" w:type="dxa"/>
            <w:vAlign w:val="bottom"/>
            <w:gridSpan w:val="4"/>
          </w:tcPr>
          <w:p>
            <w:pPr>
              <w:ind w:left="1560"/>
              <w:spacing w:after="0"/>
              <w:rPr>
                <w:sz w:val="20"/>
                <w:szCs w:val="20"/>
                <w:color w:val="auto"/>
              </w:rPr>
            </w:pPr>
            <w:r>
              <w:rPr>
                <w:rFonts w:ascii="Arial" w:cs="Arial" w:eastAsia="Arial" w:hAnsi="Arial"/>
                <w:sz w:val="17"/>
                <w:szCs w:val="17"/>
                <w:b w:val="1"/>
                <w:bCs w:val="1"/>
                <w:color w:val="auto"/>
              </w:rPr>
              <w:t>BioLine Innovations Jerusalem Ltd.</w:t>
            </w:r>
          </w:p>
        </w:tc>
      </w:tr>
      <w:tr>
        <w:trPr>
          <w:trHeight w:val="374"/>
        </w:trPr>
        <w:tc>
          <w:tcPr>
            <w:tcW w:w="4160" w:type="dxa"/>
            <w:vAlign w:val="bottom"/>
            <w:gridSpan w:val="7"/>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/s/ P. Burstein</w:t>
            </w:r>
          </w:p>
        </w:tc>
        <w:tc>
          <w:tcPr>
            <w:tcW w:w="3440" w:type="dxa"/>
            <w:vAlign w:val="bottom"/>
            <w:gridSpan w:val="2"/>
          </w:tcPr>
          <w:p>
            <w:pPr>
              <w:ind w:left="1560"/>
              <w:spacing w:after="0"/>
              <w:rPr>
                <w:sz w:val="20"/>
                <w:szCs w:val="20"/>
                <w:color w:val="auto"/>
              </w:rPr>
            </w:pPr>
            <w:r>
              <w:rPr>
                <w:rFonts w:ascii="Arial" w:cs="Arial" w:eastAsia="Arial" w:hAnsi="Arial"/>
                <w:sz w:val="17"/>
                <w:szCs w:val="17"/>
                <w:color w:val="auto"/>
              </w:rPr>
              <w:t>By: /s/ Morris Laster</w:t>
            </w:r>
          </w:p>
        </w:tc>
        <w:tc>
          <w:tcPr>
            <w:tcW w:w="3820" w:type="dxa"/>
            <w:vAlign w:val="bottom"/>
            <w:gridSpan w:val="2"/>
          </w:tcPr>
          <w:p>
            <w:pPr>
              <w:ind w:left="180"/>
              <w:spacing w:after="0"/>
              <w:rPr>
                <w:sz w:val="20"/>
                <w:szCs w:val="20"/>
                <w:color w:val="auto"/>
              </w:rPr>
            </w:pPr>
            <w:r>
              <w:rPr>
                <w:rFonts w:ascii="Arial" w:cs="Arial" w:eastAsia="Arial" w:hAnsi="Arial"/>
                <w:sz w:val="17"/>
                <w:szCs w:val="17"/>
                <w:color w:val="auto"/>
              </w:rPr>
              <w:t>/s/ Allon Reiter</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90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92"/>
        </w:trPr>
        <w:tc>
          <w:tcPr>
            <w:tcW w:w="4160" w:type="dxa"/>
            <w:vAlign w:val="bottom"/>
            <w:gridSpan w:val="7"/>
          </w:tcPr>
          <w:p>
            <w:pPr>
              <w:spacing w:after="0"/>
              <w:rPr>
                <w:sz w:val="20"/>
                <w:szCs w:val="20"/>
                <w:color w:val="auto"/>
              </w:rPr>
            </w:pPr>
            <w:r>
              <w:rPr>
                <w:rFonts w:ascii="Arial" w:cs="Arial" w:eastAsia="Arial" w:hAnsi="Arial"/>
                <w:sz w:val="17"/>
                <w:szCs w:val="17"/>
                <w:color w:val="auto"/>
              </w:rPr>
              <w:t>Name: Dr. Pinchas Burstein</w:t>
            </w:r>
          </w:p>
        </w:tc>
        <w:tc>
          <w:tcPr>
            <w:tcW w:w="7260" w:type="dxa"/>
            <w:vAlign w:val="bottom"/>
            <w:gridSpan w:val="4"/>
          </w:tcPr>
          <w:p>
            <w:pPr>
              <w:ind w:left="1560"/>
              <w:spacing w:after="0"/>
              <w:rPr>
                <w:sz w:val="20"/>
                <w:szCs w:val="20"/>
                <w:color w:val="auto"/>
              </w:rPr>
            </w:pPr>
            <w:r>
              <w:rPr>
                <w:rFonts w:ascii="Arial" w:cs="Arial" w:eastAsia="Arial" w:hAnsi="Arial"/>
                <w:sz w:val="17"/>
                <w:szCs w:val="17"/>
                <w:color w:val="auto"/>
              </w:rPr>
              <w:t>Name: ________________________</w:t>
            </w: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r>
      <w:tr>
        <w:trPr>
          <w:trHeight w:val="392"/>
        </w:trPr>
        <w:tc>
          <w:tcPr>
            <w:tcW w:w="4160" w:type="dxa"/>
            <w:vAlign w:val="bottom"/>
            <w:gridSpan w:val="7"/>
          </w:tcPr>
          <w:p>
            <w:pPr>
              <w:spacing w:after="0"/>
              <w:rPr>
                <w:sz w:val="20"/>
                <w:szCs w:val="20"/>
                <w:color w:val="auto"/>
              </w:rPr>
            </w:pPr>
            <w:r>
              <w:rPr>
                <w:rFonts w:ascii="Arial" w:cs="Arial" w:eastAsia="Arial" w:hAnsi="Arial"/>
                <w:sz w:val="17"/>
                <w:szCs w:val="17"/>
                <w:color w:val="auto"/>
              </w:rPr>
              <w:t>Title: Director</w:t>
            </w:r>
          </w:p>
        </w:tc>
        <w:tc>
          <w:tcPr>
            <w:tcW w:w="7260" w:type="dxa"/>
            <w:vAlign w:val="bottom"/>
            <w:gridSpan w:val="4"/>
          </w:tcPr>
          <w:p>
            <w:pPr>
              <w:ind w:left="1560"/>
              <w:spacing w:after="0"/>
              <w:rPr>
                <w:sz w:val="20"/>
                <w:szCs w:val="20"/>
                <w:color w:val="auto"/>
              </w:rPr>
            </w:pPr>
            <w:r>
              <w:rPr>
                <w:rFonts w:ascii="Arial" w:cs="Arial" w:eastAsia="Arial" w:hAnsi="Arial"/>
                <w:sz w:val="17"/>
                <w:szCs w:val="17"/>
                <w:color w:val="auto"/>
              </w:rPr>
              <w:t>Title: _________________________</w:t>
            </w:r>
          </w:p>
        </w:tc>
      </w:tr>
      <w:tr>
        <w:trPr>
          <w:trHeight w:val="802"/>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ind w:left="1460"/>
              <w:spacing w:after="0"/>
              <w:rPr>
                <w:sz w:val="20"/>
                <w:szCs w:val="20"/>
                <w:color w:val="auto"/>
              </w:rPr>
            </w:pPr>
            <w:r>
              <w:rPr>
                <w:rFonts w:ascii="Arial" w:cs="Arial" w:eastAsia="Arial" w:hAnsi="Arial"/>
                <w:sz w:val="17"/>
                <w:szCs w:val="17"/>
                <w:color w:val="auto"/>
              </w:rPr>
              <w:t>22</w:t>
            </w: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4"/>
        </w:trPr>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41" w:name="page442"/>
    <w:bookmarkEnd w:id="441"/>
    <w:p>
      <w:pPr>
        <w:jc w:val="center"/>
        <w:ind w:right="-1197"/>
        <w:spacing w:after="0"/>
        <w:rPr>
          <w:sz w:val="20"/>
          <w:szCs w:val="20"/>
          <w:color w:val="auto"/>
        </w:rPr>
      </w:pPr>
      <w:r>
        <w:rPr>
          <w:rFonts w:ascii="Arial" w:cs="Arial" w:eastAsia="Arial" w:hAnsi="Arial"/>
          <w:sz w:val="17"/>
          <w:szCs w:val="17"/>
          <w:u w:val="single" w:color="auto"/>
          <w:color w:val="auto"/>
        </w:rPr>
        <w:t>Exhibit A</w:t>
      </w:r>
    </w:p>
    <w:p>
      <w:pPr>
        <w:spacing w:after="0" w:line="21" w:lineRule="exact"/>
        <w:rPr>
          <w:sz w:val="20"/>
          <w:szCs w:val="20"/>
          <w:color w:val="auto"/>
        </w:rPr>
      </w:pPr>
    </w:p>
    <w:p>
      <w:pPr>
        <w:jc w:val="center"/>
        <w:ind w:right="-1197"/>
        <w:spacing w:after="0"/>
        <w:rPr>
          <w:sz w:val="20"/>
          <w:szCs w:val="20"/>
          <w:color w:val="auto"/>
        </w:rPr>
      </w:pPr>
      <w:r>
        <w:rPr>
          <w:rFonts w:ascii="Arial" w:cs="Arial" w:eastAsia="Arial" w:hAnsi="Arial"/>
          <w:sz w:val="17"/>
          <w:szCs w:val="17"/>
          <w:b w:val="1"/>
          <w:bCs w:val="1"/>
          <w:color w:val="auto"/>
        </w:rPr>
        <w:t>Patents and/or Patent Applications</w:t>
      </w:r>
    </w:p>
    <w:p>
      <w:pPr>
        <w:spacing w:after="0" w:line="10" w:lineRule="exact"/>
        <w:rPr>
          <w:sz w:val="20"/>
          <w:szCs w:val="20"/>
          <w:color w:val="auto"/>
        </w:rPr>
      </w:pPr>
    </w:p>
    <w:p>
      <w:pPr>
        <w:ind w:left="5537"/>
        <w:spacing w:after="0"/>
        <w:rPr>
          <w:sz w:val="20"/>
          <w:szCs w:val="20"/>
          <w:color w:val="auto"/>
        </w:rPr>
      </w:pPr>
      <w:r>
        <w:rPr>
          <w:rFonts w:ascii="Arial" w:cs="Arial" w:eastAsia="Arial" w:hAnsi="Arial"/>
          <w:sz w:val="41"/>
          <w:szCs w:val="41"/>
          <w:color w:val="auto"/>
          <w:vertAlign w:val="subscript"/>
        </w:rPr>
        <w:t>[</w:t>
      </w:r>
      <w:r>
        <w:rPr>
          <w:rFonts w:ascii="Arial" w:cs="Arial" w:eastAsia="Arial" w:hAnsi="Arial"/>
          <w:sz w:val="14"/>
          <w:szCs w:val="14"/>
          <w:color w:val="auto"/>
        </w:rPr>
        <w:t>***</w:t>
      </w:r>
      <w:r>
        <w:rPr>
          <w:rFonts w:ascii="Arial" w:cs="Arial" w:eastAsia="Arial" w:hAnsi="Arial"/>
          <w:sz w:val="41"/>
          <w:szCs w:val="4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354965</wp:posOffset>
            </wp:positionV>
            <wp:extent cx="14700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17" w:right="1159" w:hanging="5617"/>
        <w:spacing w:after="0" w:line="854" w:lineRule="auto"/>
        <w:tabs>
          <w:tab w:leader="none" w:pos="406"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257415" cy="209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500" w:right="1440" w:bottom="1440" w:gutter="0" w:footer="0" w:header="0"/>
        </w:sectPr>
      </w:pPr>
    </w:p>
    <w:bookmarkStart w:id="442" w:name="page443"/>
    <w:bookmarkEnd w:id="442"/>
    <w:p>
      <w:pPr>
        <w:jc w:val="center"/>
        <w:spacing w:after="0"/>
        <w:rPr>
          <w:sz w:val="20"/>
          <w:szCs w:val="20"/>
          <w:color w:val="auto"/>
        </w:rPr>
      </w:pPr>
      <w:r>
        <w:rPr>
          <w:rFonts w:ascii="Arial" w:cs="Arial" w:eastAsia="Arial" w:hAnsi="Arial"/>
          <w:sz w:val="17"/>
          <w:szCs w:val="17"/>
          <w:u w:val="single" w:color="auto"/>
          <w:color w:val="auto"/>
        </w:rPr>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 Plan</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1280" w:type="dxa"/>
            <w:vAlign w:val="bottom"/>
          </w:tcPr>
          <w:p>
            <w:pPr>
              <w:jc w:val="right"/>
              <w:ind w:right="374"/>
              <w:spacing w:after="0"/>
              <w:rPr>
                <w:sz w:val="20"/>
                <w:szCs w:val="20"/>
                <w:color w:val="auto"/>
              </w:rPr>
            </w:pPr>
            <w:r>
              <w:rPr>
                <w:rFonts w:ascii="Arial" w:cs="Arial" w:eastAsia="Arial" w:hAnsi="Arial"/>
                <w:sz w:val="17"/>
                <w:szCs w:val="17"/>
                <w:color w:val="auto"/>
              </w:rPr>
              <w:t>Task</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7"/>
                <w:szCs w:val="17"/>
                <w:color w:val="auto"/>
              </w:rPr>
              <w:t>ID</w:t>
            </w:r>
          </w:p>
        </w:tc>
        <w:tc>
          <w:tcPr>
            <w:tcW w:w="1280" w:type="dxa"/>
            <w:vAlign w:val="bottom"/>
          </w:tcPr>
          <w:p>
            <w:pPr>
              <w:jc w:val="right"/>
              <w:ind w:right="374"/>
              <w:spacing w:after="0"/>
              <w:rPr>
                <w:sz w:val="20"/>
                <w:szCs w:val="20"/>
                <w:color w:val="auto"/>
              </w:rPr>
            </w:pPr>
            <w:r>
              <w:rPr>
                <w:rFonts w:ascii="Arial" w:cs="Arial" w:eastAsia="Arial" w:hAnsi="Arial"/>
                <w:sz w:val="17"/>
                <w:szCs w:val="17"/>
                <w:color w:val="auto"/>
              </w:rPr>
              <w:t>Name</w:t>
            </w:r>
          </w:p>
        </w:tc>
        <w:tc>
          <w:tcPr>
            <w:tcW w:w="1200" w:type="dxa"/>
            <w:vAlign w:val="bottom"/>
          </w:tcPr>
          <w:p>
            <w:pPr>
              <w:ind w:left="440"/>
              <w:spacing w:after="0"/>
              <w:rPr>
                <w:sz w:val="20"/>
                <w:szCs w:val="20"/>
                <w:color w:val="auto"/>
              </w:rPr>
            </w:pPr>
            <w:r>
              <w:rPr>
                <w:rFonts w:ascii="Arial" w:cs="Arial" w:eastAsia="Arial" w:hAnsi="Arial"/>
                <w:sz w:val="17"/>
                <w:szCs w:val="17"/>
                <w:color w:val="auto"/>
              </w:rPr>
              <w:t>Start</w:t>
            </w:r>
          </w:p>
        </w:tc>
        <w:tc>
          <w:tcPr>
            <w:tcW w:w="1220" w:type="dxa"/>
            <w:vAlign w:val="bottom"/>
          </w:tcPr>
          <w:p>
            <w:pPr>
              <w:ind w:left="440"/>
              <w:spacing w:after="0"/>
              <w:rPr>
                <w:sz w:val="20"/>
                <w:szCs w:val="20"/>
                <w:color w:val="auto"/>
              </w:rPr>
            </w:pPr>
            <w:r>
              <w:rPr>
                <w:rFonts w:ascii="Arial" w:cs="Arial" w:eastAsia="Arial" w:hAnsi="Arial"/>
                <w:sz w:val="17"/>
                <w:szCs w:val="17"/>
                <w:color w:val="auto"/>
              </w:rPr>
              <w:t>Finish</w:t>
            </w:r>
          </w:p>
        </w:tc>
        <w:tc>
          <w:tcPr>
            <w:tcW w:w="980" w:type="dxa"/>
            <w:vAlign w:val="bottom"/>
          </w:tcPr>
          <w:p>
            <w:pPr>
              <w:ind w:left="340"/>
              <w:spacing w:after="0"/>
              <w:rPr>
                <w:sz w:val="20"/>
                <w:szCs w:val="20"/>
                <w:color w:val="auto"/>
              </w:rPr>
            </w:pPr>
            <w:r>
              <w:rPr>
                <w:rFonts w:ascii="Arial" w:cs="Arial" w:eastAsia="Arial" w:hAnsi="Arial"/>
                <w:sz w:val="17"/>
                <w:szCs w:val="17"/>
                <w:color w:val="auto"/>
              </w:rPr>
              <w:t>Cost</w:t>
            </w: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2005</w:t>
            </w: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2006</w:t>
            </w: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2007</w:t>
            </w:r>
          </w:p>
        </w:tc>
        <w:tc>
          <w:tcPr>
            <w:tcW w:w="1020" w:type="dxa"/>
            <w:vAlign w:val="bottom"/>
          </w:tcPr>
          <w:p>
            <w:pPr>
              <w:jc w:val="right"/>
              <w:ind w:right="254"/>
              <w:spacing w:after="0"/>
              <w:rPr>
                <w:sz w:val="20"/>
                <w:szCs w:val="20"/>
                <w:color w:val="auto"/>
              </w:rPr>
            </w:pPr>
            <w:r>
              <w:rPr>
                <w:rFonts w:ascii="Arial" w:cs="Arial" w:eastAsia="Arial" w:hAnsi="Arial"/>
                <w:sz w:val="17"/>
                <w:szCs w:val="17"/>
                <w:color w:val="auto"/>
              </w:rPr>
              <w:t>2008</w:t>
            </w:r>
          </w:p>
        </w:tc>
        <w:tc>
          <w:tcPr>
            <w:tcW w:w="1040" w:type="dxa"/>
            <w:vAlign w:val="bottom"/>
          </w:tcPr>
          <w:p>
            <w:pPr>
              <w:jc w:val="right"/>
              <w:ind w:right="274"/>
              <w:spacing w:after="0"/>
              <w:rPr>
                <w:sz w:val="20"/>
                <w:szCs w:val="20"/>
                <w:color w:val="auto"/>
              </w:rPr>
            </w:pPr>
            <w:r>
              <w:rPr>
                <w:rFonts w:ascii="Arial" w:cs="Arial" w:eastAsia="Arial" w:hAnsi="Arial"/>
                <w:sz w:val="17"/>
                <w:szCs w:val="17"/>
                <w:color w:val="auto"/>
              </w:rPr>
              <w:t>2009</w:t>
            </w:r>
          </w:p>
        </w:tc>
        <w:tc>
          <w:tcPr>
            <w:tcW w:w="680" w:type="dxa"/>
            <w:vAlign w:val="bottom"/>
          </w:tcPr>
          <w:p>
            <w:pPr>
              <w:jc w:val="right"/>
              <w:spacing w:after="0"/>
              <w:rPr>
                <w:sz w:val="20"/>
                <w:szCs w:val="20"/>
                <w:color w:val="auto"/>
              </w:rPr>
            </w:pPr>
            <w:r>
              <w:rPr>
                <w:rFonts w:ascii="Arial" w:cs="Arial" w:eastAsia="Arial" w:hAnsi="Arial"/>
                <w:sz w:val="17"/>
                <w:szCs w:val="17"/>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252970" cy="1651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41"/>
          <w:szCs w:val="41"/>
          <w:color w:val="auto"/>
          <w:vertAlign w:val="subscript"/>
        </w:rPr>
        <w:t>[</w:t>
      </w:r>
      <w:r>
        <w:rPr>
          <w:rFonts w:ascii="Arial" w:cs="Arial" w:eastAsia="Arial" w:hAnsi="Arial"/>
          <w:sz w:val="14"/>
          <w:szCs w:val="14"/>
          <w:color w:val="auto"/>
        </w:rPr>
        <w:t>***</w:t>
      </w:r>
      <w:r>
        <w:rPr>
          <w:rFonts w:ascii="Arial" w:cs="Arial" w:eastAsia="Arial" w:hAnsi="Arial"/>
          <w:sz w:val="41"/>
          <w:szCs w:val="4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394970</wp:posOffset>
            </wp:positionV>
            <wp:extent cx="147002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right="2360" w:hanging="5617"/>
        <w:spacing w:after="0" w:line="744" w:lineRule="auto"/>
        <w:tabs>
          <w:tab w:leader="none" w:pos="409" w:val="left"/>
        </w:tabs>
        <w:numPr>
          <w:ilvl w:val="0"/>
          <w:numId w:val="357"/>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57415" cy="209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3" w:name="page444"/>
    <w:bookmarkEnd w:id="443"/>
    <w:p>
      <w:pPr>
        <w:ind w:left="617"/>
        <w:spacing w:after="0"/>
        <w:rPr>
          <w:sz w:val="20"/>
          <w:szCs w:val="20"/>
          <w:color w:val="auto"/>
        </w:rPr>
      </w:pPr>
      <w:r>
        <w:rPr>
          <w:rFonts w:ascii="Arial" w:cs="Arial" w:eastAsia="Arial" w:hAnsi="Arial"/>
          <w:sz w:val="21"/>
          <w:szCs w:val="21"/>
          <w:b w:val="1"/>
          <w:bCs w:val="1"/>
          <w:color w:val="auto"/>
        </w:rPr>
        <w:t>Non-surgical removal of benign tumors and lesions of the skin</w:t>
      </w:r>
    </w:p>
    <w:p>
      <w:pPr>
        <w:spacing w:after="0" w:line="230" w:lineRule="exact"/>
        <w:rPr>
          <w:sz w:val="20"/>
          <w:szCs w:val="20"/>
          <w:color w:val="auto"/>
        </w:rPr>
      </w:pPr>
    </w:p>
    <w:p>
      <w:pPr>
        <w:ind w:left="617"/>
        <w:spacing w:after="0"/>
        <w:rPr>
          <w:sz w:val="20"/>
          <w:szCs w:val="20"/>
          <w:color w:val="auto"/>
        </w:rPr>
      </w:pPr>
      <w:r>
        <w:rPr>
          <w:rFonts w:ascii="Arial" w:cs="Arial" w:eastAsia="Arial" w:hAnsi="Arial"/>
          <w:sz w:val="17"/>
          <w:szCs w:val="17"/>
          <w:b w:val="1"/>
          <w:bCs w:val="1"/>
          <w:color w:val="auto"/>
        </w:rPr>
        <w:t>Development Plan</w:t>
      </w:r>
    </w:p>
    <w:p>
      <w:pPr>
        <w:spacing w:after="0" w:line="27" w:lineRule="exact"/>
        <w:rPr>
          <w:sz w:val="20"/>
          <w:szCs w:val="20"/>
          <w:color w:val="auto"/>
        </w:rPr>
      </w:pPr>
    </w:p>
    <w:p>
      <w:pPr>
        <w:ind w:left="5537"/>
        <w:spacing w:after="0"/>
        <w:rPr>
          <w:sz w:val="20"/>
          <w:szCs w:val="20"/>
          <w:color w:val="auto"/>
        </w:rPr>
      </w:pPr>
      <w:r>
        <w:rPr>
          <w:rFonts w:ascii="Arial" w:cs="Arial" w:eastAsia="Arial" w:hAnsi="Arial"/>
          <w:sz w:val="41"/>
          <w:szCs w:val="41"/>
          <w:color w:val="auto"/>
          <w:vertAlign w:val="subscript"/>
        </w:rPr>
        <w:t>[</w:t>
      </w:r>
      <w:r>
        <w:rPr>
          <w:rFonts w:ascii="Arial" w:cs="Arial" w:eastAsia="Arial" w:hAnsi="Arial"/>
          <w:sz w:val="14"/>
          <w:szCs w:val="14"/>
          <w:color w:val="auto"/>
        </w:rPr>
        <w:t>***</w:t>
      </w:r>
      <w:r>
        <w:rPr>
          <w:rFonts w:ascii="Arial" w:cs="Arial" w:eastAsia="Arial" w:hAnsi="Arial"/>
          <w:sz w:val="41"/>
          <w:szCs w:val="4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208280</wp:posOffset>
            </wp:positionV>
            <wp:extent cx="147002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617" w:right="1159" w:hanging="5617"/>
        <w:spacing w:after="0" w:line="744" w:lineRule="auto"/>
        <w:tabs>
          <w:tab w:leader="none" w:pos="40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257415" cy="209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485" w:right="1440" w:bottom="1440" w:gutter="0" w:footer="0" w:header="0"/>
        </w:sectPr>
      </w:pPr>
    </w:p>
    <w:bookmarkStart w:id="444" w:name="page445"/>
    <w:bookmarkEnd w:id="444"/>
    <w:p>
      <w:pPr>
        <w:jc w:val="right"/>
        <w:spacing w:after="0"/>
        <w:rPr>
          <w:sz w:val="20"/>
          <w:szCs w:val="20"/>
          <w:color w:val="auto"/>
        </w:rPr>
      </w:pPr>
      <w:r>
        <w:rPr>
          <w:rFonts w:ascii="Arial" w:cs="Arial" w:eastAsia="Arial" w:hAnsi="Arial"/>
          <w:sz w:val="17"/>
          <w:szCs w:val="17"/>
          <w:color w:val="auto"/>
        </w:rPr>
        <w:t>EXHIBIT 4.17</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CONFIDENTIAL MATERIALS OMITTED AND FILED SEPARATELY WITH THE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SECURITIES AND EXCHANGE COMMISSION. ASTERISKS DENOTE OMISSIONS.</w:t>
      </w: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LICENSE AND COMMERCIALIZATION AGREEMENT</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IKARIA DEVELOPMENT SUBSIDIARY ONE LLC</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BIOLINERX LTD.</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BIOLINE INNOVATIONS JERUSALEM L.P.</w:t>
      </w:r>
    </w:p>
    <w:p>
      <w:pPr>
        <w:spacing w:after="0" w:line="24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AUGUST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404495</wp:posOffset>
            </wp:positionV>
            <wp:extent cx="7257415" cy="209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340" w:type="dxa"/>
            <w:vAlign w:val="bottom"/>
            <w:gridSpan w:val="5"/>
          </w:tcPr>
          <w:p>
            <w:pPr>
              <w:spacing w:after="0"/>
              <w:rPr>
                <w:sz w:val="20"/>
                <w:szCs w:val="20"/>
                <w:color w:val="auto"/>
              </w:rPr>
            </w:pPr>
            <w:r>
              <w:rPr>
                <w:rFonts w:ascii="Arial" w:cs="Arial" w:eastAsia="Arial" w:hAnsi="Arial"/>
                <w:sz w:val="17"/>
                <w:szCs w:val="17"/>
                <w:color w:val="auto"/>
              </w:rPr>
              <w:t>Table of Contents</w:t>
            </w:r>
          </w:p>
        </w:tc>
        <w:tc>
          <w:tcPr>
            <w:tcW w:w="0" w:type="dxa"/>
            <w:vAlign w:val="bottom"/>
          </w:tcPr>
          <w:p>
            <w:pPr>
              <w:spacing w:after="0"/>
              <w:rPr>
                <w:sz w:val="1"/>
                <w:szCs w:val="1"/>
                <w:color w:val="auto"/>
              </w:rPr>
            </w:pPr>
          </w:p>
        </w:tc>
      </w:tr>
      <w:tr>
        <w:trPr>
          <w:trHeight w:val="649"/>
        </w:trPr>
        <w:tc>
          <w:tcPr>
            <w:tcW w:w="1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Arial" w:cs="Arial" w:eastAsia="Arial" w:hAnsi="Arial"/>
                <w:sz w:val="17"/>
                <w:szCs w:val="17"/>
                <w:color w:val="auto"/>
                <w:w w:val="95"/>
              </w:rPr>
              <w:t>Page</w:t>
            </w: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Article I Definitions; Interpretation</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1.1</w:t>
            </w:r>
          </w:p>
        </w:tc>
        <w:tc>
          <w:tcPr>
            <w:tcW w:w="3220" w:type="dxa"/>
            <w:vAlign w:val="bottom"/>
          </w:tcPr>
          <w:p>
            <w:pPr>
              <w:ind w:left="300"/>
              <w:spacing w:after="0"/>
              <w:rPr>
                <w:sz w:val="20"/>
                <w:szCs w:val="20"/>
                <w:color w:val="auto"/>
              </w:rPr>
            </w:pPr>
            <w:r>
              <w:rPr>
                <w:rFonts w:ascii="Arial" w:cs="Arial" w:eastAsia="Arial" w:hAnsi="Arial"/>
                <w:sz w:val="17"/>
                <w:szCs w:val="17"/>
                <w:color w:val="auto"/>
              </w:rPr>
              <w:t>“Affiliate”</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1.2</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“BGN License Agreement”</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1.3</w:t>
            </w:r>
          </w:p>
        </w:tc>
        <w:tc>
          <w:tcPr>
            <w:tcW w:w="3220" w:type="dxa"/>
            <w:vAlign w:val="bottom"/>
          </w:tcPr>
          <w:p>
            <w:pPr>
              <w:ind w:left="300"/>
              <w:spacing w:after="0"/>
              <w:rPr>
                <w:sz w:val="20"/>
                <w:szCs w:val="20"/>
                <w:color w:val="auto"/>
              </w:rPr>
            </w:pPr>
            <w:r>
              <w:rPr>
                <w:rFonts w:ascii="Arial" w:cs="Arial" w:eastAsia="Arial" w:hAnsi="Arial"/>
                <w:sz w:val="17"/>
                <w:szCs w:val="17"/>
                <w:color w:val="auto"/>
              </w:rPr>
              <w:t>“BioLineRx Know-How”</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1.4</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“BioLineRx Patent Rights”</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1.6</w:t>
            </w:r>
          </w:p>
        </w:tc>
        <w:tc>
          <w:tcPr>
            <w:tcW w:w="3220" w:type="dxa"/>
            <w:vAlign w:val="bottom"/>
          </w:tcPr>
          <w:p>
            <w:pPr>
              <w:ind w:left="300"/>
              <w:spacing w:after="0"/>
              <w:rPr>
                <w:sz w:val="20"/>
                <w:szCs w:val="20"/>
                <w:color w:val="auto"/>
              </w:rPr>
            </w:pPr>
            <w:r>
              <w:rPr>
                <w:rFonts w:ascii="Arial" w:cs="Arial" w:eastAsia="Arial" w:hAnsi="Arial"/>
                <w:sz w:val="17"/>
                <w:szCs w:val="17"/>
                <w:color w:val="auto"/>
              </w:rPr>
              <w:t>“Business Day”</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1.7</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w w:val="96"/>
              </w:rPr>
              <w:t>“Commercialization” or “Commercialize”</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1.8</w:t>
            </w:r>
          </w:p>
        </w:tc>
        <w:tc>
          <w:tcPr>
            <w:tcW w:w="3220" w:type="dxa"/>
            <w:vAlign w:val="bottom"/>
          </w:tcPr>
          <w:p>
            <w:pPr>
              <w:ind w:left="300"/>
              <w:spacing w:after="0"/>
              <w:rPr>
                <w:sz w:val="20"/>
                <w:szCs w:val="20"/>
                <w:color w:val="auto"/>
              </w:rPr>
            </w:pPr>
            <w:r>
              <w:rPr>
                <w:rFonts w:ascii="Arial" w:cs="Arial" w:eastAsia="Arial" w:hAnsi="Arial"/>
                <w:sz w:val="17"/>
                <w:szCs w:val="17"/>
                <w:color w:val="auto"/>
              </w:rPr>
              <w:t>“Commercially Reasonable Efforts”</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1.9</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“Confidential Information”</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1.10</w:t>
            </w:r>
          </w:p>
        </w:tc>
        <w:tc>
          <w:tcPr>
            <w:tcW w:w="3220" w:type="dxa"/>
            <w:vAlign w:val="bottom"/>
          </w:tcPr>
          <w:p>
            <w:pPr>
              <w:ind w:left="300"/>
              <w:spacing w:after="0"/>
              <w:rPr>
                <w:sz w:val="20"/>
                <w:szCs w:val="20"/>
                <w:color w:val="auto"/>
              </w:rPr>
            </w:pPr>
            <w:r>
              <w:rPr>
                <w:rFonts w:ascii="Arial" w:cs="Arial" w:eastAsia="Arial" w:hAnsi="Arial"/>
                <w:sz w:val="17"/>
                <w:szCs w:val="17"/>
                <w:color w:val="auto"/>
              </w:rPr>
              <w:t>“Control”</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1.11</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“Cover” or “Covered”</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1.12</w:t>
            </w:r>
          </w:p>
        </w:tc>
        <w:tc>
          <w:tcPr>
            <w:tcW w:w="3220" w:type="dxa"/>
            <w:vAlign w:val="bottom"/>
          </w:tcPr>
          <w:p>
            <w:pPr>
              <w:ind w:left="300"/>
              <w:spacing w:after="0"/>
              <w:rPr>
                <w:sz w:val="20"/>
                <w:szCs w:val="20"/>
                <w:color w:val="auto"/>
              </w:rPr>
            </w:pPr>
            <w:r>
              <w:rPr>
                <w:rFonts w:ascii="Arial" w:cs="Arial" w:eastAsia="Arial" w:hAnsi="Arial"/>
                <w:sz w:val="17"/>
                <w:szCs w:val="17"/>
                <w:color w:val="auto"/>
              </w:rPr>
              <w:t>“Development” or “Develop”</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1.13</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“Development Term”</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1.14</w:t>
            </w:r>
          </w:p>
        </w:tc>
        <w:tc>
          <w:tcPr>
            <w:tcW w:w="3220" w:type="dxa"/>
            <w:vAlign w:val="bottom"/>
          </w:tcPr>
          <w:p>
            <w:pPr>
              <w:ind w:left="300"/>
              <w:spacing w:after="0"/>
              <w:rPr>
                <w:sz w:val="20"/>
                <w:szCs w:val="20"/>
                <w:color w:val="auto"/>
              </w:rPr>
            </w:pPr>
            <w:r>
              <w:rPr>
                <w:rFonts w:ascii="Arial" w:cs="Arial" w:eastAsia="Arial" w:hAnsi="Arial"/>
                <w:sz w:val="17"/>
                <w:szCs w:val="17"/>
                <w:color w:val="auto"/>
              </w:rPr>
              <w:t>“EU”</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1.15</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“EU Milestone Conditions”</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1.16</w:t>
            </w:r>
          </w:p>
        </w:tc>
        <w:tc>
          <w:tcPr>
            <w:tcW w:w="3220" w:type="dxa"/>
            <w:vAlign w:val="bottom"/>
          </w:tcPr>
          <w:p>
            <w:pPr>
              <w:ind w:left="300"/>
              <w:spacing w:after="0"/>
              <w:rPr>
                <w:sz w:val="20"/>
                <w:szCs w:val="20"/>
                <w:color w:val="auto"/>
              </w:rPr>
            </w:pPr>
            <w:r>
              <w:rPr>
                <w:rFonts w:ascii="Arial" w:cs="Arial" w:eastAsia="Arial" w:hAnsi="Arial"/>
                <w:sz w:val="17"/>
                <w:szCs w:val="17"/>
                <w:color w:val="auto"/>
              </w:rPr>
              <w:t>“Executive Officers”</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1.17</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“FDA”</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1.18</w:t>
            </w:r>
          </w:p>
        </w:tc>
        <w:tc>
          <w:tcPr>
            <w:tcW w:w="3220" w:type="dxa"/>
            <w:vAlign w:val="bottom"/>
          </w:tcPr>
          <w:p>
            <w:pPr>
              <w:ind w:left="300"/>
              <w:spacing w:after="0"/>
              <w:rPr>
                <w:sz w:val="20"/>
                <w:szCs w:val="20"/>
                <w:color w:val="auto"/>
              </w:rPr>
            </w:pPr>
            <w:r>
              <w:rPr>
                <w:rFonts w:ascii="Arial" w:cs="Arial" w:eastAsia="Arial" w:hAnsi="Arial"/>
                <w:sz w:val="17"/>
                <w:szCs w:val="17"/>
                <w:color w:val="auto"/>
              </w:rPr>
              <w:t>“Field”</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1.19</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“First Commercial Sale”</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1.20</w:t>
            </w:r>
          </w:p>
        </w:tc>
        <w:tc>
          <w:tcPr>
            <w:tcW w:w="3220" w:type="dxa"/>
            <w:vAlign w:val="bottom"/>
          </w:tcPr>
          <w:p>
            <w:pPr>
              <w:ind w:left="300"/>
              <w:spacing w:after="0"/>
              <w:rPr>
                <w:sz w:val="20"/>
                <w:szCs w:val="20"/>
                <w:color w:val="auto"/>
              </w:rPr>
            </w:pPr>
            <w:r>
              <w:rPr>
                <w:rFonts w:ascii="Arial" w:cs="Arial" w:eastAsia="Arial" w:hAnsi="Arial"/>
                <w:sz w:val="17"/>
                <w:szCs w:val="17"/>
                <w:color w:val="auto"/>
              </w:rPr>
              <w:t>Intentionally Omitted</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1.21</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Intentionally Omitted</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1.22</w:t>
            </w:r>
          </w:p>
        </w:tc>
        <w:tc>
          <w:tcPr>
            <w:tcW w:w="3220" w:type="dxa"/>
            <w:vAlign w:val="bottom"/>
          </w:tcPr>
          <w:p>
            <w:pPr>
              <w:ind w:left="300"/>
              <w:spacing w:after="0"/>
              <w:rPr>
                <w:sz w:val="20"/>
                <w:szCs w:val="20"/>
                <w:color w:val="auto"/>
              </w:rPr>
            </w:pPr>
            <w:r>
              <w:rPr>
                <w:rFonts w:ascii="Arial" w:cs="Arial" w:eastAsia="Arial" w:hAnsi="Arial"/>
                <w:sz w:val="17"/>
                <w:szCs w:val="17"/>
                <w:color w:val="auto"/>
              </w:rPr>
              <w:t>Intentionally Omitted</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1.23</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Intentionally Omitted</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1.24</w:t>
            </w:r>
          </w:p>
        </w:tc>
        <w:tc>
          <w:tcPr>
            <w:tcW w:w="3220" w:type="dxa"/>
            <w:vAlign w:val="bottom"/>
          </w:tcPr>
          <w:p>
            <w:pPr>
              <w:ind w:left="300"/>
              <w:spacing w:after="0"/>
              <w:rPr>
                <w:sz w:val="20"/>
                <w:szCs w:val="20"/>
                <w:color w:val="auto"/>
              </w:rPr>
            </w:pPr>
            <w:r>
              <w:rPr>
                <w:rFonts w:ascii="Arial" w:cs="Arial" w:eastAsia="Arial" w:hAnsi="Arial"/>
                <w:sz w:val="17"/>
                <w:szCs w:val="17"/>
                <w:color w:val="auto"/>
              </w:rPr>
              <w:t>Intentionally Omitted</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1.25</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“Know-How”</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1.26</w:t>
            </w:r>
          </w:p>
        </w:tc>
        <w:tc>
          <w:tcPr>
            <w:tcW w:w="3220" w:type="dxa"/>
            <w:vAlign w:val="bottom"/>
          </w:tcPr>
          <w:p>
            <w:pPr>
              <w:ind w:left="300"/>
              <w:spacing w:after="0"/>
              <w:rPr>
                <w:sz w:val="20"/>
                <w:szCs w:val="20"/>
                <w:color w:val="auto"/>
              </w:rPr>
            </w:pPr>
            <w:r>
              <w:rPr>
                <w:rFonts w:ascii="Arial" w:cs="Arial" w:eastAsia="Arial" w:hAnsi="Arial"/>
                <w:sz w:val="17"/>
                <w:szCs w:val="17"/>
                <w:color w:val="auto"/>
              </w:rPr>
              <w:t>“Knowledge”</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1.27</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“Licensee”</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1.28</w:t>
            </w:r>
          </w:p>
        </w:tc>
        <w:tc>
          <w:tcPr>
            <w:tcW w:w="3220" w:type="dxa"/>
            <w:vAlign w:val="bottom"/>
          </w:tcPr>
          <w:p>
            <w:pPr>
              <w:ind w:left="300"/>
              <w:spacing w:after="0"/>
              <w:rPr>
                <w:sz w:val="20"/>
                <w:szCs w:val="20"/>
                <w:color w:val="auto"/>
              </w:rPr>
            </w:pPr>
            <w:r>
              <w:rPr>
                <w:rFonts w:ascii="Arial" w:cs="Arial" w:eastAsia="Arial" w:hAnsi="Arial"/>
                <w:sz w:val="17"/>
                <w:szCs w:val="17"/>
                <w:color w:val="auto"/>
              </w:rPr>
              <w:t>“Manufacturing” or “Manufacture”</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1.29</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“Net Sales”</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1.30</w:t>
            </w:r>
          </w:p>
        </w:tc>
        <w:tc>
          <w:tcPr>
            <w:tcW w:w="3220" w:type="dxa"/>
            <w:vAlign w:val="bottom"/>
          </w:tcPr>
          <w:p>
            <w:pPr>
              <w:ind w:left="300"/>
              <w:spacing w:after="0"/>
              <w:rPr>
                <w:sz w:val="20"/>
                <w:szCs w:val="20"/>
                <w:color w:val="auto"/>
              </w:rPr>
            </w:pPr>
            <w:r>
              <w:rPr>
                <w:rFonts w:ascii="Arial" w:cs="Arial" w:eastAsia="Arial" w:hAnsi="Arial"/>
                <w:sz w:val="17"/>
                <w:szCs w:val="17"/>
                <w:color w:val="auto"/>
              </w:rPr>
              <w:t>“On-Going Phase I/II Trial”</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1.31</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“Other On-Going Trials”</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1.32</w:t>
            </w:r>
          </w:p>
        </w:tc>
        <w:tc>
          <w:tcPr>
            <w:tcW w:w="3220" w:type="dxa"/>
            <w:vAlign w:val="bottom"/>
          </w:tcPr>
          <w:p>
            <w:pPr>
              <w:ind w:left="300"/>
              <w:spacing w:after="0"/>
              <w:rPr>
                <w:sz w:val="20"/>
                <w:szCs w:val="20"/>
                <w:color w:val="auto"/>
              </w:rPr>
            </w:pPr>
            <w:r>
              <w:rPr>
                <w:rFonts w:ascii="Arial" w:cs="Arial" w:eastAsia="Arial" w:hAnsi="Arial"/>
                <w:sz w:val="17"/>
                <w:szCs w:val="17"/>
                <w:color w:val="auto"/>
              </w:rPr>
              <w:t>“Party”; “Parties”</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1.33</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“Patent Rights”</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1.34</w:t>
            </w:r>
          </w:p>
        </w:tc>
        <w:tc>
          <w:tcPr>
            <w:tcW w:w="3220" w:type="dxa"/>
            <w:vAlign w:val="bottom"/>
          </w:tcPr>
          <w:p>
            <w:pPr>
              <w:ind w:left="300"/>
              <w:spacing w:after="0"/>
              <w:rPr>
                <w:sz w:val="20"/>
                <w:szCs w:val="20"/>
                <w:color w:val="auto"/>
              </w:rPr>
            </w:pPr>
            <w:r>
              <w:rPr>
                <w:rFonts w:ascii="Arial" w:cs="Arial" w:eastAsia="Arial" w:hAnsi="Arial"/>
                <w:sz w:val="17"/>
                <w:szCs w:val="17"/>
                <w:color w:val="auto"/>
              </w:rPr>
              <w:t>“Person”</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1.35</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“Pivotal Clinical Trial”</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1.36</w:t>
            </w:r>
          </w:p>
        </w:tc>
        <w:tc>
          <w:tcPr>
            <w:tcW w:w="3220" w:type="dxa"/>
            <w:vAlign w:val="bottom"/>
          </w:tcPr>
          <w:p>
            <w:pPr>
              <w:ind w:left="300"/>
              <w:spacing w:after="0"/>
              <w:rPr>
                <w:sz w:val="20"/>
                <w:szCs w:val="20"/>
                <w:color w:val="auto"/>
              </w:rPr>
            </w:pPr>
            <w:r>
              <w:rPr>
                <w:rFonts w:ascii="Arial" w:cs="Arial" w:eastAsia="Arial" w:hAnsi="Arial"/>
                <w:sz w:val="17"/>
                <w:szCs w:val="17"/>
                <w:color w:val="auto"/>
              </w:rPr>
              <w:t>“Primary Indication”</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1.37</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“Product”</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1.38</w:t>
            </w:r>
          </w:p>
        </w:tc>
        <w:tc>
          <w:tcPr>
            <w:tcW w:w="3220" w:type="dxa"/>
            <w:vAlign w:val="bottom"/>
          </w:tcPr>
          <w:p>
            <w:pPr>
              <w:ind w:left="300"/>
              <w:spacing w:after="0"/>
              <w:rPr>
                <w:sz w:val="20"/>
                <w:szCs w:val="20"/>
                <w:color w:val="auto"/>
              </w:rPr>
            </w:pPr>
            <w:r>
              <w:rPr>
                <w:rFonts w:ascii="Arial" w:cs="Arial" w:eastAsia="Arial" w:hAnsi="Arial"/>
                <w:sz w:val="17"/>
                <w:szCs w:val="17"/>
                <w:color w:val="auto"/>
              </w:rPr>
              <w:t>“Regulatory Approval”</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1.39</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“Regulatory Authority”</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1.40</w:t>
            </w:r>
          </w:p>
        </w:tc>
        <w:tc>
          <w:tcPr>
            <w:tcW w:w="3220" w:type="dxa"/>
            <w:vAlign w:val="bottom"/>
          </w:tcPr>
          <w:p>
            <w:pPr>
              <w:ind w:left="300"/>
              <w:spacing w:after="0"/>
              <w:rPr>
                <w:sz w:val="20"/>
                <w:szCs w:val="20"/>
                <w:color w:val="auto"/>
              </w:rPr>
            </w:pPr>
            <w:r>
              <w:rPr>
                <w:rFonts w:ascii="Arial" w:cs="Arial" w:eastAsia="Arial" w:hAnsi="Arial"/>
                <w:sz w:val="17"/>
                <w:szCs w:val="17"/>
                <w:color w:val="auto"/>
              </w:rPr>
              <w:t>“Royalty Term”</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1.41</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“Sublicensed IP”</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700"/>
              <w:spacing w:after="0"/>
              <w:rPr>
                <w:sz w:val="20"/>
                <w:szCs w:val="20"/>
                <w:color w:val="auto"/>
              </w:rPr>
            </w:pPr>
            <w:r>
              <w:rPr>
                <w:rFonts w:ascii="Arial" w:cs="Arial" w:eastAsia="Arial" w:hAnsi="Arial"/>
                <w:sz w:val="17"/>
                <w:szCs w:val="17"/>
                <w:color w:val="auto"/>
              </w:rPr>
              <w:t>Section 1.42</w:t>
            </w:r>
          </w:p>
        </w:tc>
        <w:tc>
          <w:tcPr>
            <w:tcW w:w="3220" w:type="dxa"/>
            <w:vAlign w:val="bottom"/>
          </w:tcPr>
          <w:p>
            <w:pPr>
              <w:ind w:left="300"/>
              <w:spacing w:after="0"/>
              <w:rPr>
                <w:sz w:val="20"/>
                <w:szCs w:val="20"/>
                <w:color w:val="auto"/>
              </w:rPr>
            </w:pPr>
            <w:r>
              <w:rPr>
                <w:rFonts w:ascii="Arial" w:cs="Arial" w:eastAsia="Arial" w:hAnsi="Arial"/>
                <w:sz w:val="17"/>
                <w:szCs w:val="17"/>
                <w:color w:val="auto"/>
              </w:rPr>
              <w:t>“Successful Completion”</w:t>
            </w:r>
          </w:p>
        </w:tc>
        <w:tc>
          <w:tcPr>
            <w:tcW w:w="6320" w:type="dxa"/>
            <w:vAlign w:val="bottom"/>
            <w:gridSpan w:val="4"/>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1.43</w:t>
            </w:r>
          </w:p>
        </w:tc>
        <w:tc>
          <w:tcPr>
            <w:tcW w:w="3220" w:type="dxa"/>
            <w:vAlign w:val="bottom"/>
            <w:shd w:val="clear" w:color="auto" w:fill="CCFFCC"/>
          </w:tcPr>
          <w:p>
            <w:pPr>
              <w:ind w:left="300"/>
              <w:spacing w:after="0"/>
              <w:rPr>
                <w:sz w:val="20"/>
                <w:szCs w:val="20"/>
                <w:color w:val="auto"/>
              </w:rPr>
            </w:pPr>
            <w:r>
              <w:rPr>
                <w:rFonts w:ascii="Arial" w:cs="Arial" w:eastAsia="Arial" w:hAnsi="Arial"/>
                <w:sz w:val="17"/>
                <w:szCs w:val="17"/>
                <w:color w:val="auto"/>
              </w:rPr>
              <w:t>“Territory”</w:t>
            </w:r>
          </w:p>
        </w:tc>
        <w:tc>
          <w:tcPr>
            <w:tcW w:w="6320" w:type="dxa"/>
            <w:vAlign w:val="bottom"/>
            <w:gridSpan w:val="4"/>
            <w:shd w:val="clear" w:color="auto" w:fill="CCFFCC"/>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60" w:type="dxa"/>
            <w:vAlign w:val="bottom"/>
            <w:gridSpan w:val="3"/>
          </w:tcPr>
          <w:p>
            <w:pPr>
              <w:ind w:left="2920"/>
              <w:spacing w:after="0"/>
              <w:rPr>
                <w:sz w:val="20"/>
                <w:szCs w:val="20"/>
                <w:color w:val="auto"/>
              </w:rPr>
            </w:pPr>
            <w:r>
              <w:rPr>
                <w:rFonts w:ascii="Arial" w:cs="Arial" w:eastAsia="Arial" w:hAnsi="Arial"/>
                <w:sz w:val="17"/>
                <w:szCs w:val="17"/>
                <w:color w:val="auto"/>
              </w:rPr>
              <w:t>Table of Contents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w w:val="95"/>
              </w:rPr>
              <w:t>Page</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1.44</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“Third Party”</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1.45</w:t>
            </w:r>
          </w:p>
        </w:tc>
        <w:tc>
          <w:tcPr>
            <w:tcW w:w="8860" w:type="dxa"/>
            <w:vAlign w:val="bottom"/>
            <w:gridSpan w:val="3"/>
          </w:tcPr>
          <w:p>
            <w:pPr>
              <w:spacing w:after="0"/>
              <w:rPr>
                <w:sz w:val="20"/>
                <w:szCs w:val="20"/>
                <w:color w:val="auto"/>
              </w:rPr>
            </w:pPr>
            <w:r>
              <w:rPr>
                <w:rFonts w:ascii="Arial" w:cs="Arial" w:eastAsia="Arial" w:hAnsi="Arial"/>
                <w:sz w:val="17"/>
                <w:szCs w:val="17"/>
                <w:color w:val="auto"/>
              </w:rPr>
              <w:t>“Valid Claim”</w:t>
            </w:r>
          </w:p>
        </w:tc>
        <w:tc>
          <w:tcPr>
            <w:tcW w:w="38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1.46</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Additional Definitions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1.47</w:t>
            </w:r>
          </w:p>
        </w:tc>
        <w:tc>
          <w:tcPr>
            <w:tcW w:w="8860" w:type="dxa"/>
            <w:vAlign w:val="bottom"/>
            <w:gridSpan w:val="3"/>
          </w:tcPr>
          <w:p>
            <w:pPr>
              <w:spacing w:after="0"/>
              <w:rPr>
                <w:sz w:val="20"/>
                <w:szCs w:val="20"/>
                <w:color w:val="auto"/>
              </w:rPr>
            </w:pPr>
            <w:r>
              <w:rPr>
                <w:rFonts w:ascii="Arial" w:cs="Arial" w:eastAsia="Arial" w:hAnsi="Arial"/>
                <w:sz w:val="17"/>
                <w:szCs w:val="17"/>
                <w:color w:val="auto"/>
              </w:rPr>
              <w:t>Interpretation</w:t>
            </w: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29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20"/>
                <w:szCs w:val="20"/>
                <w:color w:val="auto"/>
              </w:rPr>
            </w:pPr>
            <w:r>
              <w:rPr>
                <w:rFonts w:ascii="Arial" w:cs="Arial" w:eastAsia="Arial" w:hAnsi="Arial"/>
                <w:sz w:val="17"/>
                <w:szCs w:val="17"/>
                <w:color w:val="auto"/>
              </w:rPr>
              <w:t>Article II</w:t>
            </w:r>
          </w:p>
        </w:tc>
        <w:tc>
          <w:tcPr>
            <w:tcW w:w="1480" w:type="dxa"/>
            <w:vAlign w:val="bottom"/>
          </w:tcPr>
          <w:p>
            <w:pPr>
              <w:ind w:left="20"/>
              <w:spacing w:after="0"/>
              <w:rPr>
                <w:sz w:val="20"/>
                <w:szCs w:val="20"/>
                <w:color w:val="auto"/>
              </w:rPr>
            </w:pPr>
            <w:r>
              <w:rPr>
                <w:rFonts w:ascii="Arial" w:cs="Arial" w:eastAsia="Arial" w:hAnsi="Arial"/>
                <w:sz w:val="17"/>
                <w:szCs w:val="17"/>
                <w:color w:val="auto"/>
              </w:rPr>
              <w:t>Grant of Rights</w:t>
            </w:r>
          </w:p>
        </w:tc>
        <w:tc>
          <w:tcPr>
            <w:tcW w:w="2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2.1</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BioLineRx License Grant to Ikaria; Consent of OCS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2.2</w:t>
            </w:r>
          </w:p>
        </w:tc>
        <w:tc>
          <w:tcPr>
            <w:tcW w:w="8860" w:type="dxa"/>
            <w:vAlign w:val="bottom"/>
            <w:gridSpan w:val="3"/>
          </w:tcPr>
          <w:p>
            <w:pPr>
              <w:spacing w:after="0"/>
              <w:rPr>
                <w:sz w:val="20"/>
                <w:szCs w:val="20"/>
                <w:color w:val="auto"/>
              </w:rPr>
            </w:pPr>
            <w:r>
              <w:rPr>
                <w:rFonts w:ascii="Arial" w:cs="Arial" w:eastAsia="Arial" w:hAnsi="Arial"/>
                <w:sz w:val="17"/>
                <w:szCs w:val="17"/>
                <w:color w:val="auto"/>
              </w:rPr>
              <w:t>Non-Competition</w:t>
            </w: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2.3</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Existing Product Agreements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2.4</w:t>
            </w:r>
          </w:p>
        </w:tc>
        <w:tc>
          <w:tcPr>
            <w:tcW w:w="8860" w:type="dxa"/>
            <w:vAlign w:val="bottom"/>
            <w:gridSpan w:val="3"/>
          </w:tcPr>
          <w:p>
            <w:pPr>
              <w:spacing w:after="0"/>
              <w:rPr>
                <w:sz w:val="20"/>
                <w:szCs w:val="20"/>
                <w:color w:val="auto"/>
              </w:rPr>
            </w:pPr>
            <w:r>
              <w:rPr>
                <w:rFonts w:ascii="Arial" w:cs="Arial" w:eastAsia="Arial" w:hAnsi="Arial"/>
                <w:sz w:val="17"/>
                <w:szCs w:val="17"/>
                <w:color w:val="auto"/>
              </w:rPr>
              <w:t>Intentionally Omitted</w:t>
            </w: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2.5</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Section 365(n) of the Bankruptcy Code</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2.6</w:t>
            </w:r>
          </w:p>
        </w:tc>
        <w:tc>
          <w:tcPr>
            <w:tcW w:w="8860" w:type="dxa"/>
            <w:vAlign w:val="bottom"/>
            <w:gridSpan w:val="3"/>
          </w:tcPr>
          <w:p>
            <w:pPr>
              <w:spacing w:after="0"/>
              <w:rPr>
                <w:sz w:val="20"/>
                <w:szCs w:val="20"/>
                <w:color w:val="auto"/>
              </w:rPr>
            </w:pPr>
            <w:r>
              <w:rPr>
                <w:rFonts w:ascii="Arial" w:cs="Arial" w:eastAsia="Arial" w:hAnsi="Arial"/>
                <w:sz w:val="17"/>
                <w:szCs w:val="17"/>
                <w:color w:val="auto"/>
              </w:rPr>
              <w:t>Retained Rights</w:t>
            </w:r>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4400" w:type="dxa"/>
            <w:vAlign w:val="bottom"/>
            <w:gridSpan w:val="2"/>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20"/>
                <w:szCs w:val="20"/>
                <w:color w:val="auto"/>
              </w:rPr>
            </w:pPr>
            <w:r>
              <w:rPr>
                <w:rFonts w:ascii="Arial" w:cs="Arial" w:eastAsia="Arial" w:hAnsi="Arial"/>
                <w:sz w:val="17"/>
                <w:szCs w:val="17"/>
                <w:color w:val="auto"/>
              </w:rPr>
              <w:t>Article III</w:t>
            </w:r>
          </w:p>
        </w:tc>
        <w:tc>
          <w:tcPr>
            <w:tcW w:w="10340" w:type="dxa"/>
            <w:vAlign w:val="bottom"/>
            <w:gridSpan w:val="4"/>
          </w:tcPr>
          <w:p>
            <w:pPr>
              <w:ind w:left="80"/>
              <w:spacing w:after="0"/>
              <w:rPr>
                <w:sz w:val="20"/>
                <w:szCs w:val="20"/>
                <w:color w:val="auto"/>
              </w:rPr>
            </w:pPr>
            <w:r>
              <w:rPr>
                <w:rFonts w:ascii="Arial" w:cs="Arial" w:eastAsia="Arial" w:hAnsi="Arial"/>
                <w:sz w:val="17"/>
                <w:szCs w:val="17"/>
                <w:color w:val="auto"/>
              </w:rPr>
              <w:t>Development; Manufacturing; Commercialization</w:t>
            </w:r>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3.1</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General</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3.2</w:t>
            </w:r>
          </w:p>
        </w:tc>
        <w:tc>
          <w:tcPr>
            <w:tcW w:w="8860" w:type="dxa"/>
            <w:vAlign w:val="bottom"/>
            <w:gridSpan w:val="3"/>
          </w:tcPr>
          <w:p>
            <w:pPr>
              <w:spacing w:after="0"/>
              <w:rPr>
                <w:sz w:val="20"/>
                <w:szCs w:val="20"/>
                <w:color w:val="auto"/>
              </w:rPr>
            </w:pPr>
            <w:r>
              <w:rPr>
                <w:rFonts w:ascii="Arial" w:cs="Arial" w:eastAsia="Arial" w:hAnsi="Arial"/>
                <w:sz w:val="17"/>
                <w:szCs w:val="17"/>
                <w:color w:val="auto"/>
              </w:rPr>
              <w:t>Joint Development Committee.</w:t>
            </w:r>
          </w:p>
        </w:tc>
        <w:tc>
          <w:tcPr>
            <w:tcW w:w="38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3.3</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On-Going Trials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3.4</w:t>
            </w:r>
          </w:p>
        </w:tc>
        <w:tc>
          <w:tcPr>
            <w:tcW w:w="8860" w:type="dxa"/>
            <w:vAlign w:val="bottom"/>
            <w:gridSpan w:val="3"/>
          </w:tcPr>
          <w:p>
            <w:pPr>
              <w:spacing w:after="0"/>
              <w:rPr>
                <w:sz w:val="20"/>
                <w:szCs w:val="20"/>
                <w:color w:val="auto"/>
              </w:rPr>
            </w:pPr>
            <w:r>
              <w:rPr>
                <w:rFonts w:ascii="Arial" w:cs="Arial" w:eastAsia="Arial" w:hAnsi="Arial"/>
                <w:sz w:val="17"/>
                <w:szCs w:val="17"/>
                <w:color w:val="auto"/>
              </w:rPr>
              <w:t>Regulatory Matters</w:t>
            </w: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3.5</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Technology Exchange.</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3.6</w:t>
            </w:r>
          </w:p>
        </w:tc>
        <w:tc>
          <w:tcPr>
            <w:tcW w:w="8860" w:type="dxa"/>
            <w:vAlign w:val="bottom"/>
            <w:gridSpan w:val="3"/>
          </w:tcPr>
          <w:p>
            <w:pPr>
              <w:spacing w:after="0"/>
              <w:rPr>
                <w:sz w:val="20"/>
                <w:szCs w:val="20"/>
                <w:color w:val="auto"/>
              </w:rPr>
            </w:pPr>
            <w:r>
              <w:rPr>
                <w:rFonts w:ascii="Arial" w:cs="Arial" w:eastAsia="Arial" w:hAnsi="Arial"/>
                <w:sz w:val="17"/>
                <w:szCs w:val="17"/>
                <w:color w:val="auto"/>
              </w:rPr>
              <w:t>Manufacturing</w:t>
            </w:r>
          </w:p>
        </w:tc>
        <w:tc>
          <w:tcPr>
            <w:tcW w:w="38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3.7</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Commercialization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3.8</w:t>
            </w:r>
          </w:p>
        </w:tc>
        <w:tc>
          <w:tcPr>
            <w:tcW w:w="8860" w:type="dxa"/>
            <w:vAlign w:val="bottom"/>
            <w:gridSpan w:val="3"/>
          </w:tcPr>
          <w:p>
            <w:pPr>
              <w:spacing w:after="0"/>
              <w:rPr>
                <w:sz w:val="20"/>
                <w:szCs w:val="20"/>
                <w:color w:val="auto"/>
              </w:rPr>
            </w:pPr>
            <w:r>
              <w:rPr>
                <w:rFonts w:ascii="Arial" w:cs="Arial" w:eastAsia="Arial" w:hAnsi="Arial"/>
                <w:sz w:val="17"/>
                <w:szCs w:val="17"/>
                <w:color w:val="auto"/>
              </w:rPr>
              <w:t>Efforts</w:t>
            </w: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80" w:type="dxa"/>
            <w:vAlign w:val="bottom"/>
            <w:gridSpan w:val="2"/>
            <w:shd w:val="clear" w:color="auto" w:fill="CCFFCC"/>
          </w:tcPr>
          <w:p>
            <w:pPr>
              <w:spacing w:after="0"/>
              <w:rPr>
                <w:sz w:val="17"/>
                <w:szCs w:val="17"/>
                <w:color w:val="auto"/>
              </w:rPr>
            </w:pPr>
          </w:p>
        </w:tc>
        <w:tc>
          <w:tcPr>
            <w:tcW w:w="29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80" w:type="dxa"/>
            <w:vAlign w:val="bottom"/>
            <w:gridSpan w:val="2"/>
          </w:tcPr>
          <w:p>
            <w:pPr>
              <w:spacing w:after="0"/>
              <w:rPr>
                <w:sz w:val="20"/>
                <w:szCs w:val="20"/>
                <w:color w:val="auto"/>
              </w:rPr>
            </w:pPr>
            <w:r>
              <w:rPr>
                <w:rFonts w:ascii="Arial" w:cs="Arial" w:eastAsia="Arial" w:hAnsi="Arial"/>
                <w:sz w:val="17"/>
                <w:szCs w:val="17"/>
                <w:color w:val="auto"/>
                <w:w w:val="96"/>
              </w:rPr>
              <w:t>Article IV Financial Provisions</w:t>
            </w:r>
          </w:p>
        </w:tc>
        <w:tc>
          <w:tcPr>
            <w:tcW w:w="2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4.1</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Milestone Payments.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4.2</w:t>
            </w:r>
          </w:p>
        </w:tc>
        <w:tc>
          <w:tcPr>
            <w:tcW w:w="8860" w:type="dxa"/>
            <w:vAlign w:val="bottom"/>
            <w:gridSpan w:val="3"/>
          </w:tcPr>
          <w:p>
            <w:pPr>
              <w:spacing w:after="0"/>
              <w:rPr>
                <w:sz w:val="20"/>
                <w:szCs w:val="20"/>
                <w:color w:val="auto"/>
              </w:rPr>
            </w:pPr>
            <w:r>
              <w:rPr>
                <w:rFonts w:ascii="Arial" w:cs="Arial" w:eastAsia="Arial" w:hAnsi="Arial"/>
                <w:sz w:val="17"/>
                <w:szCs w:val="17"/>
                <w:color w:val="auto"/>
              </w:rPr>
              <w:t>Royalties on Net Sales of Products</w:t>
            </w:r>
          </w:p>
        </w:tc>
        <w:tc>
          <w:tcPr>
            <w:tcW w:w="380" w:type="dxa"/>
            <w:vAlign w:val="bottom"/>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4.3</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Reports and Accounting.</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4.4</w:t>
            </w:r>
          </w:p>
        </w:tc>
        <w:tc>
          <w:tcPr>
            <w:tcW w:w="8860" w:type="dxa"/>
            <w:vAlign w:val="bottom"/>
            <w:gridSpan w:val="3"/>
          </w:tcPr>
          <w:p>
            <w:pPr>
              <w:spacing w:after="0"/>
              <w:rPr>
                <w:sz w:val="20"/>
                <w:szCs w:val="20"/>
                <w:color w:val="auto"/>
              </w:rPr>
            </w:pPr>
            <w:r>
              <w:rPr>
                <w:rFonts w:ascii="Arial" w:cs="Arial" w:eastAsia="Arial" w:hAnsi="Arial"/>
                <w:sz w:val="17"/>
                <w:szCs w:val="17"/>
                <w:color w:val="auto"/>
              </w:rPr>
              <w:t>Currency Amounts</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4.5</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Currency Exchange</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4.6</w:t>
            </w:r>
          </w:p>
        </w:tc>
        <w:tc>
          <w:tcPr>
            <w:tcW w:w="8860" w:type="dxa"/>
            <w:vAlign w:val="bottom"/>
            <w:gridSpan w:val="3"/>
          </w:tcPr>
          <w:p>
            <w:pPr>
              <w:spacing w:after="0"/>
              <w:rPr>
                <w:sz w:val="20"/>
                <w:szCs w:val="20"/>
                <w:color w:val="auto"/>
              </w:rPr>
            </w:pPr>
            <w:r>
              <w:rPr>
                <w:rFonts w:ascii="Arial" w:cs="Arial" w:eastAsia="Arial" w:hAnsi="Arial"/>
                <w:sz w:val="17"/>
                <w:szCs w:val="17"/>
                <w:color w:val="auto"/>
              </w:rPr>
              <w:t>Tax Withholding</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4.7</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Upfront Payments Received Under Sublicenses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440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20"/>
                <w:szCs w:val="20"/>
                <w:color w:val="auto"/>
              </w:rPr>
            </w:pPr>
            <w:r>
              <w:rPr>
                <w:rFonts w:ascii="Arial" w:cs="Arial" w:eastAsia="Arial" w:hAnsi="Arial"/>
                <w:sz w:val="17"/>
                <w:szCs w:val="17"/>
                <w:color w:val="auto"/>
              </w:rPr>
              <w:t>Article V</w:t>
            </w:r>
          </w:p>
        </w:tc>
        <w:tc>
          <w:tcPr>
            <w:tcW w:w="10340" w:type="dxa"/>
            <w:vAlign w:val="bottom"/>
            <w:gridSpan w:val="4"/>
            <w:shd w:val="clear" w:color="auto" w:fill="CCFFCC"/>
          </w:tcPr>
          <w:p>
            <w:pPr>
              <w:ind w:left="20"/>
              <w:spacing w:after="0"/>
              <w:rPr>
                <w:sz w:val="20"/>
                <w:szCs w:val="20"/>
                <w:color w:val="auto"/>
              </w:rPr>
            </w:pPr>
            <w:r>
              <w:rPr>
                <w:rFonts w:ascii="Arial" w:cs="Arial" w:eastAsia="Arial" w:hAnsi="Arial"/>
                <w:sz w:val="17"/>
                <w:szCs w:val="17"/>
                <w:color w:val="auto"/>
              </w:rPr>
              <w:t>Intellectual Property Ownership, Protection and Related Matters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5.1</w:t>
            </w:r>
          </w:p>
        </w:tc>
        <w:tc>
          <w:tcPr>
            <w:tcW w:w="8860" w:type="dxa"/>
            <w:vAlign w:val="bottom"/>
            <w:gridSpan w:val="3"/>
          </w:tcPr>
          <w:p>
            <w:pPr>
              <w:spacing w:after="0"/>
              <w:rPr>
                <w:sz w:val="20"/>
                <w:szCs w:val="20"/>
                <w:color w:val="auto"/>
              </w:rPr>
            </w:pPr>
            <w:r>
              <w:rPr>
                <w:rFonts w:ascii="Arial" w:cs="Arial" w:eastAsia="Arial" w:hAnsi="Arial"/>
                <w:sz w:val="17"/>
                <w:szCs w:val="17"/>
                <w:color w:val="auto"/>
              </w:rPr>
              <w:t>Ownership of Inventions.</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5.2</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Prosecution and Maintenance of Patent Rights.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5.3</w:t>
            </w:r>
          </w:p>
        </w:tc>
        <w:tc>
          <w:tcPr>
            <w:tcW w:w="8860" w:type="dxa"/>
            <w:vAlign w:val="bottom"/>
            <w:gridSpan w:val="3"/>
          </w:tcPr>
          <w:p>
            <w:pPr>
              <w:spacing w:after="0"/>
              <w:rPr>
                <w:sz w:val="20"/>
                <w:szCs w:val="20"/>
                <w:color w:val="auto"/>
              </w:rPr>
            </w:pPr>
            <w:r>
              <w:rPr>
                <w:rFonts w:ascii="Arial" w:cs="Arial" w:eastAsia="Arial" w:hAnsi="Arial"/>
                <w:sz w:val="17"/>
                <w:szCs w:val="17"/>
                <w:color w:val="auto"/>
              </w:rPr>
              <w:t>Third Party Infringement.</w:t>
            </w:r>
          </w:p>
        </w:tc>
        <w:tc>
          <w:tcPr>
            <w:tcW w:w="380" w:type="dxa"/>
            <w:vAlign w:val="bottom"/>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gridSpan w:val="3"/>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40" w:type="dxa"/>
            <w:vAlign w:val="bottom"/>
            <w:gridSpan w:val="5"/>
          </w:tcPr>
          <w:p>
            <w:pPr>
              <w:spacing w:after="0"/>
              <w:rPr>
                <w:sz w:val="20"/>
                <w:szCs w:val="20"/>
                <w:color w:val="auto"/>
              </w:rPr>
            </w:pPr>
            <w:r>
              <w:rPr>
                <w:rFonts w:ascii="Arial" w:cs="Arial" w:eastAsia="Arial" w:hAnsi="Arial"/>
                <w:sz w:val="17"/>
                <w:szCs w:val="17"/>
                <w:color w:val="auto"/>
              </w:rPr>
              <w:t>Article VI Confidentiality; Non-Solicitation; Standstill</w:t>
            </w:r>
          </w:p>
        </w:tc>
        <w:tc>
          <w:tcPr>
            <w:tcW w:w="38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6.1</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Confidential Information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6.2</w:t>
            </w:r>
          </w:p>
        </w:tc>
        <w:tc>
          <w:tcPr>
            <w:tcW w:w="8860" w:type="dxa"/>
            <w:vAlign w:val="bottom"/>
            <w:gridSpan w:val="3"/>
          </w:tcPr>
          <w:p>
            <w:pPr>
              <w:spacing w:after="0"/>
              <w:rPr>
                <w:sz w:val="20"/>
                <w:szCs w:val="20"/>
                <w:color w:val="auto"/>
              </w:rPr>
            </w:pPr>
            <w:r>
              <w:rPr>
                <w:rFonts w:ascii="Arial" w:cs="Arial" w:eastAsia="Arial" w:hAnsi="Arial"/>
                <w:sz w:val="17"/>
                <w:szCs w:val="17"/>
                <w:color w:val="auto"/>
              </w:rPr>
              <w:t>Disclosures to Employees, Consultants, Advisors, Etc</w:t>
            </w:r>
          </w:p>
        </w:tc>
        <w:tc>
          <w:tcPr>
            <w:tcW w:w="38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6.3</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Non-Solicitation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Section 6.4</w:t>
            </w:r>
          </w:p>
        </w:tc>
        <w:tc>
          <w:tcPr>
            <w:tcW w:w="8860" w:type="dxa"/>
            <w:vAlign w:val="bottom"/>
            <w:gridSpan w:val="3"/>
          </w:tcPr>
          <w:p>
            <w:pPr>
              <w:spacing w:after="0"/>
              <w:rPr>
                <w:sz w:val="20"/>
                <w:szCs w:val="20"/>
                <w:color w:val="auto"/>
              </w:rPr>
            </w:pPr>
            <w:r>
              <w:rPr>
                <w:rFonts w:ascii="Arial" w:cs="Arial" w:eastAsia="Arial" w:hAnsi="Arial"/>
                <w:sz w:val="17"/>
                <w:szCs w:val="17"/>
                <w:color w:val="auto"/>
              </w:rPr>
              <w:t>Standstill</w:t>
            </w:r>
          </w:p>
        </w:tc>
        <w:tc>
          <w:tcPr>
            <w:tcW w:w="38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20"/>
                <w:szCs w:val="20"/>
                <w:color w:val="auto"/>
              </w:rPr>
            </w:pPr>
            <w:r>
              <w:rPr>
                <w:rFonts w:ascii="Arial" w:cs="Arial" w:eastAsia="Arial" w:hAnsi="Arial"/>
                <w:sz w:val="17"/>
                <w:szCs w:val="17"/>
                <w:color w:val="auto"/>
              </w:rPr>
              <w:t>Section 6.5</w:t>
            </w:r>
          </w:p>
        </w:tc>
        <w:tc>
          <w:tcPr>
            <w:tcW w:w="886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Term</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195"/>
        </w:trPr>
        <w:tc>
          <w:tcPr>
            <w:tcW w:w="2140" w:type="dxa"/>
            <w:vAlign w:val="bottom"/>
          </w:tcPr>
          <w:p>
            <w:pPr>
              <w:spacing w:after="0"/>
              <w:rPr>
                <w:sz w:val="16"/>
                <w:szCs w:val="16"/>
                <w:color w:val="auto"/>
              </w:rPr>
            </w:pPr>
          </w:p>
        </w:tc>
        <w:tc>
          <w:tcPr>
            <w:tcW w:w="8900" w:type="dxa"/>
            <w:vAlign w:val="bottom"/>
            <w:gridSpan w:val="3"/>
          </w:tcPr>
          <w:p>
            <w:pPr>
              <w:ind w:left="2960"/>
              <w:spacing w:after="0"/>
              <w:rPr>
                <w:sz w:val="20"/>
                <w:szCs w:val="20"/>
                <w:color w:val="auto"/>
              </w:rPr>
            </w:pPr>
            <w:r>
              <w:rPr>
                <w:rFonts w:ascii="Arial" w:cs="Arial" w:eastAsia="Arial" w:hAnsi="Arial"/>
                <w:sz w:val="17"/>
                <w:szCs w:val="17"/>
                <w:color w:val="auto"/>
              </w:rPr>
              <w:t>Table of Contents</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2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w w:val="95"/>
              </w:rPr>
              <w:t>Page</w:t>
            </w:r>
          </w:p>
        </w:tc>
        <w:tc>
          <w:tcPr>
            <w:tcW w:w="0" w:type="dxa"/>
            <w:vAlign w:val="bottom"/>
          </w:tcPr>
          <w:p>
            <w:pPr>
              <w:spacing w:after="0"/>
              <w:rPr>
                <w:sz w:val="1"/>
                <w:szCs w:val="1"/>
                <w:color w:val="auto"/>
              </w:rPr>
            </w:pPr>
          </w:p>
        </w:tc>
      </w:tr>
      <w:tr>
        <w:trPr>
          <w:trHeight w:val="224"/>
        </w:trPr>
        <w:tc>
          <w:tcPr>
            <w:tcW w:w="2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6.6</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Publicity</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6.7</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Publications</w:t>
            </w:r>
          </w:p>
        </w:tc>
        <w:tc>
          <w:tcPr>
            <w:tcW w:w="38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gridSpan w:val="2"/>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40" w:type="dxa"/>
            <w:vAlign w:val="bottom"/>
            <w:gridSpan w:val="4"/>
          </w:tcPr>
          <w:p>
            <w:pPr>
              <w:spacing w:after="0"/>
              <w:rPr>
                <w:sz w:val="20"/>
                <w:szCs w:val="20"/>
                <w:color w:val="auto"/>
              </w:rPr>
            </w:pPr>
            <w:r>
              <w:rPr>
                <w:rFonts w:ascii="Arial" w:cs="Arial" w:eastAsia="Arial" w:hAnsi="Arial"/>
                <w:sz w:val="17"/>
                <w:szCs w:val="17"/>
                <w:color w:val="auto"/>
              </w:rPr>
              <w:t>Article VII Representations and Warranties</w:t>
            </w: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7.1</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Representations of Authority</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7.2</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Consents</w:t>
            </w: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7.3</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No Conflict</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7.4</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Enforceability</w:t>
            </w: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7.5</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Additional BioLineRx Representations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7.6</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BGN License Agreement</w:t>
            </w: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7.7</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Employee, Consultant and Advisor Legal Obligations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7.8</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Accuracy of Representations and Warranties on Effective Date</w:t>
            </w:r>
          </w:p>
        </w:tc>
        <w:tc>
          <w:tcPr>
            <w:tcW w:w="38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7.9</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No Warranties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Article VIII Term and Termination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8.1</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Term</w:t>
            </w:r>
          </w:p>
        </w:tc>
        <w:tc>
          <w:tcPr>
            <w:tcW w:w="38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8.2</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Termination for Material Breach</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8.3</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Development-Related Termination</w:t>
            </w:r>
          </w:p>
        </w:tc>
        <w:tc>
          <w:tcPr>
            <w:tcW w:w="3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8.4</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Effect of Certain Terminations and Expiration.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8.5</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Survival</w:t>
            </w:r>
          </w:p>
        </w:tc>
        <w:tc>
          <w:tcPr>
            <w:tcW w:w="3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8.6</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Termination Prior to Effective Date</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spacing w:after="0"/>
              <w:rPr>
                <w:sz w:val="20"/>
                <w:szCs w:val="20"/>
                <w:color w:val="auto"/>
              </w:rPr>
            </w:pPr>
            <w:r>
              <w:rPr>
                <w:rFonts w:ascii="Arial" w:cs="Arial" w:eastAsia="Arial" w:hAnsi="Arial"/>
                <w:sz w:val="17"/>
                <w:szCs w:val="17"/>
                <w:color w:val="auto"/>
                <w:w w:val="98"/>
              </w:rPr>
              <w:t>Article IX Dispute Resolution</w:t>
            </w:r>
          </w:p>
        </w:tc>
        <w:tc>
          <w:tcPr>
            <w:tcW w:w="29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9.1</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Negotiation</w:t>
            </w:r>
          </w:p>
        </w:tc>
        <w:tc>
          <w:tcPr>
            <w:tcW w:w="3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9.2</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Escalation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9.3</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Mediation</w:t>
            </w:r>
          </w:p>
        </w:tc>
        <w:tc>
          <w:tcPr>
            <w:tcW w:w="3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9.4</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Litigation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9.5</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Equitable Relief</w:t>
            </w: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gridSpan w:val="2"/>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80" w:type="dxa"/>
            <w:vAlign w:val="bottom"/>
            <w:tcBorders>
              <w:right w:val="single" w:sz="8" w:color="CCFFCC"/>
            </w:tcBorders>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40" w:type="dxa"/>
            <w:vAlign w:val="bottom"/>
            <w:gridSpan w:val="4"/>
          </w:tcPr>
          <w:p>
            <w:pPr>
              <w:spacing w:after="0"/>
              <w:rPr>
                <w:sz w:val="20"/>
                <w:szCs w:val="20"/>
                <w:color w:val="auto"/>
              </w:rPr>
            </w:pPr>
            <w:r>
              <w:rPr>
                <w:rFonts w:ascii="Arial" w:cs="Arial" w:eastAsia="Arial" w:hAnsi="Arial"/>
                <w:sz w:val="17"/>
                <w:szCs w:val="17"/>
                <w:color w:val="auto"/>
              </w:rPr>
              <w:t>Article X Miscellaneous Provisions</w:t>
            </w: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10.1</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Indemnification.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10.2</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Governing Law</w:t>
            </w:r>
          </w:p>
        </w:tc>
        <w:tc>
          <w:tcPr>
            <w:tcW w:w="38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10.3</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Submission to Jurisdiction</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10.4</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Assignment</w:t>
            </w:r>
          </w:p>
        </w:tc>
        <w:tc>
          <w:tcPr>
            <w:tcW w:w="38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10.5</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Entire Agreement; Amendments</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10.6</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Notices.</w:t>
            </w:r>
          </w:p>
        </w:tc>
        <w:tc>
          <w:tcPr>
            <w:tcW w:w="38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10.7</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Force Majeure</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10.8</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Independent Contractors</w:t>
            </w:r>
          </w:p>
        </w:tc>
        <w:tc>
          <w:tcPr>
            <w:tcW w:w="3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10.9</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Limitations of Liability</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700"/>
              <w:spacing w:after="0"/>
              <w:rPr>
                <w:sz w:val="20"/>
                <w:szCs w:val="20"/>
                <w:color w:val="auto"/>
              </w:rPr>
            </w:pPr>
            <w:r>
              <w:rPr>
                <w:rFonts w:ascii="Arial" w:cs="Arial" w:eastAsia="Arial" w:hAnsi="Arial"/>
                <w:sz w:val="17"/>
                <w:szCs w:val="17"/>
                <w:color w:val="auto"/>
              </w:rPr>
              <w:t>Section 10.10</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No Implied Waivers; Rights Cumulative</w:t>
            </w:r>
          </w:p>
        </w:tc>
        <w:tc>
          <w:tcPr>
            <w:tcW w:w="3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shd w:val="clear" w:color="auto" w:fill="CCFFCC"/>
          </w:tcPr>
          <w:p>
            <w:pPr>
              <w:ind w:left="700"/>
              <w:spacing w:after="0"/>
              <w:rPr>
                <w:sz w:val="20"/>
                <w:szCs w:val="20"/>
                <w:color w:val="auto"/>
              </w:rPr>
            </w:pPr>
            <w:r>
              <w:rPr>
                <w:rFonts w:ascii="Arial" w:cs="Arial" w:eastAsia="Arial" w:hAnsi="Arial"/>
                <w:sz w:val="17"/>
                <w:szCs w:val="17"/>
                <w:color w:val="auto"/>
              </w:rPr>
              <w:t>Section 10.11</w:t>
            </w:r>
          </w:p>
        </w:tc>
        <w:tc>
          <w:tcPr>
            <w:tcW w:w="8900" w:type="dxa"/>
            <w:vAlign w:val="bottom"/>
            <w:gridSpan w:val="3"/>
            <w:shd w:val="clear" w:color="auto" w:fill="CCFFCC"/>
          </w:tcPr>
          <w:p>
            <w:pPr>
              <w:ind w:left="40"/>
              <w:spacing w:after="0"/>
              <w:rPr>
                <w:sz w:val="20"/>
                <w:szCs w:val="20"/>
                <w:color w:val="auto"/>
              </w:rPr>
            </w:pPr>
            <w:r>
              <w:rPr>
                <w:rFonts w:ascii="Arial" w:cs="Arial" w:eastAsia="Arial" w:hAnsi="Arial"/>
                <w:sz w:val="17"/>
                <w:szCs w:val="17"/>
                <w:color w:val="auto"/>
              </w:rPr>
              <w:t>Severability</w:t>
            </w:r>
          </w:p>
        </w:tc>
        <w:tc>
          <w:tcPr>
            <w:tcW w:w="3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40" w:type="dxa"/>
            <w:vAlign w:val="bottom"/>
          </w:tcPr>
          <w:p>
            <w:pPr>
              <w:ind w:left="700"/>
              <w:spacing w:after="0"/>
              <w:rPr>
                <w:sz w:val="20"/>
                <w:szCs w:val="20"/>
                <w:color w:val="auto"/>
              </w:rPr>
            </w:pPr>
            <w:r>
              <w:rPr>
                <w:rFonts w:ascii="Arial" w:cs="Arial" w:eastAsia="Arial" w:hAnsi="Arial"/>
                <w:sz w:val="17"/>
                <w:szCs w:val="17"/>
                <w:color w:val="auto"/>
              </w:rPr>
              <w:t>Section 10.12</w:t>
            </w:r>
          </w:p>
        </w:tc>
        <w:tc>
          <w:tcPr>
            <w:tcW w:w="8900" w:type="dxa"/>
            <w:vAlign w:val="bottom"/>
            <w:gridSpan w:val="3"/>
          </w:tcPr>
          <w:p>
            <w:pPr>
              <w:ind w:left="40"/>
              <w:spacing w:after="0"/>
              <w:rPr>
                <w:sz w:val="20"/>
                <w:szCs w:val="20"/>
                <w:color w:val="auto"/>
              </w:rPr>
            </w:pPr>
            <w:r>
              <w:rPr>
                <w:rFonts w:ascii="Arial" w:cs="Arial" w:eastAsia="Arial" w:hAnsi="Arial"/>
                <w:sz w:val="17"/>
                <w:szCs w:val="17"/>
                <w:color w:val="auto"/>
              </w:rPr>
              <w:t>Execution in Counterparts; Facsimile Signatures</w:t>
            </w:r>
          </w:p>
        </w:tc>
        <w:tc>
          <w:tcPr>
            <w:tcW w:w="3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360" w:type="dxa"/>
            <w:vAlign w:val="bottom"/>
            <w:gridSpan w:val="3"/>
          </w:tcPr>
          <w:p>
            <w:pPr>
              <w:ind w:left="3420"/>
              <w:spacing w:after="0"/>
              <w:rPr>
                <w:sz w:val="20"/>
                <w:szCs w:val="20"/>
                <w:color w:val="auto"/>
              </w:rPr>
            </w:pPr>
            <w:r>
              <w:rPr>
                <w:rFonts w:ascii="Arial" w:cs="Arial" w:eastAsia="Arial" w:hAnsi="Arial"/>
                <w:sz w:val="17"/>
                <w:szCs w:val="17"/>
                <w:color w:val="auto"/>
              </w:rPr>
              <w:t>Table of Contents</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17"/>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w w:val="75"/>
              </w:rPr>
              <w:t>Page</w:t>
            </w:r>
          </w:p>
        </w:tc>
      </w:tr>
      <w:tr>
        <w:trPr>
          <w:trHeight w:val="224"/>
        </w:trPr>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6"/>
        </w:trPr>
        <w:tc>
          <w:tcPr>
            <w:tcW w:w="700" w:type="dxa"/>
            <w:vAlign w:val="bottom"/>
            <w:tcBorders>
              <w:bottom w:val="single" w:sz="8" w:color="auto"/>
            </w:tcBorders>
            <w:gridSpan w:val="2"/>
            <w:shd w:val="clear" w:color="auto" w:fill="CCFFCC"/>
          </w:tcPr>
          <w:p>
            <w:pPr>
              <w:spacing w:after="0" w:line="167" w:lineRule="exact"/>
              <w:rPr>
                <w:sz w:val="20"/>
                <w:szCs w:val="20"/>
                <w:color w:val="auto"/>
              </w:rPr>
            </w:pPr>
            <w:r>
              <w:rPr>
                <w:rFonts w:ascii="Arial" w:cs="Arial" w:eastAsia="Arial" w:hAnsi="Arial"/>
                <w:sz w:val="17"/>
                <w:szCs w:val="17"/>
                <w:color w:val="auto"/>
                <w:w w:val="85"/>
              </w:rPr>
              <w:t>Schedules</w:t>
            </w:r>
          </w:p>
        </w:tc>
        <w:tc>
          <w:tcPr>
            <w:tcW w:w="980" w:type="dxa"/>
            <w:vAlign w:val="bottom"/>
            <w:tcBorders>
              <w:bottom w:val="single" w:sz="8" w:color="CCFFCC"/>
            </w:tcBorders>
            <w:shd w:val="clear" w:color="auto" w:fill="CCFFCC"/>
          </w:tcPr>
          <w:p>
            <w:pPr>
              <w:spacing w:after="0"/>
              <w:rPr>
                <w:sz w:val="16"/>
                <w:szCs w:val="16"/>
                <w:color w:val="auto"/>
              </w:rPr>
            </w:pPr>
          </w:p>
        </w:tc>
        <w:tc>
          <w:tcPr>
            <w:tcW w:w="3420" w:type="dxa"/>
            <w:vAlign w:val="bottom"/>
            <w:tcBorders>
              <w:bottom w:val="single" w:sz="8" w:color="CCFFCC"/>
            </w:tcBorders>
            <w:shd w:val="clear" w:color="auto" w:fill="CCFFCC"/>
          </w:tcPr>
          <w:p>
            <w:pPr>
              <w:spacing w:after="0"/>
              <w:rPr>
                <w:sz w:val="16"/>
                <w:szCs w:val="16"/>
                <w:color w:val="auto"/>
              </w:rPr>
            </w:pPr>
          </w:p>
        </w:tc>
        <w:tc>
          <w:tcPr>
            <w:tcW w:w="1220" w:type="dxa"/>
            <w:vAlign w:val="bottom"/>
            <w:tcBorders>
              <w:bottom w:val="single" w:sz="8" w:color="CCFFCC"/>
            </w:tcBorders>
            <w:shd w:val="clear" w:color="auto" w:fill="CCFFCC"/>
          </w:tcPr>
          <w:p>
            <w:pPr>
              <w:spacing w:after="0"/>
              <w:rPr>
                <w:sz w:val="16"/>
                <w:szCs w:val="16"/>
                <w:color w:val="auto"/>
              </w:rPr>
            </w:pPr>
          </w:p>
        </w:tc>
        <w:tc>
          <w:tcPr>
            <w:tcW w:w="4720" w:type="dxa"/>
            <w:vAlign w:val="bottom"/>
            <w:tcBorders>
              <w:bottom w:val="single" w:sz="8" w:color="CCFFCC"/>
            </w:tcBorders>
            <w:shd w:val="clear" w:color="auto" w:fill="CCFFCC"/>
          </w:tcPr>
          <w:p>
            <w:pPr>
              <w:spacing w:after="0"/>
              <w:rPr>
                <w:sz w:val="16"/>
                <w:szCs w:val="16"/>
                <w:color w:val="auto"/>
              </w:rPr>
            </w:pPr>
          </w:p>
        </w:tc>
        <w:tc>
          <w:tcPr>
            <w:tcW w:w="320" w:type="dxa"/>
            <w:vAlign w:val="bottom"/>
            <w:tcBorders>
              <w:bottom w:val="single" w:sz="8" w:color="CCFFCC"/>
            </w:tcBorders>
            <w:shd w:val="clear" w:color="auto" w:fill="CCFFCC"/>
          </w:tcPr>
          <w:p>
            <w:pPr>
              <w:spacing w:after="0"/>
              <w:rPr>
                <w:sz w:val="16"/>
                <w:szCs w:val="16"/>
                <w:color w:val="auto"/>
              </w:rPr>
            </w:pPr>
          </w:p>
        </w:tc>
        <w:tc>
          <w:tcPr>
            <w:tcW w:w="60" w:type="dxa"/>
            <w:vAlign w:val="bottom"/>
            <w:tcBorders>
              <w:bottom w:val="single" w:sz="8" w:color="CCFFCC"/>
            </w:tcBorders>
            <w:shd w:val="clear" w:color="auto" w:fill="CCFFCC"/>
          </w:tcPr>
          <w:p>
            <w:pPr>
              <w:spacing w:after="0"/>
              <w:rPr>
                <w:sz w:val="16"/>
                <w:szCs w:val="16"/>
                <w:color w:val="auto"/>
              </w:rPr>
            </w:pPr>
          </w:p>
        </w:tc>
      </w:tr>
      <w:tr>
        <w:trPr>
          <w:trHeight w:val="206"/>
        </w:trPr>
        <w:tc>
          <w:tcPr>
            <w:tcW w:w="1680" w:type="dxa"/>
            <w:vAlign w:val="bottom"/>
            <w:gridSpan w:val="3"/>
          </w:tcPr>
          <w:p>
            <w:pPr>
              <w:spacing w:after="0"/>
              <w:rPr>
                <w:sz w:val="20"/>
                <w:szCs w:val="20"/>
                <w:color w:val="auto"/>
              </w:rPr>
            </w:pPr>
            <w:r>
              <w:rPr>
                <w:rFonts w:ascii="Arial" w:cs="Arial" w:eastAsia="Arial" w:hAnsi="Arial"/>
                <w:sz w:val="17"/>
                <w:szCs w:val="17"/>
                <w:color w:val="auto"/>
              </w:rPr>
              <w:t>Schedule 1.30</w:t>
            </w:r>
          </w:p>
        </w:tc>
        <w:tc>
          <w:tcPr>
            <w:tcW w:w="9360" w:type="dxa"/>
            <w:vAlign w:val="bottom"/>
            <w:gridSpan w:val="3"/>
          </w:tcPr>
          <w:p>
            <w:pPr>
              <w:ind w:left="500"/>
              <w:spacing w:after="0"/>
              <w:rPr>
                <w:sz w:val="20"/>
                <w:szCs w:val="20"/>
                <w:color w:val="auto"/>
              </w:rPr>
            </w:pPr>
            <w:r>
              <w:rPr>
                <w:rFonts w:ascii="Arial" w:cs="Arial" w:eastAsia="Arial" w:hAnsi="Arial"/>
                <w:sz w:val="17"/>
                <w:szCs w:val="17"/>
                <w:color w:val="auto"/>
              </w:rPr>
              <w:t>Protocol for On-Going Phase I/II Trial</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206"/>
        </w:trPr>
        <w:tc>
          <w:tcPr>
            <w:tcW w:w="1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Schedule 1.31</w:t>
            </w:r>
          </w:p>
        </w:tc>
        <w:tc>
          <w:tcPr>
            <w:tcW w:w="9360" w:type="dxa"/>
            <w:vAlign w:val="bottom"/>
            <w:gridSpan w:val="3"/>
            <w:shd w:val="clear" w:color="auto" w:fill="CCFFCC"/>
          </w:tcPr>
          <w:p>
            <w:pPr>
              <w:ind w:left="500"/>
              <w:spacing w:after="0"/>
              <w:rPr>
                <w:sz w:val="20"/>
                <w:szCs w:val="20"/>
                <w:color w:val="auto"/>
              </w:rPr>
            </w:pPr>
            <w:r>
              <w:rPr>
                <w:rFonts w:ascii="Arial" w:cs="Arial" w:eastAsia="Arial" w:hAnsi="Arial"/>
                <w:sz w:val="17"/>
                <w:szCs w:val="17"/>
                <w:color w:val="auto"/>
              </w:rPr>
              <w:t>Descriptions of Other On-Going Trials</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39</w:t>
            </w:r>
          </w:p>
        </w:tc>
      </w:tr>
      <w:tr>
        <w:trPr>
          <w:trHeight w:val="206"/>
        </w:trPr>
        <w:tc>
          <w:tcPr>
            <w:tcW w:w="1680" w:type="dxa"/>
            <w:vAlign w:val="bottom"/>
            <w:gridSpan w:val="3"/>
          </w:tcPr>
          <w:p>
            <w:pPr>
              <w:spacing w:after="0"/>
              <w:rPr>
                <w:sz w:val="20"/>
                <w:szCs w:val="20"/>
                <w:color w:val="auto"/>
              </w:rPr>
            </w:pPr>
            <w:r>
              <w:rPr>
                <w:rFonts w:ascii="Arial" w:cs="Arial" w:eastAsia="Arial" w:hAnsi="Arial"/>
                <w:sz w:val="17"/>
                <w:szCs w:val="17"/>
                <w:color w:val="auto"/>
              </w:rPr>
              <w:t>Schedule 1.35</w:t>
            </w:r>
          </w:p>
        </w:tc>
        <w:tc>
          <w:tcPr>
            <w:tcW w:w="9360" w:type="dxa"/>
            <w:vAlign w:val="bottom"/>
            <w:gridSpan w:val="3"/>
          </w:tcPr>
          <w:p>
            <w:pPr>
              <w:ind w:left="500"/>
              <w:spacing w:after="0"/>
              <w:rPr>
                <w:sz w:val="20"/>
                <w:szCs w:val="20"/>
                <w:color w:val="auto"/>
              </w:rPr>
            </w:pPr>
            <w:r>
              <w:rPr>
                <w:rFonts w:ascii="Arial" w:cs="Arial" w:eastAsia="Arial" w:hAnsi="Arial"/>
                <w:sz w:val="17"/>
                <w:szCs w:val="17"/>
                <w:color w:val="auto"/>
              </w:rPr>
              <w:t>Outline of Initial Pivotal Clinical Trial</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40</w:t>
            </w:r>
          </w:p>
        </w:tc>
      </w:tr>
      <w:tr>
        <w:trPr>
          <w:trHeight w:val="206"/>
        </w:trPr>
        <w:tc>
          <w:tcPr>
            <w:tcW w:w="1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Schedule 1.42(a)</w:t>
            </w:r>
          </w:p>
        </w:tc>
        <w:tc>
          <w:tcPr>
            <w:tcW w:w="9360" w:type="dxa"/>
            <w:vAlign w:val="bottom"/>
            <w:gridSpan w:val="3"/>
            <w:shd w:val="clear" w:color="auto" w:fill="CCFFCC"/>
          </w:tcPr>
          <w:p>
            <w:pPr>
              <w:ind w:left="500"/>
              <w:spacing w:after="0"/>
              <w:rPr>
                <w:sz w:val="20"/>
                <w:szCs w:val="20"/>
                <w:color w:val="auto"/>
              </w:rPr>
            </w:pPr>
            <w:r>
              <w:rPr>
                <w:rFonts w:ascii="Arial" w:cs="Arial" w:eastAsia="Arial" w:hAnsi="Arial"/>
                <w:sz w:val="17"/>
                <w:szCs w:val="17"/>
                <w:color w:val="auto"/>
              </w:rPr>
              <w:t>Independent Safety Monitoring Board Charter</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41</w:t>
            </w:r>
          </w:p>
        </w:tc>
      </w:tr>
      <w:tr>
        <w:trPr>
          <w:trHeight w:val="206"/>
        </w:trPr>
        <w:tc>
          <w:tcPr>
            <w:tcW w:w="1680" w:type="dxa"/>
            <w:vAlign w:val="bottom"/>
            <w:gridSpan w:val="3"/>
          </w:tcPr>
          <w:p>
            <w:pPr>
              <w:spacing w:after="0"/>
              <w:rPr>
                <w:sz w:val="20"/>
                <w:szCs w:val="20"/>
                <w:color w:val="auto"/>
              </w:rPr>
            </w:pPr>
            <w:r>
              <w:rPr>
                <w:rFonts w:ascii="Arial" w:cs="Arial" w:eastAsia="Arial" w:hAnsi="Arial"/>
                <w:sz w:val="17"/>
                <w:szCs w:val="17"/>
                <w:color w:val="auto"/>
              </w:rPr>
              <w:t>Schedule 2.3</w:t>
            </w:r>
          </w:p>
        </w:tc>
        <w:tc>
          <w:tcPr>
            <w:tcW w:w="9360" w:type="dxa"/>
            <w:vAlign w:val="bottom"/>
            <w:gridSpan w:val="3"/>
          </w:tcPr>
          <w:p>
            <w:pPr>
              <w:ind w:left="500"/>
              <w:spacing w:after="0"/>
              <w:rPr>
                <w:sz w:val="20"/>
                <w:szCs w:val="20"/>
                <w:color w:val="auto"/>
              </w:rPr>
            </w:pPr>
            <w:r>
              <w:rPr>
                <w:rFonts w:ascii="Arial" w:cs="Arial" w:eastAsia="Arial" w:hAnsi="Arial"/>
                <w:sz w:val="17"/>
                <w:szCs w:val="17"/>
                <w:color w:val="auto"/>
              </w:rPr>
              <w:t>Existing Product Agreements</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46</w:t>
            </w:r>
          </w:p>
        </w:tc>
      </w:tr>
      <w:tr>
        <w:trPr>
          <w:trHeight w:val="206"/>
        </w:trPr>
        <w:tc>
          <w:tcPr>
            <w:tcW w:w="1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Schedule 3.1</w:t>
            </w:r>
          </w:p>
        </w:tc>
        <w:tc>
          <w:tcPr>
            <w:tcW w:w="9360" w:type="dxa"/>
            <w:vAlign w:val="bottom"/>
            <w:gridSpan w:val="3"/>
            <w:shd w:val="clear" w:color="auto" w:fill="CCFFCC"/>
          </w:tcPr>
          <w:p>
            <w:pPr>
              <w:ind w:left="500"/>
              <w:spacing w:after="0"/>
              <w:rPr>
                <w:sz w:val="20"/>
                <w:szCs w:val="20"/>
                <w:color w:val="auto"/>
              </w:rPr>
            </w:pPr>
            <w:r>
              <w:rPr>
                <w:rFonts w:ascii="Arial" w:cs="Arial" w:eastAsia="Arial" w:hAnsi="Arial"/>
                <w:sz w:val="17"/>
                <w:szCs w:val="17"/>
                <w:color w:val="auto"/>
              </w:rPr>
              <w:t>Initial Development Plan</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47</w:t>
            </w:r>
          </w:p>
        </w:tc>
      </w:tr>
      <w:tr>
        <w:trPr>
          <w:trHeight w:val="206"/>
        </w:trPr>
        <w:tc>
          <w:tcPr>
            <w:tcW w:w="1680" w:type="dxa"/>
            <w:vAlign w:val="bottom"/>
            <w:gridSpan w:val="3"/>
          </w:tcPr>
          <w:p>
            <w:pPr>
              <w:spacing w:after="0"/>
              <w:rPr>
                <w:sz w:val="20"/>
                <w:szCs w:val="20"/>
                <w:color w:val="auto"/>
              </w:rPr>
            </w:pPr>
            <w:r>
              <w:rPr>
                <w:rFonts w:ascii="Arial" w:cs="Arial" w:eastAsia="Arial" w:hAnsi="Arial"/>
                <w:sz w:val="17"/>
                <w:szCs w:val="17"/>
                <w:color w:val="auto"/>
              </w:rPr>
              <w:t>Schedule 3.3</w:t>
            </w:r>
          </w:p>
        </w:tc>
        <w:tc>
          <w:tcPr>
            <w:tcW w:w="9360" w:type="dxa"/>
            <w:vAlign w:val="bottom"/>
            <w:gridSpan w:val="3"/>
          </w:tcPr>
          <w:p>
            <w:pPr>
              <w:ind w:left="500"/>
              <w:spacing w:after="0"/>
              <w:rPr>
                <w:sz w:val="20"/>
                <w:szCs w:val="20"/>
                <w:color w:val="auto"/>
              </w:rPr>
            </w:pPr>
            <w:r>
              <w:rPr>
                <w:rFonts w:ascii="Arial" w:cs="Arial" w:eastAsia="Arial" w:hAnsi="Arial"/>
                <w:sz w:val="17"/>
                <w:szCs w:val="17"/>
                <w:color w:val="auto"/>
              </w:rPr>
              <w:t>Independent Safety Monitoring Board</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1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Schedule 3.7</w:t>
            </w:r>
          </w:p>
        </w:tc>
        <w:tc>
          <w:tcPr>
            <w:tcW w:w="9360" w:type="dxa"/>
            <w:vAlign w:val="bottom"/>
            <w:gridSpan w:val="3"/>
            <w:shd w:val="clear" w:color="auto" w:fill="CCFFCC"/>
          </w:tcPr>
          <w:p>
            <w:pPr>
              <w:ind w:left="500"/>
              <w:spacing w:after="0"/>
              <w:rPr>
                <w:sz w:val="20"/>
                <w:szCs w:val="20"/>
                <w:color w:val="auto"/>
              </w:rPr>
            </w:pPr>
            <w:r>
              <w:rPr>
                <w:rFonts w:ascii="Arial" w:cs="Arial" w:eastAsia="Arial" w:hAnsi="Arial"/>
                <w:sz w:val="17"/>
                <w:szCs w:val="17"/>
                <w:color w:val="auto"/>
              </w:rPr>
              <w:t>Preliminary Commercialization Plan</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48</w:t>
            </w:r>
          </w:p>
        </w:tc>
      </w:tr>
      <w:tr>
        <w:trPr>
          <w:trHeight w:val="206"/>
        </w:trPr>
        <w:tc>
          <w:tcPr>
            <w:tcW w:w="1680" w:type="dxa"/>
            <w:vAlign w:val="bottom"/>
            <w:gridSpan w:val="3"/>
          </w:tcPr>
          <w:p>
            <w:pPr>
              <w:spacing w:after="0"/>
              <w:rPr>
                <w:sz w:val="20"/>
                <w:szCs w:val="20"/>
                <w:color w:val="auto"/>
              </w:rPr>
            </w:pPr>
            <w:r>
              <w:rPr>
                <w:rFonts w:ascii="Arial" w:cs="Arial" w:eastAsia="Arial" w:hAnsi="Arial"/>
                <w:sz w:val="17"/>
                <w:szCs w:val="17"/>
                <w:color w:val="auto"/>
              </w:rPr>
              <w:t>Schedule 4.3(a)</w:t>
            </w:r>
          </w:p>
        </w:tc>
        <w:tc>
          <w:tcPr>
            <w:tcW w:w="9360" w:type="dxa"/>
            <w:vAlign w:val="bottom"/>
            <w:gridSpan w:val="3"/>
          </w:tcPr>
          <w:p>
            <w:pPr>
              <w:ind w:left="500"/>
              <w:spacing w:after="0"/>
              <w:rPr>
                <w:sz w:val="20"/>
                <w:szCs w:val="20"/>
                <w:color w:val="auto"/>
              </w:rPr>
            </w:pPr>
            <w:r>
              <w:rPr>
                <w:rFonts w:ascii="Arial" w:cs="Arial" w:eastAsia="Arial" w:hAnsi="Arial"/>
                <w:sz w:val="17"/>
                <w:szCs w:val="17"/>
                <w:color w:val="auto"/>
              </w:rPr>
              <w:t>Wire Transfer Information</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06"/>
        </w:trPr>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34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47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167"/>
        </w:trPr>
        <w:tc>
          <w:tcPr>
            <w:tcW w:w="58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94"/>
              </w:rPr>
              <w:t>Exhibits</w:t>
            </w:r>
          </w:p>
        </w:tc>
        <w:tc>
          <w:tcPr>
            <w:tcW w:w="1100" w:type="dxa"/>
            <w:vAlign w:val="bottom"/>
            <w:gridSpan w:val="2"/>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1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Exhibit A</w:t>
            </w:r>
          </w:p>
        </w:tc>
        <w:tc>
          <w:tcPr>
            <w:tcW w:w="9360" w:type="dxa"/>
            <w:vAlign w:val="bottom"/>
            <w:gridSpan w:val="3"/>
            <w:shd w:val="clear" w:color="auto" w:fill="CCFFCC"/>
          </w:tcPr>
          <w:p>
            <w:pPr>
              <w:ind w:left="500"/>
              <w:spacing w:after="0"/>
              <w:rPr>
                <w:sz w:val="20"/>
                <w:szCs w:val="20"/>
                <w:color w:val="auto"/>
              </w:rPr>
            </w:pPr>
            <w:r>
              <w:rPr>
                <w:rFonts w:ascii="Arial" w:cs="Arial" w:eastAsia="Arial" w:hAnsi="Arial"/>
                <w:sz w:val="17"/>
                <w:szCs w:val="17"/>
                <w:color w:val="auto"/>
              </w:rPr>
              <w:t>Technology Exchange Plan</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50</w:t>
            </w:r>
          </w:p>
        </w:tc>
      </w:tr>
      <w:tr>
        <w:trPr>
          <w:trHeight w:val="217"/>
        </w:trPr>
        <w:tc>
          <w:tcPr>
            <w:tcW w:w="1680" w:type="dxa"/>
            <w:vAlign w:val="bottom"/>
            <w:gridSpan w:val="3"/>
          </w:tcPr>
          <w:p>
            <w:pPr>
              <w:spacing w:after="0"/>
              <w:rPr>
                <w:sz w:val="20"/>
                <w:szCs w:val="20"/>
                <w:color w:val="auto"/>
              </w:rPr>
            </w:pPr>
            <w:r>
              <w:rPr>
                <w:rFonts w:ascii="Arial" w:cs="Arial" w:eastAsia="Arial" w:hAnsi="Arial"/>
                <w:sz w:val="17"/>
                <w:szCs w:val="17"/>
                <w:color w:val="auto"/>
              </w:rPr>
              <w:t>Exhibit B</w:t>
            </w:r>
          </w:p>
        </w:tc>
        <w:tc>
          <w:tcPr>
            <w:tcW w:w="9360" w:type="dxa"/>
            <w:vAlign w:val="bottom"/>
            <w:gridSpan w:val="3"/>
          </w:tcPr>
          <w:p>
            <w:pPr>
              <w:ind w:left="500"/>
              <w:spacing w:after="0"/>
              <w:rPr>
                <w:sz w:val="20"/>
                <w:szCs w:val="20"/>
                <w:color w:val="auto"/>
              </w:rPr>
            </w:pPr>
            <w:r>
              <w:rPr>
                <w:rFonts w:ascii="Arial" w:cs="Arial" w:eastAsia="Arial" w:hAnsi="Arial"/>
                <w:sz w:val="17"/>
                <w:szCs w:val="17"/>
                <w:color w:val="auto"/>
              </w:rPr>
              <w:t>BioLineRx Patent Rights</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51</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7"/>
          <w:szCs w:val="17"/>
          <w:u w:val="single" w:color="auto"/>
          <w:color w:val="auto"/>
        </w:rPr>
        <w:t>AMENDED AND RESTATED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LICENSE AND COMMERCIALIZATION AGREEMENT</w:t>
      </w:r>
    </w:p>
    <w:p>
      <w:pPr>
        <w:spacing w:after="0" w:line="229" w:lineRule="exact"/>
        <w:rPr>
          <w:sz w:val="20"/>
          <w:szCs w:val="20"/>
          <w:color w:val="auto"/>
        </w:rPr>
      </w:pPr>
    </w:p>
    <w:p>
      <w:pPr>
        <w:ind w:right="20" w:firstLine="617"/>
        <w:spacing w:after="0" w:line="238" w:lineRule="auto"/>
        <w:rPr>
          <w:sz w:val="20"/>
          <w:szCs w:val="20"/>
          <w:color w:val="auto"/>
        </w:rPr>
      </w:pPr>
      <w:r>
        <w:rPr>
          <w:rFonts w:ascii="Arial" w:cs="Arial" w:eastAsia="Arial" w:hAnsi="Arial"/>
          <w:sz w:val="17"/>
          <w:szCs w:val="17"/>
          <w:color w:val="auto"/>
        </w:rPr>
        <w:t>This Amended and Restated License and Commercialization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this 26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August, 2009, by and among </w:t>
      </w:r>
      <w:r>
        <w:rPr>
          <w:rFonts w:ascii="Arial" w:cs="Arial" w:eastAsia="Arial" w:hAnsi="Arial"/>
          <w:sz w:val="17"/>
          <w:szCs w:val="17"/>
          <w:b w:val="1"/>
          <w:bCs w:val="1"/>
          <w:color w:val="auto"/>
        </w:rPr>
        <w:t>Ikaria Development Subsidiary One LLC</w:t>
      </w:r>
      <w:r>
        <w:rPr>
          <w:rFonts w:ascii="Arial" w:cs="Arial" w:eastAsia="Arial" w:hAnsi="Arial"/>
          <w:sz w:val="17"/>
          <w:szCs w:val="17"/>
          <w:color w:val="auto"/>
        </w:rPr>
        <w:t>, a Delaware limited liability company having a principal place of business at 6 State Route 173, Clinton, NJ 08809, USA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Ikaria</w:t>
      </w:r>
      <w:r>
        <w:rPr>
          <w:rFonts w:ascii="Arial" w:cs="Arial" w:eastAsia="Arial" w:hAnsi="Arial"/>
          <w:sz w:val="17"/>
          <w:szCs w:val="17"/>
          <w:color w:val="auto"/>
        </w:rPr>
        <w:t xml:space="preserve">”), </w:t>
      </w:r>
      <w:r>
        <w:rPr>
          <w:rFonts w:ascii="Arial" w:cs="Arial" w:eastAsia="Arial" w:hAnsi="Arial"/>
          <w:sz w:val="17"/>
          <w:szCs w:val="17"/>
          <w:b w:val="1"/>
          <w:bCs w:val="1"/>
          <w:color w:val="auto"/>
        </w:rPr>
        <w:t>BioLineRx Ltd.</w:t>
      </w:r>
      <w:r>
        <w:rPr>
          <w:rFonts w:ascii="Arial" w:cs="Arial" w:eastAsia="Arial" w:hAnsi="Arial"/>
          <w:sz w:val="17"/>
          <w:szCs w:val="17"/>
          <w:color w:val="auto"/>
        </w:rPr>
        <w:t>, a corporation organized and existing under the laws of the State of Israel and having a principal place of business at 19 Hartum Street, P.O. Box 45158, Jerusalem 91450, Israel (“</w:t>
      </w:r>
      <w:r>
        <w:rPr>
          <w:rFonts w:ascii="Arial" w:cs="Arial" w:eastAsia="Arial" w:hAnsi="Arial"/>
          <w:sz w:val="17"/>
          <w:szCs w:val="17"/>
          <w:u w:val="single" w:color="auto"/>
          <w:color w:val="auto"/>
        </w:rPr>
        <w:t>BioLineRx Ltd.</w:t>
      </w:r>
      <w:r>
        <w:rPr>
          <w:rFonts w:ascii="Arial" w:cs="Arial" w:eastAsia="Arial" w:hAnsi="Arial"/>
          <w:sz w:val="17"/>
          <w:szCs w:val="17"/>
          <w:color w:val="auto"/>
        </w:rPr>
        <w:t xml:space="preserve">”), and </w:t>
      </w:r>
      <w:r>
        <w:rPr>
          <w:rFonts w:ascii="Arial" w:cs="Arial" w:eastAsia="Arial" w:hAnsi="Arial"/>
          <w:sz w:val="17"/>
          <w:szCs w:val="17"/>
          <w:b w:val="1"/>
          <w:bCs w:val="1"/>
          <w:color w:val="auto"/>
        </w:rPr>
        <w:t>BioLine Innovations Jerusalem L.P.</w:t>
      </w:r>
      <w:r>
        <w:rPr>
          <w:rFonts w:ascii="Arial" w:cs="Arial" w:eastAsia="Arial" w:hAnsi="Arial"/>
          <w:sz w:val="17"/>
          <w:szCs w:val="17"/>
          <w:color w:val="auto"/>
        </w:rPr>
        <w:t>, a limited partnership organized and existing under the laws of the State of Israel and having a principal place of business at 19 Hartum Street, P.O. Box 45158, Jerusalem 91450, Israel (“BioLine Innovations”; together with BioLineRx Ltd., “</w:t>
      </w:r>
      <w:r>
        <w:rPr>
          <w:rFonts w:ascii="Arial" w:cs="Arial" w:eastAsia="Arial" w:hAnsi="Arial"/>
          <w:sz w:val="17"/>
          <w:szCs w:val="17"/>
          <w:u w:val="single" w:color="auto"/>
          <w:color w:val="auto"/>
        </w:rPr>
        <w:t>BioLineRx</w:t>
      </w:r>
      <w:r>
        <w:rPr>
          <w:rFonts w:ascii="Arial" w:cs="Arial" w:eastAsia="Arial" w:hAnsi="Arial"/>
          <w:sz w:val="17"/>
          <w:szCs w:val="17"/>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INTRODUCTION</w:t>
      </w:r>
    </w:p>
    <w:p>
      <w:pPr>
        <w:spacing w:after="0" w:line="242" w:lineRule="exact"/>
        <w:rPr>
          <w:sz w:val="20"/>
          <w:szCs w:val="20"/>
          <w:color w:val="auto"/>
        </w:rPr>
      </w:pPr>
    </w:p>
    <w:p>
      <w:pPr>
        <w:ind w:right="120" w:firstLine="617"/>
        <w:spacing w:after="0" w:line="278" w:lineRule="auto"/>
        <w:rPr>
          <w:sz w:val="20"/>
          <w:szCs w:val="20"/>
          <w:color w:val="auto"/>
        </w:rPr>
      </w:pPr>
      <w:r>
        <w:rPr>
          <w:rFonts w:ascii="Arial" w:cs="Arial" w:eastAsia="Arial" w:hAnsi="Arial"/>
          <w:sz w:val="17"/>
          <w:szCs w:val="17"/>
          <w:color w:val="auto"/>
        </w:rPr>
        <w:t>WHEREAS, BioLineRx owns or controls certain intellectual property rights covering a liquid polymer composed of Sodium Alginate and Ca-D-Gluconate (designated by BioLineRx as “BL-1040”);</w:t>
      </w:r>
    </w:p>
    <w:p>
      <w:pPr>
        <w:spacing w:after="0" w:line="190" w:lineRule="exact"/>
        <w:rPr>
          <w:sz w:val="20"/>
          <w:szCs w:val="20"/>
          <w:color w:val="auto"/>
        </w:rPr>
      </w:pPr>
    </w:p>
    <w:p>
      <w:pPr>
        <w:ind w:right="60" w:firstLine="617"/>
        <w:spacing w:after="0" w:line="278" w:lineRule="auto"/>
        <w:rPr>
          <w:sz w:val="20"/>
          <w:szCs w:val="20"/>
          <w:color w:val="auto"/>
        </w:rPr>
      </w:pPr>
      <w:r>
        <w:rPr>
          <w:rFonts w:ascii="Arial" w:cs="Arial" w:eastAsia="Arial" w:hAnsi="Arial"/>
          <w:sz w:val="17"/>
          <w:szCs w:val="17"/>
          <w:color w:val="auto"/>
        </w:rPr>
        <w:t>WHEREAS, BioLineRx is currently developing the Product (as defined below) as a medical device for the direct treatment of cardiac tissue following acute myocardial infarction;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BioLineRx is concluding the safety and clinical trials of the Product that were initiated by BioLineRx prior to the Effective Date (as defined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231" w:lineRule="exact"/>
        <w:rPr>
          <w:sz w:val="20"/>
          <w:szCs w:val="20"/>
          <w:color w:val="auto"/>
        </w:rPr>
      </w:pPr>
    </w:p>
    <w:p>
      <w:pPr>
        <w:ind w:right="20" w:firstLine="617"/>
        <w:spacing w:after="0" w:line="278" w:lineRule="auto"/>
        <w:rPr>
          <w:sz w:val="20"/>
          <w:szCs w:val="20"/>
          <w:color w:val="auto"/>
        </w:rPr>
      </w:pPr>
      <w:r>
        <w:rPr>
          <w:rFonts w:ascii="Arial" w:cs="Arial" w:eastAsia="Arial" w:hAnsi="Arial"/>
          <w:sz w:val="17"/>
          <w:szCs w:val="17"/>
          <w:color w:val="auto"/>
        </w:rPr>
        <w:t>WHEREAS, BioLineRx desires to grant to Ikaria the worldwide exclusive rights to Develop, Manufacture, and Commercialize Products (as such capitalized terms are defined below);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WHEREAS, Ikaria desires to obtain such exclusive rights in accordance with the terms and conditions of this Agreement.</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BioLineRx and Ikaria agree as follows: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Definitions; Interpretation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Agreement, each of the following capitalized terms has the meaning set forth in this Article I:</w:t>
      </w:r>
    </w:p>
    <w:p>
      <w:pPr>
        <w:spacing w:after="0" w:line="242"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Section 1.1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 Party, any Person that controls, is controlled by, or is under common control with such Party. For purposes of this Section 1.1, “control” shall refer to (a) in the case of a Person that is a corporate entity, direct or indirect ownership of more than fifty percent (50%) of the stock, shares or membership units having the right to vote for the election of a majority of the directors of such Person, and (b) in the case of a Person that is an entity, but is not a corporate entity, the possession, directly or indirectly, of the power to direct, or cause the direction of, the management or policies of such Person, whether through the ownership of voting securities, by contract or otherwise.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50" w:name="page451"/>
    <w:bookmarkEnd w:id="450"/>
    <w:p>
      <w:pPr>
        <w:ind w:right="280" w:firstLine="309"/>
        <w:spacing w:after="0" w:line="278" w:lineRule="auto"/>
        <w:rPr>
          <w:sz w:val="20"/>
          <w:szCs w:val="20"/>
          <w:color w:val="auto"/>
        </w:rPr>
      </w:pPr>
      <w:r>
        <w:rPr>
          <w:rFonts w:ascii="Arial" w:cs="Arial" w:eastAsia="Arial" w:hAnsi="Arial"/>
          <w:sz w:val="17"/>
          <w:szCs w:val="17"/>
          <w:color w:val="auto"/>
        </w:rPr>
        <w:t>Section 1.2 “</w:t>
      </w:r>
      <w:r>
        <w:rPr>
          <w:rFonts w:ascii="Arial" w:cs="Arial" w:eastAsia="Arial" w:hAnsi="Arial"/>
          <w:sz w:val="17"/>
          <w:szCs w:val="17"/>
          <w:u w:val="single" w:color="auto"/>
          <w:color w:val="auto"/>
        </w:rPr>
        <w:t>BGN License Agreement</w:t>
      </w:r>
      <w:r>
        <w:rPr>
          <w:rFonts w:ascii="Arial" w:cs="Arial" w:eastAsia="Arial" w:hAnsi="Arial"/>
          <w:sz w:val="17"/>
          <w:szCs w:val="17"/>
          <w:color w:val="auto"/>
        </w:rPr>
        <w:t>” shall mean that certain License Agreement, dated January 10, 2005, as amended, by and among BioLine Jerusalem L.P. and B.G. Negev Technologies and Applications Ltd. (“</w:t>
      </w:r>
      <w:r>
        <w:rPr>
          <w:rFonts w:ascii="Arial" w:cs="Arial" w:eastAsia="Arial" w:hAnsi="Arial"/>
          <w:sz w:val="17"/>
          <w:szCs w:val="17"/>
          <w:u w:val="single" w:color="auto"/>
          <w:color w:val="auto"/>
        </w:rPr>
        <w:t>BGN</w:t>
      </w:r>
      <w:r>
        <w:rPr>
          <w:rFonts w:ascii="Arial" w:cs="Arial" w:eastAsia="Arial" w:hAnsi="Arial"/>
          <w:sz w:val="17"/>
          <w:szCs w:val="17"/>
          <w:color w:val="auto"/>
        </w:rPr>
        <w:t>”) on behalf of Ben Gurion University.</w:t>
      </w:r>
    </w:p>
    <w:p>
      <w:pPr>
        <w:spacing w:after="0" w:line="190" w:lineRule="exact"/>
        <w:rPr>
          <w:sz w:val="20"/>
          <w:szCs w:val="20"/>
          <w:color w:val="auto"/>
        </w:rPr>
      </w:pPr>
    </w:p>
    <w:p>
      <w:pPr>
        <w:ind w:right="240" w:firstLine="309"/>
        <w:spacing w:after="0" w:line="311" w:lineRule="auto"/>
        <w:rPr>
          <w:sz w:val="20"/>
          <w:szCs w:val="20"/>
          <w:color w:val="auto"/>
        </w:rPr>
      </w:pPr>
      <w:r>
        <w:rPr>
          <w:rFonts w:ascii="Arial" w:cs="Arial" w:eastAsia="Arial" w:hAnsi="Arial"/>
          <w:sz w:val="16"/>
          <w:szCs w:val="16"/>
          <w:color w:val="auto"/>
        </w:rPr>
        <w:t>Section 1.3 “</w:t>
      </w:r>
      <w:r>
        <w:rPr>
          <w:rFonts w:ascii="Arial" w:cs="Arial" w:eastAsia="Arial" w:hAnsi="Arial"/>
          <w:sz w:val="16"/>
          <w:szCs w:val="16"/>
          <w:u w:val="single" w:color="auto"/>
          <w:color w:val="auto"/>
        </w:rPr>
        <w:t>BioLineRx Know-How</w:t>
      </w:r>
      <w:r>
        <w:rPr>
          <w:rFonts w:ascii="Arial" w:cs="Arial" w:eastAsia="Arial" w:hAnsi="Arial"/>
          <w:sz w:val="16"/>
          <w:szCs w:val="16"/>
          <w:color w:val="auto"/>
        </w:rPr>
        <w:t>” shall mean all Know-How that is (a) necessary or useful for the Development, Manufacture, or Commercialization of any Product and (b) either (i) is Controlled by BioLineRx as of the Effective Date or (ii) BioLineRx comes to Control during the term of this Agreement.</w:t>
      </w:r>
    </w:p>
    <w:p>
      <w:pPr>
        <w:spacing w:after="0" w:line="166"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7"/>
          <w:szCs w:val="17"/>
          <w:color w:val="auto"/>
        </w:rPr>
        <w:t>Section 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BioLineRx Patent Rights</w:t>
      </w:r>
      <w:r>
        <w:rPr>
          <w:rFonts w:ascii="Arial" w:cs="Arial" w:eastAsia="Arial" w:hAnsi="Arial"/>
          <w:sz w:val="15"/>
          <w:szCs w:val="15"/>
          <w:color w:val="auto"/>
        </w:rPr>
        <w:t xml:space="preserve">” shall mean Patent Rights that claim or disclose BioLineRx Know-How, including the Patent Rights listed in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242" w:lineRule="exact"/>
        <w:rPr>
          <w:sz w:val="20"/>
          <w:szCs w:val="20"/>
          <w:color w:val="auto"/>
        </w:rPr>
      </w:pPr>
    </w:p>
    <w:p>
      <w:pPr>
        <w:ind w:right="280" w:firstLine="309"/>
        <w:spacing w:after="0" w:line="278" w:lineRule="auto"/>
        <w:rPr>
          <w:sz w:val="20"/>
          <w:szCs w:val="20"/>
          <w:color w:val="auto"/>
        </w:rPr>
      </w:pPr>
      <w:r>
        <w:rPr>
          <w:rFonts w:ascii="Arial" w:cs="Arial" w:eastAsia="Arial" w:hAnsi="Arial"/>
          <w:sz w:val="17"/>
          <w:szCs w:val="17"/>
          <w:color w:val="auto"/>
        </w:rPr>
        <w:t>Section 1.5 “</w:t>
      </w:r>
      <w:r>
        <w:rPr>
          <w:rFonts w:ascii="Arial" w:cs="Arial" w:eastAsia="Arial" w:hAnsi="Arial"/>
          <w:sz w:val="17"/>
          <w:szCs w:val="17"/>
          <w:u w:val="single" w:color="auto"/>
          <w:color w:val="auto"/>
        </w:rPr>
        <w:t>BioLineRx Intellectual Property</w:t>
      </w:r>
      <w:r>
        <w:rPr>
          <w:rFonts w:ascii="Arial" w:cs="Arial" w:eastAsia="Arial" w:hAnsi="Arial"/>
          <w:sz w:val="17"/>
          <w:szCs w:val="17"/>
          <w:color w:val="auto"/>
        </w:rPr>
        <w:t>” shall mean BioLineRx Patent Rights (including Patent Rights in the Sublicensed IP), and BioLineRx Know-How (including Know-How in the Sublicensed IP).</w:t>
      </w:r>
    </w:p>
    <w:p>
      <w:pPr>
        <w:spacing w:after="0" w:line="190" w:lineRule="exact"/>
        <w:rPr>
          <w:sz w:val="20"/>
          <w:szCs w:val="20"/>
          <w:color w:val="auto"/>
        </w:rPr>
      </w:pPr>
    </w:p>
    <w:p>
      <w:pPr>
        <w:ind w:right="560" w:firstLine="309"/>
        <w:spacing w:after="0" w:line="278" w:lineRule="auto"/>
        <w:rPr>
          <w:sz w:val="20"/>
          <w:szCs w:val="20"/>
          <w:color w:val="auto"/>
        </w:rPr>
      </w:pPr>
      <w:r>
        <w:rPr>
          <w:rFonts w:ascii="Arial" w:cs="Arial" w:eastAsia="Arial" w:hAnsi="Arial"/>
          <w:sz w:val="17"/>
          <w:szCs w:val="17"/>
          <w:color w:val="auto"/>
        </w:rPr>
        <w:t>Section 1.6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that is not a Saturday, a Sunday or a day on which banking institutions in New York, New York, USA are authorized by law to remain closed.</w:t>
      </w:r>
    </w:p>
    <w:p>
      <w:pPr>
        <w:spacing w:after="0" w:line="190" w:lineRule="exact"/>
        <w:rPr>
          <w:sz w:val="20"/>
          <w:szCs w:val="20"/>
          <w:color w:val="auto"/>
        </w:rPr>
      </w:pPr>
    </w:p>
    <w:p>
      <w:pPr>
        <w:ind w:right="60" w:firstLine="309"/>
        <w:spacing w:after="0" w:line="278" w:lineRule="auto"/>
        <w:rPr>
          <w:sz w:val="20"/>
          <w:szCs w:val="20"/>
          <w:color w:val="auto"/>
        </w:rPr>
      </w:pPr>
      <w:r>
        <w:rPr>
          <w:rFonts w:ascii="Arial" w:cs="Arial" w:eastAsia="Arial" w:hAnsi="Arial"/>
          <w:sz w:val="17"/>
          <w:szCs w:val="17"/>
          <w:color w:val="auto"/>
        </w:rPr>
        <w:t>Section 1.7 “</w:t>
      </w:r>
      <w:r>
        <w:rPr>
          <w:rFonts w:ascii="Arial" w:cs="Arial" w:eastAsia="Arial" w:hAnsi="Arial"/>
          <w:sz w:val="17"/>
          <w:szCs w:val="17"/>
          <w:u w:val="single" w:color="auto"/>
          <w:color w:val="auto"/>
        </w:rPr>
        <w:t>Commercialization</w:t>
      </w:r>
      <w:r>
        <w:rPr>
          <w:rFonts w:ascii="Arial" w:cs="Arial" w:eastAsia="Arial" w:hAnsi="Arial"/>
          <w:sz w:val="17"/>
          <w:szCs w:val="17"/>
          <w:color w:val="auto"/>
        </w:rPr>
        <w:t>” or “</w:t>
      </w:r>
      <w:r>
        <w:rPr>
          <w:rFonts w:ascii="Arial" w:cs="Arial" w:eastAsia="Arial" w:hAnsi="Arial"/>
          <w:sz w:val="17"/>
          <w:szCs w:val="17"/>
          <w:u w:val="single" w:color="auto"/>
          <w:color w:val="auto"/>
        </w:rPr>
        <w:t>Commercialize</w:t>
      </w:r>
      <w:r>
        <w:rPr>
          <w:rFonts w:ascii="Arial" w:cs="Arial" w:eastAsia="Arial" w:hAnsi="Arial"/>
          <w:sz w:val="17"/>
          <w:szCs w:val="17"/>
          <w:color w:val="auto"/>
        </w:rPr>
        <w:t>” shall mean any activities directed to marketing, promoting, distributing, importing, exporting, or selling a product.</w:t>
      </w:r>
    </w:p>
    <w:p>
      <w:pPr>
        <w:spacing w:after="0" w:line="190" w:lineRule="exact"/>
        <w:rPr>
          <w:sz w:val="20"/>
          <w:szCs w:val="20"/>
          <w:color w:val="auto"/>
        </w:rPr>
      </w:pPr>
    </w:p>
    <w:p>
      <w:pPr>
        <w:ind w:firstLine="309"/>
        <w:spacing w:after="0" w:line="256" w:lineRule="auto"/>
        <w:rPr>
          <w:sz w:val="20"/>
          <w:szCs w:val="20"/>
          <w:color w:val="auto"/>
        </w:rPr>
      </w:pPr>
      <w:r>
        <w:rPr>
          <w:rFonts w:ascii="Arial" w:cs="Arial" w:eastAsia="Arial" w:hAnsi="Arial"/>
          <w:sz w:val="17"/>
          <w:szCs w:val="17"/>
          <w:color w:val="auto"/>
        </w:rPr>
        <w:t>Section 1.8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the efforts, expertise and resources normally used by a Party to Develop, Manufacture and Commercialize a product owned by it or to which it has rights, which is of similar market potential at a similar stage in its development or product life, taking into account issues of safety and efficacy, product profile, difficulty in developing the product, competitiveness of the marketplace for the product, the proprietary position of the product, the regulatory structure involved, the availability and level of reimbursement for such treatment by Third Party payors or health insurance plans, the potential total profitability of the applicable product(s) marketed or to be marketed and other relevant factors affecting the cost, risk and timing of Development and the total potential reward to be obtained if a product is Commercialized. The Parties agree that Commercially Reasonable Efforts shall require a Party to expend efforts, expertise and resources that such Party would normally expend to Develop, use, Manufacture and Commercialize a product owned by it or to which it has rights, taking into account the foregoing factors.</w:t>
      </w:r>
    </w:p>
    <w:p>
      <w:pPr>
        <w:spacing w:after="0" w:line="210" w:lineRule="exact"/>
        <w:rPr>
          <w:sz w:val="20"/>
          <w:szCs w:val="20"/>
          <w:color w:val="auto"/>
        </w:rPr>
      </w:pPr>
    </w:p>
    <w:p>
      <w:pPr>
        <w:ind w:right="340" w:firstLine="309"/>
        <w:spacing w:after="0" w:line="259" w:lineRule="auto"/>
        <w:rPr>
          <w:sz w:val="20"/>
          <w:szCs w:val="20"/>
          <w:color w:val="auto"/>
        </w:rPr>
      </w:pPr>
      <w:r>
        <w:rPr>
          <w:rFonts w:ascii="Arial" w:cs="Arial" w:eastAsia="Arial" w:hAnsi="Arial"/>
          <w:sz w:val="17"/>
          <w:szCs w:val="17"/>
          <w:color w:val="auto"/>
        </w:rPr>
        <w:t>Section 1.9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with respect to a disclosing Party, all Know-How or other information (whether or not patentable) regarding such Party’s technology, products, business information or objectives (whether disclosed before or after the Effective Date) that is of a confidential and proprietary nature, including reports and audits under Section 4.3, the Development Plan, the Commercialization Plan, the terms of this Agreement, and all proprietary tangible materials (and data and information associated therewith) of such Party. Notwithstanding the foregoing, Confidential Information shall not include Know-How or other information that:</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451" w:name="page452"/>
    <w:bookmarkEnd w:id="451"/>
    <w:p>
      <w:pPr>
        <w:ind w:right="540" w:firstLine="620"/>
        <w:spacing w:after="0" w:line="278" w:lineRule="auto"/>
        <w:tabs>
          <w:tab w:leader="none" w:pos="106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was rightfully known or used by the receiving Party or its Affiliates without an obligation of confidentiality prior to its date of disclosure to the receiving Party as demonstrated by contemporaneous written records; or</w:t>
      </w:r>
    </w:p>
    <w:p>
      <w:pPr>
        <w:spacing w:after="0" w:line="190" w:lineRule="exact"/>
        <w:rPr>
          <w:rFonts w:ascii="Arial" w:cs="Arial" w:eastAsia="Arial" w:hAnsi="Arial"/>
          <w:sz w:val="17"/>
          <w:szCs w:val="17"/>
          <w:color w:val="auto"/>
        </w:rPr>
      </w:pPr>
    </w:p>
    <w:p>
      <w:pPr>
        <w:ind w:right="120" w:firstLine="620"/>
        <w:spacing w:after="0" w:line="311" w:lineRule="auto"/>
        <w:tabs>
          <w:tab w:leader="none" w:pos="1074" w:val="left"/>
        </w:tabs>
        <w:numPr>
          <w:ilvl w:val="0"/>
          <w:numId w:val="359"/>
        </w:numPr>
        <w:rPr>
          <w:rFonts w:ascii="Arial" w:cs="Arial" w:eastAsia="Arial" w:hAnsi="Arial"/>
          <w:sz w:val="16"/>
          <w:szCs w:val="16"/>
          <w:color w:val="auto"/>
        </w:rPr>
      </w:pPr>
      <w:r>
        <w:rPr>
          <w:rFonts w:ascii="Arial" w:cs="Arial" w:eastAsia="Arial" w:hAnsi="Arial"/>
          <w:sz w:val="16"/>
          <w:szCs w:val="16"/>
          <w:color w:val="auto"/>
        </w:rPr>
        <w:t>either before or after the date of the disclosure to the receiving Party is lawfully disclosed to the receiving Party or its Affiliates by sources other than the disclosing Party rightfully in possession of such information and not bound by confidentiality obligations to the disclosing Party; or</w:t>
      </w:r>
    </w:p>
    <w:p>
      <w:pPr>
        <w:spacing w:after="0" w:line="166" w:lineRule="exact"/>
        <w:rPr>
          <w:rFonts w:ascii="Arial" w:cs="Arial" w:eastAsia="Arial" w:hAnsi="Arial"/>
          <w:sz w:val="16"/>
          <w:szCs w:val="16"/>
          <w:color w:val="auto"/>
        </w:rPr>
      </w:pPr>
    </w:p>
    <w:p>
      <w:pPr>
        <w:ind w:right="260" w:firstLine="620"/>
        <w:spacing w:after="0" w:line="278" w:lineRule="auto"/>
        <w:tabs>
          <w:tab w:leader="none" w:pos="106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either before or after the date of the disclosure to the receiving Party or its Affiliates is or becomes published or otherwise is or becomes part of the public domain through no breach hereof on the part of the receiving Party or its Affiliates; or</w:t>
      </w:r>
    </w:p>
    <w:p>
      <w:pPr>
        <w:spacing w:after="0" w:line="190" w:lineRule="exact"/>
        <w:rPr>
          <w:rFonts w:ascii="Arial" w:cs="Arial" w:eastAsia="Arial" w:hAnsi="Arial"/>
          <w:sz w:val="17"/>
          <w:szCs w:val="17"/>
          <w:color w:val="auto"/>
        </w:rPr>
      </w:pPr>
    </w:p>
    <w:p>
      <w:pPr>
        <w:ind w:right="160" w:firstLine="620"/>
        <w:spacing w:after="0" w:line="278" w:lineRule="auto"/>
        <w:tabs>
          <w:tab w:leader="none" w:pos="1074"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is independently developed by or for the receiving Party or its Affiliates without reference to or use of the Confidential Information of the disclosing Party as demonstrated by contemporaneous written records.</w:t>
      </w:r>
    </w:p>
    <w:p>
      <w:pPr>
        <w:spacing w:after="0" w:line="190" w:lineRule="exact"/>
        <w:rPr>
          <w:sz w:val="20"/>
          <w:szCs w:val="20"/>
          <w:color w:val="auto"/>
        </w:rPr>
      </w:pPr>
    </w:p>
    <w:p>
      <w:pPr>
        <w:jc w:val="both"/>
        <w:ind w:right="320" w:firstLine="309"/>
        <w:spacing w:after="0" w:line="265" w:lineRule="auto"/>
        <w:rPr>
          <w:sz w:val="20"/>
          <w:szCs w:val="20"/>
          <w:color w:val="auto"/>
        </w:rPr>
      </w:pPr>
      <w:r>
        <w:rPr>
          <w:rFonts w:ascii="Arial" w:cs="Arial" w:eastAsia="Arial" w:hAnsi="Arial"/>
          <w:sz w:val="17"/>
          <w:szCs w:val="17"/>
          <w:color w:val="auto"/>
        </w:rPr>
        <w:t>Section 1.10 “</w:t>
      </w:r>
      <w:r>
        <w:rPr>
          <w:rFonts w:ascii="Arial" w:cs="Arial" w:eastAsia="Arial" w:hAnsi="Arial"/>
          <w:sz w:val="17"/>
          <w:szCs w:val="17"/>
          <w:u w:val="single" w:color="auto"/>
          <w:color w:val="auto"/>
        </w:rPr>
        <w:t>Control</w:t>
      </w:r>
      <w:r>
        <w:rPr>
          <w:rFonts w:ascii="Arial" w:cs="Arial" w:eastAsia="Arial" w:hAnsi="Arial"/>
          <w:sz w:val="17"/>
          <w:szCs w:val="17"/>
          <w:color w:val="auto"/>
        </w:rPr>
        <w:t>” shall mean the legal authority or right of a Party or its Affiliates to grant a license or sublicense of intellectual property rights to the other Party, or to provide tangible material to or otherwise disclose proprietary or trade secret information to such other Party, without breaching the terms of any agreement with a Third Party. For the avoidance of doubt, BioLineRx Controls the Sublicensed IP.</w:t>
      </w:r>
    </w:p>
    <w:p>
      <w:pPr>
        <w:spacing w:after="0" w:line="201" w:lineRule="exact"/>
        <w:rPr>
          <w:sz w:val="20"/>
          <w:szCs w:val="20"/>
          <w:color w:val="auto"/>
        </w:rPr>
      </w:pPr>
    </w:p>
    <w:p>
      <w:pPr>
        <w:ind w:right="260" w:firstLine="309"/>
        <w:spacing w:after="0" w:line="265" w:lineRule="auto"/>
        <w:rPr>
          <w:sz w:val="20"/>
          <w:szCs w:val="20"/>
          <w:color w:val="auto"/>
        </w:rPr>
      </w:pPr>
      <w:r>
        <w:rPr>
          <w:rFonts w:ascii="Arial" w:cs="Arial" w:eastAsia="Arial" w:hAnsi="Arial"/>
          <w:sz w:val="17"/>
          <w:szCs w:val="17"/>
          <w:color w:val="auto"/>
        </w:rPr>
        <w:t>Section 1.11 “</w:t>
      </w:r>
      <w:r>
        <w:rPr>
          <w:rFonts w:ascii="Arial" w:cs="Arial" w:eastAsia="Arial" w:hAnsi="Arial"/>
          <w:sz w:val="17"/>
          <w:szCs w:val="17"/>
          <w:u w:val="single" w:color="auto"/>
          <w:color w:val="auto"/>
        </w:rPr>
        <w:t>Cover</w:t>
      </w:r>
      <w:r>
        <w:rPr>
          <w:rFonts w:ascii="Arial" w:cs="Arial" w:eastAsia="Arial" w:hAnsi="Arial"/>
          <w:sz w:val="17"/>
          <w:szCs w:val="17"/>
          <w:color w:val="auto"/>
        </w:rPr>
        <w:t>” or “</w:t>
      </w:r>
      <w:r>
        <w:rPr>
          <w:rFonts w:ascii="Arial" w:cs="Arial" w:eastAsia="Arial" w:hAnsi="Arial"/>
          <w:sz w:val="17"/>
          <w:szCs w:val="17"/>
          <w:u w:val="single" w:color="auto"/>
          <w:color w:val="auto"/>
        </w:rPr>
        <w:t>Covered</w:t>
      </w:r>
      <w:r>
        <w:rPr>
          <w:rFonts w:ascii="Arial" w:cs="Arial" w:eastAsia="Arial" w:hAnsi="Arial"/>
          <w:sz w:val="17"/>
          <w:szCs w:val="17"/>
          <w:color w:val="auto"/>
        </w:rPr>
        <w:t>” shall mean, with respect to a Patent Right and a product, that, in the absence of ownership of (with a retained right to exploit), or a license granted under, a Valid Claim included in such Patent Right, the Manufacture, Development, Commercialization, use, sale, import, or offer for sale, as applicable, of such product would infringe such Valid Claim in the country where such activity occurs.</w:t>
      </w:r>
    </w:p>
    <w:p>
      <w:pPr>
        <w:spacing w:after="0" w:line="201"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Section 1.12 “</w:t>
      </w:r>
      <w:r>
        <w:rPr>
          <w:rFonts w:ascii="Arial" w:cs="Arial" w:eastAsia="Arial" w:hAnsi="Arial"/>
          <w:sz w:val="16"/>
          <w:szCs w:val="16"/>
          <w:u w:val="single" w:color="auto"/>
          <w:color w:val="auto"/>
        </w:rPr>
        <w:t>Development</w:t>
      </w:r>
      <w:r>
        <w:rPr>
          <w:rFonts w:ascii="Arial" w:cs="Arial" w:eastAsia="Arial" w:hAnsi="Arial"/>
          <w:sz w:val="16"/>
          <w:szCs w:val="16"/>
          <w:color w:val="auto"/>
        </w:rPr>
        <w:t>” or “</w:t>
      </w:r>
      <w:r>
        <w:rPr>
          <w:rFonts w:ascii="Arial" w:cs="Arial" w:eastAsia="Arial" w:hAnsi="Arial"/>
          <w:sz w:val="16"/>
          <w:szCs w:val="16"/>
          <w:u w:val="single" w:color="auto"/>
          <w:color w:val="auto"/>
        </w:rPr>
        <w:t>Develop</w:t>
      </w:r>
      <w:r>
        <w:rPr>
          <w:rFonts w:ascii="Arial" w:cs="Arial" w:eastAsia="Arial" w:hAnsi="Arial"/>
          <w:sz w:val="16"/>
          <w:szCs w:val="16"/>
          <w:color w:val="auto"/>
        </w:rPr>
        <w:t>” shall mean development activities, including test method development and stability testing, toxicology, formulation, optimization, quality assurance/quality control development, statistical analysis, clinical studies, regulatory affairs, product approval, and registration.</w:t>
      </w:r>
    </w:p>
    <w:p>
      <w:pPr>
        <w:spacing w:after="0" w:line="166"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Development Term</w:t>
      </w:r>
      <w:r>
        <w:rPr>
          <w:rFonts w:ascii="Arial" w:cs="Arial" w:eastAsia="Arial" w:hAnsi="Arial"/>
          <w:sz w:val="15"/>
          <w:szCs w:val="15"/>
          <w:color w:val="auto"/>
        </w:rPr>
        <w:t>” shall mean the term of development of Products by Ikaria.</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EU</w:t>
      </w:r>
      <w:r>
        <w:rPr>
          <w:rFonts w:ascii="Arial" w:cs="Arial" w:eastAsia="Arial" w:hAnsi="Arial"/>
          <w:sz w:val="15"/>
          <w:szCs w:val="15"/>
          <w:color w:val="auto"/>
        </w:rPr>
        <w:t>” shall mean the European Union and all the member states thereof, as it may be comprised from time to time.</w:t>
      </w:r>
    </w:p>
    <w:p>
      <w:pPr>
        <w:spacing w:after="0" w:line="236"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EU Milestone Conditions</w:t>
      </w:r>
      <w:r>
        <w:rPr>
          <w:rFonts w:ascii="Arial" w:cs="Arial" w:eastAsia="Arial" w:hAnsi="Arial"/>
          <w:sz w:val="16"/>
          <w:szCs w:val="16"/>
          <w:color w:val="auto"/>
        </w:rPr>
        <w:t xml:space="preserve">” shall mean (a) satisfaction of all requirements for [***], (b) [***] set forth therein,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-111760</wp:posOffset>
            </wp:positionV>
            <wp:extent cx="24765" cy="1225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4765" cy="1225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52" w:name="page453"/>
    <w:bookmarkEnd w:id="452"/>
    <w:p>
      <w:pPr>
        <w:ind w:right="80" w:firstLine="309"/>
        <w:spacing w:after="0" w:line="278" w:lineRule="auto"/>
        <w:rPr>
          <w:sz w:val="20"/>
          <w:szCs w:val="20"/>
          <w:color w:val="auto"/>
        </w:rPr>
      </w:pPr>
      <w:r>
        <w:rPr>
          <w:rFonts w:ascii="Arial" w:cs="Arial" w:eastAsia="Arial" w:hAnsi="Arial"/>
          <w:sz w:val="17"/>
          <w:szCs w:val="17"/>
          <w:color w:val="auto"/>
        </w:rPr>
        <w:t>Section 1.16 “</w:t>
      </w:r>
      <w:r>
        <w:rPr>
          <w:rFonts w:ascii="Arial" w:cs="Arial" w:eastAsia="Arial" w:hAnsi="Arial"/>
          <w:sz w:val="17"/>
          <w:szCs w:val="17"/>
          <w:u w:val="single" w:color="auto"/>
          <w:color w:val="auto"/>
        </w:rPr>
        <w:t>Executive Officers</w:t>
      </w:r>
      <w:r>
        <w:rPr>
          <w:rFonts w:ascii="Arial" w:cs="Arial" w:eastAsia="Arial" w:hAnsi="Arial"/>
          <w:sz w:val="17"/>
          <w:szCs w:val="17"/>
          <w:color w:val="auto"/>
        </w:rPr>
        <w:t>” shall mean the Chief Executive Officer of Ikaria (or a senior executive officer of Ikaria designated by Ikaria) and the Chief Executive Officer of BioLineRx (or a senior executive officer of BioLineRx designated by BioLineRx).</w:t>
      </w:r>
    </w:p>
    <w:p>
      <w:pPr>
        <w:spacing w:after="0" w:line="19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1.17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FDA</w:t>
      </w:r>
      <w:r>
        <w:rPr>
          <w:rFonts w:ascii="Arial" w:cs="Arial" w:eastAsia="Arial" w:hAnsi="Arial"/>
          <w:sz w:val="15"/>
          <w:szCs w:val="15"/>
          <w:color w:val="auto"/>
        </w:rPr>
        <w:t>” shall mean the United States Food and Drug Administration or any successor agency thereof.</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1.18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Field</w:t>
      </w:r>
      <w:r>
        <w:rPr>
          <w:rFonts w:ascii="Arial" w:cs="Arial" w:eastAsia="Arial" w:hAnsi="Arial"/>
          <w:sz w:val="15"/>
          <w:szCs w:val="15"/>
          <w:color w:val="auto"/>
        </w:rPr>
        <w:t>” shall mean any and all uses described or claimed in the BioLineRx Patent Rights.</w:t>
      </w:r>
    </w:p>
    <w:p>
      <w:pPr>
        <w:spacing w:after="0" w:line="242" w:lineRule="exact"/>
        <w:rPr>
          <w:sz w:val="20"/>
          <w:szCs w:val="20"/>
          <w:color w:val="auto"/>
        </w:rPr>
      </w:pPr>
    </w:p>
    <w:p>
      <w:pPr>
        <w:ind w:right="340" w:firstLine="309"/>
        <w:spacing w:after="0" w:line="265" w:lineRule="auto"/>
        <w:rPr>
          <w:sz w:val="20"/>
          <w:szCs w:val="20"/>
          <w:color w:val="auto"/>
        </w:rPr>
      </w:pPr>
      <w:r>
        <w:rPr>
          <w:rFonts w:ascii="Arial" w:cs="Arial" w:eastAsia="Arial" w:hAnsi="Arial"/>
          <w:sz w:val="17"/>
          <w:szCs w:val="17"/>
          <w:color w:val="auto"/>
        </w:rPr>
        <w:t>Section 1.19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shall mean, with respect to a Product in a country, the first commercial sale of such Product by Ikaria, its Affiliates, distributors, agents or Licensees in such country. Sales for clinical trial purposes or compassionate or similar use shall not be considered to constitute a First Commercial Sale.</w:t>
      </w:r>
    </w:p>
    <w:p>
      <w:pPr>
        <w:spacing w:after="0" w:line="201"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1.20</w:t>
      </w:r>
      <w:r>
        <w:rPr>
          <w:sz w:val="20"/>
          <w:szCs w:val="20"/>
          <w:color w:val="auto"/>
        </w:rPr>
        <w:tab/>
      </w:r>
      <w:r>
        <w:rPr>
          <w:rFonts w:ascii="Arial" w:cs="Arial" w:eastAsia="Arial" w:hAnsi="Arial"/>
          <w:sz w:val="16"/>
          <w:szCs w:val="16"/>
          <w:color w:val="auto"/>
        </w:rPr>
        <w:t>Intentionally Omitted</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1.21</w:t>
      </w:r>
      <w:r>
        <w:rPr>
          <w:sz w:val="20"/>
          <w:szCs w:val="20"/>
          <w:color w:val="auto"/>
        </w:rPr>
        <w:tab/>
      </w:r>
      <w:r>
        <w:rPr>
          <w:rFonts w:ascii="Arial" w:cs="Arial" w:eastAsia="Arial" w:hAnsi="Arial"/>
          <w:sz w:val="16"/>
          <w:szCs w:val="16"/>
          <w:color w:val="auto"/>
        </w:rPr>
        <w:t>Intentionally Omitted</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1.22</w:t>
      </w:r>
      <w:r>
        <w:rPr>
          <w:sz w:val="20"/>
          <w:szCs w:val="20"/>
          <w:color w:val="auto"/>
        </w:rPr>
        <w:tab/>
      </w:r>
      <w:r>
        <w:rPr>
          <w:rFonts w:ascii="Arial" w:cs="Arial" w:eastAsia="Arial" w:hAnsi="Arial"/>
          <w:sz w:val="16"/>
          <w:szCs w:val="16"/>
          <w:color w:val="auto"/>
        </w:rPr>
        <w:t>Intentionally Omitted</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1.23</w:t>
      </w:r>
      <w:r>
        <w:rPr>
          <w:sz w:val="20"/>
          <w:szCs w:val="20"/>
          <w:color w:val="auto"/>
        </w:rPr>
        <w:tab/>
      </w:r>
      <w:r>
        <w:rPr>
          <w:rFonts w:ascii="Arial" w:cs="Arial" w:eastAsia="Arial" w:hAnsi="Arial"/>
          <w:sz w:val="16"/>
          <w:szCs w:val="16"/>
          <w:color w:val="auto"/>
        </w:rPr>
        <w:t>Intentionally Omitted.</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1.24</w:t>
      </w:r>
      <w:r>
        <w:rPr>
          <w:sz w:val="20"/>
          <w:szCs w:val="20"/>
          <w:color w:val="auto"/>
        </w:rPr>
        <w:tab/>
      </w:r>
      <w:r>
        <w:rPr>
          <w:rFonts w:ascii="Arial" w:cs="Arial" w:eastAsia="Arial" w:hAnsi="Arial"/>
          <w:sz w:val="16"/>
          <w:szCs w:val="16"/>
          <w:color w:val="auto"/>
        </w:rPr>
        <w:t>Intentionally Omitted.“</w:t>
      </w:r>
    </w:p>
    <w:p>
      <w:pPr>
        <w:spacing w:after="0" w:line="242" w:lineRule="exact"/>
        <w:rPr>
          <w:sz w:val="20"/>
          <w:szCs w:val="20"/>
          <w:color w:val="auto"/>
        </w:rPr>
      </w:pPr>
    </w:p>
    <w:p>
      <w:pPr>
        <w:ind w:right="120" w:firstLine="309"/>
        <w:spacing w:after="0" w:line="261" w:lineRule="auto"/>
        <w:rPr>
          <w:sz w:val="20"/>
          <w:szCs w:val="20"/>
          <w:color w:val="auto"/>
        </w:rPr>
      </w:pPr>
      <w:r>
        <w:rPr>
          <w:rFonts w:ascii="Arial" w:cs="Arial" w:eastAsia="Arial" w:hAnsi="Arial"/>
          <w:sz w:val="17"/>
          <w:szCs w:val="17"/>
          <w:color w:val="auto"/>
        </w:rPr>
        <w:t>Section 1.25 “</w:t>
      </w:r>
      <w:r>
        <w:rPr>
          <w:rFonts w:ascii="Arial" w:cs="Arial" w:eastAsia="Arial" w:hAnsi="Arial"/>
          <w:sz w:val="17"/>
          <w:szCs w:val="17"/>
          <w:u w:val="single" w:color="auto"/>
          <w:color w:val="auto"/>
        </w:rPr>
        <w:t>Know-How</w:t>
      </w:r>
      <w:r>
        <w:rPr>
          <w:rFonts w:ascii="Arial" w:cs="Arial" w:eastAsia="Arial" w:hAnsi="Arial"/>
          <w:sz w:val="17"/>
          <w:szCs w:val="17"/>
          <w:color w:val="auto"/>
        </w:rPr>
        <w:t>” shall mean any tangible or intangible know-how, expertise, information, inventions, discoveries, documents and other works of authorship, copyrights, trade secrets, data, or materials, whether proprietary or not, including ideas, concepts, formulas, methods, procedures, designs, technologies, compositions, plans, applications, technical data, data generated in clinical trials, samples, chemical compounds and biological materials and all derivatives, modifications and improvements thereof.</w:t>
      </w:r>
    </w:p>
    <w:p>
      <w:pPr>
        <w:spacing w:after="0" w:line="204" w:lineRule="exact"/>
        <w:rPr>
          <w:sz w:val="20"/>
          <w:szCs w:val="20"/>
          <w:color w:val="auto"/>
        </w:rPr>
      </w:pPr>
    </w:p>
    <w:p>
      <w:pPr>
        <w:ind w:firstLine="309"/>
        <w:spacing w:after="0" w:line="265" w:lineRule="auto"/>
        <w:rPr>
          <w:sz w:val="20"/>
          <w:szCs w:val="20"/>
          <w:color w:val="auto"/>
        </w:rPr>
      </w:pPr>
      <w:r>
        <w:rPr>
          <w:rFonts w:ascii="Arial" w:cs="Arial" w:eastAsia="Arial" w:hAnsi="Arial"/>
          <w:sz w:val="17"/>
          <w:szCs w:val="17"/>
          <w:color w:val="auto"/>
        </w:rPr>
        <w:t>Section 1.26 “</w:t>
      </w:r>
      <w:r>
        <w:rPr>
          <w:rFonts w:ascii="Arial" w:cs="Arial" w:eastAsia="Arial" w:hAnsi="Arial"/>
          <w:sz w:val="17"/>
          <w:szCs w:val="17"/>
          <w:u w:val="single" w:color="auto"/>
          <w:color w:val="auto"/>
        </w:rPr>
        <w:t>Knowledge</w:t>
      </w:r>
      <w:r>
        <w:rPr>
          <w:rFonts w:ascii="Arial" w:cs="Arial" w:eastAsia="Arial" w:hAnsi="Arial"/>
          <w:sz w:val="17"/>
          <w:szCs w:val="17"/>
          <w:color w:val="auto"/>
        </w:rPr>
        <w:t>” shall mean, with respect to a Party, the Party’s actual knowledge together with any knowledge of any of the Party’s officers or director-level employees, that a Person in such party’s position would be expected to obtain given the exercise of reasonably prudent scientific and business diligence in accordance with the standards of companies of such Party’s size in such Party’s industry.</w:t>
      </w:r>
    </w:p>
    <w:p>
      <w:pPr>
        <w:spacing w:after="0" w:line="201" w:lineRule="exact"/>
        <w:rPr>
          <w:sz w:val="20"/>
          <w:szCs w:val="20"/>
          <w:color w:val="auto"/>
        </w:rPr>
      </w:pPr>
    </w:p>
    <w:p>
      <w:pPr>
        <w:ind w:right="140" w:firstLine="309"/>
        <w:spacing w:after="0" w:line="278" w:lineRule="auto"/>
        <w:rPr>
          <w:sz w:val="20"/>
          <w:szCs w:val="20"/>
          <w:color w:val="auto"/>
        </w:rPr>
      </w:pPr>
      <w:r>
        <w:rPr>
          <w:rFonts w:ascii="Arial" w:cs="Arial" w:eastAsia="Arial" w:hAnsi="Arial"/>
          <w:sz w:val="17"/>
          <w:szCs w:val="17"/>
          <w:color w:val="auto"/>
        </w:rPr>
        <w:t>Section 1.27 “</w:t>
      </w:r>
      <w:r>
        <w:rPr>
          <w:rFonts w:ascii="Arial" w:cs="Arial" w:eastAsia="Arial" w:hAnsi="Arial"/>
          <w:sz w:val="17"/>
          <w:szCs w:val="17"/>
          <w:u w:val="single" w:color="auto"/>
          <w:color w:val="auto"/>
        </w:rPr>
        <w:t>Licensee</w:t>
      </w:r>
      <w:r>
        <w:rPr>
          <w:rFonts w:ascii="Arial" w:cs="Arial" w:eastAsia="Arial" w:hAnsi="Arial"/>
          <w:sz w:val="17"/>
          <w:szCs w:val="17"/>
          <w:color w:val="auto"/>
        </w:rPr>
        <w:t>” shall mean any Person to whom Ikaria licenses its rights under this Agreement in the manner provided in Section 2.1, including any Third Party contractors.</w:t>
      </w:r>
    </w:p>
    <w:p>
      <w:pPr>
        <w:spacing w:after="0" w:line="190" w:lineRule="exact"/>
        <w:rPr>
          <w:sz w:val="20"/>
          <w:szCs w:val="20"/>
          <w:color w:val="auto"/>
        </w:rPr>
      </w:pPr>
    </w:p>
    <w:p>
      <w:pPr>
        <w:ind w:right="60" w:firstLine="309"/>
        <w:spacing w:after="0" w:line="261" w:lineRule="auto"/>
        <w:rPr>
          <w:sz w:val="20"/>
          <w:szCs w:val="20"/>
          <w:color w:val="auto"/>
        </w:rPr>
      </w:pPr>
      <w:r>
        <w:rPr>
          <w:rFonts w:ascii="Arial" w:cs="Arial" w:eastAsia="Arial" w:hAnsi="Arial"/>
          <w:sz w:val="17"/>
          <w:szCs w:val="17"/>
          <w:color w:val="auto"/>
        </w:rPr>
        <w:t>Section 1.28 “</w:t>
      </w:r>
      <w:r>
        <w:rPr>
          <w:rFonts w:ascii="Arial" w:cs="Arial" w:eastAsia="Arial" w:hAnsi="Arial"/>
          <w:sz w:val="17"/>
          <w:szCs w:val="17"/>
          <w:u w:val="single" w:color="auto"/>
          <w:color w:val="auto"/>
        </w:rPr>
        <w:t>Manufacturing</w:t>
      </w:r>
      <w:r>
        <w:rPr>
          <w:rFonts w:ascii="Arial" w:cs="Arial" w:eastAsia="Arial" w:hAnsi="Arial"/>
          <w:sz w:val="17"/>
          <w:szCs w:val="17"/>
          <w:color w:val="auto"/>
        </w:rPr>
        <w:t>” or “</w:t>
      </w:r>
      <w:r>
        <w:rPr>
          <w:rFonts w:ascii="Arial" w:cs="Arial" w:eastAsia="Arial" w:hAnsi="Arial"/>
          <w:sz w:val="17"/>
          <w:szCs w:val="17"/>
          <w:u w:val="single" w:color="auto"/>
          <w:color w:val="auto"/>
        </w:rPr>
        <w:t>Manufacture</w:t>
      </w:r>
      <w:r>
        <w:rPr>
          <w:rFonts w:ascii="Arial" w:cs="Arial" w:eastAsia="Arial" w:hAnsi="Arial"/>
          <w:sz w:val="17"/>
          <w:szCs w:val="17"/>
          <w:color w:val="auto"/>
        </w:rPr>
        <w:t>” shall mean any activities associated with the production, manufacture, supply, processing, filling, packaging, labeling, shipping, or storage of a product or any components thereof, including process and formulation development, process validation, stability testing, manufacturing scale-up, development and commercial manufacture and analytical development, product characterization, quality assurance and quality control development, testing, and release.</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500" w:right="299" w:bottom="1440" w:gutter="0" w:footer="0" w:header="0"/>
        </w:sectPr>
      </w:pPr>
    </w:p>
    <w:bookmarkStart w:id="453" w:name="page454"/>
    <w:bookmarkEnd w:id="453"/>
    <w:p>
      <w:pPr>
        <w:ind w:left="320"/>
        <w:spacing w:after="0"/>
        <w:tabs>
          <w:tab w:leader="none" w:pos="1360" w:val="left"/>
        </w:tabs>
        <w:rPr>
          <w:sz w:val="20"/>
          <w:szCs w:val="20"/>
          <w:color w:val="auto"/>
        </w:rPr>
      </w:pPr>
      <w:r>
        <w:rPr>
          <w:rFonts w:ascii="Arial" w:cs="Arial" w:eastAsia="Arial" w:hAnsi="Arial"/>
          <w:sz w:val="17"/>
          <w:szCs w:val="17"/>
          <w:color w:val="auto"/>
        </w:rPr>
        <w:t>Section 1.29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Net Sales</w:t>
      </w:r>
      <w:r>
        <w:rPr>
          <w:rFonts w:ascii="Arial" w:cs="Arial" w:eastAsia="Arial" w:hAnsi="Arial"/>
          <w:sz w:val="15"/>
          <w:szCs w:val="15"/>
          <w:color w:val="auto"/>
        </w:rPr>
        <w:t>” shall mean, with respect to a Product, the gross amounts billed by Ikaria, its Affiliates, or Licensees in respect of sales of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 by Ikaria and its Affiliates or Licensees to unrelated Third Parties, in each case less the following deductions:</w:t>
      </w:r>
    </w:p>
    <w:p>
      <w:pPr>
        <w:spacing w:after="0" w:line="231" w:lineRule="exact"/>
        <w:rPr>
          <w:sz w:val="20"/>
          <w:szCs w:val="20"/>
          <w:color w:val="auto"/>
        </w:rPr>
      </w:pPr>
    </w:p>
    <w:p>
      <w:pPr>
        <w:ind w:right="60" w:firstLine="620"/>
        <w:spacing w:after="0" w:line="278" w:lineRule="auto"/>
        <w:tabs>
          <w:tab w:leader="none" w:pos="106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Trade, cash, or quantity discounts (including amounts incurred in connection with government mandated rebate programs) actually allowed and taken with respect to such sales;</w:t>
      </w:r>
    </w:p>
    <w:p>
      <w:pPr>
        <w:spacing w:after="0" w:line="190" w:lineRule="exact"/>
        <w:rPr>
          <w:rFonts w:ascii="Arial" w:cs="Arial" w:eastAsia="Arial" w:hAnsi="Arial"/>
          <w:sz w:val="17"/>
          <w:szCs w:val="17"/>
          <w:color w:val="auto"/>
        </w:rPr>
      </w:pPr>
    </w:p>
    <w:p>
      <w:pPr>
        <w:ind w:firstLine="620"/>
        <w:spacing w:after="0" w:line="278" w:lineRule="auto"/>
        <w:tabs>
          <w:tab w:leader="none" w:pos="107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Tariffs, duties, excises, sales taxes or other taxes imposed upon and paid with respect to the production, sale, delivery, or use of the Product (excluding national, state, or local taxes based on income);</w:t>
      </w:r>
    </w:p>
    <w:p>
      <w:pPr>
        <w:spacing w:after="0" w:line="190" w:lineRule="exact"/>
        <w:rPr>
          <w:rFonts w:ascii="Arial" w:cs="Arial" w:eastAsia="Arial" w:hAnsi="Arial"/>
          <w:sz w:val="17"/>
          <w:szCs w:val="17"/>
          <w:color w:val="auto"/>
        </w:rPr>
      </w:pPr>
    </w:p>
    <w:p>
      <w:pPr>
        <w:ind w:right="40" w:firstLine="620"/>
        <w:spacing w:after="0" w:line="278" w:lineRule="auto"/>
        <w:tabs>
          <w:tab w:leader="none" w:pos="1055"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Amounts repaid or credited by reason of billing corrections, rejections, defects, recalls, or returns (due to spoilage, damage, expiration of useful life or otherwise) or because of chargebacks, refunds or retroactive price reductions and allowances for wastage replacement and bad debts;</w:t>
      </w:r>
    </w:p>
    <w:p>
      <w:pPr>
        <w:spacing w:after="0" w:line="190" w:lineRule="exact"/>
        <w:rPr>
          <w:rFonts w:ascii="Arial" w:cs="Arial" w:eastAsia="Arial" w:hAnsi="Arial"/>
          <w:sz w:val="17"/>
          <w:szCs w:val="17"/>
          <w:color w:val="auto"/>
        </w:rPr>
      </w:pPr>
    </w:p>
    <w:p>
      <w:pPr>
        <w:ind w:right="840" w:firstLine="620"/>
        <w:spacing w:after="0" w:line="278" w:lineRule="auto"/>
        <w:tabs>
          <w:tab w:leader="none" w:pos="107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Portions of invoices sales amounts included in Net Sales in prior periods that are actually written off by Ikaria, its Affiliates, or licenses as uncollectible; and</w:t>
      </w:r>
    </w:p>
    <w:p>
      <w:pPr>
        <w:spacing w:after="0" w:line="190" w:lineRule="exact"/>
        <w:rPr>
          <w:rFonts w:ascii="Arial" w:cs="Arial" w:eastAsia="Arial" w:hAnsi="Arial"/>
          <w:sz w:val="17"/>
          <w:szCs w:val="17"/>
          <w:color w:val="auto"/>
        </w:rPr>
      </w:pPr>
    </w:p>
    <w:p>
      <w:pPr>
        <w:ind w:left="1060" w:hanging="440"/>
        <w:spacing w:after="0"/>
        <w:tabs>
          <w:tab w:leader="none" w:pos="10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Postage, freight, shipping, insurance, and other transportation related charges incurred in shipping a Product to Third Parties.</w:t>
      </w:r>
    </w:p>
    <w:p>
      <w:pPr>
        <w:spacing w:after="0" w:line="24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Such amounts shall be determined from the books and records of Ikaria, its Affiliates, or Licensees, maintained in accordance with generally accepted accounting principles, consistently applied. For the avoidance of doubt, in no event will fines, penalties or other monetary damages assessed against Ikaria, its Affiliates or Licensees by any governmental authority for violation of any applicable law, result in an appropriate deduction to Net Sales.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If one or more Products is sold as part of a Combination Product (as defined below), the Net Sales from the Combination Product, for the purposes of determining royalty payments, shall be determined by multiplying the Net Sales (as determined above) of the Combination Product, during the applicable royalty reporting period, by the fraction, A/(A+B), where A is the average sale price of the Product(s) when sold separately in finished form and B is the average sale price of the other components included in the Combination Product when sold separately in finished form, in each case in the applicable country during the applicable royalty reporting period or, if sales of both the Product(s) and the other components did not occur in such country in such period, then in the most recent royalty reporting period in which sales of both occurred. If such average sale price cannot be determined for both the Product(s) and all other components included in such Combination Product, Net Sales for the purposes of determining royalty payments shall be calculated by multiplying the Net Sales of the Combination Product by the fraction of C/(C+D) where C is the fair market value of the Product(s) and D is the fair market value of all other components included in the Combination Product. In such event, the Parties shall negotiate in good faith to arrive at a determination of the respective fair market values of the Product(s) and all other components included in the Combination Product. If the Parties are unable to agree on such determination within sixty (60) days, then such matter shall be resolved as provided in Article IX.</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454" w:name="page455"/>
    <w:bookmarkEnd w:id="454"/>
    <w:p>
      <w:pPr>
        <w:spacing w:after="0"/>
        <w:rPr>
          <w:sz w:val="20"/>
          <w:szCs w:val="20"/>
          <w:color w:val="auto"/>
        </w:rPr>
      </w:pPr>
      <w:r>
        <w:rPr>
          <w:rFonts w:ascii="Arial" w:cs="Arial" w:eastAsia="Arial" w:hAnsi="Arial"/>
          <w:sz w:val="16"/>
          <w:szCs w:val="16"/>
          <w:color w:val="auto"/>
        </w:rPr>
        <w:t>As used above, the term “</w:t>
      </w:r>
      <w:r>
        <w:rPr>
          <w:rFonts w:ascii="Arial" w:cs="Arial" w:eastAsia="Arial" w:hAnsi="Arial"/>
          <w:sz w:val="16"/>
          <w:szCs w:val="16"/>
          <w:u w:val="single" w:color="auto"/>
          <w:color w:val="auto"/>
        </w:rPr>
        <w:t>Combination Product</w:t>
      </w:r>
      <w:r>
        <w:rPr>
          <w:rFonts w:ascii="Arial" w:cs="Arial" w:eastAsia="Arial" w:hAnsi="Arial"/>
          <w:sz w:val="16"/>
          <w:szCs w:val="16"/>
          <w:color w:val="auto"/>
        </w:rPr>
        <w:t>” means any therapeutic medical product that includes both (i) one or more Product(s) and (ii) other component(s).</w:t>
      </w:r>
    </w:p>
    <w:p>
      <w:pPr>
        <w:spacing w:after="0" w:line="253" w:lineRule="exact"/>
        <w:rPr>
          <w:sz w:val="20"/>
          <w:szCs w:val="20"/>
          <w:color w:val="auto"/>
        </w:rPr>
      </w:pPr>
    </w:p>
    <w:p>
      <w:pPr>
        <w:ind w:right="20" w:firstLine="309"/>
        <w:spacing w:after="0" w:line="278" w:lineRule="auto"/>
        <w:rPr>
          <w:sz w:val="20"/>
          <w:szCs w:val="20"/>
          <w:color w:val="auto"/>
        </w:rPr>
      </w:pPr>
      <w:r>
        <w:rPr>
          <w:rFonts w:ascii="Arial" w:cs="Arial" w:eastAsia="Arial" w:hAnsi="Arial"/>
          <w:sz w:val="17"/>
          <w:szCs w:val="17"/>
          <w:color w:val="auto"/>
        </w:rPr>
        <w:t>Section 1.30 “</w:t>
      </w:r>
      <w:r>
        <w:rPr>
          <w:rFonts w:ascii="Arial" w:cs="Arial" w:eastAsia="Arial" w:hAnsi="Arial"/>
          <w:sz w:val="17"/>
          <w:szCs w:val="17"/>
          <w:u w:val="single" w:color="auto"/>
          <w:color w:val="auto"/>
        </w:rPr>
        <w:t>On-Going Phase I/II Trial</w:t>
      </w:r>
      <w:r>
        <w:rPr>
          <w:rFonts w:ascii="Arial" w:cs="Arial" w:eastAsia="Arial" w:hAnsi="Arial"/>
          <w:sz w:val="17"/>
          <w:szCs w:val="17"/>
          <w:color w:val="auto"/>
        </w:rPr>
        <w:t xml:space="preserve">” shall mean that certain clinical trial of a Product that was initiated by BioLineRx prior to and that is ongoing as of the Effective Date, the protocol for which is attached hereto as </w:t>
      </w:r>
      <w:r>
        <w:rPr>
          <w:rFonts w:ascii="Arial" w:cs="Arial" w:eastAsia="Arial" w:hAnsi="Arial"/>
          <w:sz w:val="17"/>
          <w:szCs w:val="17"/>
          <w:u w:val="single" w:color="auto"/>
          <w:color w:val="auto"/>
        </w:rPr>
        <w:t>Schedule 1.30</w:t>
      </w:r>
      <w:r>
        <w:rPr>
          <w:rFonts w:ascii="Arial" w:cs="Arial" w:eastAsia="Arial" w:hAnsi="Arial"/>
          <w:sz w:val="17"/>
          <w:szCs w:val="17"/>
          <w:color w:val="auto"/>
        </w:rPr>
        <w:t>.</w:t>
      </w:r>
    </w:p>
    <w:p>
      <w:pPr>
        <w:spacing w:after="0" w:line="190" w:lineRule="exact"/>
        <w:rPr>
          <w:sz w:val="20"/>
          <w:szCs w:val="20"/>
          <w:color w:val="auto"/>
        </w:rPr>
      </w:pPr>
    </w:p>
    <w:p>
      <w:pPr>
        <w:ind w:firstLine="309"/>
        <w:spacing w:after="0" w:line="278" w:lineRule="auto"/>
        <w:rPr>
          <w:sz w:val="20"/>
          <w:szCs w:val="20"/>
          <w:color w:val="auto"/>
        </w:rPr>
      </w:pPr>
      <w:r>
        <w:rPr>
          <w:rFonts w:ascii="Arial" w:cs="Arial" w:eastAsia="Arial" w:hAnsi="Arial"/>
          <w:sz w:val="17"/>
          <w:szCs w:val="17"/>
          <w:color w:val="auto"/>
        </w:rPr>
        <w:t>Section 1.31 “</w:t>
      </w:r>
      <w:r>
        <w:rPr>
          <w:rFonts w:ascii="Arial" w:cs="Arial" w:eastAsia="Arial" w:hAnsi="Arial"/>
          <w:sz w:val="17"/>
          <w:szCs w:val="17"/>
          <w:u w:val="single" w:color="auto"/>
          <w:color w:val="auto"/>
        </w:rPr>
        <w:t>Other On-Going Trials</w:t>
      </w:r>
      <w:r>
        <w:rPr>
          <w:rFonts w:ascii="Arial" w:cs="Arial" w:eastAsia="Arial" w:hAnsi="Arial"/>
          <w:sz w:val="17"/>
          <w:szCs w:val="17"/>
          <w:color w:val="auto"/>
        </w:rPr>
        <w:t xml:space="preserve">” shall mean those pre-clinical and CMC trials (other than the On-Going Phase I/II Trial) that were initiated by BioLineRx prior to, and that are ongoing as of, the Effective Date, descriptions of which are attached hereto as </w:t>
      </w:r>
      <w:r>
        <w:rPr>
          <w:rFonts w:ascii="Arial" w:cs="Arial" w:eastAsia="Arial" w:hAnsi="Arial"/>
          <w:sz w:val="17"/>
          <w:szCs w:val="17"/>
          <w:u w:val="single" w:color="auto"/>
          <w:color w:val="auto"/>
        </w:rPr>
        <w:t>Schedule 1.31</w:t>
      </w:r>
      <w:r>
        <w:rPr>
          <w:rFonts w:ascii="Arial" w:cs="Arial" w:eastAsia="Arial" w:hAnsi="Arial"/>
          <w:sz w:val="17"/>
          <w:szCs w:val="17"/>
          <w:color w:val="auto"/>
        </w:rPr>
        <w:t>.</w:t>
      </w:r>
    </w:p>
    <w:p>
      <w:pPr>
        <w:spacing w:after="0" w:line="19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Party</w:t>
      </w:r>
      <w:r>
        <w:rPr>
          <w:rFonts w:ascii="Arial" w:cs="Arial" w:eastAsia="Arial" w:hAnsi="Arial"/>
          <w:sz w:val="16"/>
          <w:szCs w:val="16"/>
          <w:color w:val="auto"/>
        </w:rPr>
        <w:t>” shall mean BioLineRx or Ikaria; “Parties” shall mean BioLineRx and Ikaria.</w:t>
      </w:r>
    </w:p>
    <w:p>
      <w:pPr>
        <w:spacing w:after="0" w:line="242" w:lineRule="exact"/>
        <w:rPr>
          <w:sz w:val="20"/>
          <w:szCs w:val="20"/>
          <w:color w:val="auto"/>
        </w:rPr>
      </w:pPr>
    </w:p>
    <w:p>
      <w:pPr>
        <w:ind w:right="300" w:firstLine="309"/>
        <w:spacing w:after="0" w:line="265" w:lineRule="auto"/>
        <w:rPr>
          <w:sz w:val="20"/>
          <w:szCs w:val="20"/>
          <w:color w:val="auto"/>
        </w:rPr>
      </w:pPr>
      <w:r>
        <w:rPr>
          <w:rFonts w:ascii="Arial" w:cs="Arial" w:eastAsia="Arial" w:hAnsi="Arial"/>
          <w:sz w:val="17"/>
          <w:szCs w:val="17"/>
          <w:color w:val="auto"/>
        </w:rPr>
        <w:t>Section 1.33 “</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United States and foreign patents and patent applications (including provisional applications) and all substitutions, divisionals, continuations, continuations-in-part, reissuances, reexaminations, registrations, renewals, confirmations, supplementary protection certificates and extensions thereof.</w:t>
      </w:r>
    </w:p>
    <w:p>
      <w:pPr>
        <w:spacing w:after="0" w:line="201" w:lineRule="exact"/>
        <w:rPr>
          <w:sz w:val="20"/>
          <w:szCs w:val="20"/>
          <w:color w:val="auto"/>
        </w:rPr>
      </w:pPr>
    </w:p>
    <w:p>
      <w:pPr>
        <w:ind w:right="480" w:firstLine="309"/>
        <w:spacing w:after="0" w:line="278" w:lineRule="auto"/>
        <w:rPr>
          <w:sz w:val="20"/>
          <w:szCs w:val="20"/>
          <w:color w:val="auto"/>
        </w:rPr>
      </w:pPr>
      <w:r>
        <w:rPr>
          <w:rFonts w:ascii="Arial" w:cs="Arial" w:eastAsia="Arial" w:hAnsi="Arial"/>
          <w:sz w:val="17"/>
          <w:szCs w:val="17"/>
          <w:color w:val="auto"/>
        </w:rPr>
        <w:t>Section 1.34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any natural person or any corporation, company, partnership, joint venture, firm, university, other entity, governmental authority, or subdivision thereof.</w:t>
      </w:r>
    </w:p>
    <w:p>
      <w:pPr>
        <w:spacing w:after="0" w:line="190" w:lineRule="exact"/>
        <w:rPr>
          <w:sz w:val="20"/>
          <w:szCs w:val="20"/>
          <w:color w:val="auto"/>
        </w:rPr>
      </w:pPr>
    </w:p>
    <w:p>
      <w:pPr>
        <w:ind w:right="20" w:firstLine="309"/>
        <w:spacing w:after="0" w:line="261" w:lineRule="auto"/>
        <w:rPr>
          <w:sz w:val="20"/>
          <w:szCs w:val="20"/>
          <w:color w:val="auto"/>
        </w:rPr>
      </w:pPr>
      <w:r>
        <w:rPr>
          <w:rFonts w:ascii="Arial" w:cs="Arial" w:eastAsia="Arial" w:hAnsi="Arial"/>
          <w:sz w:val="17"/>
          <w:szCs w:val="17"/>
          <w:color w:val="auto"/>
        </w:rPr>
        <w:t>Section 1.35 “</w:t>
      </w:r>
      <w:r>
        <w:rPr>
          <w:rFonts w:ascii="Arial" w:cs="Arial" w:eastAsia="Arial" w:hAnsi="Arial"/>
          <w:sz w:val="17"/>
          <w:szCs w:val="17"/>
          <w:u w:val="single" w:color="auto"/>
          <w:color w:val="auto"/>
        </w:rPr>
        <w:t>Pivotal Clinical Trial</w:t>
      </w:r>
      <w:r>
        <w:rPr>
          <w:rFonts w:ascii="Arial" w:cs="Arial" w:eastAsia="Arial" w:hAnsi="Arial"/>
          <w:sz w:val="17"/>
          <w:szCs w:val="17"/>
          <w:color w:val="auto"/>
        </w:rPr>
        <w:t xml:space="preserve">” shall mean a randomized, controlled clinical trial of a Product designed to demonstrate statistically significant clinical efficacy and safety in human patients (in conjunction with performance of a therapeutic procedure) pursuant to a clinical study agreed with the FDA, which trial the FDA accepts as a pivotal clinical trial necessary for Regulatory Approval of such Product. An outline of the structure of the initial Pivotal Clinical Trial is attached as </w:t>
      </w:r>
      <w:r>
        <w:rPr>
          <w:rFonts w:ascii="Arial" w:cs="Arial" w:eastAsia="Arial" w:hAnsi="Arial"/>
          <w:sz w:val="17"/>
          <w:szCs w:val="17"/>
          <w:u w:val="single" w:color="auto"/>
          <w:color w:val="auto"/>
        </w:rPr>
        <w:t>Schedule 1.35</w:t>
      </w:r>
      <w:r>
        <w:rPr>
          <w:rFonts w:ascii="Arial" w:cs="Arial" w:eastAsia="Arial" w:hAnsi="Arial"/>
          <w:sz w:val="17"/>
          <w:szCs w:val="17"/>
          <w:color w:val="auto"/>
        </w:rPr>
        <w:t>.</w:t>
      </w:r>
    </w:p>
    <w:p>
      <w:pPr>
        <w:spacing w:after="0" w:line="204" w:lineRule="exact"/>
        <w:rPr>
          <w:sz w:val="20"/>
          <w:szCs w:val="20"/>
          <w:color w:val="auto"/>
        </w:rPr>
      </w:pPr>
    </w:p>
    <w:p>
      <w:pPr>
        <w:ind w:right="440" w:firstLine="309"/>
        <w:spacing w:after="0" w:line="278" w:lineRule="auto"/>
        <w:rPr>
          <w:sz w:val="20"/>
          <w:szCs w:val="20"/>
          <w:color w:val="auto"/>
        </w:rPr>
      </w:pPr>
      <w:r>
        <w:rPr>
          <w:rFonts w:ascii="Arial" w:cs="Arial" w:eastAsia="Arial" w:hAnsi="Arial"/>
          <w:sz w:val="17"/>
          <w:szCs w:val="17"/>
          <w:color w:val="auto"/>
        </w:rPr>
        <w:t>Section 1.36 “</w:t>
      </w:r>
      <w:r>
        <w:rPr>
          <w:rFonts w:ascii="Arial" w:cs="Arial" w:eastAsia="Arial" w:hAnsi="Arial"/>
          <w:sz w:val="17"/>
          <w:szCs w:val="17"/>
          <w:u w:val="single" w:color="auto"/>
          <w:color w:val="auto"/>
        </w:rPr>
        <w:t>Primary Indication</w:t>
      </w:r>
      <w:r>
        <w:rPr>
          <w:rFonts w:ascii="Arial" w:cs="Arial" w:eastAsia="Arial" w:hAnsi="Arial"/>
          <w:sz w:val="17"/>
          <w:szCs w:val="17"/>
          <w:color w:val="auto"/>
        </w:rPr>
        <w:t>” shall mean the diagnosis, prevention, mitigation, or treatment of injury to myocardial tissue via the administration of a Product to a human patient.</w:t>
      </w:r>
    </w:p>
    <w:p>
      <w:pPr>
        <w:spacing w:after="0" w:line="190" w:lineRule="exact"/>
        <w:rPr>
          <w:sz w:val="20"/>
          <w:szCs w:val="20"/>
          <w:color w:val="auto"/>
        </w:rPr>
      </w:pPr>
    </w:p>
    <w:p>
      <w:pPr>
        <w:ind w:right="360" w:firstLine="309"/>
        <w:spacing w:after="0" w:line="278" w:lineRule="auto"/>
        <w:rPr>
          <w:sz w:val="20"/>
          <w:szCs w:val="20"/>
          <w:color w:val="auto"/>
        </w:rPr>
      </w:pPr>
      <w:r>
        <w:rPr>
          <w:rFonts w:ascii="Arial" w:cs="Arial" w:eastAsia="Arial" w:hAnsi="Arial"/>
          <w:sz w:val="17"/>
          <w:szCs w:val="17"/>
          <w:color w:val="auto"/>
        </w:rPr>
        <w:t>Section 1.37 “</w:t>
      </w:r>
      <w:r>
        <w:rPr>
          <w:rFonts w:ascii="Arial" w:cs="Arial" w:eastAsia="Arial" w:hAnsi="Arial"/>
          <w:sz w:val="17"/>
          <w:szCs w:val="17"/>
          <w:u w:val="single" w:color="auto"/>
          <w:color w:val="auto"/>
        </w:rPr>
        <w:t>Product</w:t>
      </w:r>
      <w:r>
        <w:rPr>
          <w:rFonts w:ascii="Arial" w:cs="Arial" w:eastAsia="Arial" w:hAnsi="Arial"/>
          <w:sz w:val="17"/>
          <w:szCs w:val="17"/>
          <w:color w:val="auto"/>
        </w:rPr>
        <w:t>” shall mean a liquid polymer composed of Sodium Alginate and Ca-D-Gluconate (designated by BioLineRx as “BL-1040”), or any back-ups or second-generation polymers or polymer combinations thereof that is Developed under the Development Program.</w:t>
      </w:r>
    </w:p>
    <w:p>
      <w:pPr>
        <w:spacing w:after="0" w:line="190" w:lineRule="exact"/>
        <w:rPr>
          <w:sz w:val="20"/>
          <w:szCs w:val="20"/>
          <w:color w:val="auto"/>
        </w:rPr>
      </w:pPr>
    </w:p>
    <w:p>
      <w:pPr>
        <w:ind w:right="100" w:firstLine="309"/>
        <w:spacing w:after="0" w:line="278" w:lineRule="auto"/>
        <w:rPr>
          <w:sz w:val="20"/>
          <w:szCs w:val="20"/>
          <w:color w:val="auto"/>
        </w:rPr>
      </w:pPr>
      <w:r>
        <w:rPr>
          <w:rFonts w:ascii="Arial" w:cs="Arial" w:eastAsia="Arial" w:hAnsi="Arial"/>
          <w:sz w:val="17"/>
          <w:szCs w:val="17"/>
          <w:color w:val="auto"/>
        </w:rPr>
        <w:t>Section 1.38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shall mean, with respect to a jurisdiction, the approval of the applicable Regulatory Authority required to market and sell a Product in such jurisdiction. For clarity, Regulatory Approval for a Product shall occur:</w:t>
      </w:r>
    </w:p>
    <w:p>
      <w:pPr>
        <w:spacing w:after="0" w:line="190" w:lineRule="exact"/>
        <w:rPr>
          <w:sz w:val="20"/>
          <w:szCs w:val="20"/>
          <w:color w:val="auto"/>
        </w:rPr>
      </w:pPr>
    </w:p>
    <w:p>
      <w:pPr>
        <w:ind w:left="1880" w:hanging="488"/>
        <w:spacing w:after="0"/>
        <w:tabs>
          <w:tab w:leader="none" w:pos="188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 the United States, on the date when the FDA approves a Premarket Approval (PMA) application;</w:t>
      </w:r>
    </w:p>
    <w:p>
      <w:pPr>
        <w:spacing w:after="0" w:line="241" w:lineRule="exact"/>
        <w:rPr>
          <w:rFonts w:ascii="Arial" w:cs="Arial" w:eastAsia="Arial" w:hAnsi="Arial"/>
          <w:sz w:val="17"/>
          <w:szCs w:val="17"/>
          <w:color w:val="auto"/>
        </w:rPr>
      </w:pPr>
    </w:p>
    <w:p>
      <w:pPr>
        <w:ind w:right="40" w:firstLine="1392"/>
        <w:spacing w:after="0" w:line="265" w:lineRule="auto"/>
        <w:tabs>
          <w:tab w:leader="none" w:pos="184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 Europe, on the date when such Product may first be placed on the market as a medical device (as such terms are defined in Art. 1 Paragraphs 2(a) and (h) of Directive 93/42/EEC, as amended) bearing the CE marking according to Art. 17 of Directive 93/42/EEC, as amended, in any member state of the EU; 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55" w:name="page456"/>
    <w:bookmarkEnd w:id="455"/>
    <w:p>
      <w:pPr>
        <w:ind w:left="1840" w:hanging="448"/>
        <w:spacing w:after="0"/>
        <w:tabs>
          <w:tab w:leader="none" w:pos="184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in Japan, on the date when the Ministry of Health approves a marketing authorization.</w:t>
      </w:r>
    </w:p>
    <w:p>
      <w:pPr>
        <w:spacing w:after="0" w:line="242" w:lineRule="exact"/>
        <w:rPr>
          <w:sz w:val="20"/>
          <w:szCs w:val="20"/>
          <w:color w:val="auto"/>
        </w:rPr>
      </w:pPr>
    </w:p>
    <w:p>
      <w:pPr>
        <w:ind w:right="40" w:firstLine="309"/>
        <w:spacing w:after="0" w:line="278" w:lineRule="auto"/>
        <w:rPr>
          <w:sz w:val="20"/>
          <w:szCs w:val="20"/>
          <w:color w:val="auto"/>
        </w:rPr>
      </w:pPr>
      <w:r>
        <w:rPr>
          <w:rFonts w:ascii="Arial" w:cs="Arial" w:eastAsia="Arial" w:hAnsi="Arial"/>
          <w:sz w:val="17"/>
          <w:szCs w:val="17"/>
          <w:color w:val="auto"/>
        </w:rPr>
        <w:t>Section 1.39 “</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shall mean any national (</w:t>
      </w:r>
      <w:r>
        <w:rPr>
          <w:rFonts w:ascii="Arial" w:cs="Arial" w:eastAsia="Arial" w:hAnsi="Arial"/>
          <w:sz w:val="17"/>
          <w:szCs w:val="17"/>
          <w:i w:val="1"/>
          <w:iCs w:val="1"/>
          <w:color w:val="auto"/>
        </w:rPr>
        <w:t>e.g.</w:t>
      </w:r>
      <w:r>
        <w:rPr>
          <w:rFonts w:ascii="Arial" w:cs="Arial" w:eastAsia="Arial" w:hAnsi="Arial"/>
          <w:sz w:val="17"/>
          <w:szCs w:val="17"/>
          <w:color w:val="auto"/>
        </w:rPr>
        <w:t>, the FDA), supra-national or other regulatory agency or governmental entity involved in the granting of Regulatory Approval for, or in the regulation of human clinical studies of, therapeutic medical devices.</w:t>
      </w:r>
    </w:p>
    <w:p>
      <w:pPr>
        <w:spacing w:after="0" w:line="190" w:lineRule="exact"/>
        <w:rPr>
          <w:sz w:val="20"/>
          <w:szCs w:val="20"/>
          <w:color w:val="auto"/>
        </w:rPr>
      </w:pPr>
    </w:p>
    <w:p>
      <w:pPr>
        <w:ind w:right="40" w:firstLine="309"/>
        <w:spacing w:after="0" w:line="279" w:lineRule="auto"/>
        <w:rPr>
          <w:sz w:val="20"/>
          <w:szCs w:val="20"/>
          <w:color w:val="auto"/>
        </w:rPr>
      </w:pPr>
      <w:r>
        <w:rPr>
          <w:rFonts w:ascii="Arial" w:cs="Arial" w:eastAsia="Arial" w:hAnsi="Arial"/>
          <w:sz w:val="16"/>
          <w:szCs w:val="16"/>
          <w:color w:val="auto"/>
        </w:rPr>
        <w:t>Section 1.40 “</w:t>
      </w:r>
      <w:r>
        <w:rPr>
          <w:rFonts w:ascii="Arial" w:cs="Arial" w:eastAsia="Arial" w:hAnsi="Arial"/>
          <w:sz w:val="16"/>
          <w:szCs w:val="16"/>
          <w:u w:val="single" w:color="auto"/>
          <w:color w:val="auto"/>
        </w:rPr>
        <w:t>Royalty Term</w:t>
      </w:r>
      <w:r>
        <w:rPr>
          <w:rFonts w:ascii="Arial" w:cs="Arial" w:eastAsia="Arial" w:hAnsi="Arial"/>
          <w:sz w:val="16"/>
          <w:szCs w:val="16"/>
          <w:color w:val="auto"/>
        </w:rPr>
        <w:t>” shall mean, with respect to a Product in a country of the Territory, the period of time commencing on the First Commercial Sale of such Product in such country and ending upon the earlier of (a) the expiration of the last-to-expire Valid Claim in the BioLineRx Patent Rights that Covers the sale or use of such Product in the Field in such country, or (b) the date of a judicial determination from which no appeal can be taken of invalidity of a set of claims in the BioLineRx Patent Rights that Cover the sale or use of such Product in the Field in such country and that are asserted through litigation (whether in an infringement action, a declaratory judgment action, or otherwise) to exclude a Third Party from selling or using a product in the Field in such country.</w:t>
      </w:r>
    </w:p>
    <w:p>
      <w:pPr>
        <w:spacing w:after="0" w:line="191"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1.41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Sublicensed IP</w:t>
      </w:r>
      <w:r>
        <w:rPr>
          <w:rFonts w:ascii="Arial" w:cs="Arial" w:eastAsia="Arial" w:hAnsi="Arial"/>
          <w:sz w:val="15"/>
          <w:szCs w:val="15"/>
          <w:color w:val="auto"/>
        </w:rPr>
        <w:t>” shall mean that portion of the BioLineRx Intellectual Property licensed to BioLineRx pursuant to the BGN License Agreement.</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1.42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Successful Completion</w:t>
      </w:r>
      <w:r>
        <w:rPr>
          <w:rFonts w:ascii="Arial" w:cs="Arial" w:eastAsia="Arial" w:hAnsi="Arial"/>
          <w:sz w:val="15"/>
          <w:szCs w:val="15"/>
          <w:color w:val="auto"/>
        </w:rPr>
        <w:t>” shall mean:</w:t>
      </w:r>
    </w:p>
    <w:p>
      <w:pPr>
        <w:spacing w:after="0" w:line="242" w:lineRule="exact"/>
        <w:rPr>
          <w:sz w:val="20"/>
          <w:szCs w:val="20"/>
          <w:color w:val="auto"/>
        </w:rPr>
      </w:pPr>
    </w:p>
    <w:p>
      <w:pPr>
        <w:ind w:right="80" w:firstLine="620"/>
        <w:spacing w:after="0" w:line="289" w:lineRule="auto"/>
        <w:tabs>
          <w:tab w:leader="none" w:pos="106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with respect to the On-Going Phase I/II Trial, no treatment-related safety findings during the treatment period and the six (6) month follow up period, that were considered by the Independent Safety Monitoring Board for the On-Going Phase I/II Trial (in accordance with and subject to the Independent Safety Monitoring Board Charter attached hereto as Schedule 1.42(a)) to be of sufficient concern to discontinue the On-Going Phase I/II Trial;</w:t>
      </w:r>
    </w:p>
    <w:p>
      <w:pPr>
        <w:spacing w:after="0" w:line="184" w:lineRule="exact"/>
        <w:rPr>
          <w:rFonts w:ascii="Arial" w:cs="Arial" w:eastAsia="Arial" w:hAnsi="Arial"/>
          <w:sz w:val="16"/>
          <w:szCs w:val="16"/>
          <w:color w:val="auto"/>
        </w:rPr>
      </w:pPr>
    </w:p>
    <w:p>
      <w:pPr>
        <w:ind w:firstLine="620"/>
        <w:spacing w:after="0" w:line="265" w:lineRule="auto"/>
        <w:tabs>
          <w:tab w:leader="none" w:pos="1074" w:val="left"/>
        </w:tabs>
        <w:numPr>
          <w:ilvl w:val="0"/>
          <w:numId w:val="363"/>
        </w:numPr>
        <w:rPr>
          <w:rFonts w:ascii="Arial" w:cs="Arial" w:eastAsia="Arial" w:hAnsi="Arial"/>
          <w:sz w:val="17"/>
          <w:szCs w:val="17"/>
          <w:color w:val="auto"/>
        </w:rPr>
      </w:pPr>
      <w:r>
        <w:rPr>
          <w:rFonts w:ascii="Arial" w:cs="Arial" w:eastAsia="Arial" w:hAnsi="Arial"/>
          <w:sz w:val="17"/>
          <w:szCs w:val="17"/>
          <w:color w:val="auto"/>
        </w:rPr>
        <w:t>with respect to the Interim Analysis of the Pivotal Clinical Trial/Phase IIb Proof of Concept, safety and efficacy data from completion of all patients at the [***] follow up demonstrates more than a [***]probability of meeting pre-specified endpoints at [***] in the Pivotal Clinical Trial, and no apparent safety signal in the treatment group for the entire cohort at all times;</w:t>
      </w:r>
    </w:p>
    <w:p>
      <w:pPr>
        <w:spacing w:after="0" w:line="201" w:lineRule="exact"/>
        <w:rPr>
          <w:rFonts w:ascii="Arial" w:cs="Arial" w:eastAsia="Arial" w:hAnsi="Arial"/>
          <w:sz w:val="17"/>
          <w:szCs w:val="17"/>
          <w:color w:val="auto"/>
        </w:rPr>
      </w:pPr>
    </w:p>
    <w:p>
      <w:pPr>
        <w:ind w:right="340" w:firstLine="620"/>
        <w:spacing w:after="0" w:line="278" w:lineRule="auto"/>
        <w:tabs>
          <w:tab w:leader="none" w:pos="1065" w:val="left"/>
        </w:tabs>
        <w:numPr>
          <w:ilvl w:val="0"/>
          <w:numId w:val="363"/>
        </w:numPr>
        <w:rPr>
          <w:rFonts w:ascii="Arial" w:cs="Arial" w:eastAsia="Arial" w:hAnsi="Arial"/>
          <w:sz w:val="17"/>
          <w:szCs w:val="17"/>
          <w:color w:val="auto"/>
        </w:rPr>
      </w:pPr>
      <w:r>
        <w:rPr>
          <w:rFonts w:ascii="Arial" w:cs="Arial" w:eastAsia="Arial" w:hAnsi="Arial"/>
          <w:sz w:val="17"/>
          <w:szCs w:val="17"/>
          <w:color w:val="auto"/>
        </w:rPr>
        <w:t>with respect to the Pivotal Clinical Trial for the Primary Indication, safety and efficacy data from completion of all patients at the [***] follow up meets the primary endpoint and demonstrates a positive benefit-to-risk ratio to enable FDA submission; and</w:t>
      </w:r>
    </w:p>
    <w:p>
      <w:pPr>
        <w:spacing w:after="0" w:line="190" w:lineRule="exact"/>
        <w:rPr>
          <w:rFonts w:ascii="Arial" w:cs="Arial" w:eastAsia="Arial" w:hAnsi="Arial"/>
          <w:sz w:val="17"/>
          <w:szCs w:val="17"/>
          <w:color w:val="auto"/>
        </w:rPr>
      </w:pPr>
    </w:p>
    <w:p>
      <w:pPr>
        <w:ind w:right="220" w:firstLine="620"/>
        <w:spacing w:after="0" w:line="278" w:lineRule="auto"/>
        <w:tabs>
          <w:tab w:leader="none" w:pos="1074" w:val="left"/>
        </w:tabs>
        <w:numPr>
          <w:ilvl w:val="0"/>
          <w:numId w:val="363"/>
        </w:numPr>
        <w:rPr>
          <w:rFonts w:ascii="Arial" w:cs="Arial" w:eastAsia="Arial" w:hAnsi="Arial"/>
          <w:sz w:val="17"/>
          <w:szCs w:val="17"/>
          <w:color w:val="auto"/>
        </w:rPr>
      </w:pPr>
      <w:r>
        <w:rPr>
          <w:rFonts w:ascii="Arial" w:cs="Arial" w:eastAsia="Arial" w:hAnsi="Arial"/>
          <w:sz w:val="17"/>
          <w:szCs w:val="17"/>
          <w:color w:val="auto"/>
        </w:rPr>
        <w:t>with respect to all other clinical trials of a Product, that the JDC has determined that the final results of such clinical trial have achieved the success criteria established by the JDC with respect to such clinical trial.</w:t>
      </w:r>
    </w:p>
    <w:p>
      <w:pPr>
        <w:spacing w:after="0" w:line="190" w:lineRule="exact"/>
        <w:rPr>
          <w:sz w:val="20"/>
          <w:szCs w:val="20"/>
          <w:color w:val="auto"/>
        </w:rPr>
      </w:pPr>
    </w:p>
    <w:p>
      <w:pPr>
        <w:jc w:val="center"/>
        <w:ind w:right="6980"/>
        <w:spacing w:after="0"/>
        <w:tabs>
          <w:tab w:leader="none" w:pos="200" w:val="left"/>
        </w:tabs>
        <w:rPr>
          <w:sz w:val="20"/>
          <w:szCs w:val="20"/>
          <w:color w:val="auto"/>
        </w:rPr>
      </w:pPr>
      <w:r>
        <w:rPr>
          <w:rFonts w:ascii="Arial" w:cs="Arial" w:eastAsia="Arial" w:hAnsi="Arial"/>
          <w:sz w:val="17"/>
          <w:szCs w:val="17"/>
          <w:color w:val="auto"/>
        </w:rPr>
        <w:t>Section 1.43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the entire world.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456" w:name="page457"/>
    <w:bookmarkEnd w:id="456"/>
    <w:p>
      <w:pPr>
        <w:ind w:left="320"/>
        <w:spacing w:after="0"/>
        <w:tabs>
          <w:tab w:leader="none" w:pos="1360" w:val="left"/>
        </w:tabs>
        <w:rPr>
          <w:sz w:val="20"/>
          <w:szCs w:val="20"/>
          <w:color w:val="auto"/>
        </w:rPr>
      </w:pPr>
      <w:r>
        <w:rPr>
          <w:rFonts w:ascii="Arial" w:cs="Arial" w:eastAsia="Arial" w:hAnsi="Arial"/>
          <w:sz w:val="17"/>
          <w:szCs w:val="17"/>
          <w:color w:val="auto"/>
        </w:rPr>
        <w:t>Section 1.44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Third Party</w:t>
      </w:r>
      <w:r>
        <w:rPr>
          <w:rFonts w:ascii="Arial" w:cs="Arial" w:eastAsia="Arial" w:hAnsi="Arial"/>
          <w:sz w:val="15"/>
          <w:szCs w:val="15"/>
          <w:color w:val="auto"/>
        </w:rPr>
        <w:t>” shall mean any Person other than a Party or any of its Affiliates or Licensees.</w:t>
      </w:r>
    </w:p>
    <w:p>
      <w:pPr>
        <w:spacing w:after="0" w:line="242" w:lineRule="exact"/>
        <w:rPr>
          <w:sz w:val="20"/>
          <w:szCs w:val="20"/>
          <w:color w:val="auto"/>
        </w:rPr>
      </w:pPr>
    </w:p>
    <w:p>
      <w:pPr>
        <w:jc w:val="both"/>
        <w:ind w:right="220" w:firstLine="309"/>
        <w:spacing w:after="0" w:line="289" w:lineRule="auto"/>
        <w:rPr>
          <w:sz w:val="20"/>
          <w:szCs w:val="20"/>
          <w:color w:val="auto"/>
        </w:rPr>
      </w:pPr>
      <w:r>
        <w:rPr>
          <w:rFonts w:ascii="Arial" w:cs="Arial" w:eastAsia="Arial" w:hAnsi="Arial"/>
          <w:sz w:val="16"/>
          <w:szCs w:val="16"/>
          <w:color w:val="auto"/>
        </w:rPr>
        <w:t>Section 1.45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a claim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reexamination, disclaimer, or otherwise.</w:t>
      </w:r>
    </w:p>
    <w:p>
      <w:pPr>
        <w:spacing w:after="0" w:line="184"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1.46</w:t>
      </w:r>
      <w:r>
        <w:rPr>
          <w:sz w:val="20"/>
          <w:szCs w:val="20"/>
          <w:color w:val="auto"/>
        </w:rPr>
        <w:tab/>
      </w:r>
      <w:r>
        <w:rPr>
          <w:rFonts w:ascii="Arial" w:cs="Arial" w:eastAsia="Arial" w:hAnsi="Arial"/>
          <w:sz w:val="16"/>
          <w:szCs w:val="16"/>
          <w:u w:val="single" w:color="auto"/>
          <w:color w:val="auto"/>
        </w:rPr>
        <w:t>Additional Definitions</w:t>
      </w:r>
      <w:r>
        <w:rPr>
          <w:rFonts w:ascii="Arial" w:cs="Arial" w:eastAsia="Arial" w:hAnsi="Arial"/>
          <w:sz w:val="16"/>
          <w:szCs w:val="16"/>
          <w:color w:val="auto"/>
        </w:rPr>
        <w:t>. Each of the following terms is defined in the section of this Agreement indicated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gridSpan w:val="25"/>
          </w:tcPr>
          <w:p>
            <w:pPr>
              <w:spacing w:after="0"/>
              <w:rPr>
                <w:sz w:val="20"/>
                <w:szCs w:val="20"/>
                <w:color w:val="auto"/>
              </w:rPr>
            </w:pPr>
            <w:r>
              <w:rPr>
                <w:rFonts w:ascii="Arial" w:cs="Arial" w:eastAsia="Arial" w:hAnsi="Arial"/>
                <w:sz w:val="17"/>
                <w:szCs w:val="17"/>
                <w:color w:val="auto"/>
              </w:rPr>
              <w:t>Term</w:t>
            </w:r>
          </w:p>
        </w:tc>
        <w:tc>
          <w:tcPr>
            <w:tcW w:w="7060" w:type="dxa"/>
            <w:vAlign w:val="bottom"/>
            <w:gridSpan w:val="3"/>
          </w:tcPr>
          <w:p>
            <w:pPr>
              <w:ind w:left="3080"/>
              <w:spacing w:after="0"/>
              <w:rPr>
                <w:sz w:val="20"/>
                <w:szCs w:val="20"/>
                <w:color w:val="auto"/>
              </w:rPr>
            </w:pPr>
            <w:r>
              <w:rPr>
                <w:rFonts w:ascii="Arial" w:cs="Arial" w:eastAsia="Arial" w:hAnsi="Arial"/>
                <w:sz w:val="17"/>
                <w:szCs w:val="17"/>
                <w:color w:val="auto"/>
              </w:rPr>
              <w:t>Section</w:t>
            </w:r>
          </w:p>
        </w:tc>
      </w:tr>
      <w:tr>
        <w:trPr>
          <w:trHeight w:val="20"/>
        </w:trPr>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92"/>
        </w:trPr>
        <w:tc>
          <w:tcPr>
            <w:tcW w:w="4360" w:type="dxa"/>
            <w:vAlign w:val="bottom"/>
            <w:gridSpan w:val="25"/>
          </w:tcPr>
          <w:p>
            <w:pPr>
              <w:spacing w:after="0"/>
              <w:rPr>
                <w:sz w:val="20"/>
                <w:szCs w:val="20"/>
                <w:color w:val="auto"/>
              </w:rPr>
            </w:pPr>
            <w:r>
              <w:rPr>
                <w:rFonts w:ascii="Arial" w:cs="Arial" w:eastAsia="Arial" w:hAnsi="Arial"/>
                <w:sz w:val="17"/>
                <w:szCs w:val="17"/>
                <w:color w:val="auto"/>
              </w:rPr>
              <w:t>“Agreement”</w:t>
            </w:r>
          </w:p>
        </w:tc>
        <w:tc>
          <w:tcPr>
            <w:tcW w:w="7060" w:type="dxa"/>
            <w:vAlign w:val="bottom"/>
            <w:gridSpan w:val="3"/>
          </w:tcPr>
          <w:p>
            <w:pPr>
              <w:ind w:left="3080"/>
              <w:spacing w:after="0"/>
              <w:rPr>
                <w:sz w:val="20"/>
                <w:szCs w:val="20"/>
                <w:color w:val="auto"/>
              </w:rPr>
            </w:pPr>
            <w:r>
              <w:rPr>
                <w:rFonts w:ascii="Arial" w:cs="Arial" w:eastAsia="Arial" w:hAnsi="Arial"/>
                <w:sz w:val="17"/>
                <w:szCs w:val="17"/>
                <w:color w:val="auto"/>
              </w:rPr>
              <w:t>Preamble</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“Bankruptcy Code”</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2.5</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“BGN”</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1.2</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“BioLineRx”</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Preamble</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392"/>
        </w:trPr>
        <w:tc>
          <w:tcPr>
            <w:tcW w:w="4360" w:type="dxa"/>
            <w:vAlign w:val="bottom"/>
            <w:gridSpan w:val="25"/>
          </w:tcPr>
          <w:p>
            <w:pPr>
              <w:spacing w:after="0"/>
              <w:rPr>
                <w:sz w:val="20"/>
                <w:szCs w:val="20"/>
                <w:color w:val="auto"/>
              </w:rPr>
            </w:pPr>
            <w:r>
              <w:rPr>
                <w:rFonts w:ascii="Arial" w:cs="Arial" w:eastAsia="Arial" w:hAnsi="Arial"/>
                <w:sz w:val="17"/>
                <w:szCs w:val="17"/>
                <w:color w:val="auto"/>
              </w:rPr>
              <w:t>“BL-1040”</w:t>
            </w:r>
          </w:p>
        </w:tc>
        <w:tc>
          <w:tcPr>
            <w:tcW w:w="7060" w:type="dxa"/>
            <w:vAlign w:val="bottom"/>
            <w:gridSpan w:val="3"/>
          </w:tcPr>
          <w:p>
            <w:pPr>
              <w:ind w:left="3080"/>
              <w:spacing w:after="0"/>
              <w:rPr>
                <w:sz w:val="20"/>
                <w:szCs w:val="20"/>
                <w:color w:val="auto"/>
              </w:rPr>
            </w:pPr>
            <w:r>
              <w:rPr>
                <w:rFonts w:ascii="Arial" w:cs="Arial" w:eastAsia="Arial" w:hAnsi="Arial"/>
                <w:sz w:val="17"/>
                <w:szCs w:val="17"/>
                <w:color w:val="auto"/>
              </w:rPr>
              <w:t>Section 1.37</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“Breaching Party”</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8.2</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“Combination Product”</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1.29</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“Commercialization Plan”</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3.7</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“Competitive Infringement”</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5.3(a)</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“Effective Date”</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2.1</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“Existing Product Agreements”</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2.3</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“Ikaria”</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Preamble</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392"/>
        </w:trPr>
        <w:tc>
          <w:tcPr>
            <w:tcW w:w="4360" w:type="dxa"/>
            <w:vAlign w:val="bottom"/>
            <w:gridSpan w:val="25"/>
          </w:tcPr>
          <w:p>
            <w:pPr>
              <w:spacing w:after="0"/>
              <w:rPr>
                <w:sz w:val="20"/>
                <w:szCs w:val="20"/>
                <w:color w:val="auto"/>
              </w:rPr>
            </w:pPr>
            <w:r>
              <w:rPr>
                <w:rFonts w:ascii="Arial" w:cs="Arial" w:eastAsia="Arial" w:hAnsi="Arial"/>
                <w:sz w:val="17"/>
                <w:szCs w:val="17"/>
                <w:color w:val="auto"/>
              </w:rPr>
              <w:t>“Development Plan”</w:t>
            </w:r>
          </w:p>
        </w:tc>
        <w:tc>
          <w:tcPr>
            <w:tcW w:w="7060" w:type="dxa"/>
            <w:vAlign w:val="bottom"/>
            <w:gridSpan w:val="3"/>
          </w:tcPr>
          <w:p>
            <w:pPr>
              <w:ind w:left="3080"/>
              <w:spacing w:after="0"/>
              <w:rPr>
                <w:sz w:val="20"/>
                <w:szCs w:val="20"/>
                <w:color w:val="auto"/>
              </w:rPr>
            </w:pPr>
            <w:r>
              <w:rPr>
                <w:rFonts w:ascii="Arial" w:cs="Arial" w:eastAsia="Arial" w:hAnsi="Arial"/>
                <w:sz w:val="17"/>
                <w:szCs w:val="17"/>
                <w:color w:val="auto"/>
              </w:rPr>
              <w:t>Section 3.1</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“Development Program”</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3.1</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“Force Majeure Event”</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10.7</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“Indemnified Party”</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10.1(c)</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“Indemnifying Party”</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10.1(c)</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“Invalidity Claim”</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5.3(d)</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“Joint Development Committee” or “JDC”</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3.2</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392"/>
        </w:trPr>
        <w:tc>
          <w:tcPr>
            <w:tcW w:w="4360" w:type="dxa"/>
            <w:vAlign w:val="bottom"/>
            <w:gridSpan w:val="25"/>
          </w:tcPr>
          <w:p>
            <w:pPr>
              <w:spacing w:after="0"/>
              <w:rPr>
                <w:sz w:val="20"/>
                <w:szCs w:val="20"/>
                <w:color w:val="auto"/>
              </w:rPr>
            </w:pPr>
            <w:r>
              <w:rPr>
                <w:rFonts w:ascii="Arial" w:cs="Arial" w:eastAsia="Arial" w:hAnsi="Arial"/>
                <w:sz w:val="17"/>
                <w:szCs w:val="17"/>
                <w:color w:val="auto"/>
              </w:rPr>
              <w:t>“Joint Manufacturing Committee” or “JMC”</w:t>
            </w:r>
          </w:p>
        </w:tc>
        <w:tc>
          <w:tcPr>
            <w:tcW w:w="7060" w:type="dxa"/>
            <w:vAlign w:val="bottom"/>
            <w:gridSpan w:val="3"/>
          </w:tcPr>
          <w:p>
            <w:pPr>
              <w:ind w:left="3080"/>
              <w:spacing w:after="0"/>
              <w:rPr>
                <w:sz w:val="20"/>
                <w:szCs w:val="20"/>
                <w:color w:val="auto"/>
              </w:rPr>
            </w:pPr>
            <w:r>
              <w:rPr>
                <w:rFonts w:ascii="Arial" w:cs="Arial" w:eastAsia="Arial" w:hAnsi="Arial"/>
                <w:sz w:val="17"/>
                <w:szCs w:val="17"/>
                <w:color w:val="auto"/>
              </w:rPr>
              <w:t>Section 3.6(c)</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“Lead Party”</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5.3(e)</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“Losses”</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10.1(a)</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“New Indication”</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2.4</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gridSpan w:val="6"/>
            <w:shd w:val="clear" w:color="auto" w:fill="00000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“New Indication Invention”</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5.1(a)</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gridSpan w:val="6"/>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“Non-Breaching Party”</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8.2</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40" w:type="dxa"/>
            <w:vAlign w:val="bottom"/>
            <w:tcBorders>
              <w:left w:val="single" w:sz="8" w:color="auto"/>
            </w:tcBorders>
            <w:gridSpan w:val="6"/>
            <w:shd w:val="clear" w:color="auto" w:fill="000000"/>
          </w:tcPr>
          <w:p>
            <w:pPr>
              <w:spacing w:after="0" w:line="20" w:lineRule="exact"/>
              <w:rPr>
                <w:sz w:val="1"/>
                <w:szCs w:val="1"/>
                <w:color w:val="auto"/>
              </w:rPr>
            </w:pPr>
          </w:p>
        </w:tc>
        <w:tc>
          <w:tcPr>
            <w:tcW w:w="400" w:type="dxa"/>
            <w:vAlign w:val="bottom"/>
            <w:tcBorders>
              <w:left w:val="single" w:sz="8" w:color="auto"/>
            </w:tcBorders>
            <w:gridSpan w:val="5"/>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“OCS”</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2.1</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“SEC”</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6.1</w:t>
            </w: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186"/>
        </w:trPr>
        <w:tc>
          <w:tcPr>
            <w:tcW w:w="4360" w:type="dxa"/>
            <w:vAlign w:val="bottom"/>
            <w:gridSpan w:val="25"/>
          </w:tcPr>
          <w:p>
            <w:pPr>
              <w:spacing w:after="0" w:line="186" w:lineRule="exact"/>
              <w:rPr>
                <w:sz w:val="20"/>
                <w:szCs w:val="20"/>
                <w:color w:val="auto"/>
              </w:rPr>
            </w:pPr>
            <w:r>
              <w:rPr>
                <w:rFonts w:ascii="Arial" w:cs="Arial" w:eastAsia="Arial" w:hAnsi="Arial"/>
                <w:sz w:val="17"/>
                <w:szCs w:val="17"/>
                <w:color w:val="auto"/>
              </w:rPr>
              <w:t>“Severed Clause”</w:t>
            </w:r>
          </w:p>
        </w:tc>
        <w:tc>
          <w:tcPr>
            <w:tcW w:w="7060" w:type="dxa"/>
            <w:vAlign w:val="bottom"/>
            <w:gridSpan w:val="3"/>
          </w:tcPr>
          <w:p>
            <w:pPr>
              <w:ind w:left="3080"/>
              <w:spacing w:after="0" w:line="186" w:lineRule="exact"/>
              <w:rPr>
                <w:sz w:val="20"/>
                <w:szCs w:val="20"/>
                <w:color w:val="auto"/>
              </w:rPr>
            </w:pPr>
            <w:r>
              <w:rPr>
                <w:rFonts w:ascii="Arial" w:cs="Arial" w:eastAsia="Arial" w:hAnsi="Arial"/>
                <w:sz w:val="17"/>
                <w:szCs w:val="17"/>
                <w:color w:val="auto"/>
              </w:rPr>
              <w:t>Section 10.11</w:t>
            </w:r>
          </w:p>
        </w:tc>
      </w:tr>
      <w:tr>
        <w:trPr>
          <w:trHeight w:val="20"/>
        </w:trPr>
        <w:tc>
          <w:tcPr>
            <w:tcW w:w="80" w:type="dxa"/>
            <w:vAlign w:val="bottom"/>
          </w:tcPr>
          <w:p>
            <w:pPr>
              <w:spacing w:after="0" w:line="20" w:lineRule="exact"/>
              <w:rPr>
                <w:sz w:val="1"/>
                <w:szCs w:val="1"/>
                <w:color w:val="auto"/>
              </w:rPr>
            </w:pPr>
          </w:p>
        </w:tc>
        <w:tc>
          <w:tcPr>
            <w:tcW w:w="1060" w:type="dxa"/>
            <w:vAlign w:val="bottom"/>
            <w:gridSpan w:val="8"/>
            <w:shd w:val="clear" w:color="auto" w:fill="000000"/>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392"/>
        </w:trPr>
        <w:tc>
          <w:tcPr>
            <w:tcW w:w="4360" w:type="dxa"/>
            <w:vAlign w:val="bottom"/>
            <w:gridSpan w:val="25"/>
          </w:tcPr>
          <w:p>
            <w:pPr>
              <w:spacing w:after="0"/>
              <w:rPr>
                <w:sz w:val="20"/>
                <w:szCs w:val="20"/>
                <w:color w:val="auto"/>
              </w:rPr>
            </w:pPr>
            <w:r>
              <w:rPr>
                <w:rFonts w:ascii="Arial" w:cs="Arial" w:eastAsia="Arial" w:hAnsi="Arial"/>
                <w:sz w:val="17"/>
                <w:szCs w:val="17"/>
                <w:color w:val="auto"/>
              </w:rPr>
              <w:t>“Technology Exchange”</w:t>
            </w:r>
          </w:p>
        </w:tc>
        <w:tc>
          <w:tcPr>
            <w:tcW w:w="7060" w:type="dxa"/>
            <w:vAlign w:val="bottom"/>
            <w:gridSpan w:val="3"/>
          </w:tcPr>
          <w:p>
            <w:pPr>
              <w:ind w:left="3080"/>
              <w:spacing w:after="0"/>
              <w:rPr>
                <w:sz w:val="20"/>
                <w:szCs w:val="20"/>
                <w:color w:val="auto"/>
              </w:rPr>
            </w:pPr>
            <w:r>
              <w:rPr>
                <w:rFonts w:ascii="Arial" w:cs="Arial" w:eastAsia="Arial" w:hAnsi="Arial"/>
                <w:sz w:val="17"/>
                <w:szCs w:val="17"/>
                <w:color w:val="auto"/>
              </w:rPr>
              <w:t>Section 3.5</w:t>
            </w:r>
          </w:p>
        </w:tc>
      </w:tr>
      <w:tr>
        <w:trPr>
          <w:trHeight w:val="686"/>
        </w:trPr>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ind w:left="1320"/>
              <w:spacing w:after="0"/>
              <w:rPr>
                <w:sz w:val="20"/>
                <w:szCs w:val="20"/>
                <w:color w:val="auto"/>
              </w:rPr>
            </w:pPr>
            <w:r>
              <w:rPr>
                <w:rFonts w:ascii="Arial" w:cs="Arial" w:eastAsia="Arial" w:hAnsi="Arial"/>
                <w:sz w:val="17"/>
                <w:szCs w:val="17"/>
                <w:color w:val="auto"/>
              </w:rPr>
              <w:t>8</w:t>
            </w:r>
          </w:p>
        </w:tc>
        <w:tc>
          <w:tcPr>
            <w:tcW w:w="5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14"/>
        </w:trPr>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195"/>
        </w:trPr>
        <w:tc>
          <w:tcPr>
            <w:tcW w:w="4740" w:type="dxa"/>
            <w:vAlign w:val="bottom"/>
            <w:gridSpan w:val="5"/>
          </w:tcPr>
          <w:p>
            <w:pPr>
              <w:spacing w:after="0"/>
              <w:rPr>
                <w:sz w:val="20"/>
                <w:szCs w:val="20"/>
                <w:color w:val="auto"/>
              </w:rPr>
            </w:pPr>
            <w:r>
              <w:rPr>
                <w:rFonts w:ascii="Arial" w:cs="Arial" w:eastAsia="Arial" w:hAnsi="Arial"/>
                <w:sz w:val="17"/>
                <w:szCs w:val="17"/>
                <w:color w:val="auto"/>
              </w:rPr>
              <w:t>Term</w:t>
            </w:r>
          </w:p>
        </w:tc>
        <w:tc>
          <w:tcPr>
            <w:tcW w:w="3660" w:type="dxa"/>
            <w:vAlign w:val="bottom"/>
            <w:gridSpan w:val="3"/>
          </w:tcPr>
          <w:p>
            <w:pPr>
              <w:ind w:left="2700"/>
              <w:spacing w:after="0"/>
              <w:rPr>
                <w:sz w:val="20"/>
                <w:szCs w:val="20"/>
                <w:color w:val="auto"/>
              </w:rPr>
            </w:pPr>
            <w:r>
              <w:rPr>
                <w:rFonts w:ascii="Arial" w:cs="Arial" w:eastAsia="Arial" w:hAnsi="Arial"/>
                <w:sz w:val="17"/>
                <w:szCs w:val="17"/>
                <w:color w:val="auto"/>
              </w:rPr>
              <w:t>Section</w:t>
            </w:r>
          </w:p>
        </w:tc>
      </w:tr>
      <w:tr>
        <w:trPr>
          <w:trHeight w:val="20"/>
        </w:trPr>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2"/>
        </w:trPr>
        <w:tc>
          <w:tcPr>
            <w:tcW w:w="4740" w:type="dxa"/>
            <w:vAlign w:val="bottom"/>
            <w:gridSpan w:val="5"/>
          </w:tcPr>
          <w:p>
            <w:pPr>
              <w:spacing w:after="0"/>
              <w:rPr>
                <w:sz w:val="20"/>
                <w:szCs w:val="20"/>
                <w:color w:val="auto"/>
              </w:rPr>
            </w:pPr>
            <w:r>
              <w:rPr>
                <w:rFonts w:ascii="Arial" w:cs="Arial" w:eastAsia="Arial" w:hAnsi="Arial"/>
                <w:sz w:val="17"/>
                <w:szCs w:val="17"/>
                <w:color w:val="auto"/>
              </w:rPr>
              <w:t>“Technology Exchange Plan”</w:t>
            </w:r>
          </w:p>
        </w:tc>
        <w:tc>
          <w:tcPr>
            <w:tcW w:w="3660" w:type="dxa"/>
            <w:vAlign w:val="bottom"/>
            <w:gridSpan w:val="3"/>
          </w:tcPr>
          <w:p>
            <w:pPr>
              <w:ind w:left="2700"/>
              <w:spacing w:after="0"/>
              <w:rPr>
                <w:sz w:val="20"/>
                <w:szCs w:val="20"/>
                <w:color w:val="auto"/>
              </w:rPr>
            </w:pPr>
            <w:r>
              <w:rPr>
                <w:rFonts w:ascii="Arial" w:cs="Arial" w:eastAsia="Arial" w:hAnsi="Arial"/>
                <w:sz w:val="17"/>
                <w:szCs w:val="17"/>
                <w:color w:val="auto"/>
              </w:rPr>
              <w:t>Section 3.5</w:t>
            </w:r>
          </w:p>
        </w:tc>
      </w:tr>
      <w:tr>
        <w:trPr>
          <w:trHeight w:val="20"/>
        </w:trPr>
        <w:tc>
          <w:tcPr>
            <w:tcW w:w="8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r>
      <w:tr>
        <w:trPr>
          <w:trHeight w:val="186"/>
        </w:trPr>
        <w:tc>
          <w:tcPr>
            <w:tcW w:w="4740" w:type="dxa"/>
            <w:vAlign w:val="bottom"/>
            <w:gridSpan w:val="5"/>
          </w:tcPr>
          <w:p>
            <w:pPr>
              <w:spacing w:after="0" w:line="186" w:lineRule="exact"/>
              <w:rPr>
                <w:sz w:val="20"/>
                <w:szCs w:val="20"/>
                <w:color w:val="auto"/>
              </w:rPr>
            </w:pPr>
            <w:r>
              <w:rPr>
                <w:rFonts w:ascii="Arial" w:cs="Arial" w:eastAsia="Arial" w:hAnsi="Arial"/>
                <w:sz w:val="17"/>
                <w:szCs w:val="17"/>
                <w:color w:val="auto"/>
              </w:rPr>
              <w:t>“Third Party Payment”</w:t>
            </w:r>
          </w:p>
        </w:tc>
        <w:tc>
          <w:tcPr>
            <w:tcW w:w="3660" w:type="dxa"/>
            <w:vAlign w:val="bottom"/>
            <w:gridSpan w:val="3"/>
          </w:tcPr>
          <w:p>
            <w:pPr>
              <w:ind w:left="2700"/>
              <w:spacing w:after="0" w:line="186" w:lineRule="exact"/>
              <w:rPr>
                <w:sz w:val="20"/>
                <w:szCs w:val="20"/>
                <w:color w:val="auto"/>
              </w:rPr>
            </w:pPr>
            <w:r>
              <w:rPr>
                <w:rFonts w:ascii="Arial" w:cs="Arial" w:eastAsia="Arial" w:hAnsi="Arial"/>
                <w:sz w:val="17"/>
                <w:szCs w:val="17"/>
                <w:color w:val="auto"/>
                <w:w w:val="88"/>
              </w:rPr>
              <w:t>Section 4.2(b)</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309"/>
        <w:spacing w:after="0" w:line="291" w:lineRule="auto"/>
        <w:rPr>
          <w:sz w:val="20"/>
          <w:szCs w:val="20"/>
          <w:color w:val="auto"/>
        </w:rPr>
      </w:pPr>
      <w:r>
        <w:rPr>
          <w:rFonts w:ascii="Arial" w:cs="Arial" w:eastAsia="Arial" w:hAnsi="Arial"/>
          <w:sz w:val="15"/>
          <w:szCs w:val="15"/>
          <w:color w:val="auto"/>
        </w:rPr>
        <w:t xml:space="preserve">Section 1.47 </w:t>
      </w:r>
      <w:r>
        <w:rPr>
          <w:rFonts w:ascii="Arial" w:cs="Arial" w:eastAsia="Arial" w:hAnsi="Arial"/>
          <w:sz w:val="15"/>
          <w:szCs w:val="15"/>
          <w:u w:val="single" w:color="auto"/>
          <w:color w:val="auto"/>
        </w:rPr>
        <w:t>Interpretation</w:t>
      </w:r>
      <w:r>
        <w:rPr>
          <w:rFonts w:ascii="Arial" w:cs="Arial" w:eastAsia="Arial" w:hAnsi="Arial"/>
          <w:sz w:val="15"/>
          <w:szCs w:val="15"/>
          <w:color w:val="auto"/>
        </w:rPr>
        <w:t>.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shall be construed to have the same meaning and effect as “and/or”. This Agreement has been prepared jointly with the assistance of counsel and shall not be strictly construed against either Party. The captions or headings of the sections or other subdivisions hereof are inserted only as a matter of convenience or for reference and shall have no effect on the meaning of the provisions hereof.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laws herein shall be construed as referring to any law, statute, rule, regulation, ordinance, or other pronouncement having the effect of law of any federal, national, multinational, state, provincial, county, city, or other political subdivision, domestic or foreign, as they from time to time may be enacted, repealed, or amended, (c) any reference herein to any Person shall be construed to include the Person’s successors and assigns, (d) the words “herein”, “hereof”, and “hereunder”, and words of similar import, shall be construed to refer to this Agreement in its entirety and not to any particular provision hereof, (e) any reference herein to the words “mutually agree” or “mutual written agreement” shall not impose any obligation on either Party to agree to any terms relating thereto or to engage in discussions relating to such terms except as such Party may determine in such Party’s sole discretion, and (f) all references herein to Articles, Sections, Exhibits, or Schedules shall be construed to refer to Articles, Sections, Exhibits, and Schedules of this Agreement.</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574" w:right="339" w:bottom="1440" w:gutter="0" w:footer="0" w:header="0"/>
        </w:sectPr>
      </w:pPr>
    </w:p>
    <w:bookmarkStart w:id="458" w:name="page459"/>
    <w:bookmarkEnd w:id="458"/>
    <w:p>
      <w:pPr>
        <w:jc w:val="center"/>
        <w:ind w:right="-19"/>
        <w:spacing w:after="0"/>
        <w:rPr>
          <w:sz w:val="20"/>
          <w:szCs w:val="20"/>
          <w:color w:val="auto"/>
        </w:rPr>
      </w:pPr>
      <w:r>
        <w:rPr>
          <w:rFonts w:ascii="Arial" w:cs="Arial" w:eastAsia="Arial" w:hAnsi="Arial"/>
          <w:sz w:val="17"/>
          <w:szCs w:val="17"/>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Grant of Rights</w:t>
      </w:r>
    </w:p>
    <w:p>
      <w:pPr>
        <w:spacing w:after="0" w:line="231" w:lineRule="exact"/>
        <w:rPr>
          <w:sz w:val="20"/>
          <w:szCs w:val="20"/>
          <w:color w:val="auto"/>
        </w:rPr>
      </w:pPr>
    </w:p>
    <w:p>
      <w:pPr>
        <w:ind w:firstLine="309"/>
        <w:spacing w:after="0" w:line="279"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BioLineRx License Grant to Ikaria; Consent of OCS</w:t>
      </w:r>
      <w:r>
        <w:rPr>
          <w:rFonts w:ascii="Arial" w:cs="Arial" w:eastAsia="Arial" w:hAnsi="Arial"/>
          <w:sz w:val="15"/>
          <w:szCs w:val="15"/>
          <w:color w:val="auto"/>
        </w:rPr>
        <w:t>. Subject to the terms and conditions of this Agreement, including the consent of the Office of the Chief Scientist of the State of Israel (“</w:t>
      </w:r>
      <w:r>
        <w:rPr>
          <w:rFonts w:ascii="Arial" w:cs="Arial" w:eastAsia="Arial" w:hAnsi="Arial"/>
          <w:sz w:val="15"/>
          <w:szCs w:val="15"/>
          <w:u w:val="single" w:color="auto"/>
          <w:color w:val="auto"/>
        </w:rPr>
        <w:t>OCS</w:t>
      </w:r>
      <w:r>
        <w:rPr>
          <w:rFonts w:ascii="Arial" w:cs="Arial" w:eastAsia="Arial" w:hAnsi="Arial"/>
          <w:sz w:val="15"/>
          <w:szCs w:val="15"/>
          <w:color w:val="auto"/>
        </w:rPr>
        <w:t xml:space="preserve">”), BioLineRx hereby grants to Ikaria the exclusive, royalty-bearing right and license in the Territory under the BioLineRx Intellectual Property (including, for clarity, a sublicense under the Sublicensed IP) to Develop, Manufacture and Commercialize Products for use in the Field. Subject to the consent of BioLineRx, which consent shall not be unreasonably withheld, conditioned or delayed, the foregoing license includes the right to grant sublicenses under the BioLineRx Intellectual Property, </w:t>
      </w:r>
      <w:r>
        <w:rPr>
          <w:rFonts w:ascii="Arial" w:cs="Arial" w:eastAsia="Arial" w:hAnsi="Arial"/>
          <w:sz w:val="15"/>
          <w:szCs w:val="15"/>
          <w:u w:val="single" w:color="auto"/>
          <w:color w:val="auto"/>
        </w:rPr>
        <w:t>provided that</w:t>
      </w:r>
      <w:r>
        <w:rPr>
          <w:rFonts w:ascii="Arial" w:cs="Arial" w:eastAsia="Arial" w:hAnsi="Arial"/>
          <w:sz w:val="15"/>
          <w:szCs w:val="15"/>
          <w:color w:val="auto"/>
        </w:rPr>
        <w:t>, with respect to sublicenses granted under the Sublicensed IP, Ikaria shall (a) grant such sublicenses only for consideration and at arm’s-length transactions, and (b) grant such sublicenses only pursuant to written agreements that contain such terms and conditions as may be required for Ikaria to comply with this Agreement. BioLineRx shall use its best efforts to obtain the written consent of the OCS to this Agreement within [***] days after August 26</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2009, which consent must be in a form that is satisfactory to each Party. If the OCS has still not provided such consent during such [***] days, Ikaria shall have the right to require BioLineRx to continue to use best efforts to obtain such consent within the subsequent [***] day period. In addition, (i) Ikaria shall have the right to have a representative present at all interactions between BioLineRx’s representatives and the OCS relating to such consent, (ii) BioLineRx shall (A) provide Ikaria with a reasonable opportunity to review and approve the request for consent submitted to the OCS and (B) keep Ikaria fully informed as to the progress of such request for consent and shall consult with Ikaria in good faith with respect thereto, (iii) BioLineRx shall not engage in any activities or discussions with any Third Party relating to the subject matter of this Agreement, including pursuing any other transactions relating to the BioLineRx Intellectual Property, without Ikaria’s consent, and (iv) Ikaria shall have the right, prior to the Effective Date, to unilaterally modify this Agreement to comply with the specific, formal, written requests of the OCS,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such modifications have no detrimental financial impact on BioLineRx under this</w:t>
      </w:r>
    </w:p>
    <w:p>
      <w:pPr>
        <w:spacing w:after="0" w:line="10"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Agreement. Notwithstanding BioLineRx’s obligation to exercise best efforts to obtain the consent from the OCS as described above, BioLineRx shall not be required to (y) agree to any request by the OCS that would require BioLineRx to pay to the OCS an aggregate amount of more than [***] or (z) obtain a consent based on the characterization of this Agreement as a “transfer of know-how outside of Israel” under Section 19B of the Israeli Law for the Encouragement of Industrial Research</w:t>
      </w:r>
    </w:p>
    <w:p>
      <w:pPr>
        <w:spacing w:after="0" w:line="1" w:lineRule="exact"/>
        <w:rPr>
          <w:sz w:val="20"/>
          <w:szCs w:val="20"/>
          <w:color w:val="auto"/>
        </w:rPr>
      </w:pPr>
    </w:p>
    <w:p>
      <w:pPr>
        <w:jc w:val="both"/>
        <w:ind w:right="120" w:firstLine="3"/>
        <w:spacing w:after="0" w:line="286" w:lineRule="auto"/>
        <w:tabs>
          <w:tab w:leader="none" w:pos="176" w:val="left"/>
        </w:tabs>
        <w:numPr>
          <w:ilvl w:val="0"/>
          <w:numId w:val="364"/>
        </w:numPr>
        <w:rPr>
          <w:rFonts w:ascii="Arial" w:cs="Arial" w:eastAsia="Arial" w:hAnsi="Arial"/>
          <w:sz w:val="15"/>
          <w:szCs w:val="15"/>
          <w:color w:val="auto"/>
        </w:rPr>
      </w:pPr>
      <w:r>
        <w:rPr>
          <w:rFonts w:ascii="Arial" w:cs="Arial" w:eastAsia="Arial" w:hAnsi="Arial"/>
          <w:sz w:val="15"/>
          <w:szCs w:val="15"/>
          <w:color w:val="auto"/>
        </w:rPr>
        <w:t>Development, 1984. Notwithstanding anything herein to the contrary, subject to Section 8.6, the provisions of this Agreement other than this Section 2.1, Section 2.2, Article VII, Section 8.6 and Article X shall not be effective until such consent has been obtained and each Party has delivered the certificate set forth in Section</w:t>
      </w:r>
    </w:p>
    <w:p>
      <w:pPr>
        <w:spacing w:after="0"/>
        <w:rPr>
          <w:rFonts w:ascii="Arial" w:cs="Arial" w:eastAsia="Arial" w:hAnsi="Arial"/>
          <w:sz w:val="15"/>
          <w:szCs w:val="15"/>
          <w:color w:val="auto"/>
        </w:rPr>
      </w:pPr>
      <w:r>
        <w:rPr>
          <w:rFonts w:ascii="Arial" w:cs="Arial" w:eastAsia="Arial" w:hAnsi="Arial"/>
          <w:sz w:val="17"/>
          <w:szCs w:val="17"/>
          <w:color w:val="auto"/>
        </w:rPr>
        <w:t>7.8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231" w:lineRule="exact"/>
        <w:rPr>
          <w:sz w:val="20"/>
          <w:szCs w:val="20"/>
          <w:color w:val="auto"/>
        </w:rPr>
      </w:pPr>
    </w:p>
    <w:p>
      <w:pPr>
        <w:ind w:right="100" w:firstLine="309"/>
        <w:spacing w:after="0" w:line="25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term of this Agreement, BioLineRx shall not, within the Territory, directly or indirectly (including through its Affiliates), conduct research or discovery activities, Develop, Manufacture (except as set forth in Section 3.6), Commercialize, or grant any rights or options or provide assistance to any Third Party to conduct research or discovery activities, Develop, Manufacture (except as set forth in Section 3.6) or Commercialize, (a) the Product or (b) any compound, substance, polymer, or product (whether pharmaceutical or device in nature) the method of action or effect of which is similar to any Product.</w:t>
      </w:r>
    </w:p>
    <w:p>
      <w:pPr>
        <w:spacing w:after="0" w:line="206" w:lineRule="exact"/>
        <w:rPr>
          <w:sz w:val="20"/>
          <w:szCs w:val="20"/>
          <w:color w:val="auto"/>
        </w:rPr>
      </w:pPr>
    </w:p>
    <w:p>
      <w:pPr>
        <w:ind w:firstLine="309"/>
        <w:spacing w:after="0" w:line="261"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Existing Product Agreements</w:t>
      </w:r>
      <w:r>
        <w:rPr>
          <w:rFonts w:ascii="Arial" w:cs="Arial" w:eastAsia="Arial" w:hAnsi="Arial"/>
          <w:sz w:val="17"/>
          <w:szCs w:val="17"/>
          <w:color w:val="auto"/>
        </w:rPr>
        <w:t xml:space="preserve">. BioLineRx hereby agrees that, upon the written request of Ikaria, BioLineRx shall assign to Ikaria each of the agreements listed in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Existing Product Agreements</w:t>
      </w:r>
      <w:r>
        <w:rPr>
          <w:rFonts w:ascii="Arial" w:cs="Arial" w:eastAsia="Arial" w:hAnsi="Arial"/>
          <w:sz w:val="17"/>
          <w:szCs w:val="17"/>
          <w:color w:val="auto"/>
        </w:rPr>
        <w:t>”), and all of its rights, title, and interest therein. BioLineRx shall cooperate with Ikaria, including by executing and recording documents, as may be necessary to effectuate such assignments and the exercise by Ikaria of its rights under the Existing Product Agreements.</w:t>
      </w:r>
    </w:p>
    <w:p>
      <w:pPr>
        <w:spacing w:after="0" w:line="204"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2.4</w:t>
      </w:r>
      <w:r>
        <w:rPr>
          <w:sz w:val="20"/>
          <w:szCs w:val="20"/>
          <w:color w:val="auto"/>
        </w:rPr>
        <w:tab/>
      </w:r>
      <w:r>
        <w:rPr>
          <w:rFonts w:ascii="Arial" w:cs="Arial" w:eastAsia="Arial" w:hAnsi="Arial"/>
          <w:sz w:val="16"/>
          <w:szCs w:val="16"/>
          <w:u w:val="single" w:color="auto"/>
          <w:color w:val="auto"/>
        </w:rPr>
        <w:t>Intentionally Omitted.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459" w:name="page460"/>
    <w:bookmarkEnd w:id="459"/>
    <w:p>
      <w:pPr>
        <w:ind w:firstLine="309"/>
        <w:spacing w:after="0" w:line="292"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u w:val="single" w:color="auto"/>
          <w:color w:val="auto"/>
        </w:rPr>
        <w:t>Section 365(n) of the Bankruptcy Code</w:t>
      </w:r>
      <w:r>
        <w:rPr>
          <w:rFonts w:ascii="Arial" w:cs="Arial" w:eastAsia="Arial" w:hAnsi="Arial"/>
          <w:sz w:val="15"/>
          <w:szCs w:val="15"/>
          <w:color w:val="auto"/>
        </w:rPr>
        <w:t>. All rights and licenses granted under or pursuant to any Section of this Agreement, including under this Article II and with respect to any BioLineRx Intellectual Property subject to Technology Exchange under Section 3.5, are rights to “intellectual property” (as defined in Section 101(35A) of Title 11 of the United States Code (such Title, the “</w:t>
      </w:r>
      <w:r>
        <w:rPr>
          <w:rFonts w:ascii="Arial" w:cs="Arial" w:eastAsia="Arial" w:hAnsi="Arial"/>
          <w:sz w:val="15"/>
          <w:szCs w:val="15"/>
          <w:u w:val="single" w:color="auto"/>
          <w:color w:val="auto"/>
        </w:rPr>
        <w:t>Bankruptcy Code</w:t>
      </w:r>
      <w:r>
        <w:rPr>
          <w:rFonts w:ascii="Arial" w:cs="Arial" w:eastAsia="Arial" w:hAnsi="Arial"/>
          <w:sz w:val="15"/>
          <w:szCs w:val="15"/>
          <w:color w:val="auto"/>
        </w:rPr>
        <w:t>”)). Each of Ikaria and BioLineRx hereby acknowledges “embodiments” of such intellectual property for purposes of Section 365(n) of the Bankruptcy Code shall include (a) copies of research data, (b) laboratory samples, (c) product samples, (d) formulas, (e) laboratory notes and notebooks, (f) data and results related to clinical studies, (g) regulatory filings and approvals, (h) rights of reference in respect of regulatory filings and approvals, (i) research data and results, and (j) marketing, advertising, and promotional materials, in each case, that relate to such intellectual property. Each Party shall retain and may fully exercise all of its rights and elections under the Bankruptcy Code or analogous legislation in any other jurisdiction. Upon the institution by or against BioLineRx of any assignment for the benefit of creditors, composition, or any bankruptcy, reorganization, arrangement, insolvency, or similar proceedings under the laws of any jurisdiction, Ikaria shall further be entitled to a complete duplicate of, or complete access to, as appropriate, any such intellectual property (including embodiments thereof), and such intellectual property and embodiments, if not already in its possession, shall be promptly delivered to Ikaria, unless BioLineRx elects to continue, and continues, to perform all of its obligations under this Agreement.</w:t>
      </w:r>
    </w:p>
    <w:p>
      <w:pPr>
        <w:spacing w:after="0" w:line="187" w:lineRule="exact"/>
        <w:rPr>
          <w:sz w:val="20"/>
          <w:szCs w:val="20"/>
          <w:color w:val="auto"/>
        </w:rPr>
      </w:pPr>
    </w:p>
    <w:p>
      <w:pPr>
        <w:ind w:right="340" w:firstLine="309"/>
        <w:spacing w:after="0" w:line="278"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as otherwise specifically provided for in this Agreement, each Party retains all rights and licenses to exploit its own intellectual property.</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100" w:type="dxa"/>
            <w:vAlign w:val="bottom"/>
            <w:gridSpan w:val="2"/>
          </w:tcPr>
          <w:p>
            <w:pPr>
              <w:jc w:val="center"/>
              <w:ind w:right="3680"/>
              <w:spacing w:after="0"/>
              <w:rPr>
                <w:sz w:val="20"/>
                <w:szCs w:val="20"/>
                <w:color w:val="auto"/>
              </w:rPr>
            </w:pPr>
            <w:r>
              <w:rPr>
                <w:rFonts w:ascii="Arial" w:cs="Arial" w:eastAsia="Arial" w:hAnsi="Arial"/>
                <w:sz w:val="17"/>
                <w:szCs w:val="17"/>
                <w:color w:val="auto"/>
              </w:rPr>
              <w:t>Article III</w:t>
            </w:r>
          </w:p>
        </w:tc>
      </w:tr>
      <w:tr>
        <w:trPr>
          <w:trHeight w:val="180"/>
        </w:trPr>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4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color w:val="auto"/>
                <w:w w:val="93"/>
              </w:rPr>
              <w:t>Development; Manufacturing; Commercialization</w:t>
            </w:r>
          </w:p>
        </w:tc>
        <w:tc>
          <w:tcPr>
            <w:tcW w:w="3660" w:type="dxa"/>
            <w:vAlign w:val="bottom"/>
          </w:tcPr>
          <w:p>
            <w:pPr>
              <w:spacing w:after="0"/>
              <w:rPr>
                <w:sz w:val="15"/>
                <w:szCs w:val="15"/>
                <w:color w:val="auto"/>
              </w:rPr>
            </w:pPr>
          </w:p>
        </w:tc>
      </w:tr>
      <w:tr>
        <w:trPr>
          <w:trHeight w:val="417"/>
        </w:trPr>
        <w:tc>
          <w:tcPr>
            <w:tcW w:w="1400" w:type="dxa"/>
            <w:vAlign w:val="bottom"/>
          </w:tcPr>
          <w:p>
            <w:pPr>
              <w:spacing w:after="0"/>
              <w:rPr>
                <w:sz w:val="20"/>
                <w:szCs w:val="20"/>
                <w:color w:val="auto"/>
              </w:rPr>
            </w:pPr>
            <w:r>
              <w:rPr>
                <w:rFonts w:ascii="Arial" w:cs="Arial" w:eastAsia="Arial" w:hAnsi="Arial"/>
                <w:sz w:val="17"/>
                <w:szCs w:val="17"/>
                <w:color w:val="auto"/>
              </w:rPr>
              <w:t>Section 3.1</w:t>
            </w:r>
          </w:p>
        </w:tc>
        <w:tc>
          <w:tcPr>
            <w:tcW w:w="9380" w:type="dxa"/>
            <w:vAlign w:val="bottom"/>
            <w:gridSpan w:val="4"/>
          </w:tcPr>
          <w:p>
            <w:pPr>
              <w:spacing w:after="0"/>
              <w:rPr>
                <w:sz w:val="20"/>
                <w:szCs w:val="20"/>
                <w:color w:val="auto"/>
              </w:rPr>
            </w:pPr>
            <w:r>
              <w:rPr>
                <w:rFonts w:ascii="Arial" w:cs="Arial" w:eastAsia="Arial" w:hAnsi="Arial"/>
                <w:sz w:val="17"/>
                <w:szCs w:val="17"/>
                <w:color w:val="auto"/>
                <w:w w:val="92"/>
              </w:rPr>
              <w:t>General. Ikaria shall be solely responsible for conducting and funding all Development activities pursuant to the Development Plan, and</w:t>
            </w:r>
          </w:p>
        </w:tc>
      </w:tr>
      <w:tr>
        <w:trPr>
          <w:trHeight w:val="20"/>
        </w:trPr>
        <w:tc>
          <w:tcPr>
            <w:tcW w:w="1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shall have the sole right to Develop, Manufacture, and Commercialize Products in the Field in the Territory. Subject to its obligations under Section 3.8, Ikaria shall prepare a non-binding plan (the “</w:t>
      </w:r>
      <w:r>
        <w:rPr>
          <w:rFonts w:ascii="Arial" w:cs="Arial" w:eastAsia="Arial" w:hAnsi="Arial"/>
          <w:sz w:val="16"/>
          <w:szCs w:val="16"/>
          <w:u w:val="single" w:color="auto"/>
          <w:color w:val="auto"/>
        </w:rPr>
        <w:t>Development Plan</w:t>
      </w:r>
      <w:r>
        <w:rPr>
          <w:rFonts w:ascii="Arial" w:cs="Arial" w:eastAsia="Arial" w:hAnsi="Arial"/>
          <w:sz w:val="16"/>
          <w:szCs w:val="16"/>
          <w:color w:val="auto"/>
        </w:rPr>
        <w:t>”) for the Development of Product(s) (the “</w:t>
      </w:r>
      <w:r>
        <w:rPr>
          <w:rFonts w:ascii="Arial" w:cs="Arial" w:eastAsia="Arial" w:hAnsi="Arial"/>
          <w:sz w:val="16"/>
          <w:szCs w:val="16"/>
          <w:u w:val="single" w:color="auto"/>
          <w:color w:val="auto"/>
        </w:rPr>
        <w:t>Development Program</w:t>
      </w:r>
      <w:r>
        <w:rPr>
          <w:rFonts w:ascii="Arial" w:cs="Arial" w:eastAsia="Arial" w:hAnsi="Arial"/>
          <w:sz w:val="16"/>
          <w:szCs w:val="16"/>
          <w:color w:val="auto"/>
        </w:rPr>
        <w:t>”). The Development Plan shall include an estimated budget setting forth Ikaria’s anticipated development costs. Ikaria shall provide BioLineRx with a copy of its then-current Development Plan at least [***] per year, but no later than [***]days following the beginning of each year. The initial Development Plan is attached hereto as Schedule 3.1, which shall be non-binding, including any timelines or milestones that may be included therein. In addition, Ikaria shall, within [***] days after the Effective Date, provide BioLineRx with a revised draft protocol for the Interim Analysis of the Pivotal Clinical Trial/Phase IIb Proof of Concept and the Pivotal Clinical Trial, after taking into account any comments BioLineRx may wish to provide based on the initial draft of the protocol attached hereto as Schedule 1.35, that would include modifications designed to maximize the likelihood of obtaining reasonable reimbursement for one or more Products in any one or more of the following countries: [***]. Upon the Successful Completion of the Interim Analysis of the Pivotal Clinical Trial/Phase IIb Proof of Concept, or, failing that, upon the Successful Completion of the Pivotal Clinical Trial, Ikaria shall, within [***] days thereafter, submit a formal written request for a reimbursement price for one or more Product(s) to the applicable governmental agency in one or more of the following countries: [***].</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460" w:name="page461"/>
    <w:bookmarkEnd w:id="460"/>
    <w:p>
      <w:pPr>
        <w:ind w:left="317"/>
        <w:spacing w:after="0"/>
        <w:tabs>
          <w:tab w:leader="none" w:pos="1357"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u w:val="single" w:color="auto"/>
          <w:color w:val="auto"/>
        </w:rPr>
        <w:t>Joint Development Committee</w:t>
      </w:r>
      <w:r>
        <w:rPr>
          <w:rFonts w:ascii="Arial" w:cs="Arial" w:eastAsia="Arial" w:hAnsi="Arial"/>
          <w:sz w:val="15"/>
          <w:szCs w:val="15"/>
          <w:color w:val="auto"/>
        </w:rPr>
        <w:t>.</w:t>
      </w:r>
    </w:p>
    <w:p>
      <w:pPr>
        <w:spacing w:after="0" w:line="242" w:lineRule="exact"/>
        <w:rPr>
          <w:sz w:val="20"/>
          <w:szCs w:val="20"/>
          <w:color w:val="auto"/>
        </w:rPr>
      </w:pPr>
    </w:p>
    <w:p>
      <w:pPr>
        <w:ind w:left="-3" w:right="120" w:firstLine="620"/>
        <w:spacing w:after="0" w:line="261" w:lineRule="auto"/>
        <w:tabs>
          <w:tab w:leader="none" w:pos="1059" w:val="left"/>
        </w:tabs>
        <w:numPr>
          <w:ilvl w:val="1"/>
          <w:numId w:val="365"/>
        </w:numPr>
        <w:rPr>
          <w:rFonts w:ascii="Arial" w:cs="Arial" w:eastAsia="Arial" w:hAnsi="Arial"/>
          <w:sz w:val="17"/>
          <w:szCs w:val="17"/>
          <w:color w:val="auto"/>
        </w:rPr>
      </w:pPr>
      <w:r>
        <w:rPr>
          <w:rFonts w:ascii="Arial" w:cs="Arial" w:eastAsia="Arial" w:hAnsi="Arial"/>
          <w:sz w:val="17"/>
          <w:szCs w:val="17"/>
          <w:color w:val="auto"/>
        </w:rPr>
        <w:t>The Parties shall establish a Joint Development Committee (the “</w:t>
      </w:r>
      <w:r>
        <w:rPr>
          <w:rFonts w:ascii="Arial" w:cs="Arial" w:eastAsia="Arial" w:hAnsi="Arial"/>
          <w:sz w:val="17"/>
          <w:szCs w:val="17"/>
          <w:u w:val="single" w:color="auto"/>
          <w:color w:val="auto"/>
        </w:rPr>
        <w:t>Joint Development Committee</w:t>
      </w:r>
      <w:r>
        <w:rPr>
          <w:rFonts w:ascii="Arial" w:cs="Arial" w:eastAsia="Arial" w:hAnsi="Arial"/>
          <w:sz w:val="17"/>
          <w:szCs w:val="17"/>
          <w:color w:val="auto"/>
        </w:rPr>
        <w:t>” or “</w:t>
      </w:r>
      <w:r>
        <w:rPr>
          <w:rFonts w:ascii="Arial" w:cs="Arial" w:eastAsia="Arial" w:hAnsi="Arial"/>
          <w:sz w:val="17"/>
          <w:szCs w:val="17"/>
          <w:u w:val="single" w:color="auto"/>
          <w:color w:val="auto"/>
        </w:rPr>
        <w:t>JDC</w:t>
      </w:r>
      <w:r>
        <w:rPr>
          <w:rFonts w:ascii="Arial" w:cs="Arial" w:eastAsia="Arial" w:hAnsi="Arial"/>
          <w:sz w:val="17"/>
          <w:szCs w:val="17"/>
          <w:color w:val="auto"/>
        </w:rPr>
        <w:t>”), comprised of [***] representatives of Ikaria and [***] representatives of BioLineRx, to oversee the Development of Products. Each Party shall make its initial designation of its representatives not later than [***] days after the Effective Date. Each Party may change any one or more of its representatives to the Joint Development Committee at any time upon notice to the other Party.</w:t>
      </w:r>
    </w:p>
    <w:p>
      <w:pPr>
        <w:spacing w:after="0" w:line="204" w:lineRule="exact"/>
        <w:rPr>
          <w:rFonts w:ascii="Arial" w:cs="Arial" w:eastAsia="Arial" w:hAnsi="Arial"/>
          <w:sz w:val="17"/>
          <w:szCs w:val="17"/>
          <w:color w:val="auto"/>
        </w:rPr>
      </w:pPr>
    </w:p>
    <w:p>
      <w:pPr>
        <w:ind w:left="-3" w:firstLine="620"/>
        <w:spacing w:after="0" w:line="257" w:lineRule="auto"/>
        <w:tabs>
          <w:tab w:leader="none" w:pos="1068" w:val="left"/>
        </w:tabs>
        <w:numPr>
          <w:ilvl w:val="1"/>
          <w:numId w:val="365"/>
        </w:numPr>
        <w:rPr>
          <w:rFonts w:ascii="Arial" w:cs="Arial" w:eastAsia="Arial" w:hAnsi="Arial"/>
          <w:sz w:val="17"/>
          <w:szCs w:val="17"/>
          <w:color w:val="auto"/>
        </w:rPr>
      </w:pPr>
      <w:r>
        <w:rPr>
          <w:rFonts w:ascii="Arial" w:cs="Arial" w:eastAsia="Arial" w:hAnsi="Arial"/>
          <w:sz w:val="17"/>
          <w:szCs w:val="17"/>
          <w:color w:val="auto"/>
        </w:rPr>
        <w:t>The JDC shall meet at least [***] during the Development Term or more or less frequently as the JDC may agree. The JDC may meet in person or by means of a telephone or video conference call. One meeting of the JDC per year shall be held in person at Ikaria’s headquarters in Clinton, NJ and one meeting of the JDC per year shall be held in person at BioLineRx’s headquarters in Israel, provided, that the Parties’ representatives may participate in person, via telephone, or video conference in their discretion. Each Party shall use reasonable efforts to cause its representatives to attend the meetings of the JDC. If a representative of a Party is unable to attend a meeting, such Party may designate an alternate to attend such meeting in place of the absent representative. Each Party shall bear its own costs with respect to its participation on the JDC. Prior to every meeting of the JDC, Ikaria will provide to the JDC detailed reports describing Ikaria’s current clinical and development activities and plans.</w:t>
      </w:r>
    </w:p>
    <w:p>
      <w:pPr>
        <w:spacing w:after="0" w:line="206" w:lineRule="exact"/>
        <w:rPr>
          <w:rFonts w:ascii="Arial" w:cs="Arial" w:eastAsia="Arial" w:hAnsi="Arial"/>
          <w:sz w:val="17"/>
          <w:szCs w:val="17"/>
          <w:color w:val="auto"/>
        </w:rPr>
      </w:pPr>
    </w:p>
    <w:p>
      <w:pPr>
        <w:ind w:left="-3" w:firstLine="620"/>
        <w:spacing w:after="0" w:line="279" w:lineRule="auto"/>
        <w:tabs>
          <w:tab w:leader="none" w:pos="1059"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 JDC shall be the vehicle by which BioLineRx may offer insight and guidance to Ikaria with respect to (i) establishing the Development Plan setting forth the Development Program’s objectives and the activities to be conducted, (ii) reviewing and updating the Development Plan from time to time, (iii) monitoring the progress and results of the Development Program, (iv) determining future Development Program activities, including Development activities relating to Manufacturing, to be conducted during the Development Term, and (v) establishing success criteria for the clinical trials (other than those for which success criteria are set forth in this Agreement), and determining whether the results of such clinical trials have achieved the applicable success criteria.</w:t>
      </w:r>
    </w:p>
    <w:p>
      <w:pPr>
        <w:spacing w:after="0" w:line="191" w:lineRule="exact"/>
        <w:rPr>
          <w:rFonts w:ascii="Arial" w:cs="Arial" w:eastAsia="Arial" w:hAnsi="Arial"/>
          <w:sz w:val="16"/>
          <w:szCs w:val="16"/>
          <w:color w:val="auto"/>
        </w:rPr>
      </w:pPr>
    </w:p>
    <w:p>
      <w:pPr>
        <w:jc w:val="both"/>
        <w:ind w:left="-3" w:right="20" w:firstLine="620"/>
        <w:spacing w:after="0" w:line="261" w:lineRule="auto"/>
        <w:tabs>
          <w:tab w:leader="none" w:pos="1068" w:val="left"/>
        </w:tabs>
        <w:numPr>
          <w:ilvl w:val="1"/>
          <w:numId w:val="365"/>
        </w:numPr>
        <w:rPr>
          <w:rFonts w:ascii="Arial" w:cs="Arial" w:eastAsia="Arial" w:hAnsi="Arial"/>
          <w:sz w:val="17"/>
          <w:szCs w:val="17"/>
          <w:color w:val="auto"/>
        </w:rPr>
      </w:pPr>
      <w:r>
        <w:rPr>
          <w:rFonts w:ascii="Arial" w:cs="Arial" w:eastAsia="Arial" w:hAnsi="Arial"/>
          <w:sz w:val="17"/>
          <w:szCs w:val="17"/>
          <w:color w:val="auto"/>
        </w:rPr>
        <w:t>The JDC shall only act unanimously, with each Party given one (1) vote regardless of the number of representatives. If, however, the JDC is unable to reach agreement with respect to any matter within [***] days, the matter shall be referred to the Parties’ respective Executive Officers for resolution. If the Executive Officers are not able to resolve any such matter by consensus within [***] days following referral, Ikaria’s Executive Officer shall have the right to decide the matter taking into account Ikaria’s obligation to use Commercially Reasonable Efforts under Section 3.8.</w:t>
      </w:r>
    </w:p>
    <w:p>
      <w:pPr>
        <w:spacing w:after="0" w:line="198" w:lineRule="exact"/>
        <w:rPr>
          <w:rFonts w:ascii="Arial" w:cs="Arial" w:eastAsia="Arial" w:hAnsi="Arial"/>
          <w:sz w:val="17"/>
          <w:szCs w:val="17"/>
          <w:color w:val="auto"/>
        </w:rPr>
      </w:pPr>
    </w:p>
    <w:p>
      <w:pPr>
        <w:ind w:left="417" w:hanging="417"/>
        <w:spacing w:after="0"/>
        <w:tabs>
          <w:tab w:leader="none" w:pos="417"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461" w:name="page462"/>
    <w:bookmarkEnd w:id="461"/>
    <w:p>
      <w:pPr>
        <w:ind w:left="620"/>
        <w:spacing w:after="0"/>
        <w:rPr>
          <w:sz w:val="20"/>
          <w:szCs w:val="20"/>
          <w:color w:val="auto"/>
        </w:rPr>
      </w:pPr>
      <w:r>
        <w:rPr>
          <w:rFonts w:ascii="Arial" w:cs="Arial" w:eastAsia="Arial" w:hAnsi="Arial"/>
          <w:sz w:val="15"/>
          <w:szCs w:val="15"/>
          <w:color w:val="auto"/>
        </w:rPr>
        <w:t>Notwithstanding anything in this Section 3.2, neither Party shall have a unilateral right to resolve any dispute involving the breach or alleged breach of this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Agreement, to amend or modify this Agreement or the Parties’ respective rights and obligations hereunder or, except as expressly provided in this Section 3.2, any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Development Plan or the Parties’ respective rights and obligations thereunder.</w:t>
      </w:r>
    </w:p>
    <w:p>
      <w:pPr>
        <w:spacing w:after="0" w:line="231" w:lineRule="exact"/>
        <w:rPr>
          <w:sz w:val="20"/>
          <w:szCs w:val="20"/>
          <w:color w:val="auto"/>
        </w:rPr>
      </w:pPr>
    </w:p>
    <w:p>
      <w:pPr>
        <w:ind w:firstLine="309"/>
        <w:spacing w:after="0" w:line="261"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On-Going Trials</w:t>
      </w:r>
      <w:r>
        <w:rPr>
          <w:rFonts w:ascii="Arial" w:cs="Arial" w:eastAsia="Arial" w:hAnsi="Arial"/>
          <w:sz w:val="17"/>
          <w:szCs w:val="17"/>
          <w:color w:val="auto"/>
        </w:rPr>
        <w:t>. BioLineRx shall retain control of, bear all costs relating to the On-Going Phase I/II Trial and the Other On-Going Trials, and shall exercise Commercially Reasonable Efforts to continue and complete the On-Going Phase I/II Trial and the Other On-Going Trials, which shall be managed by BioLineRx. BioLineRx may modify the On-Going Phase I/II Trial and the Other On-Going Trials, including any changes to the protocols therefor, only with the prior written consent of Ikaria, which consent shall not be unreasonably withheld, conditioned or delayed.</w:t>
      </w:r>
    </w:p>
    <w:p>
      <w:pPr>
        <w:spacing w:after="0" w:line="204" w:lineRule="exact"/>
        <w:rPr>
          <w:sz w:val="20"/>
          <w:szCs w:val="20"/>
          <w:color w:val="auto"/>
        </w:rPr>
      </w:pPr>
    </w:p>
    <w:p>
      <w:pPr>
        <w:ind w:right="120" w:firstLine="309"/>
        <w:spacing w:after="0" w:line="25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Regulatory Matters</w:t>
      </w:r>
      <w:r>
        <w:rPr>
          <w:rFonts w:ascii="Arial" w:cs="Arial" w:eastAsia="Arial" w:hAnsi="Arial"/>
          <w:sz w:val="17"/>
          <w:szCs w:val="17"/>
          <w:color w:val="auto"/>
        </w:rPr>
        <w:t xml:space="preserve">. Ikaria shall prepare and submit all filings with Regulatory Authorities relating to Products, which filings shall be in Ikaria’s name,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Ikaria shall provide BioLineRx [***] days prior notice to enable BioLineRx to review and provide any comments on such submissions. With respect to regulatory matters concerning Products, BioLineRx shall cooperate with Ikaria in the preparation and support of each application for Regulatory Approval and shall provide Ikaria with such reasonable assistance as Ikaria may request. For example, upon Ikaria’s request, BioLineRx shall describe the materials in sufficient and reasonable detail as requested by Ikaria, the Manufacturing techniques and other appropriate characteristics of Products (and the components thereof), and provide Ikaria with such other information related to the Products, including materials, chemistry, Manufacturing, technical dossier and controls data, batch records, analytical and quality control, device master files (if applicable), data from the On-Going Phase I/II Trial or Other On-Going Trials, or other information as Ikaria may reasonably request.</w:t>
      </w:r>
    </w:p>
    <w:p>
      <w:pPr>
        <w:spacing w:after="0" w:line="21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3.5</w:t>
      </w:r>
      <w:r>
        <w:rPr>
          <w:sz w:val="20"/>
          <w:szCs w:val="20"/>
          <w:color w:val="auto"/>
        </w:rPr>
        <w:tab/>
      </w:r>
      <w:r>
        <w:rPr>
          <w:rFonts w:ascii="Arial" w:cs="Arial" w:eastAsia="Arial" w:hAnsi="Arial"/>
          <w:sz w:val="15"/>
          <w:szCs w:val="15"/>
          <w:u w:val="single" w:color="auto"/>
          <w:color w:val="auto"/>
        </w:rPr>
        <w:t>Technology Exchange</w:t>
      </w:r>
      <w:r>
        <w:rPr>
          <w:rFonts w:ascii="Arial" w:cs="Arial" w:eastAsia="Arial" w:hAnsi="Arial"/>
          <w:sz w:val="15"/>
          <w:szCs w:val="15"/>
          <w:color w:val="auto"/>
        </w:rPr>
        <w:t>.</w:t>
      </w:r>
    </w:p>
    <w:p>
      <w:pPr>
        <w:spacing w:after="0" w:line="242" w:lineRule="exact"/>
        <w:rPr>
          <w:sz w:val="20"/>
          <w:szCs w:val="20"/>
          <w:color w:val="auto"/>
        </w:rPr>
      </w:pPr>
    </w:p>
    <w:p>
      <w:pPr>
        <w:ind w:right="80" w:firstLine="620"/>
        <w:spacing w:after="0" w:line="291" w:lineRule="auto"/>
        <w:tabs>
          <w:tab w:leader="none" w:pos="1055" w:val="left"/>
        </w:tabs>
        <w:numPr>
          <w:ilvl w:val="1"/>
          <w:numId w:val="366"/>
        </w:numPr>
        <w:rPr>
          <w:rFonts w:ascii="Arial" w:cs="Arial" w:eastAsia="Arial" w:hAnsi="Arial"/>
          <w:sz w:val="15"/>
          <w:szCs w:val="15"/>
          <w:color w:val="auto"/>
        </w:rPr>
      </w:pPr>
      <w:r>
        <w:rPr>
          <w:rFonts w:ascii="Arial" w:cs="Arial" w:eastAsia="Arial" w:hAnsi="Arial"/>
          <w:sz w:val="15"/>
          <w:szCs w:val="15"/>
          <w:color w:val="auto"/>
        </w:rPr>
        <w:t xml:space="preserve">As soon as reasonably practicable after Ikaria’s written request, BioLineRx shall complete the activities assigned to BioLineRx as set forth on the technology exchange plan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Technology Exchange Plan</w:t>
      </w:r>
      <w:r>
        <w:rPr>
          <w:rFonts w:ascii="Arial" w:cs="Arial" w:eastAsia="Arial" w:hAnsi="Arial"/>
          <w:sz w:val="15"/>
          <w:szCs w:val="15"/>
          <w:color w:val="auto"/>
        </w:rPr>
        <w:t>”), to effect the transfer to Ikaria (or Ikaria’s designee(s)) of all embodiments of and information relating to BioLineRx Intellectual Property reasonably necessary for the exercise of Ikaria’s rights under the license granted pursuant to Section</w:t>
      </w:r>
    </w:p>
    <w:p>
      <w:pPr>
        <w:ind w:right="80"/>
        <w:spacing w:after="0" w:line="256" w:lineRule="auto"/>
        <w:rPr>
          <w:rFonts w:ascii="Arial" w:cs="Arial" w:eastAsia="Arial" w:hAnsi="Arial"/>
          <w:sz w:val="15"/>
          <w:szCs w:val="15"/>
          <w:color w:val="auto"/>
        </w:rPr>
      </w:pPr>
      <w:r>
        <w:rPr>
          <w:rFonts w:ascii="Arial" w:cs="Arial" w:eastAsia="Arial" w:hAnsi="Arial"/>
          <w:sz w:val="17"/>
          <w:szCs w:val="17"/>
          <w:color w:val="auto"/>
        </w:rPr>
        <w:t>2.1, including the Manufacturing of Products (“</w:t>
      </w:r>
      <w:r>
        <w:rPr>
          <w:rFonts w:ascii="Arial" w:cs="Arial" w:eastAsia="Arial" w:hAnsi="Arial"/>
          <w:sz w:val="17"/>
          <w:szCs w:val="17"/>
          <w:u w:val="single" w:color="auto"/>
          <w:color w:val="auto"/>
        </w:rPr>
        <w:t>Technology Exchange</w:t>
      </w:r>
      <w:r>
        <w:rPr>
          <w:rFonts w:ascii="Arial" w:cs="Arial" w:eastAsia="Arial" w:hAnsi="Arial"/>
          <w:sz w:val="17"/>
          <w:szCs w:val="17"/>
          <w:color w:val="auto"/>
        </w:rPr>
        <w:t>”). BioLineRx shall make available to Ikaria (or Ikaria’s designee(s)) such number of technical personnel as may be set forth in the Technology Exchange Plan to answer any questions or provide instruction as reasonably requested by Ikaria (or Ikaria’s designee(s)) concerning the items delivered pursuant to this Section 3.5, in connection with the Development, Manufacture and Commercialization of Products hereunder. Each Party shall bear its own costs with respect to the Technology Exchange.</w:t>
      </w:r>
    </w:p>
    <w:p>
      <w:pPr>
        <w:spacing w:after="0" w:line="203" w:lineRule="exact"/>
        <w:rPr>
          <w:rFonts w:ascii="Arial" w:cs="Arial" w:eastAsia="Arial" w:hAnsi="Arial"/>
          <w:sz w:val="15"/>
          <w:szCs w:val="15"/>
          <w:color w:val="auto"/>
        </w:rPr>
      </w:pPr>
    </w:p>
    <w:p>
      <w:pPr>
        <w:ind w:left="420" w:hanging="417"/>
        <w:spacing w:after="0"/>
        <w:tabs>
          <w:tab w:leader="none" w:pos="420" w:val="left"/>
        </w:tabs>
        <w:numPr>
          <w:ilvl w:val="0"/>
          <w:numId w:val="366"/>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62" w:name="page463"/>
    <w:bookmarkEnd w:id="462"/>
    <w:p>
      <w:pPr>
        <w:ind w:left="-3" w:firstLine="620"/>
        <w:spacing w:after="0" w:line="311" w:lineRule="auto"/>
        <w:tabs>
          <w:tab w:leader="none" w:pos="106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Joint Development Committee shall be responsible for coordinating the technology exchange activities under the Technology Transfer Plan. Each Party shall cooperate with the other Party in such other Party’s conduct of technology exchange activities under the Technology Exchange Plan.</w:t>
      </w:r>
    </w:p>
    <w:p>
      <w:pPr>
        <w:spacing w:after="0" w:line="166" w:lineRule="exact"/>
        <w:rPr>
          <w:rFonts w:ascii="Arial" w:cs="Arial" w:eastAsia="Arial" w:hAnsi="Arial"/>
          <w:sz w:val="16"/>
          <w:szCs w:val="16"/>
          <w:color w:val="auto"/>
        </w:rPr>
      </w:pPr>
    </w:p>
    <w:p>
      <w:pPr>
        <w:ind w:left="-3" w:right="140" w:firstLine="620"/>
        <w:spacing w:after="0" w:line="317" w:lineRule="auto"/>
        <w:tabs>
          <w:tab w:leader="none" w:pos="1062" w:val="left"/>
        </w:tabs>
        <w:numPr>
          <w:ilvl w:val="0"/>
          <w:numId w:val="367"/>
        </w:numPr>
        <w:rPr>
          <w:rFonts w:ascii="Arial" w:cs="Arial" w:eastAsia="Arial" w:hAnsi="Arial"/>
          <w:sz w:val="15"/>
          <w:szCs w:val="15"/>
          <w:color w:val="auto"/>
        </w:rPr>
      </w:pPr>
      <w:r>
        <w:rPr>
          <w:rFonts w:ascii="Arial" w:cs="Arial" w:eastAsia="Arial" w:hAnsi="Arial"/>
          <w:sz w:val="15"/>
          <w:szCs w:val="15"/>
          <w:color w:val="auto"/>
        </w:rPr>
        <w:t>If Ikaria desires that BioLineRx provide technology exchange services beyond the scope of the Technology Exchange Plan, BioLineRx shall provide such services on terms to be agreed upon in good faith by the Parties. Notwithstanding the foregoing, BioLineRx shall provide Ikaria with reasonable access to BioLineRx’s employees and consultants involved prior to the Effective Date and during the term of this Agreement with the Development of any Product.</w:t>
      </w:r>
    </w:p>
    <w:p>
      <w:pPr>
        <w:spacing w:after="0" w:line="165" w:lineRule="exact"/>
        <w:rPr>
          <w:sz w:val="20"/>
          <w:szCs w:val="20"/>
          <w:color w:val="auto"/>
        </w:rPr>
      </w:pPr>
    </w:p>
    <w:p>
      <w:pPr>
        <w:ind w:left="317"/>
        <w:spacing w:after="0"/>
        <w:tabs>
          <w:tab w:leader="none" w:pos="1357" w:val="left"/>
        </w:tabs>
        <w:rPr>
          <w:sz w:val="20"/>
          <w:szCs w:val="20"/>
          <w:color w:val="auto"/>
        </w:rPr>
      </w:pPr>
      <w:r>
        <w:rPr>
          <w:rFonts w:ascii="Arial" w:cs="Arial" w:eastAsia="Arial" w:hAnsi="Arial"/>
          <w:sz w:val="17"/>
          <w:szCs w:val="17"/>
          <w:color w:val="auto"/>
        </w:rPr>
        <w:t>Section 3.6</w:t>
      </w:r>
      <w:r>
        <w:rPr>
          <w:sz w:val="20"/>
          <w:szCs w:val="20"/>
          <w:color w:val="auto"/>
        </w:rPr>
        <w:tab/>
      </w:r>
      <w:r>
        <w:rPr>
          <w:rFonts w:ascii="Arial" w:cs="Arial" w:eastAsia="Arial" w:hAnsi="Arial"/>
          <w:sz w:val="16"/>
          <w:szCs w:val="16"/>
          <w:u w:val="single" w:color="auto"/>
          <w:color w:val="auto"/>
        </w:rPr>
        <w:t>Manufacturing</w:t>
      </w:r>
      <w:r>
        <w:rPr>
          <w:rFonts w:ascii="Arial" w:cs="Arial" w:eastAsia="Arial" w:hAnsi="Arial"/>
          <w:sz w:val="16"/>
          <w:szCs w:val="16"/>
          <w:color w:val="auto"/>
        </w:rPr>
        <w:t>.</w:t>
      </w:r>
    </w:p>
    <w:p>
      <w:pPr>
        <w:spacing w:after="0" w:line="242" w:lineRule="exact"/>
        <w:rPr>
          <w:sz w:val="20"/>
          <w:szCs w:val="20"/>
          <w:color w:val="auto"/>
        </w:rPr>
      </w:pPr>
    </w:p>
    <w:p>
      <w:pPr>
        <w:ind w:left="-3" w:right="40" w:firstLine="620"/>
        <w:spacing w:after="0" w:line="278" w:lineRule="auto"/>
        <w:tabs>
          <w:tab w:leader="none" w:pos="1062" w:val="left"/>
        </w:tabs>
        <w:numPr>
          <w:ilvl w:val="1"/>
          <w:numId w:val="368"/>
        </w:numPr>
        <w:rPr>
          <w:rFonts w:ascii="Arial" w:cs="Arial" w:eastAsia="Arial" w:hAnsi="Arial"/>
          <w:sz w:val="17"/>
          <w:szCs w:val="17"/>
          <w:color w:val="auto"/>
        </w:rPr>
      </w:pPr>
      <w:r>
        <w:rPr>
          <w:rFonts w:ascii="Arial" w:cs="Arial" w:eastAsia="Arial" w:hAnsi="Arial"/>
          <w:sz w:val="17"/>
          <w:szCs w:val="17"/>
          <w:color w:val="auto"/>
        </w:rPr>
        <w:t>Ikaria shall be solely responsible for the Manufacture of Products for Development or for Commercialization in the Field in the Territory, which Ikaria may conduct itself or through Affiliates or Licensees.</w:t>
      </w:r>
    </w:p>
    <w:p>
      <w:pPr>
        <w:spacing w:after="0" w:line="190" w:lineRule="exact"/>
        <w:rPr>
          <w:rFonts w:ascii="Arial" w:cs="Arial" w:eastAsia="Arial" w:hAnsi="Arial"/>
          <w:sz w:val="17"/>
          <w:szCs w:val="17"/>
          <w:color w:val="auto"/>
        </w:rPr>
      </w:pPr>
    </w:p>
    <w:p>
      <w:pPr>
        <w:ind w:left="-3" w:right="40" w:firstLine="620"/>
        <w:spacing w:after="0" w:line="272" w:lineRule="auto"/>
        <w:tabs>
          <w:tab w:leader="none" w:pos="1071" w:val="left"/>
        </w:tabs>
        <w:numPr>
          <w:ilvl w:val="1"/>
          <w:numId w:val="368"/>
        </w:numPr>
        <w:rPr>
          <w:rFonts w:ascii="Arial" w:cs="Arial" w:eastAsia="Arial" w:hAnsi="Arial"/>
          <w:sz w:val="16"/>
          <w:szCs w:val="16"/>
          <w:color w:val="auto"/>
        </w:rPr>
      </w:pPr>
      <w:r>
        <w:rPr>
          <w:rFonts w:ascii="Arial" w:cs="Arial" w:eastAsia="Arial" w:hAnsi="Arial"/>
          <w:sz w:val="16"/>
          <w:szCs w:val="16"/>
          <w:color w:val="auto"/>
        </w:rPr>
        <w:t xml:space="preserve">BioLineRx Ltd. shall have the option (either directly or through an Affiliate), exercisable in its sole discretion no later than [***] months prior to the date on which Ikaria intends to file for Regulatory Approval in the U.S., to Manufacture Product pursuant to the terms of a supply agreement to be negotiated in good faith by the Parties,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BioLineRx may exercise the foregoing option only to the extent that it has the demonstrated ability to manufacture the Product, including compliance with cGMP and all applicable laws and regulations, including those of the FDA and EMEA, (ii) BioLineRx shall bear all expenses required to establish and qualify the BioLineRx manufacturing site, including the costs of scale-up batches, process validation batches and stability batches, (iii) BioLineRx shall not be entitled to assign such option or to utilize subcontract manufacturing, and (iv) neither Party shall have any obligation to enter into such agreement unless all of the terms and conditions thereof are acceptable to both Parties. If BioLineRx Ltd. exercises such option and the Parties enter into a supply agreement, (x) Ikaria shall be required to purchase no less than twenty percent (20%) of its requirements for the Product from BioLineRx, and (y) the per unit price for the Product shall be the [***],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price shall not exceed [***]%) of the Net Sales price per unit of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BioLineRx at any time shall fail to supply Product on time or such supply is otherwise disrupted, the minimum purchase requirement set forth in the preceding clause (x) shall no longer apply. Any clinical supply provided to Ikaria by BioLineRx would be provided at cost.</w:t>
      </w:r>
    </w:p>
    <w:p>
      <w:pPr>
        <w:spacing w:after="0" w:line="195" w:lineRule="exact"/>
        <w:rPr>
          <w:rFonts w:ascii="Arial" w:cs="Arial" w:eastAsia="Arial" w:hAnsi="Arial"/>
          <w:sz w:val="16"/>
          <w:szCs w:val="16"/>
          <w:color w:val="auto"/>
        </w:rPr>
      </w:pPr>
    </w:p>
    <w:p>
      <w:pPr>
        <w:ind w:left="417" w:hanging="417"/>
        <w:spacing w:after="0"/>
        <w:tabs>
          <w:tab w:leader="none" w:pos="417"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463" w:name="page464"/>
    <w:bookmarkEnd w:id="463"/>
    <w:p>
      <w:pPr>
        <w:ind w:firstLine="620"/>
        <w:spacing w:after="0" w:line="298" w:lineRule="auto"/>
        <w:tabs>
          <w:tab w:leader="none" w:pos="1062" w:val="left"/>
        </w:tabs>
        <w:numPr>
          <w:ilvl w:val="1"/>
          <w:numId w:val="369"/>
        </w:numPr>
        <w:rPr>
          <w:rFonts w:ascii="Arial" w:cs="Arial" w:eastAsia="Arial" w:hAnsi="Arial"/>
          <w:sz w:val="15"/>
          <w:szCs w:val="15"/>
          <w:color w:val="auto"/>
        </w:rPr>
      </w:pPr>
      <w:r>
        <w:rPr>
          <w:rFonts w:ascii="Arial" w:cs="Arial" w:eastAsia="Arial" w:hAnsi="Arial"/>
          <w:sz w:val="15"/>
          <w:szCs w:val="15"/>
          <w:color w:val="auto"/>
        </w:rPr>
        <w:t>The Parties will discuss the most efficient structure for the Manufacture and supply of Product for Development and Commercialization purposes. If the Parties determine that coordination in Manufacturing is appropriate, the Parties will establish a Joint Manufacturing Committee (the “</w:t>
      </w:r>
      <w:r>
        <w:rPr>
          <w:rFonts w:ascii="Arial" w:cs="Arial" w:eastAsia="Arial" w:hAnsi="Arial"/>
          <w:sz w:val="15"/>
          <w:szCs w:val="15"/>
          <w:u w:val="single" w:color="auto"/>
          <w:color w:val="auto"/>
        </w:rPr>
        <w:t>Joint Manufacturing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Committee</w:t>
      </w:r>
      <w:r>
        <w:rPr>
          <w:rFonts w:ascii="Arial" w:cs="Arial" w:eastAsia="Arial" w:hAnsi="Arial"/>
          <w:sz w:val="15"/>
          <w:szCs w:val="15"/>
          <w:color w:val="auto"/>
        </w:rPr>
        <w:t>” or “</w:t>
      </w:r>
      <w:r>
        <w:rPr>
          <w:rFonts w:ascii="Arial" w:cs="Arial" w:eastAsia="Arial" w:hAnsi="Arial"/>
          <w:sz w:val="15"/>
          <w:szCs w:val="15"/>
          <w:u w:val="single" w:color="auto"/>
          <w:color w:val="auto"/>
        </w:rPr>
        <w:t>JMC</w:t>
      </w:r>
      <w:r>
        <w:rPr>
          <w:rFonts w:ascii="Arial" w:cs="Arial" w:eastAsia="Arial" w:hAnsi="Arial"/>
          <w:sz w:val="15"/>
          <w:szCs w:val="15"/>
          <w:color w:val="auto"/>
        </w:rPr>
        <w:t>”) to coordinate Manufacturing efforts. If established, the JMC would be comprised of [***] representatives of Ikaria and [***] representatives of BioLineRx, to oversee the Manufacturing of Products. Each Party would make its initial designation of its representatives not later than [***] days after the Parties agreed to establish the JMC. Each Party shall designate as its representatives individuals who have the requisite experience and knowledge to discuss the Manufacturing of Products. Each Party would be permitted to change any one or more of its representatives to the JMC at any time upon notice to the other Party.</w:t>
      </w:r>
    </w:p>
    <w:p>
      <w:pPr>
        <w:spacing w:after="0" w:line="181" w:lineRule="exact"/>
        <w:rPr>
          <w:rFonts w:ascii="Arial" w:cs="Arial" w:eastAsia="Arial" w:hAnsi="Arial"/>
          <w:sz w:val="15"/>
          <w:szCs w:val="15"/>
          <w:color w:val="auto"/>
        </w:rPr>
      </w:pPr>
    </w:p>
    <w:p>
      <w:pPr>
        <w:jc w:val="both"/>
        <w:ind w:right="200" w:firstLine="620"/>
        <w:spacing w:after="0" w:line="282" w:lineRule="auto"/>
        <w:tabs>
          <w:tab w:leader="none" w:pos="1071" w:val="left"/>
        </w:tabs>
        <w:numPr>
          <w:ilvl w:val="1"/>
          <w:numId w:val="369"/>
        </w:numPr>
        <w:rPr>
          <w:rFonts w:ascii="Arial" w:cs="Arial" w:eastAsia="Arial" w:hAnsi="Arial"/>
          <w:sz w:val="16"/>
          <w:szCs w:val="16"/>
          <w:color w:val="auto"/>
        </w:rPr>
      </w:pPr>
      <w:r>
        <w:rPr>
          <w:rFonts w:ascii="Arial" w:cs="Arial" w:eastAsia="Arial" w:hAnsi="Arial"/>
          <w:sz w:val="16"/>
          <w:szCs w:val="16"/>
          <w:color w:val="auto"/>
        </w:rPr>
        <w:t>The JMC would meet at least [***] or more or less frequently as the JMC may agree. The location of such meetings shall be as mutually agreed by the Parties. The JMC may also meet by means of a telephone or video conference call. Each Party shall use reasonable efforts to cause its representatives to attend the meetings of the JMC. If a representative of a Party is unable to attend a meeting, such Party may designate an alternate to attend such meeting in place of the absent representative. Each Party would bear its own costs with respect to its participation on the JMC.</w:t>
      </w:r>
    </w:p>
    <w:p>
      <w:pPr>
        <w:spacing w:after="0" w:line="190" w:lineRule="exact"/>
        <w:rPr>
          <w:rFonts w:ascii="Arial" w:cs="Arial" w:eastAsia="Arial" w:hAnsi="Arial"/>
          <w:sz w:val="16"/>
          <w:szCs w:val="16"/>
          <w:color w:val="auto"/>
        </w:rPr>
      </w:pPr>
    </w:p>
    <w:p>
      <w:pPr>
        <w:jc w:val="both"/>
        <w:ind w:right="300" w:firstLine="620"/>
        <w:spacing w:after="0" w:line="293" w:lineRule="auto"/>
        <w:tabs>
          <w:tab w:leader="none" w:pos="1062" w:val="left"/>
        </w:tabs>
        <w:numPr>
          <w:ilvl w:val="1"/>
          <w:numId w:val="369"/>
        </w:numPr>
        <w:rPr>
          <w:rFonts w:ascii="Arial" w:cs="Arial" w:eastAsia="Arial" w:hAnsi="Arial"/>
          <w:sz w:val="15"/>
          <w:szCs w:val="15"/>
          <w:color w:val="auto"/>
        </w:rPr>
      </w:pPr>
      <w:r>
        <w:rPr>
          <w:rFonts w:ascii="Arial" w:cs="Arial" w:eastAsia="Arial" w:hAnsi="Arial"/>
          <w:sz w:val="15"/>
          <w:szCs w:val="15"/>
          <w:color w:val="auto"/>
        </w:rPr>
        <w:t>The JMC would only act unanimously. If, however, the JMC is unable to reach agreement with respect to any matter within [***] days, the matter shall be referred to the Parties’ respective Executive Officers for resolution. If the Executive Officers are not able to resolve any such matter by consensus within</w:t>
      </w:r>
    </w:p>
    <w:p>
      <w:pPr>
        <w:spacing w:after="0" w:line="1" w:lineRule="exact"/>
        <w:rPr>
          <w:rFonts w:ascii="Arial" w:cs="Arial" w:eastAsia="Arial" w:hAnsi="Arial"/>
          <w:sz w:val="15"/>
          <w:szCs w:val="15"/>
          <w:color w:val="auto"/>
        </w:rPr>
      </w:pPr>
    </w:p>
    <w:p>
      <w:pPr>
        <w:ind w:right="700" w:firstLine="3"/>
        <w:spacing w:after="0" w:line="265" w:lineRule="auto"/>
        <w:tabs>
          <w:tab w:leader="none" w:pos="414" w:val="left"/>
        </w:tabs>
        <w:numPr>
          <w:ilvl w:val="0"/>
          <w:numId w:val="369"/>
        </w:numPr>
        <w:rPr>
          <w:rFonts w:ascii="Arial" w:cs="Arial" w:eastAsia="Arial" w:hAnsi="Arial"/>
          <w:sz w:val="17"/>
          <w:szCs w:val="17"/>
          <w:color w:val="auto"/>
        </w:rPr>
      </w:pPr>
      <w:r>
        <w:rPr>
          <w:rFonts w:ascii="Arial" w:cs="Arial" w:eastAsia="Arial" w:hAnsi="Arial"/>
          <w:sz w:val="17"/>
          <w:szCs w:val="17"/>
          <w:color w:val="auto"/>
        </w:rPr>
        <w:t>days following referral, Ikaria’s Executive Officer shall have the right to decide the matter taking into account Ikaria’s obligation to use Commercially Reasonable Efforts under Section 3.8.</w:t>
      </w:r>
    </w:p>
    <w:p>
      <w:pPr>
        <w:spacing w:after="0" w:line="201" w:lineRule="exact"/>
        <w:rPr>
          <w:sz w:val="20"/>
          <w:szCs w:val="20"/>
          <w:color w:val="auto"/>
        </w:rPr>
      </w:pPr>
    </w:p>
    <w:p>
      <w:pPr>
        <w:ind w:right="40" w:firstLine="309"/>
        <w:spacing w:after="0" w:line="295"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Commercialization</w:t>
      </w:r>
      <w:r>
        <w:rPr>
          <w:rFonts w:ascii="Arial" w:cs="Arial" w:eastAsia="Arial" w:hAnsi="Arial"/>
          <w:sz w:val="15"/>
          <w:szCs w:val="15"/>
          <w:color w:val="auto"/>
        </w:rPr>
        <w:t>. Ikaria shall be solely responsible for conducting, itself or through Affiliates or Licensees, the Commercialization of Products in the Field in the Territory, including (a) contracting with customers and booking sales, (b) setting the price and terms and conditions under which a Product may be sold to customers, and (c) handling of managed care accounts, and, subject to Section 1.29, Section 4.2(b), Section 5.2(d), Section 5.3(e) and Section 10.1(b), as between the Parties, Ikaria shall bear all costs associated therewith. Ikaria shall produce and update from time to time a comprehensive Commercialization plan (the “</w:t>
      </w:r>
      <w:r>
        <w:rPr>
          <w:rFonts w:ascii="Arial" w:cs="Arial" w:eastAsia="Arial" w:hAnsi="Arial"/>
          <w:sz w:val="15"/>
          <w:szCs w:val="15"/>
          <w:u w:val="single" w:color="auto"/>
          <w:color w:val="auto"/>
        </w:rPr>
        <w:t>Commercialization Plan</w:t>
      </w:r>
      <w:r>
        <w:rPr>
          <w:rFonts w:ascii="Arial" w:cs="Arial" w:eastAsia="Arial" w:hAnsi="Arial"/>
          <w:sz w:val="15"/>
          <w:szCs w:val="15"/>
          <w:color w:val="auto"/>
        </w:rPr>
        <w:t xml:space="preserve">”), which shall include plans for Commercializing Product in each major market in which Ikaria does not then have a presence. The Commercialization Plan shall include a preliminary timeline for the initial Commercialization of Products, which is intended as a planning and informational tool and shall not constitute a binding obligation on Ikaria, and shall be subject to adjustment by Ikaria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Ikaria shall provide BioLineRx with prior written notice of any material proposed change to a timeline. The most recent preliminary Commercialization Plan is attached hereto as </w:t>
      </w:r>
      <w:r>
        <w:rPr>
          <w:rFonts w:ascii="Arial" w:cs="Arial" w:eastAsia="Arial" w:hAnsi="Arial"/>
          <w:sz w:val="15"/>
          <w:szCs w:val="15"/>
          <w:u w:val="single" w:color="auto"/>
          <w:color w:val="auto"/>
        </w:rPr>
        <w:t>Schedule 3.7</w:t>
      </w:r>
      <w:r>
        <w:rPr>
          <w:rFonts w:ascii="Arial" w:cs="Arial" w:eastAsia="Arial" w:hAnsi="Arial"/>
          <w:sz w:val="15"/>
          <w:szCs w:val="15"/>
          <w:color w:val="auto"/>
        </w:rPr>
        <w:t>.</w:t>
      </w:r>
    </w:p>
    <w:p>
      <w:pPr>
        <w:spacing w:after="0" w:line="182" w:lineRule="exact"/>
        <w:rPr>
          <w:sz w:val="20"/>
          <w:szCs w:val="20"/>
          <w:color w:val="auto"/>
        </w:rPr>
      </w:pPr>
    </w:p>
    <w:p>
      <w:pPr>
        <w:ind w:right="160" w:firstLine="309"/>
        <w:spacing w:after="0" w:line="278"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Efforts</w:t>
      </w:r>
      <w:r>
        <w:rPr>
          <w:rFonts w:ascii="Arial" w:cs="Arial" w:eastAsia="Arial" w:hAnsi="Arial"/>
          <w:sz w:val="17"/>
          <w:szCs w:val="17"/>
          <w:color w:val="auto"/>
        </w:rPr>
        <w:t>. Ikaria shall use Commercially Reasonable Efforts, either itself or through Affiliates or Licensees, (a) to Develop at least one Product in the Territory and (b) to Commercialize at least one Product in the Territory.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7"/>
          <w:szCs w:val="17"/>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Financial Provisions</w:t>
      </w:r>
    </w:p>
    <w:p>
      <w:pPr>
        <w:spacing w:after="0" w:line="231"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5"/>
          <w:szCs w:val="15"/>
          <w:u w:val="single" w:color="auto"/>
          <w:color w:val="auto"/>
        </w:rPr>
        <w:t>Milestone Payments</w:t>
      </w:r>
      <w:r>
        <w:rPr>
          <w:rFonts w:ascii="Arial" w:cs="Arial" w:eastAsia="Arial" w:hAnsi="Arial"/>
          <w:sz w:val="15"/>
          <w:szCs w:val="15"/>
          <w:color w:val="auto"/>
        </w:rPr>
        <w:t>.</w:t>
      </w:r>
    </w:p>
    <w:p>
      <w:pPr>
        <w:spacing w:after="0" w:line="242" w:lineRule="exact"/>
        <w:rPr>
          <w:sz w:val="20"/>
          <w:szCs w:val="20"/>
          <w:color w:val="auto"/>
        </w:rPr>
      </w:pPr>
    </w:p>
    <w:p>
      <w:pPr>
        <w:ind w:firstLine="620"/>
        <w:spacing w:after="0" w:line="278" w:lineRule="auto"/>
        <w:tabs>
          <w:tab w:leader="none" w:pos="1065"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Development and Regulatory Milestones</w:t>
      </w:r>
      <w:r>
        <w:rPr>
          <w:rFonts w:ascii="Arial" w:cs="Arial" w:eastAsia="Arial" w:hAnsi="Arial"/>
          <w:sz w:val="17"/>
          <w:szCs w:val="17"/>
          <w:color w:val="auto"/>
        </w:rPr>
        <w:t>. With respect to each of the following milestones, Ikaria shall pay BioLineRx the corresponding payment set forth below within [***] days after the achievement by Ikaria, its Affiliates or Licensees of such milestone: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ind w:left="4540"/>
              <w:spacing w:after="0"/>
              <w:rPr>
                <w:sz w:val="20"/>
                <w:szCs w:val="20"/>
                <w:color w:val="auto"/>
              </w:rPr>
            </w:pPr>
            <w:r>
              <w:rPr>
                <w:rFonts w:ascii="Arial" w:cs="Arial" w:eastAsia="Arial" w:hAnsi="Arial"/>
                <w:sz w:val="17"/>
                <w:szCs w:val="17"/>
                <w:color w:val="auto"/>
              </w:rPr>
              <w:t>MILESTONE</w:t>
            </w:r>
          </w:p>
        </w:tc>
        <w:tc>
          <w:tcPr>
            <w:tcW w:w="246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w w:val="99"/>
              </w:rPr>
              <w:t>PAYMENT</w:t>
            </w:r>
          </w:p>
        </w:tc>
      </w:tr>
      <w:tr>
        <w:trPr>
          <w:trHeight w:val="207"/>
        </w:trPr>
        <w:tc>
          <w:tcPr>
            <w:tcW w:w="7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1.Effective Date</w:t>
            </w:r>
          </w:p>
        </w:tc>
        <w:tc>
          <w:tcPr>
            <w:tcW w:w="24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FFCC"/>
          </w:tcPr>
          <w:p>
            <w:pPr>
              <w:jc w:val="right"/>
              <w:ind w:right="14"/>
              <w:spacing w:after="0"/>
              <w:rPr>
                <w:sz w:val="20"/>
                <w:szCs w:val="20"/>
                <w:color w:val="auto"/>
              </w:rPr>
            </w:pPr>
            <w:r>
              <w:rPr>
                <w:rFonts w:ascii="Arial" w:cs="Arial" w:eastAsia="Arial" w:hAnsi="Arial"/>
                <w:sz w:val="17"/>
                <w:szCs w:val="17"/>
                <w:color w:val="auto"/>
              </w:rPr>
              <w:t>7,000,000</w:t>
            </w: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2.Successful Completion of On-Going Phase I/II Trial</w:t>
            </w:r>
          </w:p>
        </w:tc>
        <w:tc>
          <w:tcPr>
            <w:tcW w:w="24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FFCC"/>
          </w:tcPr>
          <w:p>
            <w:pPr>
              <w:jc w:val="right"/>
              <w:ind w:right="14"/>
              <w:spacing w:after="0"/>
              <w:rPr>
                <w:sz w:val="20"/>
                <w:szCs w:val="20"/>
                <w:color w:val="auto"/>
              </w:rPr>
            </w:pPr>
            <w:r>
              <w:rPr>
                <w:rFonts w:ascii="Arial" w:cs="Arial" w:eastAsia="Arial" w:hAnsi="Arial"/>
                <w:sz w:val="17"/>
                <w:szCs w:val="17"/>
                <w:color w:val="auto"/>
              </w:rPr>
              <w:t>10,000,000</w:t>
            </w: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3.[***]</w:t>
            </w:r>
          </w:p>
        </w:tc>
        <w:tc>
          <w:tcPr>
            <w:tcW w:w="24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4.[***]</w:t>
            </w:r>
          </w:p>
        </w:tc>
        <w:tc>
          <w:tcPr>
            <w:tcW w:w="24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5.[***]</w:t>
            </w:r>
          </w:p>
        </w:tc>
        <w:tc>
          <w:tcPr>
            <w:tcW w:w="24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6.[***]</w:t>
            </w:r>
          </w:p>
        </w:tc>
        <w:tc>
          <w:tcPr>
            <w:tcW w:w="24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Total Development and Regulatory Milestone Payments</w:t>
            </w:r>
          </w:p>
        </w:tc>
        <w:tc>
          <w:tcPr>
            <w:tcW w:w="24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FFCC"/>
          </w:tcPr>
          <w:p>
            <w:pPr>
              <w:jc w:val="right"/>
              <w:ind w:right="14"/>
              <w:spacing w:after="0"/>
              <w:rPr>
                <w:sz w:val="20"/>
                <w:szCs w:val="20"/>
                <w:color w:val="auto"/>
              </w:rPr>
            </w:pPr>
            <w:r>
              <w:rPr>
                <w:rFonts w:ascii="Arial" w:cs="Arial" w:eastAsia="Arial" w:hAnsi="Arial"/>
                <w:sz w:val="17"/>
                <w:szCs w:val="17"/>
                <w:color w:val="auto"/>
              </w:rPr>
              <w:t>132,500,000</w:t>
            </w:r>
          </w:p>
        </w:tc>
      </w:tr>
    </w:tbl>
    <w:p>
      <w:pPr>
        <w:spacing w:after="0" w:line="219" w:lineRule="exact"/>
        <w:rPr>
          <w:sz w:val="20"/>
          <w:szCs w:val="20"/>
          <w:color w:val="auto"/>
        </w:rPr>
      </w:pPr>
    </w:p>
    <w:p>
      <w:pPr>
        <w:ind w:left="1300" w:hanging="680"/>
        <w:spacing w:after="0"/>
        <w:tabs>
          <w:tab w:leader="none" w:pos="1300"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Commercialization Milestones</w:t>
      </w:r>
      <w:r>
        <w:rPr>
          <w:rFonts w:ascii="Arial" w:cs="Arial" w:eastAsia="Arial" w:hAnsi="Arial"/>
          <w:sz w:val="16"/>
          <w:szCs w:val="16"/>
          <w:color w:val="auto"/>
        </w:rPr>
        <w:t>. Ikaria shall pay each of the following milestone payments to BioLineRx within [***] days after the achievement</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 such milestone: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ind w:left="4540"/>
              <w:spacing w:after="0"/>
              <w:rPr>
                <w:sz w:val="20"/>
                <w:szCs w:val="20"/>
                <w:color w:val="auto"/>
              </w:rPr>
            </w:pPr>
            <w:r>
              <w:rPr>
                <w:rFonts w:ascii="Arial" w:cs="Arial" w:eastAsia="Arial" w:hAnsi="Arial"/>
                <w:sz w:val="17"/>
                <w:szCs w:val="17"/>
                <w:color w:val="auto"/>
              </w:rPr>
              <w:t>MILESTONE</w:t>
            </w:r>
          </w:p>
        </w:tc>
        <w:tc>
          <w:tcPr>
            <w:tcW w:w="246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w w:val="99"/>
              </w:rPr>
              <w:t>PAYMENT</w:t>
            </w:r>
          </w:p>
        </w:tc>
      </w:tr>
      <w:tr>
        <w:trPr>
          <w:trHeight w:val="207"/>
        </w:trPr>
        <w:tc>
          <w:tcPr>
            <w:tcW w:w="7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7.   Annual Net Sales in Territory exceed $[***] in a Calendar Year</w:t>
            </w:r>
          </w:p>
        </w:tc>
        <w:tc>
          <w:tcPr>
            <w:tcW w:w="24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8.Annual Net Sales in Territory exceed $[***] in a Calendar Year</w:t>
            </w:r>
          </w:p>
        </w:tc>
        <w:tc>
          <w:tcPr>
            <w:tcW w:w="24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7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7840" w:type="dxa"/>
            <w:vAlign w:val="bottom"/>
            <w:shd w:val="clear" w:color="auto" w:fill="CCFFCC"/>
          </w:tcPr>
          <w:p>
            <w:pPr>
              <w:spacing w:after="0"/>
              <w:rPr>
                <w:sz w:val="20"/>
                <w:szCs w:val="20"/>
                <w:color w:val="auto"/>
              </w:rPr>
            </w:pPr>
            <w:r>
              <w:rPr>
                <w:rFonts w:ascii="Arial" w:cs="Arial" w:eastAsia="Arial" w:hAnsi="Arial"/>
                <w:sz w:val="17"/>
                <w:szCs w:val="17"/>
                <w:color w:val="auto"/>
              </w:rPr>
              <w:t>9.Annual Net Sales in Territory exceed $[***] in a Calendar Year</w:t>
            </w:r>
          </w:p>
        </w:tc>
        <w:tc>
          <w:tcPr>
            <w:tcW w:w="24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Each of the milestones set forth in Section 4.1(a) and Section 4.1(b) shall be paid only once regardless of the number of Products that achieve such milestone.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65" w:name="page466"/>
    <w:bookmarkEnd w:id="465"/>
    <w:p>
      <w:pPr>
        <w:jc w:val="both"/>
        <w:ind w:firstLine="309"/>
        <w:spacing w:after="0" w:line="26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Royalties on Net Sales of Products</w:t>
      </w:r>
      <w:r>
        <w:rPr>
          <w:rFonts w:ascii="Arial" w:cs="Arial" w:eastAsia="Arial" w:hAnsi="Arial"/>
          <w:sz w:val="17"/>
          <w:szCs w:val="17"/>
          <w:color w:val="auto"/>
        </w:rPr>
        <w:t>. During the Royalty Term applicable to each Product, and subject to adjustment as set forth in Section 4.2(b), Ikaria shall pay to BioLineRx royalties on a Product-by-Product basis, with the amount of such royalties calculated as a percentage of Net Sales in a calendar year for such Product as set forth below:</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302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2780" w:type="dxa"/>
            <w:vAlign w:val="bottom"/>
            <w:gridSpan w:val="2"/>
          </w:tcPr>
          <w:p>
            <w:pPr>
              <w:ind w:left="2220"/>
              <w:spacing w:after="0"/>
              <w:rPr>
                <w:sz w:val="20"/>
                <w:szCs w:val="20"/>
                <w:color w:val="auto"/>
              </w:rPr>
            </w:pPr>
            <w:r>
              <w:rPr>
                <w:rFonts w:ascii="Arial" w:cs="Arial" w:eastAsia="Arial" w:hAnsi="Arial"/>
                <w:sz w:val="17"/>
                <w:szCs w:val="17"/>
                <w:color w:val="auto"/>
                <w:w w:val="95"/>
              </w:rPr>
              <w:t>Royalty</w:t>
            </w:r>
          </w:p>
        </w:tc>
      </w:tr>
      <w:tr>
        <w:trPr>
          <w:trHeight w:val="20"/>
        </w:trPr>
        <w:tc>
          <w:tcPr>
            <w:tcW w:w="6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12"/>
        </w:trPr>
        <w:tc>
          <w:tcPr>
            <w:tcW w:w="3020" w:type="dxa"/>
            <w:vAlign w:val="bottom"/>
            <w:gridSpan w:val="2"/>
          </w:tcPr>
          <w:p>
            <w:pPr>
              <w:spacing w:after="0"/>
              <w:rPr>
                <w:sz w:val="20"/>
                <w:szCs w:val="20"/>
                <w:color w:val="auto"/>
              </w:rPr>
            </w:pPr>
            <w:r>
              <w:rPr>
                <w:rFonts w:ascii="Arial" w:cs="Arial" w:eastAsia="Arial" w:hAnsi="Arial"/>
                <w:sz w:val="17"/>
                <w:szCs w:val="17"/>
                <w:color w:val="auto"/>
              </w:rPr>
              <w:t>Up to [***]</w:t>
            </w: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6"/>
        </w:trPr>
        <w:tc>
          <w:tcPr>
            <w:tcW w:w="660" w:type="dxa"/>
            <w:vAlign w:val="bottom"/>
          </w:tcPr>
          <w:p>
            <w:pPr>
              <w:spacing w:after="0"/>
              <w:rPr>
                <w:sz w:val="20"/>
                <w:szCs w:val="20"/>
                <w:color w:val="auto"/>
              </w:rPr>
            </w:pPr>
            <w:r>
              <w:rPr>
                <w:rFonts w:ascii="Arial" w:cs="Arial" w:eastAsia="Arial" w:hAnsi="Arial"/>
                <w:sz w:val="17"/>
                <w:szCs w:val="17"/>
                <w:color w:val="auto"/>
              </w:rPr>
              <w:t>[***]</w:t>
            </w:r>
          </w:p>
        </w:tc>
        <w:tc>
          <w:tcPr>
            <w:tcW w:w="2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7"/>
        </w:trPr>
        <w:tc>
          <w:tcPr>
            <w:tcW w:w="660" w:type="dxa"/>
            <w:vAlign w:val="bottom"/>
          </w:tcPr>
          <w:p>
            <w:pPr>
              <w:spacing w:after="0"/>
              <w:rPr>
                <w:sz w:val="20"/>
                <w:szCs w:val="20"/>
                <w:color w:val="auto"/>
              </w:rPr>
            </w:pPr>
            <w:r>
              <w:rPr>
                <w:rFonts w:ascii="Arial" w:cs="Arial" w:eastAsia="Arial" w:hAnsi="Arial"/>
                <w:sz w:val="17"/>
                <w:szCs w:val="17"/>
                <w:color w:val="auto"/>
              </w:rPr>
              <w:t>[***]</w:t>
            </w:r>
          </w:p>
        </w:tc>
        <w:tc>
          <w:tcPr>
            <w:tcW w:w="2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21" w:lineRule="exact"/>
        <w:rPr>
          <w:sz w:val="20"/>
          <w:szCs w:val="20"/>
          <w:color w:val="auto"/>
        </w:rPr>
      </w:pPr>
    </w:p>
    <w:p>
      <w:pPr>
        <w:ind w:left="1060" w:hanging="440"/>
        <w:spacing w:after="0"/>
        <w:tabs>
          <w:tab w:leader="none" w:pos="1060"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Royalties Payable Only Once</w:t>
      </w:r>
      <w:r>
        <w:rPr>
          <w:rFonts w:ascii="Arial" w:cs="Arial" w:eastAsia="Arial" w:hAnsi="Arial"/>
          <w:sz w:val="16"/>
          <w:szCs w:val="16"/>
          <w:color w:val="auto"/>
        </w:rPr>
        <w:t>. The obligation to pay royalties is imposed only once with respect to Net Sales of the same unit of a Product.</w:t>
      </w:r>
    </w:p>
    <w:p>
      <w:pPr>
        <w:spacing w:after="0" w:line="253" w:lineRule="exact"/>
        <w:rPr>
          <w:rFonts w:ascii="Arial" w:cs="Arial" w:eastAsia="Arial" w:hAnsi="Arial"/>
          <w:sz w:val="16"/>
          <w:szCs w:val="16"/>
          <w:color w:val="auto"/>
        </w:rPr>
      </w:pPr>
    </w:p>
    <w:p>
      <w:pPr>
        <w:ind w:right="60" w:firstLine="620"/>
        <w:spacing w:after="0" w:line="271" w:lineRule="auto"/>
        <w:tabs>
          <w:tab w:leader="none" w:pos="1074"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Royalty Reductions for Third Party Payments</w:t>
      </w:r>
      <w:r>
        <w:rPr>
          <w:rFonts w:ascii="Arial" w:cs="Arial" w:eastAsia="Arial" w:hAnsi="Arial"/>
          <w:sz w:val="16"/>
          <w:szCs w:val="16"/>
          <w:color w:val="auto"/>
        </w:rPr>
        <w:t>. Ikaria shall use Commercially Reasonable Efforts to avoid any Third Party Payments. Ikaria shall provide BioLineRx written notice within [***] days of its receipt of any request or demand that Ikaria, its Affiliates or any Licensee obtain a license or immunity from suit from any Third Party in order for Ikaria, its Affiliates, or any Licensee to exercise or use the rights granted to Ikaria herein. If Ikaria is required to obtain a license or immunity from suit from any Third Party in order for Ikaria, its Affiliates, or any Licensee to exercise or use the rights granted to Ikaria herein, and Ikaria, its Affiliates, or any Licensee pays any Third Party any up-front fee, milestone, royalty, or other payment (each, a “</w:t>
      </w:r>
      <w:r>
        <w:rPr>
          <w:rFonts w:ascii="Arial" w:cs="Arial" w:eastAsia="Arial" w:hAnsi="Arial"/>
          <w:sz w:val="16"/>
          <w:szCs w:val="16"/>
          <w:u w:val="single" w:color="auto"/>
          <w:color w:val="auto"/>
        </w:rPr>
        <w:t>Third Party Payment</w:t>
      </w:r>
      <w:r>
        <w:rPr>
          <w:rFonts w:ascii="Arial" w:cs="Arial" w:eastAsia="Arial" w:hAnsi="Arial"/>
          <w:sz w:val="16"/>
          <w:szCs w:val="16"/>
          <w:color w:val="auto"/>
        </w:rPr>
        <w:t xml:space="preserve">”) in connection with such license or immunity from suit, Ikaria shall have the right to set off against any amounts payable to BioLineRx under this Article IV [***]%) of any Third Party Payments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will the royalty paid to BioLineRx on Net Sales in the applicable country fall below [***]%). If the amount of Third Party Payments that Ikaria is entitled to set off exceeds the amount otherwise payable to BioLineRx at any given time, or is limited by the foregoing [***]%), Ikaria shall be entitled to carry over the excess for set off against amounts payable to BioLineRx in subsequent periods until Ikaria has been credited for the full amount it is entitled to set off. Prior to paying any Third Party Payment, the Parties shall obtain an analysis from their respective counsel in respect of the validity of the claim of any Third Party seeking Third Party Payments. If the Parties are unable to agree on an assessment of the claim, the Parties shall jointly engage mutually acceptable independent patent counsel not regularly employed by either Party to assess such claims. Ikaria shall substitute the decision of such independent patent counsel for that of its own counsel with respect to deciding whether to obtain a license or immunity from suit from any Third Party in order for Ikaria, its Affiliates, or any Licensee to exercise or use the rights granted to Ikaria herein.</w:t>
      </w:r>
    </w:p>
    <w:p>
      <w:pPr>
        <w:spacing w:after="0" w:line="204" w:lineRule="exact"/>
        <w:rPr>
          <w:rFonts w:ascii="Arial" w:cs="Arial" w:eastAsia="Arial" w:hAnsi="Arial"/>
          <w:sz w:val="16"/>
          <w:szCs w:val="16"/>
          <w:color w:val="auto"/>
        </w:rPr>
      </w:pPr>
    </w:p>
    <w:p>
      <w:pPr>
        <w:ind w:right="300" w:firstLine="620"/>
        <w:spacing w:after="0" w:line="278" w:lineRule="auto"/>
        <w:tabs>
          <w:tab w:leader="none" w:pos="1065"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Duration of Payments</w:t>
      </w:r>
      <w:r>
        <w:rPr>
          <w:rFonts w:ascii="Arial" w:cs="Arial" w:eastAsia="Arial" w:hAnsi="Arial"/>
          <w:sz w:val="17"/>
          <w:szCs w:val="17"/>
          <w:color w:val="auto"/>
        </w:rPr>
        <w:t>. The amounts payable to BioLineRx under Section 4.2 shall be paid on a Product-by-Product and country-by-country basis until the expiration of the Royalty Term for such Product in such country.</w:t>
      </w:r>
    </w:p>
    <w:p>
      <w:pPr>
        <w:spacing w:after="0" w:line="184" w:lineRule="exact"/>
        <w:rPr>
          <w:rFonts w:ascii="Arial" w:cs="Arial" w:eastAsia="Arial" w:hAnsi="Arial"/>
          <w:sz w:val="17"/>
          <w:szCs w:val="17"/>
          <w:color w:val="auto"/>
        </w:rPr>
      </w:pPr>
    </w:p>
    <w:p>
      <w:pPr>
        <w:ind w:left="420" w:hanging="417"/>
        <w:spacing w:after="0"/>
        <w:tabs>
          <w:tab w:leader="none" w:pos="420" w:val="left"/>
        </w:tabs>
        <w:numPr>
          <w:ilvl w:val="0"/>
          <w:numId w:val="372"/>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466" w:name="page467"/>
    <w:bookmarkEnd w:id="466"/>
    <w:p>
      <w:pPr>
        <w:ind w:left="-3" w:right="160" w:firstLine="620"/>
        <w:spacing w:after="0" w:line="261" w:lineRule="auto"/>
        <w:tabs>
          <w:tab w:leader="none" w:pos="1071"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Price Concessions</w:t>
      </w:r>
      <w:r>
        <w:rPr>
          <w:rFonts w:ascii="Arial" w:cs="Arial" w:eastAsia="Arial" w:hAnsi="Arial"/>
          <w:sz w:val="17"/>
          <w:szCs w:val="17"/>
          <w:color w:val="auto"/>
        </w:rPr>
        <w:t>. Ikaria shall not, and shall ensure that its Affiliates and Licensees do not, sell or distribute the Product at a discount (including in the form of government mandated rebates) (with or without consideration) in return substantially for (i) concessions or consideration received in transactions involving products or services other than the Product or (ii) concessions from any government or governmental authority relating to products or services other than the Product.</w:t>
      </w:r>
    </w:p>
    <w:p>
      <w:pPr>
        <w:spacing w:after="0" w:line="204" w:lineRule="exact"/>
        <w:rPr>
          <w:sz w:val="20"/>
          <w:szCs w:val="20"/>
          <w:color w:val="auto"/>
        </w:rPr>
      </w:pPr>
    </w:p>
    <w:p>
      <w:pPr>
        <w:ind w:left="317"/>
        <w:spacing w:after="0"/>
        <w:tabs>
          <w:tab w:leader="none" w:pos="1357"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5"/>
          <w:szCs w:val="15"/>
          <w:u w:val="single" w:color="auto"/>
          <w:color w:val="auto"/>
        </w:rPr>
        <w:t>Reports and Accounting</w:t>
      </w:r>
      <w:r>
        <w:rPr>
          <w:rFonts w:ascii="Arial" w:cs="Arial" w:eastAsia="Arial" w:hAnsi="Arial"/>
          <w:sz w:val="15"/>
          <w:szCs w:val="15"/>
          <w:color w:val="auto"/>
        </w:rPr>
        <w:t>.</w:t>
      </w:r>
    </w:p>
    <w:p>
      <w:pPr>
        <w:spacing w:after="0" w:line="242" w:lineRule="exact"/>
        <w:rPr>
          <w:sz w:val="20"/>
          <w:szCs w:val="20"/>
          <w:color w:val="auto"/>
        </w:rPr>
      </w:pPr>
    </w:p>
    <w:p>
      <w:pPr>
        <w:ind w:left="-3" w:right="220" w:firstLine="620"/>
        <w:spacing w:after="0" w:line="301" w:lineRule="auto"/>
        <w:tabs>
          <w:tab w:leader="none" w:pos="1062" w:val="left"/>
        </w:tabs>
        <w:numPr>
          <w:ilvl w:val="1"/>
          <w:numId w:val="374"/>
        </w:numPr>
        <w:rPr>
          <w:rFonts w:ascii="Arial" w:cs="Arial" w:eastAsia="Arial" w:hAnsi="Arial"/>
          <w:sz w:val="15"/>
          <w:szCs w:val="15"/>
          <w:color w:val="auto"/>
        </w:rPr>
      </w:pPr>
      <w:r>
        <w:rPr>
          <w:rFonts w:ascii="Arial" w:cs="Arial" w:eastAsia="Arial" w:hAnsi="Arial"/>
          <w:sz w:val="15"/>
          <w:szCs w:val="15"/>
          <w:u w:val="single" w:color="auto"/>
          <w:color w:val="auto"/>
        </w:rPr>
        <w:t>Reports; Payments</w:t>
      </w:r>
      <w:r>
        <w:rPr>
          <w:rFonts w:ascii="Arial" w:cs="Arial" w:eastAsia="Arial" w:hAnsi="Arial"/>
          <w:sz w:val="15"/>
          <w:szCs w:val="15"/>
          <w:color w:val="auto"/>
        </w:rPr>
        <w:t xml:space="preserve">. Ikaria shall deliver to BioLineRx, within [***] days after the end of each calendar quarter, reasonably detailed written accountings of Net Sales of Products that are subject to payment obligations to BioLineRx for such calendar quarter. Such quarterly reports shall indicate (i) gross sales and Net Sales on a country-by-country basis, (ii) the calculation of payment amounts owed to BioLineRx from such gross sales and Net Sales, and (iii) any amounts set off pursuant to Section 4.2(b) against payments owed to BioLineRx. When Ikaria delivers such accounting to BioLineRx, Ikaria shall also deliver all amounts due under Section 4.2 to BioLineRx for the calendar quarter. All payments shall be made by wire transfer to the account specified in </w:t>
      </w:r>
      <w:r>
        <w:rPr>
          <w:rFonts w:ascii="Arial" w:cs="Arial" w:eastAsia="Arial" w:hAnsi="Arial"/>
          <w:sz w:val="15"/>
          <w:szCs w:val="15"/>
          <w:u w:val="single" w:color="auto"/>
          <w:color w:val="auto"/>
        </w:rPr>
        <w:t>Schedule 4.3(a)</w:t>
      </w:r>
      <w:r>
        <w:rPr>
          <w:rFonts w:ascii="Arial" w:cs="Arial" w:eastAsia="Arial" w:hAnsi="Arial"/>
          <w:sz w:val="15"/>
          <w:szCs w:val="15"/>
          <w:color w:val="auto"/>
        </w:rPr>
        <w:t>.</w:t>
      </w:r>
    </w:p>
    <w:p>
      <w:pPr>
        <w:spacing w:after="0" w:line="178" w:lineRule="exact"/>
        <w:rPr>
          <w:rFonts w:ascii="Arial" w:cs="Arial" w:eastAsia="Arial" w:hAnsi="Arial"/>
          <w:sz w:val="15"/>
          <w:szCs w:val="15"/>
          <w:color w:val="auto"/>
        </w:rPr>
      </w:pPr>
    </w:p>
    <w:p>
      <w:pPr>
        <w:ind w:left="-3" w:firstLine="620"/>
        <w:spacing w:after="0" w:line="272" w:lineRule="auto"/>
        <w:tabs>
          <w:tab w:leader="none" w:pos="1071"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Audits by BioLineRx</w:t>
      </w:r>
      <w:r>
        <w:rPr>
          <w:rFonts w:ascii="Arial" w:cs="Arial" w:eastAsia="Arial" w:hAnsi="Arial"/>
          <w:sz w:val="16"/>
          <w:szCs w:val="16"/>
          <w:color w:val="auto"/>
        </w:rPr>
        <w:t>. Ikaria shall keep, and shall require its Affiliates and Licensees to keep, complete and accurate records of the most recent [***] years relating to gross sales and Net Sales and all information relevant under Section 4.1 and Section 4.2. For the sole purpose of verifying amounts payable to BioLineRx, BioLineRx shall have the right no more than [***] per calendar year, at BioLineRx’s expense, to engage independent accountants to review such records in the location(s) where such records are maintained by Ikaria, its Affiliates, and its Licensees upon reasonable notice and during regular business hours. Prior to any review conducted pursuant to this Section 4.3(b), BioLineRx’s accountants shall have entered into a written agreement with Ikaria limiting the use of such records to verification of the accuracy of payments due under this Agreement and prohibiting the disclosure of any information contained in such records to a Third Party and to BioLineRx for a purpose other than as set forth in this Section 4.3(b). The right to audit any royalty report or quarterly report or payment shall extend for [***] years from the end of the calendar year in which such royalty report or quarterly report was delivered or such payment made. Results of such review shall be made available to Ikaria. If the review reflects an underpayment to BioLineRx, such underpayment shall be promptly remitted to BioLineRx. Likewise, if the review reflects an overpayment, Ikaria shall be entitled to reduce any subsequent payments by the amount of the overpayment. If the underpayment to BioLineRx is equal to or greater than [***] %) of the amount that was otherwise due, BioLineRx shall be entitled to have Ikaria reimburse BioLineRx’s reasonable out-of-pocket costs of such review.</w:t>
      </w:r>
    </w:p>
    <w:p>
      <w:pPr>
        <w:spacing w:after="0" w:line="192" w:lineRule="exact"/>
        <w:rPr>
          <w:rFonts w:ascii="Arial" w:cs="Arial" w:eastAsia="Arial" w:hAnsi="Arial"/>
          <w:sz w:val="16"/>
          <w:szCs w:val="16"/>
          <w:color w:val="auto"/>
        </w:rPr>
      </w:pPr>
    </w:p>
    <w:p>
      <w:pPr>
        <w:ind w:left="417" w:hanging="417"/>
        <w:spacing w:after="0"/>
        <w:tabs>
          <w:tab w:leader="none" w:pos="417"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77"/>
          </w:cols>
          <w:pgMar w:left="243" w:top="500" w:right="279" w:bottom="1440" w:gutter="0" w:footer="0" w:header="0"/>
        </w:sectPr>
      </w:pPr>
    </w:p>
    <w:bookmarkStart w:id="467" w:name="page468"/>
    <w:bookmarkEnd w:id="467"/>
    <w:p>
      <w:pPr>
        <w:ind w:left="320"/>
        <w:spacing w:after="0"/>
        <w:tabs>
          <w:tab w:leader="none" w:pos="136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u w:val="single" w:color="auto"/>
          <w:color w:val="auto"/>
        </w:rPr>
        <w:t>Currency Amounts</w:t>
      </w:r>
      <w:r>
        <w:rPr>
          <w:rFonts w:ascii="Arial" w:cs="Arial" w:eastAsia="Arial" w:hAnsi="Arial"/>
          <w:sz w:val="15"/>
          <w:szCs w:val="15"/>
          <w:color w:val="auto"/>
        </w:rPr>
        <w:t>. All dollar ($) amounts specified in this Agreement are United States Dollar amounts.</w:t>
      </w:r>
    </w:p>
    <w:p>
      <w:pPr>
        <w:spacing w:after="0" w:line="242" w:lineRule="exact"/>
        <w:rPr>
          <w:sz w:val="20"/>
          <w:szCs w:val="20"/>
          <w:color w:val="auto"/>
        </w:rPr>
      </w:pPr>
    </w:p>
    <w:p>
      <w:pPr>
        <w:ind w:right="60" w:firstLine="309"/>
        <w:spacing w:after="0" w:line="257"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Currency Exchange</w:t>
      </w:r>
      <w:r>
        <w:rPr>
          <w:rFonts w:ascii="Arial" w:cs="Arial" w:eastAsia="Arial" w:hAnsi="Arial"/>
          <w:sz w:val="17"/>
          <w:szCs w:val="17"/>
          <w:color w:val="auto"/>
        </w:rPr>
        <w:t xml:space="preserve">. With respect to sales of Products invoiced in U.S. Dollars and other amounts received or paid by Ikaria, its Affiliates or Licensees in U.S. Dollars, such amounts and the amounts payable hereunder shall be expressed in U.S. Dollars. With respect to sales of Products invoiced in a currency other than U.S. Dollars and other amounts received or paid by Ikaria, its Affiliates or Licensees in a currency other than U.S. Dollars, such amounts and the amounts payable hereunder shall be expressed in their U.S. Dollar equivalent calculated using the applicable rate of exchange reported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(Eastern U.S. edition) on the last Business Day of the calendar quarter to which the report under Section 4.3(a) relates. All payments hereunder shall be made in U.S. Dollars.</w:t>
      </w:r>
    </w:p>
    <w:p>
      <w:pPr>
        <w:spacing w:after="0" w:line="210"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Parties shall use all reasonable and legal efforts to reduce tax withholding on payments made to BioLineRx. The Parties agree to cooperate in good faith to provide one another with such documents and certifications as are reasonably necessary to enable Ikaria to minimize any withholding tax obligations. Ikaria shall promptly provide to BioLineRx documentation of the payment of any withholding taxes that are paid pursuant to this Section 4.6, including copies of receipts or other evidence reasonably required and sufficient to allow BioLineRx to document such tax withholdings adequately for purposes of claiming foreign tax credits and similar benefits.</w:t>
      </w:r>
    </w:p>
    <w:p>
      <w:pPr>
        <w:spacing w:after="0" w:line="206" w:lineRule="exact"/>
        <w:rPr>
          <w:sz w:val="20"/>
          <w:szCs w:val="20"/>
          <w:color w:val="auto"/>
        </w:rPr>
      </w:pPr>
    </w:p>
    <w:p>
      <w:pPr>
        <w:ind w:right="140" w:firstLine="309"/>
        <w:spacing w:after="0" w:line="347"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Upfront Payments Received Under Sublicenses</w:t>
      </w:r>
      <w:r>
        <w:rPr>
          <w:rFonts w:ascii="Arial" w:cs="Arial" w:eastAsia="Arial" w:hAnsi="Arial"/>
          <w:sz w:val="15"/>
          <w:szCs w:val="15"/>
          <w:color w:val="auto"/>
        </w:rPr>
        <w:t>. If Ikaria receives an upfront payment consideration under a sublicense granted to a Third Party under this Agreement, Ikaria shall pay to BioLineRx ten percent (10%)of any such payment within 30 days after actual receipt thereof from the Third Party.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Intellectual Property Ownership, Protection and Related Matters</w:t>
      </w:r>
    </w:p>
    <w:p>
      <w:pPr>
        <w:spacing w:after="0" w:line="231"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5"/>
          <w:szCs w:val="15"/>
          <w:u w:val="single" w:color="auto"/>
          <w:color w:val="auto"/>
        </w:rPr>
        <w:t>Ownership of Inventions</w:t>
      </w:r>
      <w:r>
        <w:rPr>
          <w:rFonts w:ascii="Arial" w:cs="Arial" w:eastAsia="Arial" w:hAnsi="Arial"/>
          <w:sz w:val="15"/>
          <w:szCs w:val="15"/>
          <w:color w:val="auto"/>
        </w:rPr>
        <w:t>.</w:t>
      </w:r>
    </w:p>
    <w:p>
      <w:pPr>
        <w:spacing w:after="0" w:line="242" w:lineRule="exact"/>
        <w:rPr>
          <w:sz w:val="20"/>
          <w:szCs w:val="20"/>
          <w:color w:val="auto"/>
        </w:rPr>
      </w:pPr>
    </w:p>
    <w:p>
      <w:pPr>
        <w:ind w:left="1060" w:hanging="440"/>
        <w:spacing w:after="0"/>
        <w:tabs>
          <w:tab w:leader="none" w:pos="1060" w:val="left"/>
        </w:tabs>
        <w:numPr>
          <w:ilvl w:val="1"/>
          <w:numId w:val="375"/>
        </w:numPr>
        <w:rPr>
          <w:rFonts w:ascii="Arial" w:cs="Arial" w:eastAsia="Arial" w:hAnsi="Arial"/>
          <w:sz w:val="17"/>
          <w:szCs w:val="17"/>
          <w:color w:val="auto"/>
        </w:rPr>
      </w:pPr>
      <w:r>
        <w:rPr>
          <w:rFonts w:ascii="Arial" w:cs="Arial" w:eastAsia="Arial" w:hAnsi="Arial"/>
          <w:sz w:val="17"/>
          <w:szCs w:val="17"/>
          <w:u w:val="single" w:color="auto"/>
          <w:color w:val="auto"/>
        </w:rPr>
        <w:t>Intentionally Omitted.</w:t>
      </w:r>
    </w:p>
    <w:p>
      <w:pPr>
        <w:spacing w:after="0" w:line="241" w:lineRule="exact"/>
        <w:rPr>
          <w:rFonts w:ascii="Arial" w:cs="Arial" w:eastAsia="Arial" w:hAnsi="Arial"/>
          <w:sz w:val="17"/>
          <w:szCs w:val="17"/>
          <w:color w:val="auto"/>
        </w:rPr>
      </w:pPr>
    </w:p>
    <w:p>
      <w:pPr>
        <w:ind w:left="1080" w:hanging="460"/>
        <w:spacing w:after="0"/>
        <w:tabs>
          <w:tab w:leader="none" w:pos="108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41" w:lineRule="exact"/>
        <w:rPr>
          <w:rFonts w:ascii="Arial" w:cs="Arial" w:eastAsia="Arial" w:hAnsi="Arial"/>
          <w:sz w:val="17"/>
          <w:szCs w:val="17"/>
          <w:color w:val="auto"/>
        </w:rPr>
      </w:pPr>
    </w:p>
    <w:p>
      <w:pPr>
        <w:ind w:right="200" w:firstLine="620"/>
        <w:spacing w:after="0" w:line="317" w:lineRule="auto"/>
        <w:tabs>
          <w:tab w:leader="none" w:pos="1065" w:val="left"/>
        </w:tabs>
        <w:numPr>
          <w:ilvl w:val="1"/>
          <w:numId w:val="375"/>
        </w:numPr>
        <w:rPr>
          <w:rFonts w:ascii="Arial" w:cs="Arial" w:eastAsia="Arial" w:hAnsi="Arial"/>
          <w:sz w:val="15"/>
          <w:szCs w:val="15"/>
          <w:color w:val="auto"/>
        </w:rPr>
      </w:pPr>
      <w:r>
        <w:rPr>
          <w:rFonts w:ascii="Arial" w:cs="Arial" w:eastAsia="Arial" w:hAnsi="Arial"/>
          <w:sz w:val="15"/>
          <w:szCs w:val="15"/>
          <w:u w:val="single" w:color="auto"/>
          <w:color w:val="auto"/>
        </w:rPr>
        <w:t>Inventorship</w:t>
      </w:r>
      <w:r>
        <w:rPr>
          <w:rFonts w:ascii="Arial" w:cs="Arial" w:eastAsia="Arial" w:hAnsi="Arial"/>
          <w:sz w:val="15"/>
          <w:szCs w:val="15"/>
          <w:color w:val="auto"/>
        </w:rPr>
        <w:t>. Questions of inventorship shall be resolved in accordance with United States patent laws. In the event of a dispute regarding inventorship, if the Parties are unable to resolve the dispute, the Parties shall jointly engage mutually acceptable independent patent counsel not regularly employed by either Party to resolve such dispute. The decision of such independent patent counsel shall be binding on the Parties with respect to the issue of inventorship.</w:t>
      </w:r>
    </w:p>
    <w:p>
      <w:pPr>
        <w:spacing w:after="0" w:line="159" w:lineRule="exact"/>
        <w:rPr>
          <w:rFonts w:ascii="Arial" w:cs="Arial" w:eastAsia="Arial" w:hAnsi="Arial"/>
          <w:sz w:val="15"/>
          <w:szCs w:val="15"/>
          <w:color w:val="auto"/>
        </w:rPr>
      </w:pPr>
    </w:p>
    <w:p>
      <w:pPr>
        <w:ind w:left="420" w:hanging="417"/>
        <w:spacing w:after="0"/>
        <w:tabs>
          <w:tab w:leader="none" w:pos="420"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68" w:name="page469"/>
    <w:bookmarkEnd w:id="468"/>
    <w:p>
      <w:pPr>
        <w:ind w:right="220" w:firstLine="620"/>
        <w:spacing w:after="0" w:line="278" w:lineRule="auto"/>
        <w:tabs>
          <w:tab w:leader="none" w:pos="1074"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Further Actions and Assignments</w:t>
      </w:r>
      <w:r>
        <w:rPr>
          <w:rFonts w:ascii="Arial" w:cs="Arial" w:eastAsia="Arial" w:hAnsi="Arial"/>
          <w:sz w:val="17"/>
          <w:szCs w:val="17"/>
          <w:color w:val="auto"/>
        </w:rPr>
        <w:t>. Each Party shall take all further actions and execute all assignments requested by the other Party and reasonably necessary or desirable to vest in the other Party the ownership rights set forth in this Section 5.1.</w:t>
      </w:r>
    </w:p>
    <w:p>
      <w:pPr>
        <w:spacing w:after="0" w:line="19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5"/>
          <w:szCs w:val="15"/>
          <w:u w:val="single" w:color="auto"/>
          <w:color w:val="auto"/>
        </w:rPr>
        <w:t>Prosecution and Maintenance of Patent Rights</w:t>
      </w:r>
      <w:r>
        <w:rPr>
          <w:rFonts w:ascii="Arial" w:cs="Arial" w:eastAsia="Arial" w:hAnsi="Arial"/>
          <w:sz w:val="15"/>
          <w:szCs w:val="15"/>
          <w:color w:val="auto"/>
        </w:rPr>
        <w:t>.</w:t>
      </w:r>
    </w:p>
    <w:p>
      <w:pPr>
        <w:spacing w:after="0" w:line="242" w:lineRule="exact"/>
        <w:rPr>
          <w:sz w:val="20"/>
          <w:szCs w:val="20"/>
          <w:color w:val="auto"/>
        </w:rPr>
      </w:pPr>
    </w:p>
    <w:p>
      <w:pPr>
        <w:ind w:left="1060" w:hanging="440"/>
        <w:spacing w:after="0"/>
        <w:tabs>
          <w:tab w:leader="none" w:pos="106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41" w:lineRule="exact"/>
        <w:rPr>
          <w:rFonts w:ascii="Arial" w:cs="Arial" w:eastAsia="Arial" w:hAnsi="Arial"/>
          <w:sz w:val="17"/>
          <w:szCs w:val="17"/>
          <w:color w:val="auto"/>
        </w:rPr>
      </w:pPr>
    </w:p>
    <w:p>
      <w:pPr>
        <w:ind w:right="460" w:firstLine="620"/>
        <w:spacing w:after="0" w:line="317" w:lineRule="auto"/>
        <w:tabs>
          <w:tab w:leader="none" w:pos="1074" w:val="left"/>
        </w:tabs>
        <w:numPr>
          <w:ilvl w:val="0"/>
          <w:numId w:val="377"/>
        </w:numPr>
        <w:rPr>
          <w:rFonts w:ascii="Arial" w:cs="Arial" w:eastAsia="Arial" w:hAnsi="Arial"/>
          <w:sz w:val="15"/>
          <w:szCs w:val="15"/>
          <w:color w:val="auto"/>
        </w:rPr>
      </w:pPr>
      <w:r>
        <w:rPr>
          <w:rFonts w:ascii="Arial" w:cs="Arial" w:eastAsia="Arial" w:hAnsi="Arial"/>
          <w:sz w:val="15"/>
          <w:szCs w:val="15"/>
          <w:u w:val="single" w:color="auto"/>
          <w:color w:val="auto"/>
        </w:rPr>
        <w:t>BioLineRx Intellectual Property</w:t>
      </w:r>
      <w:r>
        <w:rPr>
          <w:rFonts w:ascii="Arial" w:cs="Arial" w:eastAsia="Arial" w:hAnsi="Arial"/>
          <w:sz w:val="15"/>
          <w:szCs w:val="15"/>
          <w:color w:val="auto"/>
        </w:rPr>
        <w:t>. Upon the Effective Date, Ikaria shall assume responsibility for the management of the preparation, filing prosecution and maintenance of any and all patent applications, including any interference proceedings related thereto, included in the BioLineRx Intellectual Property (including, for clarity, the Sublicensed IP, BioLineRx Patent Rights and patents and patent applications that claim or disclose BioLineRx Know-How).</w:t>
      </w:r>
    </w:p>
    <w:p>
      <w:pPr>
        <w:spacing w:after="0" w:line="165" w:lineRule="exact"/>
        <w:rPr>
          <w:rFonts w:ascii="Arial" w:cs="Arial" w:eastAsia="Arial" w:hAnsi="Arial"/>
          <w:sz w:val="15"/>
          <w:szCs w:val="15"/>
          <w:color w:val="auto"/>
        </w:rPr>
      </w:pPr>
    </w:p>
    <w:p>
      <w:pPr>
        <w:ind w:firstLine="620"/>
        <w:spacing w:after="0" w:line="277" w:lineRule="auto"/>
        <w:tabs>
          <w:tab w:leader="none" w:pos="1065"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BioLineRx Step-in Right</w:t>
      </w:r>
      <w:r>
        <w:rPr>
          <w:rFonts w:ascii="Arial" w:cs="Arial" w:eastAsia="Arial" w:hAnsi="Arial"/>
          <w:sz w:val="16"/>
          <w:szCs w:val="16"/>
          <w:color w:val="auto"/>
        </w:rPr>
        <w:t>. If Ikaria, on a country-by-country basis, declines to file and prosecute, or elects not to take actions necessary to avoid abandonment of, any patent applications or maintain any patent in any country, in each case for which it has responsibility under Section 5.2(a) or Section 5.2(b), it shall give BioLineRx reasonable notice to this effect sufficiently in advance to permit BioLineRx to undertake such filing and prosecution without a loss of rights, and thereafter BioLineRx may, upon written notice to Ikaria, file and prosecute such patent applications and maintain such patents in such country. If BioLineRx files, prosecutes or maintains any such patent application or patent in such country and any resulting Valid Claim of BioLineRx Patent Rights constitutes the only BioLineRx Patent Rights Covering the Product in such country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are no other BioLineRx Patent Rights Covering the Product in such country), [***].</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If BioLineRx exercises the foregoing step-in right following the election by Ikaria to abandon all existing BioLineRx Patent Rights in a given country, Ikaria shall, within [***] days following BioLineRx’s written request, notify BioLineRx in writing whether Ikaria intends to Commercialize a Product in the Field in such country. If Ikaria notifies BioLineRx that Ikaria has no intent to Commercialize a Product in the Field in such country, BioLineRx may, upon written notice to Ikaria within [***] days of receipt of Ikaria’s notice of lack of intent, exercise a right to directly Commercialize a Product in the Field in such country. If BioLineRx provides Ikaria with such notice:[***]</w:t>
      </w:r>
    </w:p>
    <w:p>
      <w:pPr>
        <w:spacing w:after="0" w:line="206" w:lineRule="exact"/>
        <w:rPr>
          <w:sz w:val="20"/>
          <w:szCs w:val="20"/>
          <w:color w:val="auto"/>
        </w:rPr>
      </w:pPr>
    </w:p>
    <w:p>
      <w:pPr>
        <w:ind w:right="220" w:firstLine="620"/>
        <w:spacing w:after="0" w:line="278" w:lineRule="auto"/>
        <w:tabs>
          <w:tab w:leader="none" w:pos="1074"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Ikaria shall pay the costs and expenses of preparing, filing, prosecuting, and maintaining the Patent Rights covered by Section 5.2(a) or Section 5.2(b), [***].</w:t>
      </w:r>
    </w:p>
    <w:p>
      <w:pPr>
        <w:spacing w:after="0" w:line="184" w:lineRule="exact"/>
        <w:rPr>
          <w:rFonts w:ascii="Arial" w:cs="Arial" w:eastAsia="Arial" w:hAnsi="Arial"/>
          <w:sz w:val="17"/>
          <w:szCs w:val="17"/>
          <w:color w:val="auto"/>
        </w:rPr>
      </w:pPr>
    </w:p>
    <w:p>
      <w:pPr>
        <w:ind w:left="420" w:hanging="417"/>
        <w:spacing w:after="0"/>
        <w:tabs>
          <w:tab w:leader="none" w:pos="420" w:val="left"/>
        </w:tabs>
        <w:numPr>
          <w:ilvl w:val="0"/>
          <w:numId w:val="378"/>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69" w:name="page470"/>
    <w:bookmarkEnd w:id="469"/>
    <w:p>
      <w:pPr>
        <w:ind w:right="40" w:firstLine="620"/>
        <w:spacing w:after="0" w:line="273" w:lineRule="auto"/>
        <w:tabs>
          <w:tab w:leader="none" w:pos="1065"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Cooperation Between Parties</w:t>
      </w:r>
      <w:r>
        <w:rPr>
          <w:rFonts w:ascii="Arial" w:cs="Arial" w:eastAsia="Arial" w:hAnsi="Arial"/>
          <w:sz w:val="16"/>
          <w:szCs w:val="16"/>
          <w:color w:val="auto"/>
        </w:rPr>
        <w:t>. Each Party agrees to cooperate with the other with respect to the preparation, filing, prosecution and maintenance of Patent Rights pursuant to this Section 5.2, including the execution of all such documents and instruments and the performance of such acts as may be reasonably necessary in order to permit the other Party to continue any preparation, filing, prosecution or maintenance of such Patent Rights, including Patent Rights that such Party has elected not to pursue, as provided for in subsections (a), (b) and (c) above. In addition, the filing, prosecuting and maintaining Party in subsections (a), (b) and (c) above shall promptly forward to the other Party copies of any substantive correspondence and actions prepared for or received from the U.S. Patent and Trademark Office or any foreign patent office that may materially affect the Patent Rights being prosecuted or maintained. The other Party’s patent counsel may provide comments to the filing, prosecuting and maintaining Party. If any comments by the other Party’s patent counsel are provided in sufficient time for the filing, prosecuting and maintaining Party to reflect such comments in its correspondence or response, and such comments are reasonably directed to maximizing the coverage of the claims of the Patent Rights being prosecuted or maintained, the filing, prosecuting and maintaining Party shall reflect such comments in its correspondence or response, if its patent counsel deems it prudent to do so.</w:t>
      </w:r>
    </w:p>
    <w:p>
      <w:pPr>
        <w:spacing w:after="0" w:line="196" w:lineRule="exact"/>
        <w:rPr>
          <w:rFonts w:ascii="Arial" w:cs="Arial" w:eastAsia="Arial" w:hAnsi="Arial"/>
          <w:sz w:val="16"/>
          <w:szCs w:val="16"/>
          <w:color w:val="auto"/>
        </w:rPr>
      </w:pPr>
    </w:p>
    <w:p>
      <w:pPr>
        <w:ind w:right="60" w:firstLine="620"/>
        <w:spacing w:after="0" w:line="278" w:lineRule="auto"/>
        <w:tabs>
          <w:tab w:leader="none" w:pos="1088"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Coordination with BioLineRx pursuant to the Sublicensed IP</w:t>
      </w:r>
      <w:r>
        <w:rPr>
          <w:rFonts w:ascii="Arial" w:cs="Arial" w:eastAsia="Arial" w:hAnsi="Arial"/>
          <w:sz w:val="17"/>
          <w:szCs w:val="17"/>
          <w:color w:val="auto"/>
        </w:rPr>
        <w:t>. With respect to any Sublicensed IP which Ikaria is responsible for filing, prosecuting, and maintaining, Ikaria shall:</w:t>
      </w:r>
    </w:p>
    <w:p>
      <w:pPr>
        <w:spacing w:after="0" w:line="190" w:lineRule="exact"/>
        <w:rPr>
          <w:rFonts w:ascii="Arial" w:cs="Arial" w:eastAsia="Arial" w:hAnsi="Arial"/>
          <w:sz w:val="17"/>
          <w:szCs w:val="17"/>
          <w:color w:val="auto"/>
        </w:rPr>
      </w:pPr>
    </w:p>
    <w:p>
      <w:pPr>
        <w:ind w:right="120" w:firstLine="1083"/>
        <w:spacing w:after="0" w:line="259" w:lineRule="auto"/>
        <w:tabs>
          <w:tab w:leader="none" w:pos="1542" w:val="left"/>
        </w:tabs>
        <w:numPr>
          <w:ilvl w:val="1"/>
          <w:numId w:val="379"/>
        </w:numPr>
        <w:rPr>
          <w:rFonts w:ascii="Arial" w:cs="Arial" w:eastAsia="Arial" w:hAnsi="Arial"/>
          <w:sz w:val="17"/>
          <w:szCs w:val="17"/>
          <w:color w:val="auto"/>
        </w:rPr>
      </w:pPr>
      <w:r>
        <w:rPr>
          <w:rFonts w:ascii="Arial" w:cs="Arial" w:eastAsia="Arial" w:hAnsi="Arial"/>
          <w:sz w:val="17"/>
          <w:szCs w:val="17"/>
          <w:color w:val="auto"/>
        </w:rPr>
        <w:t>consult with BioLineRx regarding the preparation, filing, and prosecution of all patent applications, and the maintenance of all patents, included within such Sublicensed IP, including the content, timing, and jurisdiction of the filing of such patent applications and their prosecution, and other details and overall global strategy pertaining to the procurement and maintenance of Patent Rights in such Sublicensed IP, and shall file, prosecute, and maintain all such Patent Rights through a law or patent attorney firm selected by Ikaria and approved by BioLineRx (and BioLineRx shall exercise its rights under the BGN License Agreement as may be necessary to obtain BGN’s approval); and</w:t>
      </w:r>
    </w:p>
    <w:p>
      <w:pPr>
        <w:spacing w:after="0" w:line="205" w:lineRule="exact"/>
        <w:rPr>
          <w:rFonts w:ascii="Arial" w:cs="Arial" w:eastAsia="Arial" w:hAnsi="Arial"/>
          <w:sz w:val="17"/>
          <w:szCs w:val="17"/>
          <w:color w:val="auto"/>
        </w:rPr>
      </w:pPr>
    </w:p>
    <w:p>
      <w:pPr>
        <w:ind w:right="60" w:firstLine="1083"/>
        <w:spacing w:after="0" w:line="265" w:lineRule="auto"/>
        <w:tabs>
          <w:tab w:leader="none" w:pos="1547" w:val="left"/>
        </w:tabs>
        <w:numPr>
          <w:ilvl w:val="1"/>
          <w:numId w:val="379"/>
        </w:numPr>
        <w:rPr>
          <w:rFonts w:ascii="Arial" w:cs="Arial" w:eastAsia="Arial" w:hAnsi="Arial"/>
          <w:sz w:val="17"/>
          <w:szCs w:val="17"/>
          <w:color w:val="auto"/>
        </w:rPr>
      </w:pPr>
      <w:r>
        <w:rPr>
          <w:rFonts w:ascii="Arial" w:cs="Arial" w:eastAsia="Arial" w:hAnsi="Arial"/>
          <w:sz w:val="17"/>
          <w:szCs w:val="17"/>
          <w:color w:val="auto"/>
        </w:rPr>
        <w:t>provide BioLineRx with copies of all patent applications that claim or disclose such Sublicensed IP, and BioLineRx shall exercise its rights under the BGN License Agreement to ensure that BGN cooperates in a timely manner with Ikaria’s efforts to register such Patent Rights, including by causing BGN to execute any documents as may be required for such purpose.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BioLineRx shall take all actions required to remain in compliance with the BGN License Agreement in connection with the foregoing.</w:t>
      </w:r>
    </w:p>
    <w:p>
      <w:pPr>
        <w:spacing w:after="0" w:line="242"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5.3</w:t>
      </w:r>
      <w:r>
        <w:rPr>
          <w:sz w:val="20"/>
          <w:szCs w:val="20"/>
          <w:color w:val="auto"/>
        </w:rPr>
        <w:tab/>
      </w:r>
      <w:r>
        <w:rPr>
          <w:rFonts w:ascii="Arial" w:cs="Arial" w:eastAsia="Arial" w:hAnsi="Arial"/>
          <w:sz w:val="15"/>
          <w:szCs w:val="15"/>
          <w:u w:val="single" w:color="auto"/>
          <w:color w:val="auto"/>
        </w:rPr>
        <w:t>Third Party Infringement</w:t>
      </w:r>
      <w:r>
        <w:rPr>
          <w:rFonts w:ascii="Arial" w:cs="Arial" w:eastAsia="Arial" w:hAnsi="Arial"/>
          <w:sz w:val="15"/>
          <w:szCs w:val="15"/>
          <w:color w:val="auto"/>
        </w:rPr>
        <w:t>.</w:t>
      </w:r>
    </w:p>
    <w:p>
      <w:pPr>
        <w:spacing w:after="0" w:line="242" w:lineRule="exact"/>
        <w:rPr>
          <w:sz w:val="20"/>
          <w:szCs w:val="20"/>
          <w:color w:val="auto"/>
        </w:rPr>
      </w:pPr>
    </w:p>
    <w:p>
      <w:pPr>
        <w:ind w:firstLine="620"/>
        <w:spacing w:after="0" w:line="279" w:lineRule="auto"/>
        <w:tabs>
          <w:tab w:leader="none" w:pos="1065"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report in writing to the other Party during the term of this Agreement any (i) known or suspected infringement of any of the BioLineRx Patent Rights or (ii) unauthorized use of any of the BioLineRx Know-How of which such Party becomes aware, including, in the case of either clause (i) or clause (ii) involving, or that may reasonably lead to, the Development, Manufacture, use or Commercialization of a product or product candidate that is or may be competitive with a Product in the Field (“</w:t>
      </w:r>
      <w:r>
        <w:rPr>
          <w:rFonts w:ascii="Arial" w:cs="Arial" w:eastAsia="Arial" w:hAnsi="Arial"/>
          <w:sz w:val="16"/>
          <w:szCs w:val="16"/>
          <w:u w:val="single" w:color="auto"/>
          <w:color w:val="auto"/>
        </w:rPr>
        <w:t>Competitive Infringement</w:t>
      </w:r>
      <w:r>
        <w:rPr>
          <w:rFonts w:ascii="Arial" w:cs="Arial" w:eastAsia="Arial" w:hAnsi="Arial"/>
          <w:sz w:val="16"/>
          <w:szCs w:val="16"/>
          <w:color w:val="auto"/>
        </w:rPr>
        <w:t>”), and shall provide the other Party with all available evidence supporting such infringement, suspected infringement, unauthorized use or suspected unauthorized use.</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500" w:right="319" w:bottom="1440" w:gutter="0" w:footer="0" w:header="0"/>
        </w:sectPr>
      </w:pPr>
    </w:p>
    <w:bookmarkStart w:id="470" w:name="page471"/>
    <w:bookmarkEnd w:id="470"/>
    <w:p>
      <w:pPr>
        <w:ind w:left="1080" w:hanging="460"/>
        <w:spacing w:after="0"/>
        <w:tabs>
          <w:tab w:leader="none" w:pos="1080" w:val="left"/>
        </w:tabs>
        <w:numPr>
          <w:ilvl w:val="1"/>
          <w:numId w:val="381"/>
        </w:numPr>
        <w:rPr>
          <w:rFonts w:ascii="Arial" w:cs="Arial" w:eastAsia="Arial" w:hAnsi="Arial"/>
          <w:sz w:val="17"/>
          <w:szCs w:val="17"/>
          <w:color w:val="auto"/>
        </w:rPr>
      </w:pPr>
      <w:r>
        <w:rPr>
          <w:rFonts w:ascii="Arial" w:cs="Arial" w:eastAsia="Arial" w:hAnsi="Arial"/>
          <w:sz w:val="17"/>
          <w:szCs w:val="17"/>
          <w:u w:val="single" w:color="auto"/>
          <w:color w:val="auto"/>
        </w:rPr>
        <w:t>BioLineRx Intellectual Property; Step-in Rights</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firstLine="1083"/>
        <w:spacing w:after="0" w:line="273" w:lineRule="auto"/>
        <w:tabs>
          <w:tab w:leader="none" w:pos="1542" w:val="left"/>
        </w:tabs>
        <w:numPr>
          <w:ilvl w:val="2"/>
          <w:numId w:val="381"/>
        </w:numPr>
        <w:rPr>
          <w:rFonts w:ascii="Arial" w:cs="Arial" w:eastAsia="Arial" w:hAnsi="Arial"/>
          <w:sz w:val="16"/>
          <w:szCs w:val="16"/>
          <w:color w:val="auto"/>
        </w:rPr>
      </w:pPr>
      <w:r>
        <w:rPr>
          <w:rFonts w:ascii="Arial" w:cs="Arial" w:eastAsia="Arial" w:hAnsi="Arial"/>
          <w:sz w:val="16"/>
          <w:szCs w:val="16"/>
          <w:color w:val="auto"/>
        </w:rPr>
        <w:t>Ikaria shall have the first right, but not the obligation, to initiate a suit or take other appropriate action that either Party reasonably believes is required to protect BioLineRx Intellectual Property from Competitive Infringement. Ikaria shall give BioLineRx sufficient advance notice of its intent to file any such suit or take any such action, and the reasons therefor, and shall provide BioLineRx with an opportunity to make suggestions and comments regarding such suit or action. Thereafter, Ikaria shall keep BioLineRx informed, and shall from time to time consult with BioLineRx regarding the status of any such suit or action and shall provide BioLineRx with copies of all material documents (</w:t>
      </w:r>
      <w:r>
        <w:rPr>
          <w:rFonts w:ascii="Arial" w:cs="Arial" w:eastAsia="Arial" w:hAnsi="Arial"/>
          <w:sz w:val="16"/>
          <w:szCs w:val="16"/>
          <w:i w:val="1"/>
          <w:iCs w:val="1"/>
          <w:color w:val="auto"/>
        </w:rPr>
        <w:t>i.e.</w:t>
      </w:r>
      <w:r>
        <w:rPr>
          <w:rFonts w:ascii="Arial" w:cs="Arial" w:eastAsia="Arial" w:hAnsi="Arial"/>
          <w:sz w:val="16"/>
          <w:szCs w:val="16"/>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Any recovery obtained as a result of any proceeding pursuant to this subsection (b)(i), by settlement or otherwise, shall be applied in the following order of priority: (A) first, each Party shall be reimbursed, on a pro rata basis, for all costs incurred by such Party in connection with such suit; and (B) second, [***]</w:t>
      </w:r>
    </w:p>
    <w:p>
      <w:pPr>
        <w:spacing w:after="0" w:line="200" w:lineRule="exact"/>
        <w:rPr>
          <w:rFonts w:ascii="Arial" w:cs="Arial" w:eastAsia="Arial" w:hAnsi="Arial"/>
          <w:sz w:val="16"/>
          <w:szCs w:val="16"/>
          <w:color w:val="auto"/>
        </w:rPr>
      </w:pPr>
    </w:p>
    <w:p>
      <w:pPr>
        <w:ind w:right="100" w:firstLine="1083"/>
        <w:spacing w:after="0" w:line="273" w:lineRule="auto"/>
        <w:tabs>
          <w:tab w:leader="none" w:pos="1547" w:val="left"/>
        </w:tabs>
        <w:numPr>
          <w:ilvl w:val="2"/>
          <w:numId w:val="381"/>
        </w:numPr>
        <w:rPr>
          <w:rFonts w:ascii="Arial" w:cs="Arial" w:eastAsia="Arial" w:hAnsi="Arial"/>
          <w:sz w:val="16"/>
          <w:szCs w:val="16"/>
          <w:color w:val="auto"/>
        </w:rPr>
      </w:pPr>
      <w:r>
        <w:rPr>
          <w:rFonts w:ascii="Arial" w:cs="Arial" w:eastAsia="Arial" w:hAnsi="Arial"/>
          <w:sz w:val="16"/>
          <w:szCs w:val="16"/>
          <w:color w:val="auto"/>
        </w:rPr>
        <w:t>If Ikaria chooses not to initiate a suit or take other appropriate action under subsection (b)(i) above to protect BioLineRx Intellectual Property from Competitive Infringement, Ikaria will so notify BioLineRx of its intention, in which case BioLineRx shall have the right to initiate such suit or take such other appropriate action. BioLineRx shall give Ikaria sufficient advance notice of its intent to file any such suit or take any such action, and the reasons therefor, and shall provide Ikaria with an opportunity to make suggestions and comments regarding such suit or action. Thereafter, BioLineRx shall keep Ikaria informed, and shall from time to time consult with Ikaria regarding the status of any such suit or action and shall provide Ikaria with copies of all material documents (</w:t>
      </w:r>
      <w:r>
        <w:rPr>
          <w:rFonts w:ascii="Arial" w:cs="Arial" w:eastAsia="Arial" w:hAnsi="Arial"/>
          <w:sz w:val="16"/>
          <w:szCs w:val="16"/>
          <w:i w:val="1"/>
          <w:iCs w:val="1"/>
          <w:color w:val="auto"/>
        </w:rPr>
        <w:t>i.e.</w:t>
      </w:r>
      <w:r>
        <w:rPr>
          <w:rFonts w:ascii="Arial" w:cs="Arial" w:eastAsia="Arial" w:hAnsi="Arial"/>
          <w:sz w:val="16"/>
          <w:szCs w:val="16"/>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Any recovery obtained as a result of any proceeding pursuant to this subsection (b)(ii), by settlement or otherwise, shall be applied in the following order of priority: (A) first, each Party shall be reimbursed, on a pro rata basis, for all costs incurred by such Party in connection with such suit; and (B) second, any remainder shall be shared [***]% for BioLineRx and [***] % for Ikaria.</w:t>
      </w:r>
    </w:p>
    <w:p>
      <w:pPr>
        <w:spacing w:after="0" w:line="190" w:lineRule="exact"/>
        <w:rPr>
          <w:rFonts w:ascii="Arial" w:cs="Arial" w:eastAsia="Arial" w:hAnsi="Arial"/>
          <w:sz w:val="16"/>
          <w:szCs w:val="16"/>
          <w:color w:val="auto"/>
        </w:rPr>
      </w:pPr>
    </w:p>
    <w:p>
      <w:pPr>
        <w:ind w:left="420" w:hanging="417"/>
        <w:spacing w:after="0"/>
        <w:tabs>
          <w:tab w:leader="none" w:pos="420"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71" w:name="page472"/>
    <w:bookmarkEnd w:id="471"/>
    <w:p>
      <w:pPr>
        <w:ind w:right="240" w:firstLine="1083"/>
        <w:spacing w:after="0" w:line="265" w:lineRule="auto"/>
        <w:tabs>
          <w:tab w:leader="none" w:pos="1552" w:val="left"/>
        </w:tabs>
        <w:numPr>
          <w:ilvl w:val="1"/>
          <w:numId w:val="382"/>
        </w:numPr>
        <w:rPr>
          <w:rFonts w:ascii="Arial" w:cs="Arial" w:eastAsia="Arial" w:hAnsi="Arial"/>
          <w:sz w:val="17"/>
          <w:szCs w:val="17"/>
          <w:color w:val="auto"/>
        </w:rPr>
      </w:pPr>
      <w:r>
        <w:rPr>
          <w:rFonts w:ascii="Arial" w:cs="Arial" w:eastAsia="Arial" w:hAnsi="Arial"/>
          <w:sz w:val="17"/>
          <w:szCs w:val="17"/>
          <w:color w:val="auto"/>
        </w:rPr>
        <w:t>If BioLineRx chooses not to initiate a suit or take other appropriate action under subsection (b)(ii) above to protect Sublicensed IP from Competitive Infringement and BGN exercises its rights under the BGN License Agreement to prosecute, prevent, or terminate such Competitive Infringement, any amount received by BioLineRx in connection therewith, whether by settlement or otherwise, [***].</w:t>
      </w:r>
    </w:p>
    <w:p>
      <w:pPr>
        <w:spacing w:after="0" w:line="201" w:lineRule="exact"/>
        <w:rPr>
          <w:rFonts w:ascii="Arial" w:cs="Arial" w:eastAsia="Arial" w:hAnsi="Arial"/>
          <w:sz w:val="17"/>
          <w:szCs w:val="17"/>
          <w:color w:val="auto"/>
        </w:rPr>
      </w:pPr>
    </w:p>
    <w:p>
      <w:pPr>
        <w:ind w:right="100" w:firstLine="620"/>
        <w:spacing w:after="0" w:line="265" w:lineRule="auto"/>
        <w:tabs>
          <w:tab w:leader="none" w:pos="1065"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Claimed Infringement</w:t>
      </w:r>
      <w:r>
        <w:rPr>
          <w:rFonts w:ascii="Arial" w:cs="Arial" w:eastAsia="Arial" w:hAnsi="Arial"/>
          <w:sz w:val="17"/>
          <w:szCs w:val="17"/>
          <w:color w:val="auto"/>
        </w:rPr>
        <w:t>. If a Party becomes aware of any claim that the Development, Manufacture, or Commercialization of Products for use in the Field in the Territory infringes Patent Rights or any other intellectual property rights of any Third Party, such Party shall promptly notify the other Party. In any such instance, Ikaria shall have the exclusive right to settle such claim.</w:t>
      </w:r>
    </w:p>
    <w:p>
      <w:pPr>
        <w:spacing w:after="0" w:line="201" w:lineRule="exact"/>
        <w:rPr>
          <w:rFonts w:ascii="Arial" w:cs="Arial" w:eastAsia="Arial" w:hAnsi="Arial"/>
          <w:sz w:val="17"/>
          <w:szCs w:val="17"/>
          <w:color w:val="auto"/>
        </w:rPr>
      </w:pPr>
    </w:p>
    <w:p>
      <w:pPr>
        <w:ind w:left="1080" w:hanging="460"/>
        <w:spacing w:after="0"/>
        <w:tabs>
          <w:tab w:leader="none" w:pos="1080"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Patent Invalidity Claim</w:t>
      </w:r>
      <w:r>
        <w:rPr>
          <w:rFonts w:ascii="Arial" w:cs="Arial" w:eastAsia="Arial" w:hAnsi="Arial"/>
          <w:sz w:val="16"/>
          <w:szCs w:val="16"/>
          <w:color w:val="auto"/>
        </w:rPr>
        <w:t>. If a Third Party at any time asserts a claim that any BioLineRx Patent Rights is invalid or otherwise unenforceable (an</w:t>
      </w:r>
    </w:p>
    <w:p>
      <w:pPr>
        <w:spacing w:after="0" w:line="3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Invalidity Claim</w:t>
      </w:r>
      <w:r>
        <w:rPr>
          <w:rFonts w:ascii="Arial" w:cs="Arial" w:eastAsia="Arial" w:hAnsi="Arial"/>
          <w:sz w:val="17"/>
          <w:szCs w:val="17"/>
          <w:color w:val="auto"/>
        </w:rPr>
        <w:t>”), whether (i) as a defense in an infringement action brought by Ikaria or BioLineRx pursuant to subsection (b) above, or (ii) in an action brought against Ikaria or BioLineRx referred to in subsection (c) above, or (iii) otherwise, the Parties shall cooperate with each other in preparing and formulating a response to such Invalidity Claim. Neither Party shall settle or compromise any Invalidity Claim without the consent of the other Party, which consent shall not be unreasonably withheld, conditioned or delayed.</w:t>
      </w:r>
    </w:p>
    <w:p>
      <w:pPr>
        <w:spacing w:after="0" w:line="210" w:lineRule="exact"/>
        <w:rPr>
          <w:sz w:val="20"/>
          <w:szCs w:val="20"/>
          <w:color w:val="auto"/>
        </w:rPr>
      </w:pPr>
    </w:p>
    <w:p>
      <w:pPr>
        <w:ind w:firstLine="620"/>
        <w:spacing w:after="0" w:line="256" w:lineRule="auto"/>
        <w:tabs>
          <w:tab w:leader="none" w:pos="1065"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Conduct of Certain Actions; Costs</w:t>
      </w:r>
      <w:r>
        <w:rPr>
          <w:rFonts w:ascii="Arial" w:cs="Arial" w:eastAsia="Arial" w:hAnsi="Arial"/>
          <w:sz w:val="17"/>
          <w:szCs w:val="17"/>
          <w:color w:val="auto"/>
        </w:rPr>
        <w:t>. Ikaria shall have the sole and exclusive right to select counsel for any suit initiated by it referenced in subsection (b)(i) above or against it referenced in subsection (c) above, and BioLineRx shall have the sole and exclusive right to select counsel for any suit initiated by it referenced in subsection (b)(ii) above. If required under applicable law in order for a Party (the “</w:t>
      </w:r>
      <w:r>
        <w:rPr>
          <w:rFonts w:ascii="Arial" w:cs="Arial" w:eastAsia="Arial" w:hAnsi="Arial"/>
          <w:sz w:val="17"/>
          <w:szCs w:val="17"/>
          <w:u w:val="single" w:color="auto"/>
          <w:color w:val="auto"/>
        </w:rPr>
        <w:t>Lead Party</w:t>
      </w:r>
      <w:r>
        <w:rPr>
          <w:rFonts w:ascii="Arial" w:cs="Arial" w:eastAsia="Arial" w:hAnsi="Arial"/>
          <w:sz w:val="17"/>
          <w:szCs w:val="17"/>
          <w:color w:val="auto"/>
        </w:rPr>
        <w:t>”) to initiate or maintain such suit, the other Party shall join as a party to the suit. Such other Party shall offer reasonable assistance to the Lead Party in connection therewith at no charge to the Lead Party except for reimbursement of such other Party’s reasonable out-of-pocket expenses incurred in rendering such assistance. The Lead Party shall assume and pay all of its own out-of-pocket costs incurred in connection with any litigation or proceedings referenced in the first sentence of this subsection (e), including the fees and expenses of the counsel selected by it. Subject to applicable law, the other Party shall have the right to participate and be represented in any such suit by its own counsel at its own expense.</w:t>
      </w:r>
    </w:p>
    <w:p>
      <w:pPr>
        <w:spacing w:after="0" w:line="209" w:lineRule="exact"/>
        <w:rPr>
          <w:rFonts w:ascii="Arial" w:cs="Arial" w:eastAsia="Arial" w:hAnsi="Arial"/>
          <w:sz w:val="17"/>
          <w:szCs w:val="17"/>
          <w:color w:val="auto"/>
        </w:rPr>
      </w:pPr>
    </w:p>
    <w:p>
      <w:pPr>
        <w:ind w:right="340" w:firstLine="620"/>
        <w:spacing w:after="0" w:line="278" w:lineRule="auto"/>
        <w:tabs>
          <w:tab w:leader="none" w:pos="1088" w:val="left"/>
        </w:tabs>
        <w:numPr>
          <w:ilvl w:val="1"/>
          <w:numId w:val="384"/>
        </w:numPr>
        <w:rPr>
          <w:rFonts w:ascii="Arial" w:cs="Arial" w:eastAsia="Arial" w:hAnsi="Arial"/>
          <w:sz w:val="17"/>
          <w:szCs w:val="17"/>
          <w:color w:val="auto"/>
        </w:rPr>
      </w:pPr>
      <w:r>
        <w:rPr>
          <w:rFonts w:ascii="Arial" w:cs="Arial" w:eastAsia="Arial" w:hAnsi="Arial"/>
          <w:sz w:val="17"/>
          <w:szCs w:val="17"/>
          <w:u w:val="single" w:color="auto"/>
          <w:color w:val="auto"/>
        </w:rPr>
        <w:t>Coordination with BGN</w:t>
      </w:r>
      <w:r>
        <w:rPr>
          <w:rFonts w:ascii="Arial" w:cs="Arial" w:eastAsia="Arial" w:hAnsi="Arial"/>
          <w:sz w:val="17"/>
          <w:szCs w:val="17"/>
          <w:color w:val="auto"/>
        </w:rPr>
        <w:t>. With respect to any suit to protect Sublicensed IP from infringement for which Ikaria is the Lead Party, notwithstanding anything to the contrary in this Section 5.3:</w:t>
      </w:r>
    </w:p>
    <w:p>
      <w:pPr>
        <w:spacing w:after="0" w:line="184" w:lineRule="exact"/>
        <w:rPr>
          <w:rFonts w:ascii="Arial" w:cs="Arial" w:eastAsia="Arial" w:hAnsi="Arial"/>
          <w:sz w:val="17"/>
          <w:szCs w:val="17"/>
          <w:color w:val="auto"/>
        </w:rPr>
      </w:pPr>
    </w:p>
    <w:p>
      <w:pPr>
        <w:ind w:left="420" w:hanging="417"/>
        <w:spacing w:after="0"/>
        <w:tabs>
          <w:tab w:leader="none" w:pos="420" w:val="left"/>
        </w:tabs>
        <w:numPr>
          <w:ilvl w:val="0"/>
          <w:numId w:val="384"/>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72" w:name="page473"/>
    <w:bookmarkEnd w:id="472"/>
    <w:p>
      <w:pPr>
        <w:jc w:val="both"/>
        <w:ind w:right="420" w:firstLine="1083"/>
        <w:spacing w:after="0" w:line="265" w:lineRule="auto"/>
        <w:tabs>
          <w:tab w:leader="none" w:pos="1542"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if required under applicable law in order for Ikaria to initiate or maintain such suit, BioLineRx shall (A) exercise its rights under the BGN License Agreement to cause BGN to join as a party to such suit, (B) exercise its rights under the BGN License Agreement to obtain BGN’s approval of counsel selected by Ikaria to represent Ikaria and BGN in such suit, and (C) [***];</w:t>
      </w:r>
    </w:p>
    <w:p>
      <w:pPr>
        <w:spacing w:after="0" w:line="201" w:lineRule="exact"/>
        <w:rPr>
          <w:rFonts w:ascii="Arial" w:cs="Arial" w:eastAsia="Arial" w:hAnsi="Arial"/>
          <w:sz w:val="17"/>
          <w:szCs w:val="17"/>
          <w:color w:val="auto"/>
        </w:rPr>
      </w:pPr>
    </w:p>
    <w:p>
      <w:pPr>
        <w:ind w:right="340" w:firstLine="1083"/>
        <w:spacing w:after="0" w:line="278" w:lineRule="auto"/>
        <w:tabs>
          <w:tab w:leader="none" w:pos="1547" w:val="left"/>
        </w:tabs>
        <w:numPr>
          <w:ilvl w:val="0"/>
          <w:numId w:val="385"/>
        </w:numPr>
        <w:rPr>
          <w:rFonts w:ascii="Arial" w:cs="Arial" w:eastAsia="Arial" w:hAnsi="Arial"/>
          <w:sz w:val="17"/>
          <w:szCs w:val="17"/>
          <w:color w:val="auto"/>
        </w:rPr>
      </w:pPr>
      <w:r>
        <w:rPr>
          <w:rFonts w:ascii="Arial" w:cs="Arial" w:eastAsia="Arial" w:hAnsi="Arial"/>
          <w:sz w:val="17"/>
          <w:szCs w:val="17"/>
          <w:color w:val="auto"/>
        </w:rPr>
        <w:t>Ikaria shall not compromise or settle such suit without the prior written consent of BGN, which consent BioLineRx shall exercise its rights under the BGN License Agreement to obtain; and</w:t>
      </w:r>
    </w:p>
    <w:p>
      <w:pPr>
        <w:spacing w:after="0" w:line="190" w:lineRule="exact"/>
        <w:rPr>
          <w:rFonts w:ascii="Arial" w:cs="Arial" w:eastAsia="Arial" w:hAnsi="Arial"/>
          <w:sz w:val="17"/>
          <w:szCs w:val="17"/>
          <w:color w:val="auto"/>
        </w:rPr>
      </w:pPr>
    </w:p>
    <w:p>
      <w:pPr>
        <w:ind w:firstLine="1083"/>
        <w:spacing w:after="0" w:line="282" w:lineRule="auto"/>
        <w:tabs>
          <w:tab w:leader="none" w:pos="1552" w:val="left"/>
        </w:tabs>
        <w:numPr>
          <w:ilvl w:val="0"/>
          <w:numId w:val="385"/>
        </w:numPr>
        <w:rPr>
          <w:rFonts w:ascii="Arial" w:cs="Arial" w:eastAsia="Arial" w:hAnsi="Arial"/>
          <w:sz w:val="16"/>
          <w:szCs w:val="16"/>
          <w:color w:val="auto"/>
        </w:rPr>
      </w:pPr>
      <w:r>
        <w:rPr>
          <w:rFonts w:ascii="Arial" w:cs="Arial" w:eastAsia="Arial" w:hAnsi="Arial"/>
          <w:sz w:val="16"/>
          <w:szCs w:val="16"/>
          <w:color w:val="auto"/>
        </w:rPr>
        <w:t>any recovery obtained by Ikaria as a result of such suit, by settlement or otherwise, shall be applied in the following order of priority: (A) first, each Party shall be reimbursed, on a pro rata basis, for all costs incurred by such Party in connection with such suit (for clarity, BioLineRx shall be reimbursed for any costs of BGN paid by BioLineRx in accordance with clause (i)(C) above); (B) second, [***]%) of any remainder shall paid to BioLineRx for remittance to BGN as provided in Section 10.1.2 of the BGN License Agreement ; and (C) third, the remaining [***]%) shall be retained by Ikaria; [***].</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Confidentiality; Non-Solicitation; Standstill</w:t>
      </w:r>
    </w:p>
    <w:p>
      <w:pPr>
        <w:spacing w:after="0" w:line="231"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Each Party agrees that all Confidential Information disclosed to it or its Affiliates by the other Party (a)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used by the receiving Party or its Affiliates except to fulfill its obligations or exercise its rights under this Agreement, (b) shall be maintained in confidence by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receiving Party and its Affiliates, and (c) shall not be disclosed by the receiving Party or its Affiliates to any Third Party who is not a consultant of, or an advisor 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receiving Party or its Affiliates without the prior written consent of the disclosing Party, which consent the disclosing Party may withhold in its sole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discretion. Notwithstanding the foregoing, either Party may disclose Confidential Information of the other Party if such Party is required to make such disclosure by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applicable law, regulation or legal process, including by Israeli securities laws, the rules or regulations of the United States Securities and Exchange Commission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or any similar regulatory agency in a country other than the United States or of any stock exchange, including the Tel Aviv Stock Exchange, in which event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such Party shall provide prior notice of such intended disclosure to such other Party, if possible under the circumstances, and shall disclose only such Confidential</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Information of the other Party as is required to be disclosed. If this Agreement shall be included in any report, statement or other document filed by either Party or an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Affiliate of either Party pursuant to the preceding sentence, such Party shall use, or shall cause its Affiliate, as the case may be, to use, reasonable efforts to obtain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confidential treatment from the SEC, similar regulatory agency or stock exchange of any financial information or other information of a competitive or confidential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nature, and shall include in such confidentiality request such provisions of this Agreement as may be reasonably requested by the other Party.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73" w:name="page474"/>
    <w:bookmarkEnd w:id="473"/>
    <w:p>
      <w:pPr>
        <w:ind w:firstLine="309"/>
        <w:spacing w:after="0" w:line="273"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Disclosures to Employees, Consultants, Advisors, Etc</w:t>
      </w:r>
      <w:r>
        <w:rPr>
          <w:rFonts w:ascii="Arial" w:cs="Arial" w:eastAsia="Arial" w:hAnsi="Arial"/>
          <w:sz w:val="16"/>
          <w:szCs w:val="16"/>
          <w:color w:val="auto"/>
        </w:rPr>
        <w:t xml:space="preserve">. Each Party agrees that it and its Affiliates shall provide Confidential Information received from the other Party only to the receiving Party’s respective employees, consultants, advisors, Licensees and potential Licensees, and to the employees, consultants and advisors of the receiving Party’s Affiliates, who have a need to know such Confidential Information to assist the receiving Party in fulfilling its obligations under this Agreement and only under conditions of confidentiality and non-use at least as stringent as the conditions imposed by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BioLineRx and Ikaria shall each remain responsible for any failure by its and its Affiliates’ respective employees, consultants, advisors, Licensees and potential Licensees to treat such information and materials as required under Section 6.1. For clarity, (a) Ikaria is permitted to disclose Confidential Information to actual or potential Licensees, acquirors or financing sources; and (b) BioLineRx is permitted to disclose this Agreement and the Development Plan to BGN, solely to the extent required under the BGN License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disclosure subjects the receiving Third Party to conditions of confidentiality and non-use at least as stringent as the conditions imposed by this Agreement.</w:t>
      </w:r>
    </w:p>
    <w:p>
      <w:pPr>
        <w:spacing w:after="0" w:line="200" w:lineRule="exact"/>
        <w:rPr>
          <w:sz w:val="20"/>
          <w:szCs w:val="20"/>
          <w:color w:val="auto"/>
        </w:rPr>
      </w:pPr>
    </w:p>
    <w:p>
      <w:pPr>
        <w:ind w:right="40" w:firstLine="309"/>
        <w:spacing w:after="0" w:line="257"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term of this Agreement and continuing for [***] months after the termination of this Agreement, neither Party shall directly or indirectly, for its own account or for the account of others, urge, induce, entice, or in any manner whatsoever solicit any employee directly involved in the activities conducted pursuant to this Agreement to leave the employment of the other Party or any of its Affiliates. For purposes of the foregoing, “urge”, “induce”, “entice” or “solicit” shall not be deemed to mean: (a) circumstances where an employee of a Party initiates contact with the other Party or any of its Affiliates with regard to possible employment; or (b) general solicitations of employment not specifically targeted at employees of a Party or any of its Affiliates, including responses to general advertisements.</w:t>
      </w:r>
    </w:p>
    <w:p>
      <w:pPr>
        <w:spacing w:after="0" w:line="210" w:lineRule="exact"/>
        <w:rPr>
          <w:sz w:val="20"/>
          <w:szCs w:val="20"/>
          <w:color w:val="auto"/>
        </w:rPr>
      </w:pPr>
    </w:p>
    <w:p>
      <w:pPr>
        <w:ind w:right="40" w:firstLine="309"/>
        <w:spacing w:after="0" w:line="291" w:lineRule="auto"/>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Standstill</w:t>
      </w:r>
      <w:r>
        <w:rPr>
          <w:rFonts w:ascii="Arial" w:cs="Arial" w:eastAsia="Arial" w:hAnsi="Arial"/>
          <w:sz w:val="15"/>
          <w:szCs w:val="15"/>
          <w:color w:val="auto"/>
        </w:rPr>
        <w:t>. Neither Ikaria nor any of its Affiliates shall directly or indirectly, for its own account or for the account of others, acquire more than [***]%) of the equity or debt securities of BioLineRx, or urge, induce, entice or solicit any Third Party to acquire the equity or debt securities of BioLineRx, in either case without the consent of BioLineRx, which may be withheld in its sole discretion. The obligations of Ikaria under this Section 6.4 shall terminate in the event that</w:t>
      </w:r>
    </w:p>
    <w:p>
      <w:pPr>
        <w:spacing w:after="0" w:line="1" w:lineRule="exact"/>
        <w:rPr>
          <w:sz w:val="20"/>
          <w:szCs w:val="20"/>
          <w:color w:val="auto"/>
        </w:rPr>
      </w:pPr>
    </w:p>
    <w:p>
      <w:pPr>
        <w:ind w:right="100" w:firstLine="3"/>
        <w:spacing w:after="0" w:line="286" w:lineRule="auto"/>
        <w:tabs>
          <w:tab w:leader="none" w:pos="233" w:val="left"/>
        </w:tabs>
        <w:numPr>
          <w:ilvl w:val="0"/>
          <w:numId w:val="386"/>
        </w:numPr>
        <w:rPr>
          <w:rFonts w:ascii="Arial" w:cs="Arial" w:eastAsia="Arial" w:hAnsi="Arial"/>
          <w:sz w:val="15"/>
          <w:szCs w:val="15"/>
          <w:color w:val="auto"/>
        </w:rPr>
      </w:pPr>
      <w:r>
        <w:rPr>
          <w:rFonts w:ascii="Arial" w:cs="Arial" w:eastAsia="Arial" w:hAnsi="Arial"/>
          <w:sz w:val="15"/>
          <w:szCs w:val="15"/>
          <w:color w:val="auto"/>
        </w:rPr>
        <w:t>any Third Party initiates a tender or exchange offer, or otherwise publicly proposes or agrees to acquire, a majority of the equity or debt securities of BioLineRx (provided that the restrictions set forth in this Section 6.4 shall be reinstated in the event that such tender or exchange offer, or proposal, is terminated or withdrawn),</w:t>
      </w:r>
    </w:p>
    <w:p>
      <w:pPr>
        <w:ind w:right="20" w:firstLine="3"/>
        <w:spacing w:after="0" w:line="254" w:lineRule="auto"/>
        <w:tabs>
          <w:tab w:leader="none" w:pos="243" w:val="left"/>
        </w:tabs>
        <w:numPr>
          <w:ilvl w:val="0"/>
          <w:numId w:val="386"/>
        </w:numPr>
        <w:rPr>
          <w:rFonts w:ascii="Arial" w:cs="Arial" w:eastAsia="Arial" w:hAnsi="Arial"/>
          <w:sz w:val="17"/>
          <w:szCs w:val="17"/>
          <w:color w:val="auto"/>
        </w:rPr>
      </w:pPr>
      <w:r>
        <w:rPr>
          <w:rFonts w:ascii="Arial" w:cs="Arial" w:eastAsia="Arial" w:hAnsi="Arial"/>
          <w:sz w:val="17"/>
          <w:szCs w:val="17"/>
          <w:color w:val="auto"/>
        </w:rPr>
        <w:t>it is publicly disclosed that voting securities representing at least [***] of the total voting power of BioLineRx have been acquired by any one or more Third Parties, (c) BioLineRx publicly announces that it intends to seek a Third Party acquirer (provided that the restrictions set forth in this Section 6.4 shall be reinstated in the event that BioLineRx publicly announces that it no longer is seeking a Third Party acquirer and so notifies Ikaria in writing), (d) BioLineRx enters into any agreement to merge with, or sell or dispose of [***] or more of its assets or securities, or (e) this Agreement is terminated pursuant to Article VIII. BioLineRx shall provide Ikaria with prompt written notice of the occurrence of any of the foregoing events to the extent permitted under applicable law. For clarity, the acquisition by any employee benefit plan of Ikaria or its Affiliates in any diversified index, mutual or pension fund, which fund in turn holds BioLineRx securities, shall not be deemed a breach of this Section 6.4.</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474" w:name="page475"/>
    <w:bookmarkEnd w:id="474"/>
    <w:p>
      <w:pPr>
        <w:ind w:right="540" w:firstLine="309"/>
        <w:spacing w:after="0" w:line="27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Term</w:t>
      </w:r>
      <w:r>
        <w:rPr>
          <w:rFonts w:ascii="Arial" w:cs="Arial" w:eastAsia="Arial" w:hAnsi="Arial"/>
          <w:sz w:val="17"/>
          <w:szCs w:val="17"/>
          <w:color w:val="auto"/>
        </w:rPr>
        <w:t>. All obligations of confidentiality imposed under this Article VI shall survive until the date that is [***] years after the expiration or termination of this Agreement.</w:t>
      </w:r>
    </w:p>
    <w:p>
      <w:pPr>
        <w:spacing w:after="0" w:line="190" w:lineRule="exact"/>
        <w:rPr>
          <w:sz w:val="20"/>
          <w:szCs w:val="20"/>
          <w:color w:val="auto"/>
        </w:rPr>
      </w:pPr>
    </w:p>
    <w:p>
      <w:pPr>
        <w:ind w:firstLine="309"/>
        <w:spacing w:after="0" w:line="271"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During the term of this Agreement, the content of any press release or public announcement relating to this Agreement or a Product shall be mutually approved by the Parties, except that (a) a Party may issue such press release or public announcement if the contents of such press release or public announcement have previously been made public other than through a breach of this Agreement by the issuing Party, (b) a Party may issue such a press release or public announcement if it is advised by counsel that such press release or public announcement is required by applicable law, regulation or legal process, including by Israeli securities laws, the rules or regulations of the SEC or any similar regulatory agency in a country other than the United States or of any stock exchange, including the Tel Aviv Stock Exchange, and (c) Ikaria shall remain free to issue press releases and public announcements regarding the Development, Manufacturing, Commercialization and use of Products in the Field,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Ikaria shall provide BioLineRx with advance notice of at least [***] days prior to public disclosure of such releases and announcements or such shorter period as required to comply with any applicable law. In addition, BioLineRx shall reasonably implement any changes that Ikaria may recommend with respect to any filing to be made in accordance with the rules or regulations of the SEC or any similar regulatory agency in a country other than the United States or of any stock exchange, including the Tel Aviv Stock Exchange; provided that such Ikaria shall only have the right to comment upon portions of such filings that directly related to Ikaria or this Agreement. Nothing in the foregoing shall require BioLineRx to implement any change that Ikaria may recommend that is not consistent with the rules or regulations of the Israel Securities Authority, Tel Aviv Stock Exchange, the rules or regulations of the SEC, or any similar regulatory agency in a country other than the United States or Israel, as advised in writing by BioLineRx’s legal counsel. BioLineRx’s legal counsel will provide Ikaria confirmation of such advise.</w:t>
      </w:r>
    </w:p>
    <w:p>
      <w:pPr>
        <w:spacing w:after="0" w:line="204" w:lineRule="exact"/>
        <w:rPr>
          <w:sz w:val="20"/>
          <w:szCs w:val="20"/>
          <w:color w:val="auto"/>
        </w:rPr>
      </w:pPr>
    </w:p>
    <w:p>
      <w:pPr>
        <w:ind w:right="100" w:firstLine="309"/>
        <w:spacing w:after="0" w:line="274"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Publications</w:t>
      </w:r>
      <w:r>
        <w:rPr>
          <w:rFonts w:ascii="Arial" w:cs="Arial" w:eastAsia="Arial" w:hAnsi="Arial"/>
          <w:sz w:val="16"/>
          <w:szCs w:val="16"/>
          <w:color w:val="auto"/>
        </w:rPr>
        <w:t>. The results of the Development Program may be published by a Party as part of a scientific presentation or publication only after scientific review by and approval of the Joint Development Committee unless the other Party, acting reasonably, disapproves of the presentation or publication in writing within [***] days after receipt of the presentation or publication. Either Party may require that such Party’s Confidential Information be redacted from such presentation or publication and may reasonably require that other information also be redacted. In addition, at the request of either Party, the date of submission for presentation or publication shall be delayed for a period of time sufficiently long to permit a Party to seek appropriate patent protection. Other than as provided for herein, BioLineRx shall not make any publication regarding any Product or containing any Confidential Information of Ikaria without the prior written consent of Ikaria. Notwithstanding the foregoing, to the extent necessary or appropriate as determined in Ikaria’s discretion, Ikaria may disclose information otherwise covered by this Section 6.7 in documents filed with the SEC.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475" w:name="page476"/>
    <w:bookmarkEnd w:id="475"/>
    <w:p>
      <w:pPr>
        <w:jc w:val="center"/>
        <w:ind w:right="-19"/>
        <w:spacing w:after="0"/>
        <w:rPr>
          <w:sz w:val="20"/>
          <w:szCs w:val="20"/>
          <w:color w:val="auto"/>
        </w:rPr>
      </w:pPr>
      <w:r>
        <w:rPr>
          <w:rFonts w:ascii="Arial" w:cs="Arial" w:eastAsia="Arial" w:hAnsi="Arial"/>
          <w:sz w:val="17"/>
          <w:szCs w:val="17"/>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Representations and Warranties</w:t>
      </w:r>
    </w:p>
    <w:p>
      <w:pPr>
        <w:spacing w:after="0" w:line="231" w:lineRule="exact"/>
        <w:rPr>
          <w:sz w:val="20"/>
          <w:szCs w:val="20"/>
          <w:color w:val="auto"/>
        </w:rPr>
      </w:pPr>
    </w:p>
    <w:p>
      <w:pPr>
        <w:ind w:firstLine="309"/>
        <w:spacing w:after="0" w:line="265"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Representations of Authority</w:t>
      </w:r>
      <w:r>
        <w:rPr>
          <w:rFonts w:ascii="Arial" w:cs="Arial" w:eastAsia="Arial" w:hAnsi="Arial"/>
          <w:sz w:val="17"/>
          <w:szCs w:val="17"/>
          <w:color w:val="auto"/>
        </w:rPr>
        <w:t>. BioLineRx and Ikaria each represents and warrants to the other Party that, except for the consent of the OCS, it has full corporate right, power and authority to enter into this Agreement and to perform its respective obligations under this Agreement and that it has the right to grant to the other Party the rights and licenses granted pursuant to this Agreement.</w:t>
      </w:r>
    </w:p>
    <w:p>
      <w:pPr>
        <w:spacing w:after="0" w:line="201" w:lineRule="exact"/>
        <w:rPr>
          <w:sz w:val="20"/>
          <w:szCs w:val="20"/>
          <w:color w:val="auto"/>
        </w:rPr>
      </w:pPr>
    </w:p>
    <w:p>
      <w:pPr>
        <w:ind w:right="160" w:firstLine="309"/>
        <w:spacing w:after="0" w:line="265"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Consents</w:t>
      </w:r>
      <w:r>
        <w:rPr>
          <w:rFonts w:ascii="Arial" w:cs="Arial" w:eastAsia="Arial" w:hAnsi="Arial"/>
          <w:sz w:val="17"/>
          <w:szCs w:val="17"/>
          <w:color w:val="auto"/>
        </w:rPr>
        <w:t>. BioLineRx and Ikaria each represents and warrants to the other Party that, except for the consent of the OCS, all necessary consents, approvals and authorizations of all government authorities and other Persons required to be obtained by it as of the date hereof in connection with the execution, delivery and performance of this Agreement have been obtained.</w:t>
      </w:r>
    </w:p>
    <w:p>
      <w:pPr>
        <w:spacing w:after="0" w:line="201"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No Conflict</w:t>
      </w:r>
      <w:r>
        <w:rPr>
          <w:rFonts w:ascii="Arial" w:cs="Arial" w:eastAsia="Arial" w:hAnsi="Arial"/>
          <w:sz w:val="17"/>
          <w:szCs w:val="17"/>
          <w:color w:val="auto"/>
        </w:rPr>
        <w:t>. BioLineRx and Ikaria each represents and warrants to the other Party that, notwithstanding anything to the contrary in this Agreement, except for the consent of the OCS, the execution and delivery of this Agreement, the performance of such Party’s obligations in the conduct of the collaboration and the licenses and rights to be granted pursuant to this Agreement (a) do not conflict with or violate any requirement of applicable laws or regulations existing as of the date hereof and (b) do not conflict with, violate, breach or constitute a default under any contractual obligations of such Party or any of its Affiliates existing as of the date hereof.</w:t>
      </w:r>
    </w:p>
    <w:p>
      <w:pPr>
        <w:spacing w:after="0" w:line="206" w:lineRule="exact"/>
        <w:rPr>
          <w:sz w:val="20"/>
          <w:szCs w:val="20"/>
          <w:color w:val="auto"/>
        </w:rPr>
      </w:pPr>
    </w:p>
    <w:p>
      <w:pPr>
        <w:ind w:right="140" w:firstLine="309"/>
        <w:spacing w:after="0" w:line="278"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Enforceability</w:t>
      </w:r>
      <w:r>
        <w:rPr>
          <w:rFonts w:ascii="Arial" w:cs="Arial" w:eastAsia="Arial" w:hAnsi="Arial"/>
          <w:sz w:val="17"/>
          <w:szCs w:val="17"/>
          <w:color w:val="auto"/>
        </w:rPr>
        <w:t>. BioLineRx and Ikaria each represents and warrants to the other Party that this Agreement is a legal and valid obligation binding upon it and is enforceable against it in accordance with its terms.</w:t>
      </w:r>
    </w:p>
    <w:p>
      <w:pPr>
        <w:spacing w:after="0" w:line="19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u w:val="single" w:color="auto"/>
          <w:color w:val="auto"/>
        </w:rPr>
        <w:t>Additional BioLineRx Representations</w:t>
      </w:r>
      <w:r>
        <w:rPr>
          <w:rFonts w:ascii="Arial" w:cs="Arial" w:eastAsia="Arial" w:hAnsi="Arial"/>
          <w:sz w:val="15"/>
          <w:szCs w:val="15"/>
          <w:color w:val="auto"/>
        </w:rPr>
        <w:t>. BioLineRx represents and warrants to Ikaria that:</w:t>
      </w:r>
    </w:p>
    <w:p>
      <w:pPr>
        <w:spacing w:after="0" w:line="242" w:lineRule="exact"/>
        <w:rPr>
          <w:sz w:val="20"/>
          <w:szCs w:val="20"/>
          <w:color w:val="auto"/>
        </w:rPr>
      </w:pPr>
    </w:p>
    <w:p>
      <w:pPr>
        <w:ind w:left="1060" w:hanging="440"/>
        <w:spacing w:after="0"/>
        <w:tabs>
          <w:tab w:leader="none" w:pos="10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BioLineRx has the right to grant the licenses granted to Ikaria on the terms set forth in this Agreement;</w:t>
      </w:r>
    </w:p>
    <w:p>
      <w:pPr>
        <w:spacing w:after="0" w:line="241" w:lineRule="exact"/>
        <w:rPr>
          <w:rFonts w:ascii="Arial" w:cs="Arial" w:eastAsia="Arial" w:hAnsi="Arial"/>
          <w:sz w:val="17"/>
          <w:szCs w:val="17"/>
          <w:color w:val="auto"/>
        </w:rPr>
      </w:pPr>
    </w:p>
    <w:p>
      <w:pPr>
        <w:ind w:right="40" w:firstLine="620"/>
        <w:spacing w:after="0" w:line="278" w:lineRule="auto"/>
        <w:tabs>
          <w:tab w:leader="none" w:pos="107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BioLineRx is not engaged with any Third Party in any Development efforts directed to Products in the Field in the Territory other than with respect to the On-Going Phase I/II Trial, the Other On-Going Trials or the Existing Product Agreements;</w:t>
      </w:r>
    </w:p>
    <w:p>
      <w:pPr>
        <w:spacing w:after="0" w:line="190" w:lineRule="exact"/>
        <w:rPr>
          <w:rFonts w:ascii="Arial" w:cs="Arial" w:eastAsia="Arial" w:hAnsi="Arial"/>
          <w:sz w:val="17"/>
          <w:szCs w:val="17"/>
          <w:color w:val="auto"/>
        </w:rPr>
      </w:pPr>
    </w:p>
    <w:p>
      <w:pPr>
        <w:ind w:right="100" w:firstLine="620"/>
        <w:spacing w:after="0" w:line="261" w:lineRule="auto"/>
        <w:tabs>
          <w:tab w:leader="none" w:pos="106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BioLineRx has provided Ikaria with true and complete copies of each of the Existing Product Agreements, each of which is in full force and effect in accordance with its terms as of the date hereof, and has obtained all consents necessary for the assignment to Ikaria of each of the Existing Product Agreements hereunder, and, following such assignment, Ikaria shall have the legal right to exercise all rights of BioLineRx that existed thereunder immediately prior to such assignment;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76" w:name="page477"/>
    <w:bookmarkEnd w:id="476"/>
    <w:p>
      <w:pPr>
        <w:ind w:firstLine="620"/>
        <w:spacing w:after="0" w:line="278" w:lineRule="auto"/>
        <w:tabs>
          <w:tab w:leader="none" w:pos="1074"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to BioLineRx’s Knowledge, the BioLineRx Patent Rights listed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are valid and enforceable and constitute all of the Patent Rights necessary or useful for Ikaria to fully exercise and enforce its rights hereunder;</w:t>
      </w:r>
    </w:p>
    <w:p>
      <w:pPr>
        <w:spacing w:after="0" w:line="190" w:lineRule="exact"/>
        <w:rPr>
          <w:rFonts w:ascii="Arial" w:cs="Arial" w:eastAsia="Arial" w:hAnsi="Arial"/>
          <w:sz w:val="17"/>
          <w:szCs w:val="17"/>
          <w:color w:val="auto"/>
        </w:rPr>
      </w:pPr>
    </w:p>
    <w:p>
      <w:pPr>
        <w:ind w:left="1060" w:hanging="440"/>
        <w:spacing w:after="0"/>
        <w:tabs>
          <w:tab w:leader="none" w:pos="10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to BioLineRx’s Knowledge, the BioLineRx Patent Rights are not being infringed and the BioLineRx Know-How is not being misappropriated by any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Third Party;</w:t>
      </w:r>
    </w:p>
    <w:p>
      <w:pPr>
        <w:spacing w:after="0" w:line="230" w:lineRule="exact"/>
        <w:rPr>
          <w:rFonts w:ascii="Arial" w:cs="Arial" w:eastAsia="Arial" w:hAnsi="Arial"/>
          <w:sz w:val="16"/>
          <w:szCs w:val="16"/>
          <w:color w:val="auto"/>
        </w:rPr>
      </w:pPr>
    </w:p>
    <w:p>
      <w:pPr>
        <w:ind w:right="40" w:firstLine="620"/>
        <w:spacing w:after="0" w:line="265" w:lineRule="auto"/>
        <w:tabs>
          <w:tab w:leader="none" w:pos="108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BioLineRx owns the entire right, title and interest in and to the BioLineRx Intellectual Property (other than the Sublicensed IP) free and clear of any liens, charges, claims and encumbrances, and no other Person has any claim of ownership or right to obtain compensation with respect to such BioLineRx Intellectual Property;</w:t>
      </w:r>
    </w:p>
    <w:p>
      <w:pPr>
        <w:spacing w:after="0" w:line="201" w:lineRule="exact"/>
        <w:rPr>
          <w:rFonts w:ascii="Arial" w:cs="Arial" w:eastAsia="Arial" w:hAnsi="Arial"/>
          <w:sz w:val="17"/>
          <w:szCs w:val="17"/>
          <w:color w:val="auto"/>
        </w:rPr>
      </w:pPr>
    </w:p>
    <w:p>
      <w:pPr>
        <w:ind w:right="80" w:firstLine="620"/>
        <w:spacing w:after="0" w:line="278" w:lineRule="auto"/>
        <w:tabs>
          <w:tab w:leader="none" w:pos="1074"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to BioLineRx’s Knowledge, the Products developed in the Development Program and the Development, Manufacture and Commercialization of such Products will not infringe or misappropriate any intellectual property rights not licensed to Ikaria hereunder; and</w:t>
      </w:r>
    </w:p>
    <w:p>
      <w:pPr>
        <w:spacing w:after="0" w:line="190" w:lineRule="exact"/>
        <w:rPr>
          <w:rFonts w:ascii="Arial" w:cs="Arial" w:eastAsia="Arial" w:hAnsi="Arial"/>
          <w:sz w:val="17"/>
          <w:szCs w:val="17"/>
          <w:color w:val="auto"/>
        </w:rPr>
      </w:pPr>
    </w:p>
    <w:p>
      <w:pPr>
        <w:ind w:right="420" w:firstLine="620"/>
        <w:spacing w:after="0" w:line="261" w:lineRule="auto"/>
        <w:tabs>
          <w:tab w:leader="none" w:pos="1074" w:val="left"/>
        </w:tabs>
        <w:numPr>
          <w:ilvl w:val="0"/>
          <w:numId w:val="388"/>
        </w:numPr>
        <w:rPr>
          <w:rFonts w:ascii="Arial" w:cs="Arial" w:eastAsia="Arial" w:hAnsi="Arial"/>
          <w:sz w:val="17"/>
          <w:szCs w:val="17"/>
          <w:color w:val="auto"/>
        </w:rPr>
      </w:pPr>
      <w:r>
        <w:rPr>
          <w:rFonts w:ascii="Arial" w:cs="Arial" w:eastAsia="Arial" w:hAnsi="Arial"/>
          <w:sz w:val="17"/>
          <w:szCs w:val="17"/>
          <w:color w:val="auto"/>
        </w:rPr>
        <w:t>BioLineRx has not received and has no Knowledge of any claim or demand of any Person pertaining to, or any proceeding which is pending or threatened that asserts, the invalidity, misuse or unenforceability of the BioLineRx Patent Rights or that challenges BioLineRx’s ownership of the BioLineRx Intellectual Property or that makes any adverse claim with respect thereto, and, to the Knowledge of BioLineRx, there is no basis for any such claim, demand or proceeding.</w:t>
      </w:r>
    </w:p>
    <w:p>
      <w:pPr>
        <w:spacing w:after="0" w:line="204"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7.6</w:t>
      </w:r>
      <w:r>
        <w:rPr>
          <w:sz w:val="20"/>
          <w:szCs w:val="20"/>
          <w:color w:val="auto"/>
        </w:rPr>
        <w:tab/>
      </w:r>
      <w:r>
        <w:rPr>
          <w:rFonts w:ascii="Arial" w:cs="Arial" w:eastAsia="Arial" w:hAnsi="Arial"/>
          <w:sz w:val="15"/>
          <w:szCs w:val="15"/>
          <w:u w:val="single" w:color="auto"/>
          <w:color w:val="auto"/>
        </w:rPr>
        <w:t>BGN License Agreement</w:t>
      </w:r>
      <w:r>
        <w:rPr>
          <w:rFonts w:ascii="Arial" w:cs="Arial" w:eastAsia="Arial" w:hAnsi="Arial"/>
          <w:sz w:val="15"/>
          <w:szCs w:val="15"/>
          <w:color w:val="auto"/>
        </w:rPr>
        <w:t>. BioLineRx represents, warrants and covenants to Ikaria that:</w:t>
      </w:r>
    </w:p>
    <w:p>
      <w:pPr>
        <w:spacing w:after="0" w:line="242" w:lineRule="exact"/>
        <w:rPr>
          <w:sz w:val="20"/>
          <w:szCs w:val="20"/>
          <w:color w:val="auto"/>
        </w:rPr>
      </w:pPr>
    </w:p>
    <w:p>
      <w:pPr>
        <w:ind w:right="120" w:firstLine="620"/>
        <w:spacing w:after="0" w:line="278" w:lineRule="auto"/>
        <w:tabs>
          <w:tab w:leader="none" w:pos="106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BioLineRx has provided Ikaria with a true and complete copy of the BGN License Agreement, which is in full force and effect in accordance with its terms as of the date hereof;</w:t>
      </w:r>
    </w:p>
    <w:p>
      <w:pPr>
        <w:spacing w:after="0" w:line="190" w:lineRule="exact"/>
        <w:rPr>
          <w:rFonts w:ascii="Arial" w:cs="Arial" w:eastAsia="Arial" w:hAnsi="Arial"/>
          <w:sz w:val="17"/>
          <w:szCs w:val="17"/>
          <w:color w:val="auto"/>
        </w:rPr>
      </w:pPr>
    </w:p>
    <w:p>
      <w:pPr>
        <w:ind w:right="280" w:firstLine="620"/>
        <w:spacing w:after="0" w:line="311" w:lineRule="auto"/>
        <w:tabs>
          <w:tab w:leader="none" w:pos="1074" w:val="left"/>
        </w:tabs>
        <w:numPr>
          <w:ilvl w:val="0"/>
          <w:numId w:val="389"/>
        </w:numPr>
        <w:rPr>
          <w:rFonts w:ascii="Arial" w:cs="Arial" w:eastAsia="Arial" w:hAnsi="Arial"/>
          <w:sz w:val="16"/>
          <w:szCs w:val="16"/>
          <w:color w:val="auto"/>
        </w:rPr>
      </w:pPr>
      <w:r>
        <w:rPr>
          <w:rFonts w:ascii="Arial" w:cs="Arial" w:eastAsia="Arial" w:hAnsi="Arial"/>
          <w:sz w:val="16"/>
          <w:szCs w:val="16"/>
          <w:color w:val="auto"/>
        </w:rPr>
        <w:t>BioLineRx shall obtain and provide to Ikaria within ten (10) days of execution of this Agreement a written statement from BGN certifying that the terms of this Agreement are consistent with those of the BGN License Agreement, including in the context of Section 13.4.1(c) thereof;</w:t>
      </w:r>
    </w:p>
    <w:p>
      <w:pPr>
        <w:spacing w:after="0" w:line="166" w:lineRule="exact"/>
        <w:rPr>
          <w:rFonts w:ascii="Arial" w:cs="Arial" w:eastAsia="Arial" w:hAnsi="Arial"/>
          <w:sz w:val="16"/>
          <w:szCs w:val="16"/>
          <w:color w:val="auto"/>
        </w:rPr>
      </w:pPr>
    </w:p>
    <w:p>
      <w:pPr>
        <w:ind w:right="80" w:firstLine="620"/>
        <w:spacing w:after="0" w:line="261" w:lineRule="auto"/>
        <w:tabs>
          <w:tab w:leader="none" w:pos="106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BioLineRx has (i) achieved by its designated performance date each Milestone (as that term is defined in the BGN License Agreement) having a designated performance date on or before the date hereof, or obtained a waiver in respect thereof, and (ii) neither (A) committed any material breach of the its obligations under the BGN License Agreement nor (B) received any notice from BGN of any alleged material breach thereof by BioLineRx or of any Failure (as that term is defined therein);</w:t>
      </w:r>
    </w:p>
    <w:p>
      <w:pPr>
        <w:spacing w:after="0" w:line="204" w:lineRule="exact"/>
        <w:rPr>
          <w:rFonts w:ascii="Arial" w:cs="Arial" w:eastAsia="Arial" w:hAnsi="Arial"/>
          <w:sz w:val="17"/>
          <w:szCs w:val="17"/>
          <w:color w:val="auto"/>
        </w:rPr>
      </w:pPr>
    </w:p>
    <w:p>
      <w:pPr>
        <w:ind w:left="1080" w:hanging="460"/>
        <w:spacing w:after="0"/>
        <w:tabs>
          <w:tab w:leader="none" w:pos="108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BioLineRx shall upon receipt by BioLineRx promptly provide Ikaria with a copy of any notice from BGN described in the foregoing clause (c)(ii)(B);</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77" w:name="page478"/>
    <w:bookmarkEnd w:id="477"/>
    <w:p>
      <w:pPr>
        <w:ind w:left="1060" w:hanging="440"/>
        <w:spacing w:after="0"/>
        <w:tabs>
          <w:tab w:leader="none" w:pos="106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BioLineRx shall not terminate, amend, supplement or otherwise modify the BGN License Agreement without Ikaria’s prior written consent;</w:t>
      </w:r>
    </w:p>
    <w:p>
      <w:pPr>
        <w:spacing w:after="0" w:line="253" w:lineRule="exact"/>
        <w:rPr>
          <w:rFonts w:ascii="Arial" w:cs="Arial" w:eastAsia="Arial" w:hAnsi="Arial"/>
          <w:sz w:val="16"/>
          <w:szCs w:val="16"/>
          <w:color w:val="auto"/>
        </w:rPr>
      </w:pPr>
    </w:p>
    <w:p>
      <w:pPr>
        <w:ind w:left="1100" w:hanging="480"/>
        <w:spacing w:after="0"/>
        <w:tabs>
          <w:tab w:leader="none" w:pos="1100" w:val="left"/>
        </w:tabs>
        <w:numPr>
          <w:ilvl w:val="0"/>
          <w:numId w:val="390"/>
        </w:numPr>
        <w:rPr>
          <w:rFonts w:ascii="Arial" w:cs="Arial" w:eastAsia="Arial" w:hAnsi="Arial"/>
          <w:sz w:val="15"/>
          <w:szCs w:val="15"/>
          <w:color w:val="auto"/>
        </w:rPr>
      </w:pPr>
      <w:r>
        <w:rPr>
          <w:rFonts w:ascii="Arial" w:cs="Arial" w:eastAsia="Arial" w:hAnsi="Arial"/>
          <w:sz w:val="15"/>
          <w:szCs w:val="15"/>
          <w:color w:val="auto"/>
        </w:rPr>
        <w:t>the rights and obligations of BioLine Jerusalem L.P. under the BGN License Agreement have been assigned and delegated, or otherwise transferred,</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to BioLineRx;</w:t>
      </w:r>
    </w:p>
    <w:p>
      <w:pPr>
        <w:spacing w:after="0" w:line="230" w:lineRule="exact"/>
        <w:rPr>
          <w:rFonts w:ascii="Arial" w:cs="Arial" w:eastAsia="Arial" w:hAnsi="Arial"/>
          <w:sz w:val="15"/>
          <w:szCs w:val="15"/>
          <w:color w:val="auto"/>
        </w:rPr>
      </w:pPr>
    </w:p>
    <w:p>
      <w:pPr>
        <w:ind w:left="1080" w:hanging="460"/>
        <w:spacing w:after="0"/>
        <w:tabs>
          <w:tab w:leader="none" w:pos="108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as between BioLineRx and Ikaria, BioLineRx shall be responsible for any and all payments to be made under the BGN License Agreement;</w:t>
      </w:r>
    </w:p>
    <w:p>
      <w:pPr>
        <w:spacing w:after="0" w:line="253" w:lineRule="exact"/>
        <w:rPr>
          <w:rFonts w:ascii="Arial" w:cs="Arial" w:eastAsia="Arial" w:hAnsi="Arial"/>
          <w:sz w:val="16"/>
          <w:szCs w:val="16"/>
          <w:color w:val="auto"/>
        </w:rPr>
      </w:pPr>
    </w:p>
    <w:p>
      <w:pPr>
        <w:ind w:right="60" w:firstLine="620"/>
        <w:spacing w:after="0" w:line="265" w:lineRule="auto"/>
        <w:tabs>
          <w:tab w:leader="none" w:pos="1074" w:val="left"/>
        </w:tabs>
        <w:numPr>
          <w:ilvl w:val="0"/>
          <w:numId w:val="390"/>
        </w:numPr>
        <w:rPr>
          <w:rFonts w:ascii="Arial" w:cs="Arial" w:eastAsia="Arial" w:hAnsi="Arial"/>
          <w:sz w:val="17"/>
          <w:szCs w:val="17"/>
          <w:color w:val="auto"/>
        </w:rPr>
      </w:pPr>
      <w:r>
        <w:rPr>
          <w:rFonts w:ascii="Arial" w:cs="Arial" w:eastAsia="Arial" w:hAnsi="Arial"/>
          <w:sz w:val="17"/>
          <w:szCs w:val="17"/>
          <w:color w:val="auto"/>
        </w:rPr>
        <w:t>in the event of any termination of the BGN License Agreement, BioLineRx shall, at Ikaria’s request, provide all reasonable assistance to Ikaria in Ikaria’s efforts to obtain from BGN an exclusive license to the Sublicensed IP, including through enforcement of the provisions of Sections 5.2.3 and 13.4.1(c) of the BGN License Agreement.</w:t>
      </w:r>
    </w:p>
    <w:p>
      <w:pPr>
        <w:spacing w:after="0" w:line="201" w:lineRule="exact"/>
        <w:rPr>
          <w:sz w:val="20"/>
          <w:szCs w:val="20"/>
          <w:color w:val="auto"/>
        </w:rPr>
      </w:pPr>
    </w:p>
    <w:p>
      <w:pPr>
        <w:ind w:right="60" w:firstLine="309"/>
        <w:spacing w:after="0" w:line="275"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Employee, Consultant and Advisor Legal Obligations</w:t>
      </w:r>
      <w:r>
        <w:rPr>
          <w:rFonts w:ascii="Arial" w:cs="Arial" w:eastAsia="Arial" w:hAnsi="Arial"/>
          <w:sz w:val="16"/>
          <w:szCs w:val="16"/>
          <w:color w:val="auto"/>
        </w:rPr>
        <w:t>. BioLineRx and Ikaria each represents and warrants that each of its and its Affiliates’ employees, consultants and advisors who is or will be involved in performing any obligations hereunder has executed or will have executed an agreement or have an existing obligation under law requiring assignment to such Party of all intellectual property made during the course of and as the result of his, her or its association with such Party or such Affiliate, and obligating such employee, consultant or advisor to maintain the confidentiality of Confidential Information to the extent required under Article VI. BioLineRx and Ikaria each represents and warrants that, to its Knowledge, none of its or its Affiliates’ employees, consultants or advisors who is or will be involved in performing any obligations hereunder is, as a result of the nature of such obligations to be performed by the Parties, in violation of any covenant in any contract relating to non-disclosure of proprietary information, non-competition or non-solicitation.</w:t>
      </w:r>
    </w:p>
    <w:p>
      <w:pPr>
        <w:spacing w:after="0" w:line="196" w:lineRule="exact"/>
        <w:rPr>
          <w:sz w:val="20"/>
          <w:szCs w:val="20"/>
          <w:color w:val="auto"/>
        </w:rPr>
      </w:pPr>
    </w:p>
    <w:p>
      <w:pPr>
        <w:ind w:right="280" w:firstLine="309"/>
        <w:spacing w:after="0" w:line="265"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Accuracy of Representations and Warranties on Effective Date</w:t>
      </w:r>
      <w:r>
        <w:rPr>
          <w:rFonts w:ascii="Arial" w:cs="Arial" w:eastAsia="Arial" w:hAnsi="Arial"/>
          <w:sz w:val="17"/>
          <w:szCs w:val="17"/>
          <w:color w:val="auto"/>
        </w:rPr>
        <w:t>. The representations and warranties of each of the Parties set forth in the preceding sections of this Article VII remain true and accurate on and as of the Effective Date. Each Party shall promptly following receipt of acceptable consent from the OCS deliver to the other Party a certificate to such effect executed by its Chief Executive Officer.</w:t>
      </w:r>
    </w:p>
    <w:p>
      <w:pPr>
        <w:spacing w:after="0" w:line="201" w:lineRule="exact"/>
        <w:rPr>
          <w:sz w:val="20"/>
          <w:szCs w:val="20"/>
          <w:color w:val="auto"/>
        </w:rPr>
      </w:pPr>
    </w:p>
    <w:p>
      <w:pPr>
        <w:ind w:firstLine="309"/>
        <w:spacing w:after="0" w:line="282"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No Warranties</w:t>
      </w:r>
      <w:r>
        <w:rPr>
          <w:rFonts w:ascii="Arial" w:cs="Arial" w:eastAsia="Arial" w:hAnsi="Arial"/>
          <w:sz w:val="16"/>
          <w:szCs w:val="16"/>
          <w:color w:val="auto"/>
        </w:rPr>
        <w:t>. EXCEPT AS OTHERWISE EXPRESSLY SET FORTH IN THIS AGREEMENT, THE PARTIES MAKE NO REPRESENTATIONS AND EXTEND NO WARRANTIES OF ANY KIND, EITHER EXPRESS OR IMPLIED, INCLUDING THAT ANY PRODUCTS WILL BE ECONOMICALLY OR TECHNICALLY UTILIZABLE, THAT ANY SALES OF ANY PRODUCTS WILL OCCUR, THAT THE DEVELOPMENT PROGRAM ACTIVITIES WILL BE COMPLETED IN THE EXPECTED TIMEFRAME, OR THAT ANY PRODUCT WILL BE FREE OF ANY THIRD PARTY RIGHTS.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Term and Termination</w:t>
      </w:r>
    </w:p>
    <w:p>
      <w:pPr>
        <w:spacing w:after="0" w:line="231" w:lineRule="exact"/>
        <w:rPr>
          <w:sz w:val="20"/>
          <w:szCs w:val="20"/>
          <w:color w:val="auto"/>
        </w:rPr>
      </w:pPr>
    </w:p>
    <w:p>
      <w:pPr>
        <w:jc w:val="both"/>
        <w:ind w:right="280" w:firstLine="309"/>
        <w:spacing w:after="0" w:line="265"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begin on the Effective Date, may be terminated as set forth in this Article VIII, and shall expire on a Product-by-Product and country-by-country basis upon the date of expiration of the Royalty Term for such Product in such country, and shall expire in its entirety upon the last-to-expire Royalty Term, unless earlier terminated as set forth in this Article VIII.</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478" w:name="page479"/>
    <w:bookmarkEnd w:id="478"/>
    <w:p>
      <w:pPr>
        <w:jc w:val="both"/>
        <w:ind w:right="40" w:firstLine="309"/>
        <w:spacing w:after="0" w:line="261"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Upon any breach of a material provision of this Agreement by a Party (the “</w:t>
      </w:r>
      <w:r>
        <w:rPr>
          <w:rFonts w:ascii="Arial" w:cs="Arial" w:eastAsia="Arial" w:hAnsi="Arial"/>
          <w:sz w:val="17"/>
          <w:szCs w:val="17"/>
          <w:u w:val="single" w:color="auto"/>
          <w:color w:val="auto"/>
        </w:rPr>
        <w:t>Breaching Party</w:t>
      </w:r>
      <w:r>
        <w:rPr>
          <w:rFonts w:ascii="Arial" w:cs="Arial" w:eastAsia="Arial" w:hAnsi="Arial"/>
          <w:sz w:val="17"/>
          <w:szCs w:val="17"/>
          <w:color w:val="auto"/>
        </w:rPr>
        <w:t>”), the other Party (the “</w:t>
      </w:r>
      <w:r>
        <w:rPr>
          <w:rFonts w:ascii="Arial" w:cs="Arial" w:eastAsia="Arial" w:hAnsi="Arial"/>
          <w:sz w:val="17"/>
          <w:szCs w:val="17"/>
          <w:u w:val="single" w:color="auto"/>
          <w:color w:val="auto"/>
        </w:rPr>
        <w:t>Non-Breaching Party</w:t>
      </w:r>
      <w:r>
        <w:rPr>
          <w:rFonts w:ascii="Arial" w:cs="Arial" w:eastAsia="Arial" w:hAnsi="Arial"/>
          <w:sz w:val="17"/>
          <w:szCs w:val="17"/>
          <w:color w:val="auto"/>
        </w:rPr>
        <w:t>”) may terminate this Agreement by providing ninety (90) days written notice to the Breaching Party specifying the material breach. The termination shall become effective at the end of the notice period unless the Breaching Party cures such breach during such notice period. Ikaria may terminate this Agreement pursuant to this Section 8.2 immediately upon any termination of the BGN License Agreement.</w:t>
      </w:r>
    </w:p>
    <w:p>
      <w:pPr>
        <w:spacing w:after="0" w:line="204" w:lineRule="exact"/>
        <w:rPr>
          <w:sz w:val="20"/>
          <w:szCs w:val="20"/>
          <w:color w:val="auto"/>
        </w:rPr>
      </w:pPr>
    </w:p>
    <w:p>
      <w:pPr>
        <w:ind w:right="120" w:firstLine="309"/>
        <w:spacing w:after="0" w:line="278"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Development-Related Termination</w:t>
      </w:r>
      <w:r>
        <w:rPr>
          <w:rFonts w:ascii="Arial" w:cs="Arial" w:eastAsia="Arial" w:hAnsi="Arial"/>
          <w:sz w:val="17"/>
          <w:szCs w:val="17"/>
          <w:color w:val="auto"/>
        </w:rPr>
        <w:t>. Ikaria shall have the right to terminate this Agreement upon sixty (60) days prior written notice, if Ikaria at any time determines, in its sole judgment, that the results of the Development Program do not warrant further Development of Products.</w:t>
      </w:r>
    </w:p>
    <w:p>
      <w:pPr>
        <w:spacing w:after="0" w:line="19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8.4</w:t>
      </w:r>
      <w:r>
        <w:rPr>
          <w:sz w:val="20"/>
          <w:szCs w:val="20"/>
          <w:color w:val="auto"/>
        </w:rPr>
        <w:tab/>
      </w:r>
      <w:r>
        <w:rPr>
          <w:rFonts w:ascii="Arial" w:cs="Arial" w:eastAsia="Arial" w:hAnsi="Arial"/>
          <w:sz w:val="15"/>
          <w:szCs w:val="15"/>
          <w:u w:val="single" w:color="auto"/>
          <w:color w:val="auto"/>
        </w:rPr>
        <w:t>Effect of Certain Terminations and Expiration</w:t>
      </w:r>
      <w:r>
        <w:rPr>
          <w:rFonts w:ascii="Arial" w:cs="Arial" w:eastAsia="Arial" w:hAnsi="Arial"/>
          <w:sz w:val="15"/>
          <w:szCs w:val="15"/>
          <w:color w:val="auto"/>
        </w:rPr>
        <w:t>.</w:t>
      </w:r>
    </w:p>
    <w:p>
      <w:pPr>
        <w:spacing w:after="0" w:line="242" w:lineRule="exact"/>
        <w:rPr>
          <w:sz w:val="20"/>
          <w:szCs w:val="20"/>
          <w:color w:val="auto"/>
        </w:rPr>
      </w:pPr>
    </w:p>
    <w:p>
      <w:pPr>
        <w:ind w:left="1060" w:hanging="440"/>
        <w:spacing w:after="0"/>
        <w:tabs>
          <w:tab w:leader="none" w:pos="1060" w:val="left"/>
        </w:tabs>
        <w:numPr>
          <w:ilvl w:val="1"/>
          <w:numId w:val="391"/>
        </w:numPr>
        <w:rPr>
          <w:rFonts w:ascii="Arial" w:cs="Arial" w:eastAsia="Arial" w:hAnsi="Arial"/>
          <w:sz w:val="17"/>
          <w:szCs w:val="17"/>
          <w:color w:val="auto"/>
        </w:rPr>
      </w:pPr>
      <w:r>
        <w:rPr>
          <w:rFonts w:ascii="Arial" w:cs="Arial" w:eastAsia="Arial" w:hAnsi="Arial"/>
          <w:sz w:val="17"/>
          <w:szCs w:val="17"/>
          <w:color w:val="auto"/>
        </w:rPr>
        <w:t>If this Agreement is terminated by Ikaria under Section 8.2:</w:t>
      </w:r>
    </w:p>
    <w:p>
      <w:pPr>
        <w:spacing w:after="0" w:line="241" w:lineRule="exact"/>
        <w:rPr>
          <w:rFonts w:ascii="Arial" w:cs="Arial" w:eastAsia="Arial" w:hAnsi="Arial"/>
          <w:sz w:val="17"/>
          <w:szCs w:val="17"/>
          <w:color w:val="auto"/>
        </w:rPr>
      </w:pPr>
    </w:p>
    <w:p>
      <w:pPr>
        <w:ind w:right="300" w:firstLine="1083"/>
        <w:spacing w:after="0" w:line="278" w:lineRule="auto"/>
        <w:tabs>
          <w:tab w:leader="none" w:pos="1539" w:val="left"/>
        </w:tabs>
        <w:numPr>
          <w:ilvl w:val="2"/>
          <w:numId w:val="391"/>
        </w:numPr>
        <w:rPr>
          <w:rFonts w:ascii="Arial" w:cs="Arial" w:eastAsia="Arial" w:hAnsi="Arial"/>
          <w:sz w:val="17"/>
          <w:szCs w:val="17"/>
          <w:color w:val="auto"/>
        </w:rPr>
      </w:pPr>
      <w:r>
        <w:rPr>
          <w:rFonts w:ascii="Arial" w:cs="Arial" w:eastAsia="Arial" w:hAnsi="Arial"/>
          <w:sz w:val="17"/>
          <w:szCs w:val="17"/>
          <w:color w:val="auto"/>
        </w:rPr>
        <w:t>The licenses granted by BioLineRx to Ikaria under Section 2.1 and, notwithstanding any other provision in this Agreement to the contrary, Ikaria’s obligations under Section 4.2, shall survive;</w:t>
      </w:r>
    </w:p>
    <w:p>
      <w:pPr>
        <w:spacing w:after="0" w:line="190" w:lineRule="exact"/>
        <w:rPr>
          <w:rFonts w:ascii="Arial" w:cs="Arial" w:eastAsia="Arial" w:hAnsi="Arial"/>
          <w:sz w:val="17"/>
          <w:szCs w:val="17"/>
          <w:color w:val="auto"/>
        </w:rPr>
      </w:pPr>
    </w:p>
    <w:p>
      <w:pPr>
        <w:ind w:left="1560" w:hanging="477"/>
        <w:spacing w:after="0"/>
        <w:tabs>
          <w:tab w:leader="none" w:pos="1560" w:val="left"/>
        </w:tabs>
        <w:numPr>
          <w:ilvl w:val="2"/>
          <w:numId w:val="391"/>
        </w:numPr>
        <w:rPr>
          <w:rFonts w:ascii="Arial" w:cs="Arial" w:eastAsia="Arial" w:hAnsi="Arial"/>
          <w:sz w:val="17"/>
          <w:szCs w:val="17"/>
          <w:color w:val="auto"/>
        </w:rPr>
      </w:pPr>
      <w:r>
        <w:rPr>
          <w:rFonts w:ascii="Arial" w:cs="Arial" w:eastAsia="Arial" w:hAnsi="Arial"/>
          <w:sz w:val="17"/>
          <w:szCs w:val="17"/>
          <w:color w:val="auto"/>
        </w:rPr>
        <w:t>Section 2.2 shall survive until Ikaria is no longer obligated to pay royalties to BioLineRx under Section 4.2; and</w:t>
      </w:r>
    </w:p>
    <w:p>
      <w:pPr>
        <w:spacing w:after="0" w:line="241" w:lineRule="exact"/>
        <w:rPr>
          <w:rFonts w:ascii="Arial" w:cs="Arial" w:eastAsia="Arial" w:hAnsi="Arial"/>
          <w:sz w:val="17"/>
          <w:szCs w:val="17"/>
          <w:color w:val="auto"/>
        </w:rPr>
      </w:pPr>
    </w:p>
    <w:p>
      <w:pPr>
        <w:ind w:left="1560" w:hanging="477"/>
        <w:spacing w:after="0"/>
        <w:tabs>
          <w:tab w:leader="none" w:pos="1560" w:val="left"/>
        </w:tabs>
        <w:numPr>
          <w:ilvl w:val="2"/>
          <w:numId w:val="391"/>
        </w:numPr>
        <w:rPr>
          <w:rFonts w:ascii="Arial" w:cs="Arial" w:eastAsia="Arial" w:hAnsi="Arial"/>
          <w:sz w:val="17"/>
          <w:szCs w:val="17"/>
          <w:color w:val="auto"/>
        </w:rPr>
      </w:pPr>
      <w:r>
        <w:rPr>
          <w:rFonts w:ascii="Arial" w:cs="Arial" w:eastAsia="Arial" w:hAnsi="Arial"/>
          <w:sz w:val="17"/>
          <w:szCs w:val="17"/>
          <w:color w:val="auto"/>
        </w:rPr>
        <w:t>Section 5.1 and Section 5.3 shall survive.</w:t>
      </w:r>
    </w:p>
    <w:p>
      <w:pPr>
        <w:spacing w:after="0" w:line="241" w:lineRule="exact"/>
        <w:rPr>
          <w:rFonts w:ascii="Arial" w:cs="Arial" w:eastAsia="Arial" w:hAnsi="Arial"/>
          <w:sz w:val="17"/>
          <w:szCs w:val="17"/>
          <w:color w:val="auto"/>
        </w:rPr>
      </w:pPr>
    </w:p>
    <w:p>
      <w:pPr>
        <w:ind w:firstLine="620"/>
        <w:spacing w:after="0" w:line="261" w:lineRule="auto"/>
        <w:tabs>
          <w:tab w:leader="none" w:pos="1074" w:val="left"/>
        </w:tabs>
        <w:numPr>
          <w:ilvl w:val="1"/>
          <w:numId w:val="391"/>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either BioLineRx under Section 8.2, or by Ikaria under Section 8.3, the licenses granted under Section 2.1 shall terminate as of the effective date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Ikaria, its Affiliates, and its Licensees shall be afforded a commercially reasonable period of time (but no less than [***] months) to sell off any then existing or in process stocks of the Products, subject to the terms and conditions of this Agreement, including the payment of royalties thereon.</w:t>
      </w:r>
    </w:p>
    <w:p>
      <w:pPr>
        <w:spacing w:after="0" w:line="204" w:lineRule="exact"/>
        <w:rPr>
          <w:rFonts w:ascii="Arial" w:cs="Arial" w:eastAsia="Arial" w:hAnsi="Arial"/>
          <w:sz w:val="17"/>
          <w:szCs w:val="17"/>
          <w:color w:val="auto"/>
        </w:rPr>
      </w:pPr>
    </w:p>
    <w:p>
      <w:pPr>
        <w:ind w:right="40" w:firstLine="620"/>
        <w:spacing w:after="0" w:line="317" w:lineRule="auto"/>
        <w:tabs>
          <w:tab w:leader="none" w:pos="1065" w:val="left"/>
        </w:tabs>
        <w:numPr>
          <w:ilvl w:val="1"/>
          <w:numId w:val="391"/>
        </w:numPr>
        <w:rPr>
          <w:rFonts w:ascii="Arial" w:cs="Arial" w:eastAsia="Arial" w:hAnsi="Arial"/>
          <w:sz w:val="15"/>
          <w:szCs w:val="15"/>
          <w:color w:val="auto"/>
        </w:rPr>
      </w:pPr>
      <w:r>
        <w:rPr>
          <w:rFonts w:ascii="Arial" w:cs="Arial" w:eastAsia="Arial" w:hAnsi="Arial"/>
          <w:sz w:val="15"/>
          <w:szCs w:val="15"/>
          <w:color w:val="auto"/>
        </w:rPr>
        <w:t xml:space="preserve">Upon any termination or expiration of this Agreement, each Party shall return to the other Party any tangible property owned by the other Party, including any books and records and Confidential Information, in accordance with the reasonable instructions given by the other Party, with any shipping costs to be borne by the other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a Party may retain a copy of any regulatory records it is required to maintain in accordance with applicable law.</w:t>
      </w:r>
    </w:p>
    <w:p>
      <w:pPr>
        <w:spacing w:after="0" w:line="159" w:lineRule="exact"/>
        <w:rPr>
          <w:rFonts w:ascii="Arial" w:cs="Arial" w:eastAsia="Arial" w:hAnsi="Arial"/>
          <w:sz w:val="15"/>
          <w:szCs w:val="15"/>
          <w:color w:val="auto"/>
        </w:rPr>
      </w:pPr>
    </w:p>
    <w:p>
      <w:pPr>
        <w:ind w:left="420" w:hanging="417"/>
        <w:spacing w:after="0"/>
        <w:tabs>
          <w:tab w:leader="none" w:pos="420"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500" w:right="319" w:bottom="1440" w:gutter="0" w:footer="0" w:header="0"/>
        </w:sectPr>
      </w:pPr>
    </w:p>
    <w:bookmarkStart w:id="479" w:name="page480"/>
    <w:bookmarkEnd w:id="479"/>
    <w:p>
      <w:pPr>
        <w:ind w:right="140" w:firstLine="309"/>
        <w:spacing w:after="0" w:line="279"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Survival</w:t>
      </w:r>
      <w:r>
        <w:rPr>
          <w:rFonts w:ascii="Arial" w:cs="Arial" w:eastAsia="Arial" w:hAnsi="Arial"/>
          <w:sz w:val="16"/>
          <w:szCs w:val="16"/>
          <w:color w:val="auto"/>
        </w:rPr>
        <w:t>. In the event of any expiration or termination of this Agreement, (a) all financial obligations under Article IV and Article V owed as of the effective date of such expiration or termination shall remain in effect, including such obligations that have accrued, but have not been invoiced, as of such effective date, and (b) the obligations set forth in Section 5.1, Article VI, Article IX and Article X, and all other terms, provisions, representations, rights and obligations contained in this Agreement that by their express terms survive expiration or termination of this Agreement (including Section 8.4 and this Section 8.5), shall survive and all other terms, provisions, representations, rights and obligations contained in this Agreement shall terminate.</w:t>
      </w:r>
    </w:p>
    <w:p>
      <w:pPr>
        <w:spacing w:after="0" w:line="191" w:lineRule="exact"/>
        <w:rPr>
          <w:sz w:val="20"/>
          <w:szCs w:val="20"/>
          <w:color w:val="auto"/>
        </w:rPr>
      </w:pPr>
    </w:p>
    <w:p>
      <w:pPr>
        <w:ind w:right="160" w:firstLine="309"/>
        <w:spacing w:after="0" w:line="275"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Termination Prior to Effective Date</w:t>
      </w:r>
      <w:r>
        <w:rPr>
          <w:rFonts w:ascii="Arial" w:cs="Arial" w:eastAsia="Arial" w:hAnsi="Arial"/>
          <w:sz w:val="16"/>
          <w:szCs w:val="16"/>
          <w:color w:val="auto"/>
        </w:rPr>
        <w:t>. Notwithstanding anything to the contrary in this Article VIII, Ikaria may terminate this Agreement prior to the Effective Date, with no liability to BioLineRx, if the OCS does not consent to the Agreement in a form reasonably satisfactory to both Parties within forty-five</w:t>
      </w:r>
    </w:p>
    <w:p>
      <w:pPr>
        <w:spacing w:after="0" w:line="1" w:lineRule="exact"/>
        <w:rPr>
          <w:sz w:val="20"/>
          <w:szCs w:val="20"/>
          <w:color w:val="auto"/>
        </w:rPr>
      </w:pPr>
    </w:p>
    <w:p>
      <w:pPr>
        <w:ind w:right="180" w:firstLine="3"/>
        <w:spacing w:after="0" w:line="265" w:lineRule="auto"/>
        <w:tabs>
          <w:tab w:leader="none" w:pos="328"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days after the execution of this Agreement. The provisions of Article X (except for Section 10.1(a)) and this Section 8.6 shall survive such termination, and all other terms, provisions, representations, rights and obligations contained in this Agreement shall terminate.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Dispute Resolution</w:t>
      </w:r>
    </w:p>
    <w:p>
      <w:pPr>
        <w:spacing w:after="0" w:line="231" w:lineRule="exact"/>
        <w:rPr>
          <w:sz w:val="20"/>
          <w:szCs w:val="20"/>
          <w:color w:val="auto"/>
        </w:rPr>
      </w:pPr>
    </w:p>
    <w:p>
      <w:pPr>
        <w:ind w:right="580" w:firstLine="309"/>
        <w:spacing w:after="0" w:line="278"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Negotiation</w:t>
      </w:r>
      <w:r>
        <w:rPr>
          <w:rFonts w:ascii="Arial" w:cs="Arial" w:eastAsia="Arial" w:hAnsi="Arial"/>
          <w:sz w:val="17"/>
          <w:szCs w:val="17"/>
          <w:color w:val="auto"/>
        </w:rPr>
        <w:t>. Any controversy, claim or dispute arising out of or relating to this Agreement shall be settled, if possible, through good faith negotiations between the Parties.</w:t>
      </w:r>
    </w:p>
    <w:p>
      <w:pPr>
        <w:spacing w:after="0" w:line="190" w:lineRule="exact"/>
        <w:rPr>
          <w:sz w:val="20"/>
          <w:szCs w:val="20"/>
          <w:color w:val="auto"/>
        </w:rPr>
      </w:pPr>
    </w:p>
    <w:p>
      <w:pPr>
        <w:ind w:firstLine="309"/>
        <w:spacing w:after="0" w:line="289"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Escalation</w:t>
      </w:r>
      <w:r>
        <w:rPr>
          <w:rFonts w:ascii="Arial" w:cs="Arial" w:eastAsia="Arial" w:hAnsi="Arial"/>
          <w:sz w:val="16"/>
          <w:szCs w:val="16"/>
          <w:color w:val="auto"/>
        </w:rPr>
        <w:t>. If the Parties are unable to settle any dispute after good faith negotiations pursuant to Section 9.1 after [***] days, such dispute (except for any matter that by its express terms shall be resolved as provided in this Agreement, including any matter arising under Section 3.2 or Section 3.6) shall be referred to the Executive Officers to be resolved by negotiation in good faith as soon as is practicable but in no event later than [***] days after referral.</w:t>
      </w:r>
    </w:p>
    <w:p>
      <w:pPr>
        <w:spacing w:after="0" w:line="184" w:lineRule="exact"/>
        <w:rPr>
          <w:sz w:val="20"/>
          <w:szCs w:val="20"/>
          <w:color w:val="auto"/>
        </w:rPr>
      </w:pPr>
    </w:p>
    <w:p>
      <w:pPr>
        <w:ind w:right="100" w:firstLine="309"/>
        <w:spacing w:after="0" w:line="257"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Mediation</w:t>
      </w:r>
      <w:r>
        <w:rPr>
          <w:rFonts w:ascii="Arial" w:cs="Arial" w:eastAsia="Arial" w:hAnsi="Arial"/>
          <w:sz w:val="17"/>
          <w:szCs w:val="17"/>
          <w:color w:val="auto"/>
        </w:rPr>
        <w:t>. Solely with respect to a dispute as to whether Ikaria has breached its obligations to use Commercially Reasonable Efforts as set forth in Section 3.8, if the Executive Officers are unable to settle such dispute after good faith negotiations pursuant to Section 9.2 within [***] days after referral to the Executive Officers, the Parties shall, within [***] days thereof, engage a mutually agreeable Third Party mediator on a non-binding basis to assist the Parties in determining whether such a breach has occurred. The Parties agree that they will participate in good faith in an effort to resolve the dispute in an informal, inexpensive and expeditious manner and that any mediator selected shall agree to render any judgments in a timely manner, but no later than [***] days after the mediator is selected. All expenses of the mediator will be shared equally by the Parties.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80" w:name="page481"/>
    <w:bookmarkEnd w:id="480"/>
    <w:p>
      <w:pPr>
        <w:ind w:right="140" w:firstLine="309"/>
        <w:spacing w:after="0" w:line="257"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Litigation</w:t>
      </w:r>
      <w:r>
        <w:rPr>
          <w:rFonts w:ascii="Arial" w:cs="Arial" w:eastAsia="Arial" w:hAnsi="Arial"/>
          <w:sz w:val="17"/>
          <w:szCs w:val="17"/>
          <w:color w:val="auto"/>
        </w:rPr>
        <w:t>. If the Executive Officers are unable to settle any dispute after good faith negotiations pursuant to Section 9.2 (other than a dispute as to whether Ikaria has breached its obligations to use Commercially Reasonable Efforts as set forth in Section 3.8) within [***] days after referral, or if the Parties continue to dispute whether Ikaria has breached its obligations to use Commercially Reasonable Efforts as set forth in Section 3.8 following mediation pursuant to Section 9.3, then either Party may seek resolution of the dispute (except for any matter that by its express terms shall be resolved as provided in this Agreement, including any matter arising under Section 3.2 or Section 3.6) through remedies available at law or in equity from any court of competent jurisdiction as set forth in Section 10.3.</w:t>
      </w:r>
    </w:p>
    <w:p>
      <w:pPr>
        <w:spacing w:after="0" w:line="210" w:lineRule="exact"/>
        <w:rPr>
          <w:sz w:val="20"/>
          <w:szCs w:val="20"/>
          <w:color w:val="auto"/>
        </w:rPr>
      </w:pPr>
    </w:p>
    <w:p>
      <w:pPr>
        <w:ind w:firstLine="309"/>
        <w:spacing w:after="0" w:line="306" w:lineRule="auto"/>
        <w:rPr>
          <w:sz w:val="20"/>
          <w:szCs w:val="20"/>
          <w:color w:val="auto"/>
        </w:rPr>
      </w:pPr>
      <w:r>
        <w:rPr>
          <w:rFonts w:ascii="Arial" w:cs="Arial" w:eastAsia="Arial" w:hAnsi="Arial"/>
          <w:sz w:val="15"/>
          <w:szCs w:val="15"/>
          <w:color w:val="auto"/>
        </w:rPr>
        <w:t xml:space="preserve">Section 9.5 </w:t>
      </w:r>
      <w:r>
        <w:rPr>
          <w:rFonts w:ascii="Arial" w:cs="Arial" w:eastAsia="Arial" w:hAnsi="Arial"/>
          <w:sz w:val="15"/>
          <w:szCs w:val="15"/>
          <w:u w:val="single" w:color="auto"/>
          <w:color w:val="auto"/>
        </w:rPr>
        <w:t>Equitable Relief</w:t>
      </w:r>
      <w:r>
        <w:rPr>
          <w:rFonts w:ascii="Arial" w:cs="Arial" w:eastAsia="Arial" w:hAnsi="Arial"/>
          <w:sz w:val="15"/>
          <w:szCs w:val="15"/>
          <w:color w:val="auto"/>
        </w:rPr>
        <w:t>. Each Party acknowledges and agrees that the other Party would be damaged irreparably if any of the provisions of Article II, Article V and Article VI are not performed in accordance with their specific terms or otherwise are breached. Accordingly, each Party agrees that the other Party shall be entitled to an injunction or other equitable relief to prevent breaches of such provisions, to preserve status quo, and to enforce specifically such provisions in any action instituted in any court having jurisdiction over the Parties and the matter, in addition to any other remedy to which it may be entitled, at law or in equity.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 Provisions</w:t>
      </w:r>
    </w:p>
    <w:p>
      <w:pPr>
        <w:spacing w:after="0" w:line="231"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42" w:lineRule="exact"/>
        <w:rPr>
          <w:sz w:val="20"/>
          <w:szCs w:val="20"/>
          <w:color w:val="auto"/>
        </w:rPr>
      </w:pPr>
    </w:p>
    <w:p>
      <w:pPr>
        <w:ind w:right="80" w:firstLine="620"/>
        <w:spacing w:after="0" w:line="257" w:lineRule="auto"/>
        <w:tabs>
          <w:tab w:leader="none" w:pos="1065"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By Ikaria</w:t>
      </w:r>
      <w:r>
        <w:rPr>
          <w:rFonts w:ascii="Arial" w:cs="Arial" w:eastAsia="Arial" w:hAnsi="Arial"/>
          <w:sz w:val="17"/>
          <w:szCs w:val="17"/>
          <w:color w:val="auto"/>
        </w:rPr>
        <w:t>. Ikaria agrees to defend BioLineRx, its Affiliates and their respective directors, officers, employees and agents at Ikaria’s cost and expense, and shall indemnify and hold harmless BioLineRx and its Affiliates and their respective directors, officers, employees and agents from and against any liabilities, losses, costs, damages, fees or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arising out of any Third Party claim to the extent relating to (i) any breach by Ikaria of any of its representations, warranties or obligations pursuant to this Agreement, or (ii) personal injury, property damage, product liability or other damage resulting from the Development, Manufacture, use or Commercialization of a Product by Ikaria or its Affiliates or Licensees, excluding any claim for which BioLineRx indemnifies Ikaria under subsection (b) below.</w:t>
      </w:r>
    </w:p>
    <w:p>
      <w:pPr>
        <w:spacing w:after="0" w:line="210" w:lineRule="exact"/>
        <w:rPr>
          <w:rFonts w:ascii="Arial" w:cs="Arial" w:eastAsia="Arial" w:hAnsi="Arial"/>
          <w:sz w:val="17"/>
          <w:szCs w:val="17"/>
          <w:color w:val="auto"/>
        </w:rPr>
      </w:pPr>
    </w:p>
    <w:p>
      <w:pPr>
        <w:ind w:right="60" w:firstLine="620"/>
        <w:spacing w:after="0" w:line="275" w:lineRule="auto"/>
        <w:tabs>
          <w:tab w:leader="none" w:pos="1074"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By BioLineRx</w:t>
      </w:r>
      <w:r>
        <w:rPr>
          <w:rFonts w:ascii="Arial" w:cs="Arial" w:eastAsia="Arial" w:hAnsi="Arial"/>
          <w:sz w:val="16"/>
          <w:szCs w:val="16"/>
          <w:color w:val="auto"/>
        </w:rPr>
        <w:t>. BioLineRx agrees to defend Ikaria, its Affiliates and their respective directors, officers, employees and agents at BioLineRx’s cost and expense, and shall indemnify and hold harmless Ikaria and its Affiliates and their respective directors, officers, employees and agents from and against any Losses arising out of any Third Party claim to the extent relating to (i) any breach by BioLineRx of any of its representations, warranties or obligations pursuant to this Agreement, (ii) personal injury, property damage or other damage resulting from the conduct of the On-Going Phase I/II Trial or the Other On-Going Trials by or on behalf of BioLineRx or its Affiliates, (iii) the BGN Agreement, or (iv) any allegation that the practice of the BioLineRx Intellectual Property rights in the Development Program infringes or misappropriates any Third Party intellectual property rights, to the extent BioLineRx had Knowledge that such practice would infringe or misappropriate such Third Party intellectual property rights on or before the Effective Date.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81" w:name="page482"/>
    <w:bookmarkEnd w:id="481"/>
    <w:p>
      <w:pPr>
        <w:ind w:right="20" w:firstLine="620"/>
        <w:spacing w:after="0" w:line="291" w:lineRule="auto"/>
        <w:tabs>
          <w:tab w:leader="none" w:pos="1065" w:val="left"/>
        </w:tabs>
        <w:numPr>
          <w:ilvl w:val="0"/>
          <w:numId w:val="394"/>
        </w:numPr>
        <w:rPr>
          <w:rFonts w:ascii="Arial" w:cs="Arial" w:eastAsia="Arial" w:hAnsi="Arial"/>
          <w:sz w:val="15"/>
          <w:szCs w:val="15"/>
          <w:color w:val="auto"/>
        </w:rPr>
      </w:pPr>
      <w:r>
        <w:rPr>
          <w:rFonts w:ascii="Arial" w:cs="Arial" w:eastAsia="Arial" w:hAnsi="Arial"/>
          <w:sz w:val="15"/>
          <w:szCs w:val="15"/>
          <w:u w:val="single" w:color="auto"/>
          <w:color w:val="auto"/>
        </w:rPr>
        <w:t>Claims for Indemnification</w:t>
      </w:r>
      <w:r>
        <w:rPr>
          <w:rFonts w:ascii="Arial" w:cs="Arial" w:eastAsia="Arial" w:hAnsi="Arial"/>
          <w:sz w:val="15"/>
          <w:szCs w:val="15"/>
          <w:color w:val="auto"/>
        </w:rPr>
        <w:t>. A Person entitled to indemnification under this Section 10.1 (an “</w:t>
      </w:r>
      <w:r>
        <w:rPr>
          <w:rFonts w:ascii="Arial" w:cs="Arial" w:eastAsia="Arial" w:hAnsi="Arial"/>
          <w:sz w:val="15"/>
          <w:szCs w:val="15"/>
          <w:u w:val="single" w:color="auto"/>
          <w:color w:val="auto"/>
        </w:rPr>
        <w:t>Indemnified Party</w:t>
      </w:r>
      <w:r>
        <w:rPr>
          <w:rFonts w:ascii="Arial" w:cs="Arial" w:eastAsia="Arial" w:hAnsi="Arial"/>
          <w:sz w:val="15"/>
          <w:szCs w:val="15"/>
          <w:color w:val="auto"/>
        </w:rPr>
        <w:t>”) shall give prompt written notification to the Party from whom indemnification is sought (the “</w:t>
      </w:r>
      <w:r>
        <w:rPr>
          <w:rFonts w:ascii="Arial" w:cs="Arial" w:eastAsia="Arial" w:hAnsi="Arial"/>
          <w:sz w:val="15"/>
          <w:szCs w:val="15"/>
          <w:u w:val="single" w:color="auto"/>
          <w:color w:val="auto"/>
        </w:rPr>
        <w:t>Indemnifying Party</w:t>
      </w:r>
      <w:r>
        <w:rPr>
          <w:rFonts w:ascii="Arial" w:cs="Arial" w:eastAsia="Arial" w:hAnsi="Arial"/>
          <w:sz w:val="15"/>
          <w:szCs w:val="15"/>
          <w:color w:val="auto"/>
        </w:rPr>
        <w:t>”) of the commencement of any action, suit or proceeding relating to a Third Party claim for which indemnification may be sought or, if earlier, upon the assertion of any such claim by a Third Party (it being understood and agreed, however, that the failure by an Indemnified Party to give notice of a Third Party claim as provided in this Section 10.1(c) shall not relieve the Indemnifying Party of its indemnification obligation under this Agreement except and only to the extent that such Indemnifying Party is actually damaged as a result of such failure to give notice). Within [***] days after delivery of such notification, the Indemnifying Party may, upon written notice thereof to the Indemnified Party, assume control of the defense of such action, suit, proceeding or claim with counsel reasonably satisfactory to the Indemnified Party. If the Indemnifying Party does not assume control of such defense, the Indemnified Party shall control such defense. The Party not controlling such defense may participate therein at its own expense. The Party controlling such defense shall keep the other Party advised of the status of such action, suit, proceeding or claim and the defense thereof and shall consider recommendations made by the other Party with respect thereto. The Indemnified Party shall not agree to any settlement of such action, suit, proceeding or claim without the prior written consent of the Indemnifying Party, which consent the Indemnifying Party shall not unreasonably withhold, condition or delay. The Indemnifying Party shall not agree, without the prior written consent of the Indemnified Party, which consent the Indemnified Party shall not unreasonably withhold, condition or delay, to any settlement of such action, suit, proceeding or claim or consent to any judgment in respect thereof that does not include a complete and unconditional release of the Indemnified Party from all liability with respect thereto or that imposes any liability or obligation on the Indemnified Party.</w:t>
      </w:r>
    </w:p>
    <w:p>
      <w:pPr>
        <w:spacing w:after="0" w:line="185" w:lineRule="exact"/>
        <w:rPr>
          <w:sz w:val="20"/>
          <w:szCs w:val="20"/>
          <w:color w:val="auto"/>
        </w:rPr>
      </w:pPr>
    </w:p>
    <w:p>
      <w:pPr>
        <w:ind w:firstLine="309"/>
        <w:spacing w:after="0" w:line="27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and the respective rights of the Parties determined in accordance with the laws of the State of New York, USA (other than any principle of conflict or choice of laws that would cause the application of the laws of any other jurisdiction).</w:t>
      </w:r>
    </w:p>
    <w:p>
      <w:pPr>
        <w:spacing w:after="0" w:line="190" w:lineRule="exact"/>
        <w:rPr>
          <w:sz w:val="20"/>
          <w:szCs w:val="20"/>
          <w:color w:val="auto"/>
        </w:rPr>
      </w:pPr>
    </w:p>
    <w:p>
      <w:pPr>
        <w:ind w:firstLine="309"/>
        <w:spacing w:after="0" w:line="25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Party (a) submits to the jurisdiction of any state or federal court sitting in the State of New York, USA in any action or proceeding arising out of or relating to this Agreement, (b) agrees that all claims in respect of such action or proceeding may be heard and determined in any such court, (c) waives any claim of inconvenient forum or other challenge to venue in such court, and (d) agrees not to bring any action or proceeding arising out of or relating to this Agreement in any other court, unless the state or federal courts sitting in the State of New York decline to exercise jurisdiction over any such action or proceeding or if those courts lack proper jurisdiction, then any action or proceeding arising out of or relating to this Agreement may be brought in any other U.S. court of competent jurisdiction. Each Party agrees to accept service of any summons, complaint or other initial pleading made in the manner provided for the giving of notices in Section 10.6,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nothing in this Section 10.3 shall affect the right of either Party to serve such summons, complaint or other initial pleading in any other manner permitted by law.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82" w:name="page483"/>
    <w:bookmarkEnd w:id="482"/>
    <w:p>
      <w:pPr>
        <w:jc w:val="center"/>
        <w:ind w:right="120"/>
        <w:spacing w:after="0" w:line="27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Assignment</w:t>
      </w:r>
      <w:r>
        <w:rPr>
          <w:rFonts w:ascii="Arial" w:cs="Arial" w:eastAsia="Arial" w:hAnsi="Arial"/>
          <w:sz w:val="16"/>
          <w:szCs w:val="16"/>
          <w:color w:val="auto"/>
        </w:rPr>
        <w:t>. Ikaria may assign this Agreement or any right hereunder, or delegate any obligation hereunder, in its sole discretion, to (a) any Affiliate of Ikaria or (b) any entity acquiring all or substantially all of the assets of Ikaria Holdings, Inc. and its Affiliates. All other assignments by Ikaria, including</w:t>
      </w:r>
    </w:p>
    <w:p>
      <w:pPr>
        <w:spacing w:after="0" w:line="1" w:lineRule="exact"/>
        <w:rPr>
          <w:sz w:val="20"/>
          <w:szCs w:val="20"/>
          <w:color w:val="auto"/>
        </w:rPr>
      </w:pPr>
    </w:p>
    <w:p>
      <w:pPr>
        <w:ind w:firstLine="3"/>
        <w:spacing w:after="0" w:line="255" w:lineRule="auto"/>
        <w:tabs>
          <w:tab w:leader="none" w:pos="20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to any entity acquiring all or substantially all of the assets of Ikaria to which this Agreement relates or (ii) to any entity with which or into which Ikaria may consolidate or merge, are subject to BioLineRx’s prior approval, which approval shall not be unreasonably withheld, conditioned or delayed. BioLineRx may assign its right to receive payments hereunder to a Third Party, in its sole discretion, but BioLineRx shall not otherwise be permitted to assign this Agreement, in whole or in part, without the prior written consent of Ikaria, which approval shall not be unreasonably withheld, conditioned or delayed. Any assignments in contravention of this Section 10.4 shall be null and void.</w:t>
      </w:r>
    </w:p>
    <w:p>
      <w:pPr>
        <w:spacing w:after="0" w:line="211" w:lineRule="exact"/>
        <w:rPr>
          <w:sz w:val="20"/>
          <w:szCs w:val="20"/>
          <w:color w:val="auto"/>
        </w:rPr>
      </w:pPr>
    </w:p>
    <w:p>
      <w:pPr>
        <w:ind w:right="40" w:firstLine="309"/>
        <w:spacing w:after="0" w:line="257"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constitutes the entire agreement between the Parties with respect to the subject matter hereof, and supersedes all previous arrangements between the Parties with respect to the subject matter hereof, whether written or oral, except for that certain Mutual Non Disclosure Agreement between the Parties dated February 25, 2009. Without limiting the generality of the foregoing, this Agreement hereby supersedes and replaces in its entirety the License and Commercialization Agreement by and among the parties dated as of July 5</w:t>
      </w:r>
      <w:r>
        <w:rPr>
          <w:rFonts w:ascii="Arial" w:cs="Arial" w:eastAsia="Arial" w:hAnsi="Arial"/>
          <w:sz w:val="22"/>
          <w:szCs w:val="22"/>
          <w:color w:val="auto"/>
          <w:vertAlign w:val="superscript"/>
        </w:rPr>
        <w:t>th</w:t>
      </w:r>
      <w:r>
        <w:rPr>
          <w:rFonts w:ascii="Arial" w:cs="Arial" w:eastAsia="Arial" w:hAnsi="Arial"/>
          <w:sz w:val="16"/>
          <w:szCs w:val="16"/>
          <w:color w:val="auto"/>
        </w:rPr>
        <w:t>, 2009. To the extent that any provision of this Agreement conflicts with any provisions of such Mutual Non Disclosure Agreement, the provision of this Agreement shall control. Except as set forth in Section 2.1(iv), any amendment or modification to this Agreement shall be made in writing signed by both Parties.</w:t>
      </w:r>
    </w:p>
    <w:p>
      <w:pPr>
        <w:spacing w:after="0" w:line="210" w:lineRule="exact"/>
        <w:rPr>
          <w:sz w:val="20"/>
          <w:szCs w:val="20"/>
          <w:color w:val="auto"/>
        </w:rPr>
      </w:pPr>
    </w:p>
    <w:p>
      <w:pPr>
        <w:ind w:left="320"/>
        <w:spacing w:after="0"/>
        <w:tabs>
          <w:tab w:leader="none" w:pos="1360" w:val="left"/>
        </w:tabs>
        <w:rPr>
          <w:sz w:val="20"/>
          <w:szCs w:val="20"/>
          <w:color w:val="auto"/>
        </w:rPr>
      </w:pPr>
      <w:r>
        <w:rPr>
          <w:rFonts w:ascii="Arial" w:cs="Arial" w:eastAsia="Arial" w:hAnsi="Arial"/>
          <w:sz w:val="17"/>
          <w:szCs w:val="17"/>
          <w:color w:val="auto"/>
        </w:rPr>
        <w:t>Section 10.6</w:t>
      </w:r>
      <w:r>
        <w:rPr>
          <w:sz w:val="20"/>
          <w:szCs w:val="20"/>
          <w:color w:val="auto"/>
        </w:rPr>
        <w:tab/>
      </w: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Notices to Ikaria shall be addressed to:</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Ikaria Development Subsidiary One LLC</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6 State Route 173</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Clinton, NJ 08809, USA</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Attention: Chief Executive Officer</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with copy to:</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Ikaria Holdings, Inc.</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6 State Route 173</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Clinton, NJ 08809, USA</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Attention: General Counsel</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Notices to BioLineRx Ltd. shall be addressed to:</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Jerusalem 91450, Israel</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Attention: Chief Executive Officer</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83" w:name="page484"/>
    <w:bookmarkEnd w:id="483"/>
    <w:p>
      <w:pPr>
        <w:ind w:left="1240"/>
        <w:spacing w:after="0"/>
        <w:rPr>
          <w:sz w:val="20"/>
          <w:szCs w:val="20"/>
          <w:color w:val="auto"/>
        </w:rPr>
      </w:pPr>
      <w:r>
        <w:rPr>
          <w:rFonts w:ascii="Arial" w:cs="Arial" w:eastAsia="Arial" w:hAnsi="Arial"/>
          <w:sz w:val="17"/>
          <w:szCs w:val="17"/>
          <w:color w:val="auto"/>
        </w:rPr>
        <w:t>with copy to:</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Arent Fox LLP</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1050 Connecticut Avenue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Washington, DC 20036, USA</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Attention: John Dwyer, Esq.</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Notices to BioLine Innovations Jerusalem L.P. shall be addressed to:</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BioLine Innovations Jerusalem L.P.</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Jerusalem 91450, Israel</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Attention: Chief Executive Officer</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with copy to:</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Arent Fox LLP</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1050 Connecticut Avenue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Washington, DC 20036, USA</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Attention: John Dwyer, Esq.</w:t>
      </w:r>
    </w:p>
    <w:p>
      <w:pPr>
        <w:spacing w:after="0" w:line="23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Any Party may change its address by giving notice to the other Party in the manner herein provided. Any notice required or provided for by the terms of this Agreement shall be in writing and shall be (a) sent by registered or certified mail, return receipt requested, postage prepaid, (b) sent via a reputable international courier service, (c) sent by facsimile transmission, or (d) personally delivered, in each case properly addressed in accordance with the paragraph above. The effective date of notice shall be the actual date of receipt by the Party receiving the same.</w:t>
      </w:r>
    </w:p>
    <w:p>
      <w:pPr>
        <w:spacing w:after="0" w:line="204" w:lineRule="exact"/>
        <w:rPr>
          <w:sz w:val="20"/>
          <w:szCs w:val="20"/>
          <w:color w:val="auto"/>
        </w:rPr>
      </w:pPr>
    </w:p>
    <w:p>
      <w:pPr>
        <w:ind w:firstLine="309"/>
        <w:spacing w:after="0" w:line="28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Force Majeure</w:t>
      </w:r>
      <w:r>
        <w:rPr>
          <w:rFonts w:ascii="Arial" w:cs="Arial" w:eastAsia="Arial" w:hAnsi="Arial"/>
          <w:sz w:val="16"/>
          <w:szCs w:val="16"/>
          <w:color w:val="auto"/>
        </w:rPr>
        <w:t>. No failure or omission by a Party in the performance of any obligation of this Agreement shall be deemed a breach of this Agreement or create any liability if the same shall arise from any cause or causes beyond the control of such Party, including the following: acts of God; fire; storm; flood; earthquake; accident; war; rebellion; insurrection; riot; and invasion (each such event, a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Party cures such failure or omission resulting from one of the above causes as soon as is practicable after the occurrence of one or more of the above-mentioned causes.</w:t>
      </w:r>
    </w:p>
    <w:p>
      <w:pPr>
        <w:spacing w:after="0" w:line="190" w:lineRule="exact"/>
        <w:rPr>
          <w:sz w:val="20"/>
          <w:szCs w:val="20"/>
          <w:color w:val="auto"/>
        </w:rPr>
      </w:pPr>
    </w:p>
    <w:p>
      <w:pPr>
        <w:ind w:right="240" w:firstLine="309"/>
        <w:spacing w:after="0" w:line="27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It is understood and agreed that the relationship between the Parties hereunder is that of independent contractors and that nothing in this Agreement shall be construed as authorization for either BioLineRx or Ikaria to act as agent for the other.</w:t>
      </w:r>
    </w:p>
    <w:p>
      <w:pPr>
        <w:spacing w:after="0" w:line="190" w:lineRule="exact"/>
        <w:rPr>
          <w:sz w:val="20"/>
          <w:szCs w:val="20"/>
          <w:color w:val="auto"/>
        </w:rPr>
      </w:pPr>
    </w:p>
    <w:p>
      <w:pPr>
        <w:ind w:firstLine="309"/>
        <w:spacing w:after="0" w:line="255"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NEITHER PARTY SHALL BE LIABLE FOR ANY INDIRECT, INCIDENTAL, CONSEQUENTIAL, SPECIAL, EXEMPLARY OR PUNITIVE DAMAGES ARISING OUT OF THIS AGREEMENT OR THE EXERCISE OF ITS RIGHTS HEREUNDER, OR FOR LOST PROFITS ARISING FROM OR RELATING TO ANY BREACH OF THIS AGREEMENT, REGARDLESS OF ANY NOTICE OF SUCH DAMAGES. NOTHING IN THIS SECTION 10.9 IS INTENDED TO LIMIT OR RESTRICT (A) THE INDEMNIFICATION RIGHTS OR OBLIGATIONS OF EITHER PARTY WITH RESPECT TO THIRD PARTY CLAIMS; (B) ANY LOSSES, INCLUDING LOST PROFITS, ARISING FROM ANY (I) BREACH OF A PARTY’S OBLIGATIONS WITH RESPECT TO THE OTHER PARTY’S CONFIDENTIAL INFORMATION, (II) BREACH BY BIOLINERX OF THE EXCLUSIVE RIGHTS GRANTED IN SECTION 2.1 OR THE COVENANT CONTAINED IN SECTION 2.2, OR (III) USE OF ANY PATENT RIGHTS OR KNOW-HOW LICENSED HEREUNDER BEYOND THE SCOPE OF SUCH LICENSE; OR (C) ANY LOSSES ARISING AS A RESULT OF A PARTY’S FRAUD, GROSS NEGLIGENCE OR WILLFUL MISCONDUCT.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84" w:name="page485"/>
    <w:bookmarkEnd w:id="484"/>
    <w:p>
      <w:pPr>
        <w:jc w:val="both"/>
        <w:ind w:right="140" w:firstLine="309"/>
        <w:spacing w:after="0" w:line="306" w:lineRule="auto"/>
        <w:rPr>
          <w:sz w:val="20"/>
          <w:szCs w:val="20"/>
          <w:color w:val="auto"/>
        </w:rPr>
      </w:pPr>
      <w:r>
        <w:rPr>
          <w:rFonts w:ascii="Arial" w:cs="Arial" w:eastAsia="Arial" w:hAnsi="Arial"/>
          <w:sz w:val="15"/>
          <w:szCs w:val="15"/>
          <w:color w:val="auto"/>
        </w:rPr>
        <w:t xml:space="preserve">Section 10.10 </w:t>
      </w:r>
      <w:r>
        <w:rPr>
          <w:rFonts w:ascii="Arial" w:cs="Arial" w:eastAsia="Arial" w:hAnsi="Arial"/>
          <w:sz w:val="15"/>
          <w:szCs w:val="15"/>
          <w:u w:val="single" w:color="auto"/>
          <w:color w:val="auto"/>
        </w:rPr>
        <w:t>No Implied Waivers; Rights Cumulative</w:t>
      </w:r>
      <w:r>
        <w:rPr>
          <w:rFonts w:ascii="Arial" w:cs="Arial" w:eastAsia="Arial" w:hAnsi="Arial"/>
          <w:sz w:val="15"/>
          <w:szCs w:val="15"/>
          <w:color w:val="auto"/>
        </w:rPr>
        <w:t>. No failure on the part of BioLineRx or Ikaria to 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thereto, nor shall any single or partial exercise of any such right, power, remedy or privilege preclude any further or other exercise thereof or the exercise of any other right, power, remedy or privilege.</w:t>
      </w:r>
    </w:p>
    <w:p>
      <w:pPr>
        <w:spacing w:after="0" w:line="175" w:lineRule="exact"/>
        <w:rPr>
          <w:sz w:val="20"/>
          <w:szCs w:val="20"/>
          <w:color w:val="auto"/>
        </w:rPr>
      </w:pPr>
    </w:p>
    <w:p>
      <w:pPr>
        <w:ind w:firstLine="309"/>
        <w:spacing w:after="0" w:line="282"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Severability</w:t>
      </w:r>
      <w:r>
        <w:rPr>
          <w:rFonts w:ascii="Arial" w:cs="Arial" w:eastAsia="Arial" w:hAnsi="Arial"/>
          <w:sz w:val="16"/>
          <w:szCs w:val="16"/>
          <w:color w:val="auto"/>
        </w:rPr>
        <w:t>. If, under applicable law or regulation, any provision of this Agreement is invalid, incomplete or unenforceable, or otherwise directly or indirectly affects the validity of any other material provision(s) of this Agreement (such invalid, incomplete or unenforceable provision, a “</w:t>
      </w:r>
      <w:r>
        <w:rPr>
          <w:rFonts w:ascii="Arial" w:cs="Arial" w:eastAsia="Arial" w:hAnsi="Arial"/>
          <w:sz w:val="16"/>
          <w:szCs w:val="16"/>
          <w:u w:val="single" w:color="auto"/>
          <w:color w:val="auto"/>
        </w:rPr>
        <w:t>Severed Clause</w:t>
      </w:r>
      <w:r>
        <w:rPr>
          <w:rFonts w:ascii="Arial" w:cs="Arial" w:eastAsia="Arial" w:hAnsi="Arial"/>
          <w:sz w:val="16"/>
          <w:szCs w:val="16"/>
          <w:color w:val="auto"/>
        </w:rPr>
        <w:t>”), this Agreement shall endure except for the Severed Clause. The Parties shall consult one another and use reasonable efforts to agree upon a valid, complete and enforceable provision that is a reasonable substitute for the Severed Clause in view of the intent of this Agreement.</w:t>
      </w:r>
    </w:p>
    <w:p>
      <w:pPr>
        <w:spacing w:after="0" w:line="190" w:lineRule="exact"/>
        <w:rPr>
          <w:sz w:val="20"/>
          <w:szCs w:val="20"/>
          <w:color w:val="auto"/>
        </w:rPr>
      </w:pPr>
    </w:p>
    <w:p>
      <w:pPr>
        <w:ind w:right="160" w:firstLine="309"/>
        <w:spacing w:after="0" w:line="265"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Execution in Counterparts; Facsimile Signatures</w:t>
      </w:r>
      <w:r>
        <w:rPr>
          <w:rFonts w:ascii="Arial" w:cs="Arial" w:eastAsia="Arial" w:hAnsi="Arial"/>
          <w:sz w:val="17"/>
          <w:szCs w:val="17"/>
          <w:color w:val="auto"/>
        </w:rPr>
        <w:t>. This Agreement may be executed in counterparts, each of which, when so executed and delivered, shall be deemed to be an original, and all of which, taken together, shall constitute one and the same instrument even if both Parties have not executed the same counterpart. Signatures provided by facsimile transmission shall be deemed to be original signatures.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REMAINDER OF PAGE LEFT EMPTY; NEXT PAGE IS THE SIGNATURE PAGE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85" w:name="page486"/>
    <w:bookmarkEnd w:id="485"/>
    <w:p>
      <w:pPr>
        <w:spacing w:after="0"/>
        <w:rPr>
          <w:sz w:val="20"/>
          <w:szCs w:val="20"/>
          <w:color w:val="auto"/>
        </w:rPr>
      </w:pPr>
      <w:r>
        <w:rPr>
          <w:rFonts w:ascii="Arial" w:cs="Arial" w:eastAsia="Arial" w:hAnsi="Arial"/>
          <w:sz w:val="15"/>
          <w:szCs w:val="15"/>
          <w:color w:val="auto"/>
        </w:rPr>
        <w:t>IN WITNESS WHEREOF, the Parties have executed this License and Commercialization Agreement as of the Effective Date.</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IKARIA DEVELOPMENT SUBSIDIARY ONE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M. Bennett</w:t>
            </w: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Matthew M. Bennett</w:t>
            </w: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Senior Vice President</w:t>
            </w:r>
          </w:p>
        </w:tc>
      </w:tr>
      <w:tr>
        <w:trPr>
          <w:trHeight w:val="410"/>
        </w:trPr>
        <w:tc>
          <w:tcPr>
            <w:tcW w:w="5160" w:type="dxa"/>
            <w:vAlign w:val="bottom"/>
            <w:gridSpan w:val="2"/>
          </w:tcPr>
          <w:p>
            <w:pPr>
              <w:spacing w:after="0"/>
              <w:rPr>
                <w:sz w:val="20"/>
                <w:szCs w:val="20"/>
                <w:color w:val="auto"/>
              </w:rPr>
            </w:pPr>
            <w:r>
              <w:rPr>
                <w:rFonts w:ascii="Arial" w:cs="Arial" w:eastAsia="Arial" w:hAnsi="Arial"/>
                <w:sz w:val="17"/>
                <w:szCs w:val="17"/>
                <w:color w:val="auto"/>
              </w:rPr>
              <w:t>BIOLINERX LTD.</w:t>
            </w:r>
          </w:p>
        </w:tc>
      </w:tr>
      <w:tr>
        <w:trPr>
          <w:trHeight w:val="41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Morris Laster M.D.</w:t>
            </w: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Morris Laster M.D.</w:t>
            </w: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CEO</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its General Partner, BioLine Innovations Jerusalem, Ltd.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Morris Laster M.D.</w:t>
            </w: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Morris Laster M.D.</w:t>
            </w:r>
          </w:p>
        </w:tc>
      </w:tr>
      <w:tr>
        <w:trPr>
          <w:trHeight w:val="21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Director</w:t>
            </w:r>
          </w:p>
        </w:tc>
      </w:tr>
    </w:tbl>
    <w:p>
      <w:pPr>
        <w:spacing w:after="0" w:line="36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486" w:name="page487"/>
    <w:bookmarkEnd w:id="486"/>
    <w:p>
      <w:pPr>
        <w:jc w:val="center"/>
        <w:spacing w:after="0"/>
        <w:rPr>
          <w:sz w:val="20"/>
          <w:szCs w:val="20"/>
          <w:color w:val="auto"/>
        </w:rPr>
      </w:pPr>
      <w:r>
        <w:rPr>
          <w:rFonts w:ascii="Arial" w:cs="Arial" w:eastAsia="Arial" w:hAnsi="Arial"/>
          <w:sz w:val="17"/>
          <w:szCs w:val="17"/>
          <w:u w:val="single" w:color="auto"/>
          <w:color w:val="auto"/>
        </w:rPr>
        <w:t>SCHEDULE 1.30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PROTOCOL FOR ON-GOING PHASE I/II TRIAL</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PROTOCOL IMMEDIATELY FOLLOWS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387985</wp:posOffset>
            </wp:positionV>
            <wp:extent cx="7257415" cy="209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87" w:name="page488"/>
    <w:bookmarkEnd w:id="487"/>
    <w:p>
      <w:pPr>
        <w:ind w:left="468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154305</wp:posOffset>
            </wp:positionH>
            <wp:positionV relativeFrom="page">
              <wp:posOffset>325120</wp:posOffset>
            </wp:positionV>
            <wp:extent cx="1576705" cy="38417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clrChange>
                        <a:clrFrom>
                          <a:srgbClr val="FFFFFF"/>
                        </a:clrFrom>
                        <a:clrTo>
                          <a:srgbClr val="FFFFFF">
                            <a:alpha val="0"/>
                          </a:srgbClr>
                        </a:clrTo>
                      </a:clrChange>
                      <a:extLst>
                        <a:ext uri="{28A0092B-C50C-407E-A947-70E740481C1C}"/>
                      </a:extLst>
                    </a:blip>
                    <a:srcRect/>
                    <a:stretch>
                      <a:fillRect/>
                    </a:stretch>
                  </pic:blipFill>
                  <pic:spPr bwMode="auto">
                    <a:xfrm>
                      <a:off x="0" y="0"/>
                      <a:ext cx="1576705" cy="384175"/>
                    </a:xfrm>
                    <a:prstGeom prst="rect">
                      <a:avLst/>
                    </a:prstGeom>
                    <a:noFill/>
                  </pic:spPr>
                </pic:pic>
              </a:graphicData>
            </a:graphic>
          </wp:anchor>
        </w:drawing>
        <w:t>CLINICAL STUDY</w:t>
      </w:r>
    </w:p>
    <w:p>
      <w:pPr>
        <w:spacing w:after="0" w:line="239" w:lineRule="exact"/>
        <w:rPr>
          <w:sz w:val="20"/>
          <w:szCs w:val="20"/>
          <w:color w:val="auto"/>
        </w:rPr>
      </w:pPr>
    </w:p>
    <w:p>
      <w:pPr>
        <w:ind w:left="4460"/>
        <w:spacing w:after="0"/>
        <w:rPr>
          <w:sz w:val="20"/>
          <w:szCs w:val="20"/>
          <w:color w:val="auto"/>
        </w:rPr>
      </w:pPr>
      <w:r>
        <w:rPr>
          <w:rFonts w:ascii="Arial" w:cs="Arial" w:eastAsia="Arial" w:hAnsi="Arial"/>
          <w:sz w:val="24"/>
          <w:szCs w:val="24"/>
          <w:b w:val="1"/>
          <w:bCs w:val="1"/>
          <w:color w:val="auto"/>
        </w:rPr>
        <w:t>Protocol No. BL-1040.01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Version 5.00 Incorporating Amendments 1, 2, 3 and 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Safety and Feasibility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Final</w:t>
      </w:r>
    </w:p>
    <w:p>
      <w:pPr>
        <w:spacing w:after="0" w:line="211" w:lineRule="exact"/>
        <w:rPr>
          <w:sz w:val="20"/>
          <w:szCs w:val="20"/>
          <w:color w:val="auto"/>
        </w:rPr>
      </w:pPr>
    </w:p>
    <w:p>
      <w:pPr>
        <w:jc w:val="center"/>
        <w:ind w:left="260" w:right="100"/>
        <w:spacing w:after="0" w:line="279" w:lineRule="auto"/>
        <w:rPr>
          <w:sz w:val="20"/>
          <w:szCs w:val="20"/>
          <w:color w:val="auto"/>
        </w:rPr>
      </w:pPr>
      <w:r>
        <w:rPr>
          <w:rFonts w:ascii="Arial" w:cs="Arial" w:eastAsia="Arial" w:hAnsi="Arial"/>
          <w:sz w:val="24"/>
          <w:szCs w:val="24"/>
          <w:b w:val="1"/>
          <w:bCs w:val="1"/>
          <w:color w:val="auto"/>
        </w:rPr>
        <w:t>A Phase I, multi-center, open label study designed to assess the safety and feasibility of the injectable BL-1040 implant to provide scaffolding to infarcted myocardial tissue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BioLine Innovations Jerusalem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 Statement</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document contains information that is the property of BioLine Innovations Jerusalem and therefore is provided to you in confidence for review by you, your staff, an applicable ethics committee/institutional review board and regulatory authorities. It is understood that this information will not be disclosed to others without written approval from BioLine Innovations Jerusalem, except to the extent necessary to obtain informed consent from those persons to whom BL-1040 may be administered.</w:t>
      </w:r>
    </w:p>
    <w:p>
      <w:pPr>
        <w:spacing w:after="0" w:line="198" w:lineRule="exact"/>
        <w:rPr>
          <w:sz w:val="20"/>
          <w:szCs w:val="20"/>
          <w:color w:val="auto"/>
        </w:rPr>
      </w:pPr>
    </w:p>
    <w:p>
      <w:pPr>
        <w:ind w:right="4180"/>
        <w:spacing w:after="0" w:line="286" w:lineRule="auto"/>
        <w:rPr>
          <w:sz w:val="20"/>
          <w:szCs w:val="20"/>
          <w:color w:val="auto"/>
        </w:rPr>
      </w:pPr>
      <w:r>
        <w:rPr>
          <w:rFonts w:ascii="Arial" w:cs="Arial" w:eastAsia="Arial" w:hAnsi="Arial"/>
          <w:sz w:val="17"/>
          <w:szCs w:val="17"/>
          <w:b w:val="1"/>
          <w:bCs w:val="1"/>
          <w:color w:val="auto"/>
        </w:rPr>
        <w:t>Annotated Protocol incorporating Amendment 1, Amendment 2, Amendment 3, and Amendment 4 01 December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481330</wp:posOffset>
            </wp:positionV>
            <wp:extent cx="7257415" cy="209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25" w:right="239" w:bottom="1440" w:gutter="0" w:footer="0" w:header="0"/>
        </w:sectPr>
      </w:pPr>
    </w:p>
    <w:bookmarkStart w:id="488" w:name="page489"/>
    <w:bookmarkEnd w:id="488"/>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18"/>
                <w:szCs w:val="18"/>
                <w:color w:val="auto"/>
              </w:rPr>
            </w:pPr>
          </w:p>
        </w:tc>
        <w:tc>
          <w:tcPr>
            <w:tcW w:w="7100" w:type="dxa"/>
            <w:vAlign w:val="bottom"/>
          </w:tcPr>
          <w:p>
            <w:pPr>
              <w:jc w:val="center"/>
              <w:ind w:left="1814"/>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2480" w:type="dxa"/>
            <w:vAlign w:val="bottom"/>
          </w:tcPr>
          <w:p>
            <w:pPr>
              <w:ind w:left="1220"/>
              <w:spacing w:after="0"/>
              <w:rPr>
                <w:sz w:val="20"/>
                <w:szCs w:val="20"/>
                <w:color w:val="auto"/>
              </w:rPr>
            </w:pPr>
            <w:r>
              <w:rPr>
                <w:rFonts w:ascii="Arial" w:cs="Arial" w:eastAsia="Arial" w:hAnsi="Arial"/>
                <w:sz w:val="17"/>
                <w:szCs w:val="17"/>
                <w:color w:val="auto"/>
                <w:w w:val="99"/>
              </w:rPr>
              <w:t>CONFIDENTIAL</w:t>
            </w:r>
          </w:p>
        </w:tc>
      </w:tr>
      <w:tr>
        <w:trPr>
          <w:trHeight w:val="200"/>
        </w:trPr>
        <w:tc>
          <w:tcPr>
            <w:tcW w:w="1840" w:type="dxa"/>
            <w:vAlign w:val="bottom"/>
          </w:tcPr>
          <w:p>
            <w:pPr>
              <w:spacing w:after="0"/>
              <w:rPr>
                <w:sz w:val="17"/>
                <w:szCs w:val="17"/>
                <w:color w:val="auto"/>
              </w:rPr>
            </w:pPr>
          </w:p>
        </w:tc>
        <w:tc>
          <w:tcPr>
            <w:tcW w:w="7100" w:type="dxa"/>
            <w:vAlign w:val="bottom"/>
          </w:tcPr>
          <w:p>
            <w:pPr>
              <w:jc w:val="center"/>
              <w:ind w:left="1814"/>
              <w:spacing w:after="0"/>
              <w:rPr>
                <w:sz w:val="20"/>
                <w:szCs w:val="20"/>
                <w:color w:val="auto"/>
              </w:rPr>
            </w:pPr>
            <w:r>
              <w:rPr>
                <w:rFonts w:ascii="Arial" w:cs="Arial" w:eastAsia="Arial" w:hAnsi="Arial"/>
                <w:sz w:val="17"/>
                <w:szCs w:val="17"/>
                <w:color w:val="auto"/>
                <w:w w:val="93"/>
              </w:rPr>
              <w:t>Safety and Feasibility study of BL-1040</w:t>
            </w:r>
          </w:p>
        </w:tc>
        <w:tc>
          <w:tcPr>
            <w:tcW w:w="2480" w:type="dxa"/>
            <w:vAlign w:val="bottom"/>
          </w:tcPr>
          <w:p>
            <w:pPr>
              <w:spacing w:after="0"/>
              <w:rPr>
                <w:sz w:val="17"/>
                <w:szCs w:val="17"/>
                <w:color w:val="auto"/>
              </w:rPr>
            </w:pPr>
          </w:p>
        </w:tc>
      </w:tr>
      <w:tr>
        <w:trPr>
          <w:trHeight w:val="223"/>
        </w:trPr>
        <w:tc>
          <w:tcPr>
            <w:tcW w:w="1840" w:type="dxa"/>
            <w:vAlign w:val="bottom"/>
          </w:tcPr>
          <w:p>
            <w:pPr>
              <w:spacing w:after="0"/>
              <w:rPr>
                <w:sz w:val="19"/>
                <w:szCs w:val="19"/>
                <w:color w:val="auto"/>
              </w:rPr>
            </w:pPr>
          </w:p>
        </w:tc>
        <w:tc>
          <w:tcPr>
            <w:tcW w:w="7100" w:type="dxa"/>
            <w:vAlign w:val="bottom"/>
          </w:tcPr>
          <w:p>
            <w:pPr>
              <w:jc w:val="center"/>
              <w:ind w:left="1834"/>
              <w:spacing w:after="0"/>
              <w:rPr>
                <w:sz w:val="20"/>
                <w:szCs w:val="20"/>
                <w:color w:val="auto"/>
              </w:rPr>
            </w:pPr>
            <w:r>
              <w:rPr>
                <w:rFonts w:ascii="Arial" w:cs="Arial" w:eastAsia="Arial" w:hAnsi="Arial"/>
                <w:sz w:val="17"/>
                <w:szCs w:val="17"/>
                <w:b w:val="1"/>
                <w:bCs w:val="1"/>
                <w:color w:val="auto"/>
                <w:w w:val="95"/>
              </w:rPr>
              <w:t>Final</w:t>
            </w:r>
          </w:p>
        </w:tc>
        <w:tc>
          <w:tcPr>
            <w:tcW w:w="2480" w:type="dxa"/>
            <w:vAlign w:val="bottom"/>
          </w:tcPr>
          <w:p>
            <w:pPr>
              <w:spacing w:after="0"/>
              <w:rPr>
                <w:sz w:val="19"/>
                <w:szCs w:val="19"/>
                <w:color w:val="auto"/>
              </w:rPr>
            </w:pPr>
          </w:p>
        </w:tc>
      </w:tr>
      <w:tr>
        <w:trPr>
          <w:trHeight w:val="437"/>
        </w:trPr>
        <w:tc>
          <w:tcPr>
            <w:tcW w:w="1840" w:type="dxa"/>
            <w:vAlign w:val="bottom"/>
          </w:tcPr>
          <w:p>
            <w:pPr>
              <w:spacing w:after="0"/>
              <w:rPr>
                <w:sz w:val="20"/>
                <w:szCs w:val="20"/>
                <w:color w:val="auto"/>
              </w:rPr>
            </w:pPr>
            <w:r>
              <w:rPr>
                <w:rFonts w:ascii="Arial" w:cs="Arial" w:eastAsia="Arial" w:hAnsi="Arial"/>
                <w:sz w:val="17"/>
                <w:szCs w:val="17"/>
                <w:color w:val="auto"/>
              </w:rPr>
              <w:t>PROTOCOL NUMBER:</w:t>
            </w:r>
          </w:p>
        </w:tc>
        <w:tc>
          <w:tcPr>
            <w:tcW w:w="7100" w:type="dxa"/>
            <w:vAlign w:val="bottom"/>
          </w:tcPr>
          <w:p>
            <w:pPr>
              <w:ind w:left="1000"/>
              <w:spacing w:after="0"/>
              <w:rPr>
                <w:sz w:val="20"/>
                <w:szCs w:val="20"/>
                <w:color w:val="auto"/>
              </w:rPr>
            </w:pPr>
            <w:r>
              <w:rPr>
                <w:rFonts w:ascii="Arial" w:cs="Arial" w:eastAsia="Arial" w:hAnsi="Arial"/>
                <w:sz w:val="17"/>
                <w:szCs w:val="17"/>
                <w:color w:val="auto"/>
              </w:rPr>
              <w:t>BL-1040.01 Safety and Feasibility</w:t>
            </w:r>
          </w:p>
        </w:tc>
        <w:tc>
          <w:tcPr>
            <w:tcW w:w="2480" w:type="dxa"/>
            <w:vAlign w:val="bottom"/>
          </w:tcPr>
          <w:p>
            <w:pPr>
              <w:spacing w:after="0"/>
              <w:rPr>
                <w:sz w:val="24"/>
                <w:szCs w:val="24"/>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DATE OF PROTOCOL:</w:t>
            </w:r>
          </w:p>
        </w:tc>
        <w:tc>
          <w:tcPr>
            <w:tcW w:w="7100" w:type="dxa"/>
            <w:vAlign w:val="bottom"/>
          </w:tcPr>
          <w:p>
            <w:pPr>
              <w:ind w:left="1000"/>
              <w:spacing w:after="0"/>
              <w:rPr>
                <w:sz w:val="20"/>
                <w:szCs w:val="20"/>
                <w:color w:val="auto"/>
              </w:rPr>
            </w:pPr>
            <w:r>
              <w:rPr>
                <w:rFonts w:ascii="Arial" w:cs="Arial" w:eastAsia="Arial" w:hAnsi="Arial"/>
                <w:sz w:val="17"/>
                <w:szCs w:val="17"/>
                <w:color w:val="auto"/>
              </w:rPr>
              <w:t xml:space="preserve">Final, </w:t>
            </w:r>
            <w:r>
              <w:rPr>
                <w:rFonts w:ascii="Arial" w:cs="Arial" w:eastAsia="Arial" w:hAnsi="Arial"/>
                <w:sz w:val="17"/>
                <w:szCs w:val="17"/>
                <w:b w:val="1"/>
                <w:bCs w:val="1"/>
                <w:color w:val="auto"/>
              </w:rPr>
              <w:t>01 December</w:t>
            </w:r>
            <w:r>
              <w:rPr>
                <w:rFonts w:ascii="Arial" w:cs="Arial" w:eastAsia="Arial" w:hAnsi="Arial"/>
                <w:sz w:val="17"/>
                <w:szCs w:val="17"/>
                <w:color w:val="auto"/>
              </w:rPr>
              <w:t xml:space="preserve"> 2008</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17"/>
                <w:szCs w:val="17"/>
                <w:color w:val="auto"/>
              </w:rPr>
            </w:pPr>
          </w:p>
        </w:tc>
        <w:tc>
          <w:tcPr>
            <w:tcW w:w="7100" w:type="dxa"/>
            <w:vAlign w:val="bottom"/>
          </w:tcPr>
          <w:p>
            <w:pPr>
              <w:ind w:left="1000"/>
              <w:spacing w:after="0"/>
              <w:rPr>
                <w:sz w:val="20"/>
                <w:szCs w:val="20"/>
                <w:color w:val="auto"/>
              </w:rPr>
            </w:pPr>
            <w:r>
              <w:rPr>
                <w:rFonts w:ascii="Arial" w:cs="Arial" w:eastAsia="Arial" w:hAnsi="Arial"/>
                <w:sz w:val="17"/>
                <w:szCs w:val="17"/>
                <w:color w:val="auto"/>
              </w:rPr>
              <w:t>Version 2 incorporating Amendment 1, 07 August 2007</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7100" w:type="dxa"/>
            <w:vAlign w:val="bottom"/>
          </w:tcPr>
          <w:p>
            <w:pPr>
              <w:ind w:left="1000"/>
              <w:spacing w:after="0"/>
              <w:rPr>
                <w:sz w:val="20"/>
                <w:szCs w:val="20"/>
                <w:color w:val="auto"/>
              </w:rPr>
            </w:pPr>
            <w:r>
              <w:rPr>
                <w:rFonts w:ascii="Arial" w:cs="Arial" w:eastAsia="Arial" w:hAnsi="Arial"/>
                <w:sz w:val="17"/>
                <w:szCs w:val="17"/>
                <w:color w:val="auto"/>
              </w:rPr>
              <w:t>Version 3 incorporating Amendment 2, 03 December 2007</w:t>
            </w:r>
          </w:p>
        </w:tc>
        <w:tc>
          <w:tcPr>
            <w:tcW w:w="2480" w:type="dxa"/>
            <w:vAlign w:val="bottom"/>
          </w:tcPr>
          <w:p>
            <w:pPr>
              <w:spacing w:after="0"/>
              <w:rPr>
                <w:sz w:val="17"/>
                <w:szCs w:val="17"/>
                <w:color w:val="auto"/>
              </w:rPr>
            </w:pPr>
          </w:p>
        </w:tc>
      </w:tr>
      <w:tr>
        <w:trPr>
          <w:trHeight w:val="200"/>
        </w:trPr>
        <w:tc>
          <w:tcPr>
            <w:tcW w:w="1840" w:type="dxa"/>
            <w:vAlign w:val="bottom"/>
          </w:tcPr>
          <w:p>
            <w:pPr>
              <w:spacing w:after="0"/>
              <w:rPr>
                <w:sz w:val="17"/>
                <w:szCs w:val="17"/>
                <w:color w:val="auto"/>
              </w:rPr>
            </w:pPr>
          </w:p>
        </w:tc>
        <w:tc>
          <w:tcPr>
            <w:tcW w:w="7100" w:type="dxa"/>
            <w:vAlign w:val="bottom"/>
          </w:tcPr>
          <w:p>
            <w:pPr>
              <w:ind w:left="1000"/>
              <w:spacing w:after="0"/>
              <w:rPr>
                <w:sz w:val="20"/>
                <w:szCs w:val="20"/>
                <w:color w:val="auto"/>
              </w:rPr>
            </w:pPr>
            <w:r>
              <w:rPr>
                <w:rFonts w:ascii="Arial" w:cs="Arial" w:eastAsia="Arial" w:hAnsi="Arial"/>
                <w:sz w:val="17"/>
                <w:szCs w:val="17"/>
                <w:color w:val="auto"/>
              </w:rPr>
              <w:t>Version 4 incorporating Amendment 3, 17 April 2008</w:t>
            </w:r>
          </w:p>
        </w:tc>
        <w:tc>
          <w:tcPr>
            <w:tcW w:w="2480" w:type="dxa"/>
            <w:vAlign w:val="bottom"/>
          </w:tcPr>
          <w:p>
            <w:pPr>
              <w:spacing w:after="0"/>
              <w:rPr>
                <w:sz w:val="17"/>
                <w:szCs w:val="17"/>
                <w:color w:val="auto"/>
              </w:rPr>
            </w:pPr>
          </w:p>
        </w:tc>
      </w:tr>
      <w:tr>
        <w:trPr>
          <w:trHeight w:val="223"/>
        </w:trPr>
        <w:tc>
          <w:tcPr>
            <w:tcW w:w="1840" w:type="dxa"/>
            <w:vAlign w:val="bottom"/>
          </w:tcPr>
          <w:p>
            <w:pPr>
              <w:spacing w:after="0"/>
              <w:rPr>
                <w:sz w:val="19"/>
                <w:szCs w:val="19"/>
                <w:color w:val="auto"/>
              </w:rPr>
            </w:pPr>
          </w:p>
        </w:tc>
        <w:tc>
          <w:tcPr>
            <w:tcW w:w="7100" w:type="dxa"/>
            <w:vAlign w:val="bottom"/>
          </w:tcPr>
          <w:p>
            <w:pPr>
              <w:ind w:left="1000"/>
              <w:spacing w:after="0"/>
              <w:rPr>
                <w:sz w:val="20"/>
                <w:szCs w:val="20"/>
                <w:color w:val="auto"/>
              </w:rPr>
            </w:pPr>
            <w:r>
              <w:rPr>
                <w:rFonts w:ascii="Arial" w:cs="Arial" w:eastAsia="Arial" w:hAnsi="Arial"/>
                <w:sz w:val="17"/>
                <w:szCs w:val="17"/>
                <w:b w:val="1"/>
                <w:bCs w:val="1"/>
                <w:color w:val="auto"/>
              </w:rPr>
              <w:t>Version 5 incorporating Amendment 4, 27 November 2008</w:t>
            </w:r>
          </w:p>
        </w:tc>
        <w:tc>
          <w:tcPr>
            <w:tcW w:w="2480" w:type="dxa"/>
            <w:vAlign w:val="bottom"/>
          </w:tcPr>
          <w:p>
            <w:pPr>
              <w:spacing w:after="0"/>
              <w:rPr>
                <w:sz w:val="19"/>
                <w:szCs w:val="19"/>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PROTOCOL TITLE:</w:t>
            </w:r>
          </w:p>
        </w:tc>
        <w:tc>
          <w:tcPr>
            <w:tcW w:w="9580" w:type="dxa"/>
            <w:vAlign w:val="bottom"/>
            <w:gridSpan w:val="2"/>
          </w:tcPr>
          <w:p>
            <w:pPr>
              <w:ind w:left="1000"/>
              <w:spacing w:after="0"/>
              <w:rPr>
                <w:sz w:val="20"/>
                <w:szCs w:val="20"/>
                <w:color w:val="auto"/>
              </w:rPr>
            </w:pPr>
            <w:r>
              <w:rPr>
                <w:rFonts w:ascii="Arial" w:cs="Arial" w:eastAsia="Arial" w:hAnsi="Arial"/>
                <w:sz w:val="17"/>
                <w:szCs w:val="17"/>
                <w:color w:val="auto"/>
                <w:w w:val="93"/>
              </w:rPr>
              <w:t>A Phase I, multi-center, open label study designed to assess the safety and feasibility of the injectable BL-1040 implant to</w:t>
            </w:r>
          </w:p>
        </w:tc>
      </w:tr>
      <w:tr>
        <w:trPr>
          <w:trHeight w:val="217"/>
        </w:trPr>
        <w:tc>
          <w:tcPr>
            <w:tcW w:w="1840" w:type="dxa"/>
            <w:vAlign w:val="bottom"/>
          </w:tcPr>
          <w:p>
            <w:pPr>
              <w:spacing w:after="0"/>
              <w:rPr>
                <w:sz w:val="18"/>
                <w:szCs w:val="18"/>
                <w:color w:val="auto"/>
              </w:rPr>
            </w:pPr>
          </w:p>
        </w:tc>
        <w:tc>
          <w:tcPr>
            <w:tcW w:w="7100" w:type="dxa"/>
            <w:vAlign w:val="bottom"/>
          </w:tcPr>
          <w:p>
            <w:pPr>
              <w:ind w:left="1000"/>
              <w:spacing w:after="0"/>
              <w:rPr>
                <w:sz w:val="20"/>
                <w:szCs w:val="20"/>
                <w:color w:val="auto"/>
              </w:rPr>
            </w:pPr>
            <w:r>
              <w:rPr>
                <w:rFonts w:ascii="Arial" w:cs="Arial" w:eastAsia="Arial" w:hAnsi="Arial"/>
                <w:sz w:val="17"/>
                <w:szCs w:val="17"/>
                <w:color w:val="auto"/>
              </w:rPr>
              <w:t>provide scaffolding to infarcted myocardial tissue</w:t>
            </w:r>
          </w:p>
        </w:tc>
        <w:tc>
          <w:tcPr>
            <w:tcW w:w="2480" w:type="dxa"/>
            <w:vAlign w:val="bottom"/>
          </w:tcPr>
          <w:p>
            <w:pPr>
              <w:spacing w:after="0"/>
              <w:rPr>
                <w:sz w:val="18"/>
                <w:szCs w:val="18"/>
                <w:color w:val="auto"/>
              </w:rPr>
            </w:pPr>
          </w:p>
        </w:tc>
      </w:tr>
      <w:tr>
        <w:trPr>
          <w:trHeight w:val="347"/>
        </w:trPr>
        <w:tc>
          <w:tcPr>
            <w:tcW w:w="1840" w:type="dxa"/>
            <w:vAlign w:val="bottom"/>
          </w:tcPr>
          <w:p>
            <w:pPr>
              <w:spacing w:after="0"/>
              <w:rPr>
                <w:sz w:val="20"/>
                <w:szCs w:val="20"/>
                <w:color w:val="auto"/>
              </w:rPr>
            </w:pPr>
            <w:r>
              <w:rPr>
                <w:rFonts w:ascii="Arial" w:cs="Arial" w:eastAsia="Arial" w:hAnsi="Arial"/>
                <w:sz w:val="17"/>
                <w:szCs w:val="17"/>
                <w:color w:val="auto"/>
              </w:rPr>
              <w:t>SPONSOR:</w:t>
            </w:r>
          </w:p>
        </w:tc>
        <w:tc>
          <w:tcPr>
            <w:tcW w:w="7100" w:type="dxa"/>
            <w:vAlign w:val="bottom"/>
          </w:tcPr>
          <w:p>
            <w:pPr>
              <w:ind w:left="1000"/>
              <w:spacing w:after="0"/>
              <w:rPr>
                <w:sz w:val="20"/>
                <w:szCs w:val="20"/>
                <w:color w:val="auto"/>
              </w:rPr>
            </w:pPr>
            <w:r>
              <w:rPr>
                <w:rFonts w:ascii="Arial" w:cs="Arial" w:eastAsia="Arial" w:hAnsi="Arial"/>
                <w:sz w:val="17"/>
                <w:szCs w:val="17"/>
                <w:color w:val="auto"/>
              </w:rPr>
              <w:t>BioLine Innovations Jerusalem</w:t>
            </w:r>
          </w:p>
        </w:tc>
        <w:tc>
          <w:tcPr>
            <w:tcW w:w="2480" w:type="dxa"/>
            <w:vAlign w:val="bottom"/>
          </w:tcPr>
          <w:p>
            <w:pPr>
              <w:spacing w:after="0"/>
              <w:rPr>
                <w:sz w:val="24"/>
                <w:szCs w:val="24"/>
                <w:color w:val="auto"/>
              </w:rPr>
            </w:pPr>
          </w:p>
        </w:tc>
      </w:tr>
      <w:tr>
        <w:trPr>
          <w:trHeight w:val="437"/>
        </w:trPr>
        <w:tc>
          <w:tcPr>
            <w:tcW w:w="8940" w:type="dxa"/>
            <w:vAlign w:val="bottom"/>
            <w:gridSpan w:val="2"/>
          </w:tcPr>
          <w:p>
            <w:pPr>
              <w:spacing w:after="0"/>
              <w:rPr>
                <w:sz w:val="20"/>
                <w:szCs w:val="20"/>
                <w:color w:val="auto"/>
              </w:rPr>
            </w:pPr>
            <w:r>
              <w:rPr>
                <w:rFonts w:ascii="Arial" w:cs="Arial" w:eastAsia="Arial" w:hAnsi="Arial"/>
                <w:sz w:val="17"/>
                <w:szCs w:val="17"/>
                <w:b w:val="1"/>
                <w:bCs w:val="1"/>
                <w:color w:val="auto"/>
              </w:rPr>
              <w:t>Responsible study personnel</w:t>
            </w:r>
            <w:r>
              <w:rPr>
                <w:rFonts w:ascii="Arial" w:cs="Arial" w:eastAsia="Arial" w:hAnsi="Arial"/>
                <w:sz w:val="17"/>
                <w:szCs w:val="17"/>
                <w:color w:val="auto"/>
              </w:rPr>
              <w:t>:</w:t>
            </w:r>
          </w:p>
        </w:tc>
        <w:tc>
          <w:tcPr>
            <w:tcW w:w="2480" w:type="dxa"/>
            <w:vAlign w:val="bottom"/>
          </w:tcPr>
          <w:p>
            <w:pPr>
              <w:spacing w:after="0"/>
              <w:rPr>
                <w:sz w:val="24"/>
                <w:szCs w:val="24"/>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7"/>
                <w:szCs w:val="17"/>
                <w:color w:val="auto"/>
              </w:rPr>
              <w:t>Name:</w:t>
            </w:r>
          </w:p>
        </w:tc>
        <w:tc>
          <w:tcPr>
            <w:tcW w:w="7100" w:type="dxa"/>
            <w:vAlign w:val="bottom"/>
          </w:tcPr>
          <w:p>
            <w:pPr>
              <w:ind w:left="20"/>
              <w:spacing w:after="0"/>
              <w:rPr>
                <w:sz w:val="20"/>
                <w:szCs w:val="20"/>
                <w:color w:val="auto"/>
              </w:rPr>
            </w:pPr>
            <w:r>
              <w:rPr>
                <w:rFonts w:ascii="Arial" w:cs="Arial" w:eastAsia="Arial" w:hAnsi="Arial"/>
                <w:sz w:val="17"/>
                <w:szCs w:val="17"/>
                <w:color w:val="auto"/>
              </w:rPr>
              <w:t>Prof. Moshe Phillip, MD, Vice-President of Medical Affairs, Sr. Clinical Advisor</w:t>
            </w:r>
          </w:p>
        </w:tc>
        <w:tc>
          <w:tcPr>
            <w:tcW w:w="2480" w:type="dxa"/>
            <w:vAlign w:val="bottom"/>
          </w:tcPr>
          <w:p>
            <w:pPr>
              <w:spacing w:after="0"/>
              <w:rPr>
                <w:sz w:val="24"/>
                <w:szCs w:val="24"/>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Address:</w:t>
            </w:r>
          </w:p>
        </w:tc>
        <w:tc>
          <w:tcPr>
            <w:tcW w:w="7100" w:type="dxa"/>
            <w:vAlign w:val="bottom"/>
          </w:tcPr>
          <w:p>
            <w:pPr>
              <w:ind w:left="20"/>
              <w:spacing w:after="0"/>
              <w:rPr>
                <w:sz w:val="20"/>
                <w:szCs w:val="20"/>
                <w:color w:val="auto"/>
              </w:rPr>
            </w:pPr>
            <w:r>
              <w:rPr>
                <w:rFonts w:ascii="Arial" w:cs="Arial" w:eastAsia="Arial" w:hAnsi="Arial"/>
                <w:sz w:val="17"/>
                <w:szCs w:val="17"/>
                <w:color w:val="auto"/>
              </w:rPr>
              <w:t>BioLine Innovations Jerusalem, 19 Hartum St., POB 45158 Jerusalem, Israel 91450</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Phone:</w:t>
            </w:r>
          </w:p>
        </w:tc>
        <w:tc>
          <w:tcPr>
            <w:tcW w:w="7100" w:type="dxa"/>
            <w:vAlign w:val="bottom"/>
          </w:tcPr>
          <w:p>
            <w:pPr>
              <w:ind w:left="20"/>
              <w:spacing w:after="0"/>
              <w:rPr>
                <w:sz w:val="20"/>
                <w:szCs w:val="20"/>
                <w:color w:val="auto"/>
              </w:rPr>
            </w:pPr>
            <w:r>
              <w:rPr>
                <w:rFonts w:ascii="Arial" w:cs="Arial" w:eastAsia="Arial" w:hAnsi="Arial"/>
                <w:sz w:val="17"/>
                <w:szCs w:val="17"/>
                <w:color w:val="auto"/>
              </w:rPr>
              <w:t>+972-2-548-9100</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Fax:</w:t>
            </w:r>
          </w:p>
        </w:tc>
        <w:tc>
          <w:tcPr>
            <w:tcW w:w="7100" w:type="dxa"/>
            <w:vAlign w:val="bottom"/>
          </w:tcPr>
          <w:p>
            <w:pPr>
              <w:ind w:left="20"/>
              <w:spacing w:after="0"/>
              <w:rPr>
                <w:sz w:val="20"/>
                <w:szCs w:val="20"/>
                <w:color w:val="auto"/>
              </w:rPr>
            </w:pPr>
            <w:r>
              <w:rPr>
                <w:rFonts w:ascii="Arial" w:cs="Arial" w:eastAsia="Arial" w:hAnsi="Arial"/>
                <w:sz w:val="17"/>
                <w:szCs w:val="17"/>
                <w:color w:val="auto"/>
              </w:rPr>
              <w:t>+972-2-548-9101</w:t>
            </w:r>
          </w:p>
        </w:tc>
        <w:tc>
          <w:tcPr>
            <w:tcW w:w="2480" w:type="dxa"/>
            <w:vAlign w:val="bottom"/>
          </w:tcPr>
          <w:p>
            <w:pPr>
              <w:spacing w:after="0"/>
              <w:rPr>
                <w:sz w:val="17"/>
                <w:szCs w:val="17"/>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e-mail:</w:t>
            </w:r>
          </w:p>
        </w:tc>
        <w:tc>
          <w:tcPr>
            <w:tcW w:w="7100" w:type="dxa"/>
            <w:vAlign w:val="bottom"/>
          </w:tcPr>
          <w:p>
            <w:pPr>
              <w:ind w:left="20"/>
              <w:spacing w:after="0"/>
              <w:rPr>
                <w:sz w:val="20"/>
                <w:szCs w:val="20"/>
                <w:color w:val="auto"/>
              </w:rPr>
            </w:pPr>
            <w:r>
              <w:rPr>
                <w:rFonts w:ascii="Arial" w:cs="Arial" w:eastAsia="Arial" w:hAnsi="Arial"/>
                <w:sz w:val="17"/>
                <w:szCs w:val="17"/>
                <w:color w:val="auto"/>
              </w:rPr>
              <w:t>moshep@ biolinerx.com</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Name:</w:t>
            </w:r>
          </w:p>
        </w:tc>
        <w:tc>
          <w:tcPr>
            <w:tcW w:w="7100" w:type="dxa"/>
            <w:vAlign w:val="bottom"/>
          </w:tcPr>
          <w:p>
            <w:pPr>
              <w:ind w:left="20"/>
              <w:spacing w:after="0"/>
              <w:rPr>
                <w:sz w:val="20"/>
                <w:szCs w:val="20"/>
                <w:color w:val="auto"/>
              </w:rPr>
            </w:pPr>
            <w:r>
              <w:rPr>
                <w:rFonts w:ascii="Arial" w:cs="Arial" w:eastAsia="Arial" w:hAnsi="Arial"/>
                <w:sz w:val="17"/>
                <w:szCs w:val="17"/>
                <w:color w:val="auto"/>
              </w:rPr>
              <w:t>Shmuel Tuvia, PhD</w:t>
            </w:r>
          </w:p>
        </w:tc>
        <w:tc>
          <w:tcPr>
            <w:tcW w:w="2480" w:type="dxa"/>
            <w:vAlign w:val="bottom"/>
          </w:tcPr>
          <w:p>
            <w:pPr>
              <w:spacing w:after="0"/>
              <w:rPr>
                <w:sz w:val="24"/>
                <w:szCs w:val="24"/>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Address:</w:t>
            </w:r>
          </w:p>
        </w:tc>
        <w:tc>
          <w:tcPr>
            <w:tcW w:w="7100" w:type="dxa"/>
            <w:vAlign w:val="bottom"/>
          </w:tcPr>
          <w:p>
            <w:pPr>
              <w:ind w:left="20"/>
              <w:spacing w:after="0"/>
              <w:rPr>
                <w:sz w:val="20"/>
                <w:szCs w:val="20"/>
                <w:color w:val="auto"/>
              </w:rPr>
            </w:pPr>
            <w:r>
              <w:rPr>
                <w:rFonts w:ascii="Arial" w:cs="Arial" w:eastAsia="Arial" w:hAnsi="Arial"/>
                <w:sz w:val="17"/>
                <w:szCs w:val="17"/>
                <w:color w:val="auto"/>
              </w:rPr>
              <w:t>BioLine Innovations Jerusalem, 19 Hartum St., POB 45158 Jerusalem, Israel 91450</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Phone:</w:t>
            </w:r>
          </w:p>
        </w:tc>
        <w:tc>
          <w:tcPr>
            <w:tcW w:w="7100" w:type="dxa"/>
            <w:vAlign w:val="bottom"/>
          </w:tcPr>
          <w:p>
            <w:pPr>
              <w:ind w:left="20"/>
              <w:spacing w:after="0"/>
              <w:rPr>
                <w:sz w:val="20"/>
                <w:szCs w:val="20"/>
                <w:color w:val="auto"/>
              </w:rPr>
            </w:pPr>
            <w:r>
              <w:rPr>
                <w:rFonts w:ascii="Arial" w:cs="Arial" w:eastAsia="Arial" w:hAnsi="Arial"/>
                <w:sz w:val="17"/>
                <w:szCs w:val="17"/>
                <w:color w:val="auto"/>
              </w:rPr>
              <w:t>+972-2-548-9100, ext. 124</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Fax:</w:t>
            </w:r>
          </w:p>
        </w:tc>
        <w:tc>
          <w:tcPr>
            <w:tcW w:w="7100" w:type="dxa"/>
            <w:vAlign w:val="bottom"/>
          </w:tcPr>
          <w:p>
            <w:pPr>
              <w:ind w:left="20"/>
              <w:spacing w:after="0"/>
              <w:rPr>
                <w:sz w:val="20"/>
                <w:szCs w:val="20"/>
                <w:color w:val="auto"/>
              </w:rPr>
            </w:pPr>
            <w:r>
              <w:rPr>
                <w:rFonts w:ascii="Arial" w:cs="Arial" w:eastAsia="Arial" w:hAnsi="Arial"/>
                <w:sz w:val="17"/>
                <w:szCs w:val="17"/>
                <w:color w:val="auto"/>
              </w:rPr>
              <w:t>+972-2-548-9101</w:t>
            </w:r>
          </w:p>
        </w:tc>
        <w:tc>
          <w:tcPr>
            <w:tcW w:w="2480" w:type="dxa"/>
            <w:vAlign w:val="bottom"/>
          </w:tcPr>
          <w:p>
            <w:pPr>
              <w:spacing w:after="0"/>
              <w:rPr>
                <w:sz w:val="17"/>
                <w:szCs w:val="17"/>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e-mail:</w:t>
            </w:r>
          </w:p>
        </w:tc>
        <w:tc>
          <w:tcPr>
            <w:tcW w:w="7100" w:type="dxa"/>
            <w:vAlign w:val="bottom"/>
          </w:tcPr>
          <w:p>
            <w:pPr>
              <w:ind w:left="20"/>
              <w:spacing w:after="0"/>
              <w:rPr>
                <w:sz w:val="20"/>
                <w:szCs w:val="20"/>
                <w:color w:val="auto"/>
              </w:rPr>
            </w:pPr>
            <w:r>
              <w:rPr>
                <w:rFonts w:ascii="Arial" w:cs="Arial" w:eastAsia="Arial" w:hAnsi="Arial"/>
                <w:sz w:val="17"/>
                <w:szCs w:val="17"/>
                <w:color w:val="auto"/>
              </w:rPr>
              <w:t>shmuelt@biolinerx.com</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Name:</w:t>
            </w:r>
          </w:p>
        </w:tc>
        <w:tc>
          <w:tcPr>
            <w:tcW w:w="7100" w:type="dxa"/>
            <w:vAlign w:val="bottom"/>
          </w:tcPr>
          <w:p>
            <w:pPr>
              <w:ind w:left="20"/>
              <w:spacing w:after="0"/>
              <w:rPr>
                <w:sz w:val="20"/>
                <w:szCs w:val="20"/>
                <w:color w:val="auto"/>
              </w:rPr>
            </w:pPr>
            <w:r>
              <w:rPr>
                <w:rFonts w:ascii="Arial" w:cs="Arial" w:eastAsia="Arial" w:hAnsi="Arial"/>
                <w:sz w:val="17"/>
                <w:szCs w:val="17"/>
                <w:color w:val="auto"/>
              </w:rPr>
              <w:t>Moti Gal, Clinical Operations Manager</w:t>
            </w:r>
          </w:p>
        </w:tc>
        <w:tc>
          <w:tcPr>
            <w:tcW w:w="2480" w:type="dxa"/>
            <w:vAlign w:val="bottom"/>
          </w:tcPr>
          <w:p>
            <w:pPr>
              <w:spacing w:after="0"/>
              <w:rPr>
                <w:sz w:val="24"/>
                <w:szCs w:val="24"/>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Address:</w:t>
            </w:r>
          </w:p>
        </w:tc>
        <w:tc>
          <w:tcPr>
            <w:tcW w:w="7100" w:type="dxa"/>
            <w:vAlign w:val="bottom"/>
          </w:tcPr>
          <w:p>
            <w:pPr>
              <w:ind w:left="20"/>
              <w:spacing w:after="0"/>
              <w:rPr>
                <w:sz w:val="20"/>
                <w:szCs w:val="20"/>
                <w:color w:val="auto"/>
              </w:rPr>
            </w:pPr>
            <w:r>
              <w:rPr>
                <w:rFonts w:ascii="Arial" w:cs="Arial" w:eastAsia="Arial" w:hAnsi="Arial"/>
                <w:sz w:val="17"/>
                <w:szCs w:val="17"/>
                <w:color w:val="auto"/>
              </w:rPr>
              <w:t>BioLine Innovations Jerusalem, 19 Hartum St., POB 45158 Jerusalem, Israel 91450</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Phone:</w:t>
            </w:r>
          </w:p>
        </w:tc>
        <w:tc>
          <w:tcPr>
            <w:tcW w:w="7100" w:type="dxa"/>
            <w:vAlign w:val="bottom"/>
          </w:tcPr>
          <w:p>
            <w:pPr>
              <w:ind w:left="20"/>
              <w:spacing w:after="0"/>
              <w:rPr>
                <w:sz w:val="20"/>
                <w:szCs w:val="20"/>
                <w:color w:val="auto"/>
              </w:rPr>
            </w:pPr>
            <w:r>
              <w:rPr>
                <w:rFonts w:ascii="Arial" w:cs="Arial" w:eastAsia="Arial" w:hAnsi="Arial"/>
                <w:sz w:val="17"/>
                <w:szCs w:val="17"/>
                <w:color w:val="auto"/>
              </w:rPr>
              <w:t>+972-2-548-9100, ext. 147</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Fax:</w:t>
            </w:r>
          </w:p>
        </w:tc>
        <w:tc>
          <w:tcPr>
            <w:tcW w:w="7100" w:type="dxa"/>
            <w:vAlign w:val="bottom"/>
          </w:tcPr>
          <w:p>
            <w:pPr>
              <w:ind w:left="20"/>
              <w:spacing w:after="0"/>
              <w:rPr>
                <w:sz w:val="20"/>
                <w:szCs w:val="20"/>
                <w:color w:val="auto"/>
              </w:rPr>
            </w:pPr>
            <w:r>
              <w:rPr>
                <w:rFonts w:ascii="Arial" w:cs="Arial" w:eastAsia="Arial" w:hAnsi="Arial"/>
                <w:sz w:val="17"/>
                <w:szCs w:val="17"/>
                <w:color w:val="auto"/>
              </w:rPr>
              <w:t>+972-2-548-9101</w:t>
            </w:r>
          </w:p>
        </w:tc>
        <w:tc>
          <w:tcPr>
            <w:tcW w:w="2480" w:type="dxa"/>
            <w:vAlign w:val="bottom"/>
          </w:tcPr>
          <w:p>
            <w:pPr>
              <w:spacing w:after="0"/>
              <w:rPr>
                <w:sz w:val="17"/>
                <w:szCs w:val="17"/>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e-mail:</w:t>
            </w:r>
          </w:p>
        </w:tc>
        <w:tc>
          <w:tcPr>
            <w:tcW w:w="7100" w:type="dxa"/>
            <w:vAlign w:val="bottom"/>
          </w:tcPr>
          <w:p>
            <w:pPr>
              <w:ind w:left="20"/>
              <w:spacing w:after="0"/>
              <w:rPr>
                <w:sz w:val="20"/>
                <w:szCs w:val="20"/>
                <w:color w:val="auto"/>
              </w:rPr>
            </w:pPr>
            <w:r>
              <w:rPr>
                <w:rFonts w:ascii="Arial" w:cs="Arial" w:eastAsia="Arial" w:hAnsi="Arial"/>
                <w:sz w:val="17"/>
                <w:szCs w:val="17"/>
                <w:color w:val="auto"/>
              </w:rPr>
              <w:t>motig@biolinerx.com</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Name:</w:t>
            </w:r>
          </w:p>
        </w:tc>
        <w:tc>
          <w:tcPr>
            <w:tcW w:w="7100" w:type="dxa"/>
            <w:vAlign w:val="bottom"/>
          </w:tcPr>
          <w:p>
            <w:pPr>
              <w:ind w:left="20"/>
              <w:spacing w:after="0"/>
              <w:rPr>
                <w:sz w:val="20"/>
                <w:szCs w:val="20"/>
                <w:color w:val="auto"/>
              </w:rPr>
            </w:pPr>
            <w:r>
              <w:rPr>
                <w:rFonts w:ascii="Arial" w:cs="Arial" w:eastAsia="Arial" w:hAnsi="Arial"/>
                <w:sz w:val="17"/>
                <w:szCs w:val="17"/>
                <w:color w:val="auto"/>
              </w:rPr>
              <w:t>Jonathan Leor, MD, Medical Advisor</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Address:</w:t>
            </w:r>
          </w:p>
        </w:tc>
        <w:tc>
          <w:tcPr>
            <w:tcW w:w="7100" w:type="dxa"/>
            <w:vAlign w:val="bottom"/>
          </w:tcPr>
          <w:p>
            <w:pPr>
              <w:ind w:left="20"/>
              <w:spacing w:after="0"/>
              <w:rPr>
                <w:sz w:val="20"/>
                <w:szCs w:val="20"/>
                <w:color w:val="auto"/>
              </w:rPr>
            </w:pPr>
            <w:r>
              <w:rPr>
                <w:rFonts w:ascii="Arial" w:cs="Arial" w:eastAsia="Arial" w:hAnsi="Arial"/>
                <w:sz w:val="17"/>
                <w:szCs w:val="17"/>
                <w:color w:val="auto"/>
              </w:rPr>
              <w:t>Head, Neufeld Cardiac Research Institute.</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7100" w:type="dxa"/>
            <w:vAlign w:val="bottom"/>
          </w:tcPr>
          <w:p>
            <w:pPr>
              <w:ind w:left="20"/>
              <w:spacing w:after="0"/>
              <w:rPr>
                <w:sz w:val="20"/>
                <w:szCs w:val="20"/>
                <w:color w:val="auto"/>
              </w:rPr>
            </w:pPr>
            <w:r>
              <w:rPr>
                <w:rFonts w:ascii="Arial" w:cs="Arial" w:eastAsia="Arial" w:hAnsi="Arial"/>
                <w:sz w:val="17"/>
                <w:szCs w:val="17"/>
                <w:color w:val="auto"/>
              </w:rPr>
              <w:t>Tel-Aviv University</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7100" w:type="dxa"/>
            <w:vAlign w:val="bottom"/>
          </w:tcPr>
          <w:p>
            <w:pPr>
              <w:ind w:left="20"/>
              <w:spacing w:after="0"/>
              <w:rPr>
                <w:sz w:val="20"/>
                <w:szCs w:val="20"/>
                <w:color w:val="auto"/>
              </w:rPr>
            </w:pPr>
            <w:r>
              <w:rPr>
                <w:rFonts w:ascii="Arial" w:cs="Arial" w:eastAsia="Arial" w:hAnsi="Arial"/>
                <w:sz w:val="17"/>
                <w:szCs w:val="17"/>
                <w:color w:val="auto"/>
              </w:rPr>
              <w:t>Sheba Medical Center</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7100" w:type="dxa"/>
            <w:vAlign w:val="bottom"/>
          </w:tcPr>
          <w:p>
            <w:pPr>
              <w:ind w:left="20"/>
              <w:spacing w:after="0"/>
              <w:rPr>
                <w:sz w:val="20"/>
                <w:szCs w:val="20"/>
                <w:color w:val="auto"/>
              </w:rPr>
            </w:pPr>
            <w:r>
              <w:rPr>
                <w:rFonts w:ascii="Arial" w:cs="Arial" w:eastAsia="Arial" w:hAnsi="Arial"/>
                <w:sz w:val="17"/>
                <w:szCs w:val="17"/>
                <w:color w:val="auto"/>
              </w:rPr>
              <w:t>Tel-Hashomer, Israel 52621</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Phone:</w:t>
            </w:r>
          </w:p>
        </w:tc>
        <w:tc>
          <w:tcPr>
            <w:tcW w:w="7100" w:type="dxa"/>
            <w:vAlign w:val="bottom"/>
          </w:tcPr>
          <w:p>
            <w:pPr>
              <w:ind w:left="20"/>
              <w:spacing w:after="0"/>
              <w:rPr>
                <w:sz w:val="20"/>
                <w:szCs w:val="20"/>
                <w:color w:val="auto"/>
              </w:rPr>
            </w:pPr>
            <w:r>
              <w:rPr>
                <w:rFonts w:ascii="Arial" w:cs="Arial" w:eastAsia="Arial" w:hAnsi="Arial"/>
                <w:sz w:val="17"/>
                <w:szCs w:val="17"/>
                <w:color w:val="auto"/>
              </w:rPr>
              <w:t>+972-3-534-8685, 972-3-530-2614</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Fax:</w:t>
            </w:r>
          </w:p>
        </w:tc>
        <w:tc>
          <w:tcPr>
            <w:tcW w:w="7100" w:type="dxa"/>
            <w:vAlign w:val="bottom"/>
          </w:tcPr>
          <w:p>
            <w:pPr>
              <w:ind w:left="20"/>
              <w:spacing w:after="0"/>
              <w:rPr>
                <w:sz w:val="20"/>
                <w:szCs w:val="20"/>
                <w:color w:val="auto"/>
              </w:rPr>
            </w:pPr>
            <w:r>
              <w:rPr>
                <w:rFonts w:ascii="Arial" w:cs="Arial" w:eastAsia="Arial" w:hAnsi="Arial"/>
                <w:sz w:val="17"/>
                <w:szCs w:val="17"/>
                <w:color w:val="auto"/>
              </w:rPr>
              <w:t>+972-3-535-1139</w:t>
            </w:r>
          </w:p>
        </w:tc>
        <w:tc>
          <w:tcPr>
            <w:tcW w:w="2480" w:type="dxa"/>
            <w:vAlign w:val="bottom"/>
          </w:tcPr>
          <w:p>
            <w:pPr>
              <w:spacing w:after="0"/>
              <w:rPr>
                <w:sz w:val="17"/>
                <w:szCs w:val="17"/>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e-mail:</w:t>
            </w:r>
          </w:p>
        </w:tc>
        <w:tc>
          <w:tcPr>
            <w:tcW w:w="7100" w:type="dxa"/>
            <w:vAlign w:val="bottom"/>
          </w:tcPr>
          <w:p>
            <w:pPr>
              <w:ind w:left="20"/>
              <w:spacing w:after="0"/>
              <w:rPr>
                <w:sz w:val="20"/>
                <w:szCs w:val="20"/>
                <w:color w:val="auto"/>
              </w:rPr>
            </w:pPr>
            <w:r>
              <w:rPr>
                <w:rFonts w:ascii="Arial" w:cs="Arial" w:eastAsia="Arial" w:hAnsi="Arial"/>
                <w:sz w:val="17"/>
                <w:szCs w:val="17"/>
                <w:color w:val="auto"/>
              </w:rPr>
              <w:t>leorj@post.tau.ac.il</w:t>
            </w:r>
          </w:p>
        </w:tc>
        <w:tc>
          <w:tcPr>
            <w:tcW w:w="2480" w:type="dxa"/>
            <w:vAlign w:val="bottom"/>
          </w:tcPr>
          <w:p>
            <w:pPr>
              <w:spacing w:after="0"/>
              <w:rPr>
                <w:sz w:val="18"/>
                <w:szCs w:val="18"/>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7"/>
                <w:szCs w:val="17"/>
                <w:color w:val="auto"/>
              </w:rPr>
              <w:t>CRO:</w:t>
            </w:r>
          </w:p>
        </w:tc>
        <w:tc>
          <w:tcPr>
            <w:tcW w:w="7100" w:type="dxa"/>
            <w:vAlign w:val="bottom"/>
          </w:tcPr>
          <w:p>
            <w:pPr>
              <w:ind w:left="20"/>
              <w:spacing w:after="0"/>
              <w:rPr>
                <w:sz w:val="20"/>
                <w:szCs w:val="20"/>
                <w:color w:val="auto"/>
              </w:rPr>
            </w:pPr>
            <w:r>
              <w:rPr>
                <w:rFonts w:ascii="Arial" w:cs="Arial" w:eastAsia="Arial" w:hAnsi="Arial"/>
                <w:sz w:val="17"/>
                <w:szCs w:val="17"/>
                <w:color w:val="auto"/>
              </w:rPr>
              <w:t>Averion International</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Address:</w:t>
            </w:r>
          </w:p>
        </w:tc>
        <w:tc>
          <w:tcPr>
            <w:tcW w:w="7100" w:type="dxa"/>
            <w:vAlign w:val="bottom"/>
          </w:tcPr>
          <w:p>
            <w:pPr>
              <w:ind w:left="20"/>
              <w:spacing w:after="0"/>
              <w:rPr>
                <w:sz w:val="20"/>
                <w:szCs w:val="20"/>
                <w:color w:val="auto"/>
              </w:rPr>
            </w:pPr>
            <w:r>
              <w:rPr>
                <w:rFonts w:ascii="Arial" w:cs="Arial" w:eastAsia="Arial" w:hAnsi="Arial"/>
                <w:sz w:val="17"/>
                <w:szCs w:val="17"/>
                <w:color w:val="auto"/>
              </w:rPr>
              <w:t>Gewerbestrasse 24, CH-4123 Allschwil, Switzerland</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Phone:</w:t>
            </w:r>
          </w:p>
        </w:tc>
        <w:tc>
          <w:tcPr>
            <w:tcW w:w="7100" w:type="dxa"/>
            <w:vAlign w:val="bottom"/>
          </w:tcPr>
          <w:p>
            <w:pPr>
              <w:ind w:left="20"/>
              <w:spacing w:after="0"/>
              <w:rPr>
                <w:sz w:val="20"/>
                <w:szCs w:val="20"/>
                <w:color w:val="auto"/>
              </w:rPr>
            </w:pPr>
            <w:r>
              <w:rPr>
                <w:rFonts w:ascii="Arial" w:cs="Arial" w:eastAsia="Arial" w:hAnsi="Arial"/>
                <w:sz w:val="17"/>
                <w:szCs w:val="17"/>
                <w:color w:val="auto"/>
              </w:rPr>
              <w:t>+41-61-487-1400</w:t>
            </w:r>
          </w:p>
        </w:tc>
        <w:tc>
          <w:tcPr>
            <w:tcW w:w="2480" w:type="dxa"/>
            <w:vAlign w:val="bottom"/>
          </w:tcPr>
          <w:p>
            <w:pPr>
              <w:spacing w:after="0"/>
              <w:rPr>
                <w:sz w:val="17"/>
                <w:szCs w:val="17"/>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Fax:</w:t>
            </w:r>
          </w:p>
        </w:tc>
        <w:tc>
          <w:tcPr>
            <w:tcW w:w="7100" w:type="dxa"/>
            <w:vAlign w:val="bottom"/>
          </w:tcPr>
          <w:p>
            <w:pPr>
              <w:ind w:left="20"/>
              <w:spacing w:after="0"/>
              <w:rPr>
                <w:sz w:val="20"/>
                <w:szCs w:val="20"/>
                <w:color w:val="auto"/>
              </w:rPr>
            </w:pPr>
            <w:r>
              <w:rPr>
                <w:rFonts w:ascii="Arial" w:cs="Arial" w:eastAsia="Arial" w:hAnsi="Arial"/>
                <w:sz w:val="17"/>
                <w:szCs w:val="17"/>
                <w:color w:val="auto"/>
              </w:rPr>
              <w:t>+41-61-487-1401</w:t>
            </w:r>
          </w:p>
        </w:tc>
        <w:tc>
          <w:tcPr>
            <w:tcW w:w="2480" w:type="dxa"/>
            <w:vAlign w:val="bottom"/>
          </w:tcPr>
          <w:p>
            <w:pPr>
              <w:spacing w:after="0"/>
              <w:rPr>
                <w:sz w:val="18"/>
                <w:szCs w:val="18"/>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7"/>
                <w:szCs w:val="17"/>
                <w:color w:val="auto"/>
                <w:w w:val="91"/>
              </w:rPr>
              <w:t>Authorized representative:</w:t>
            </w:r>
          </w:p>
        </w:tc>
        <w:tc>
          <w:tcPr>
            <w:tcW w:w="7100" w:type="dxa"/>
            <w:vAlign w:val="bottom"/>
          </w:tcPr>
          <w:p>
            <w:pPr>
              <w:ind w:left="1140"/>
              <w:spacing w:after="0"/>
              <w:rPr>
                <w:sz w:val="20"/>
                <w:szCs w:val="20"/>
                <w:color w:val="auto"/>
              </w:rPr>
            </w:pPr>
            <w:r>
              <w:rPr>
                <w:rFonts w:ascii="Arial" w:cs="Arial" w:eastAsia="Arial" w:hAnsi="Arial"/>
                <w:sz w:val="17"/>
                <w:szCs w:val="17"/>
                <w:color w:val="auto"/>
              </w:rPr>
              <w:t>Voisin Consulting</w:t>
            </w:r>
          </w:p>
        </w:tc>
        <w:tc>
          <w:tcPr>
            <w:tcW w:w="2480" w:type="dxa"/>
            <w:vAlign w:val="bottom"/>
          </w:tcPr>
          <w:p>
            <w:pPr>
              <w:spacing w:after="0"/>
              <w:rPr>
                <w:sz w:val="24"/>
                <w:szCs w:val="24"/>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Address:</w:t>
            </w:r>
          </w:p>
        </w:tc>
        <w:tc>
          <w:tcPr>
            <w:tcW w:w="7100" w:type="dxa"/>
            <w:vAlign w:val="bottom"/>
          </w:tcPr>
          <w:p>
            <w:pPr>
              <w:ind w:left="1140"/>
              <w:spacing w:after="0"/>
              <w:rPr>
                <w:sz w:val="20"/>
                <w:szCs w:val="20"/>
                <w:color w:val="auto"/>
              </w:rPr>
            </w:pPr>
            <w:r>
              <w:rPr>
                <w:rFonts w:ascii="Arial" w:cs="Arial" w:eastAsia="Arial" w:hAnsi="Arial"/>
                <w:sz w:val="17"/>
                <w:szCs w:val="17"/>
                <w:color w:val="auto"/>
              </w:rPr>
              <w:t>3, rue des Longs Prés, 92100 Boulogne, France</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Phone:</w:t>
            </w:r>
          </w:p>
        </w:tc>
        <w:tc>
          <w:tcPr>
            <w:tcW w:w="7100" w:type="dxa"/>
            <w:vAlign w:val="bottom"/>
          </w:tcPr>
          <w:p>
            <w:pPr>
              <w:ind w:left="1140"/>
              <w:spacing w:after="0"/>
              <w:rPr>
                <w:sz w:val="20"/>
                <w:szCs w:val="20"/>
                <w:color w:val="auto"/>
              </w:rPr>
            </w:pPr>
            <w:r>
              <w:rPr>
                <w:rFonts w:ascii="Arial" w:cs="Arial" w:eastAsia="Arial" w:hAnsi="Arial"/>
                <w:sz w:val="17"/>
                <w:szCs w:val="17"/>
                <w:color w:val="auto"/>
              </w:rPr>
              <w:t>+33-1-41-31-8300</w:t>
            </w:r>
          </w:p>
        </w:tc>
        <w:tc>
          <w:tcPr>
            <w:tcW w:w="2480" w:type="dxa"/>
            <w:vAlign w:val="bottom"/>
          </w:tcPr>
          <w:p>
            <w:pPr>
              <w:spacing w:after="0"/>
              <w:rPr>
                <w:sz w:val="17"/>
                <w:szCs w:val="17"/>
                <w:color w:val="auto"/>
              </w:rPr>
            </w:pPr>
          </w:p>
        </w:tc>
      </w:tr>
      <w:tr>
        <w:trPr>
          <w:trHeight w:val="206"/>
        </w:trPr>
        <w:tc>
          <w:tcPr>
            <w:tcW w:w="1840" w:type="dxa"/>
            <w:vAlign w:val="bottom"/>
          </w:tcPr>
          <w:p>
            <w:pPr>
              <w:spacing w:after="0"/>
              <w:rPr>
                <w:sz w:val="20"/>
                <w:szCs w:val="20"/>
                <w:color w:val="auto"/>
              </w:rPr>
            </w:pPr>
            <w:r>
              <w:rPr>
                <w:rFonts w:ascii="Arial" w:cs="Arial" w:eastAsia="Arial" w:hAnsi="Arial"/>
                <w:sz w:val="17"/>
                <w:szCs w:val="17"/>
                <w:color w:val="auto"/>
              </w:rPr>
              <w:t>Fax:</w:t>
            </w:r>
          </w:p>
        </w:tc>
        <w:tc>
          <w:tcPr>
            <w:tcW w:w="7100" w:type="dxa"/>
            <w:vAlign w:val="bottom"/>
          </w:tcPr>
          <w:p>
            <w:pPr>
              <w:ind w:left="1140"/>
              <w:spacing w:after="0"/>
              <w:rPr>
                <w:sz w:val="20"/>
                <w:szCs w:val="20"/>
                <w:color w:val="auto"/>
              </w:rPr>
            </w:pPr>
            <w:r>
              <w:rPr>
                <w:rFonts w:ascii="Arial" w:cs="Arial" w:eastAsia="Arial" w:hAnsi="Arial"/>
                <w:sz w:val="17"/>
                <w:szCs w:val="17"/>
                <w:color w:val="auto"/>
              </w:rPr>
              <w:t>+33-1 41-31-8309</w:t>
            </w:r>
          </w:p>
        </w:tc>
        <w:tc>
          <w:tcPr>
            <w:tcW w:w="2480" w:type="dxa"/>
            <w:vAlign w:val="bottom"/>
          </w:tcPr>
          <w:p>
            <w:pPr>
              <w:spacing w:after="0"/>
              <w:rPr>
                <w:sz w:val="17"/>
                <w:szCs w:val="17"/>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e-mail:</w:t>
            </w:r>
          </w:p>
        </w:tc>
        <w:tc>
          <w:tcPr>
            <w:tcW w:w="7100" w:type="dxa"/>
            <w:vAlign w:val="bottom"/>
          </w:tcPr>
          <w:p>
            <w:pPr>
              <w:ind w:left="1140"/>
              <w:spacing w:after="0"/>
              <w:rPr>
                <w:sz w:val="20"/>
                <w:szCs w:val="20"/>
                <w:color w:val="auto"/>
              </w:rPr>
            </w:pPr>
            <w:r>
              <w:rPr>
                <w:rFonts w:ascii="Arial" w:cs="Arial" w:eastAsia="Arial" w:hAnsi="Arial"/>
                <w:sz w:val="17"/>
                <w:szCs w:val="17"/>
                <w:color w:val="auto"/>
              </w:rPr>
              <w:t>voisin@voisinconsulting.com</w:t>
            </w:r>
          </w:p>
        </w:tc>
        <w:tc>
          <w:tcPr>
            <w:tcW w:w="2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-7366000</wp:posOffset>
            </wp:positionV>
            <wp:extent cx="1576705" cy="38417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19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89" w:name="page490"/>
    <w:bookmarkEnd w:id="489"/>
    <w:tbl>
      <w:tblPr>
        <w:tblLayout w:type="fixed"/>
        <w:tblInd w:w="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20" w:type="dxa"/>
            <w:vAlign w:val="bottom"/>
          </w:tcPr>
          <w:p>
            <w:pPr>
              <w:jc w:val="center"/>
              <w:ind w:right="1194"/>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2480" w:type="dxa"/>
            <w:vAlign w:val="bottom"/>
          </w:tcPr>
          <w:p>
            <w:pPr>
              <w:ind w:left="1220"/>
              <w:spacing w:after="0"/>
              <w:rPr>
                <w:sz w:val="20"/>
                <w:szCs w:val="20"/>
                <w:color w:val="auto"/>
              </w:rPr>
            </w:pPr>
            <w:r>
              <w:rPr>
                <w:rFonts w:ascii="Arial" w:cs="Arial" w:eastAsia="Arial" w:hAnsi="Arial"/>
                <w:sz w:val="17"/>
                <w:szCs w:val="17"/>
                <w:color w:val="auto"/>
                <w:w w:val="99"/>
              </w:rPr>
              <w:t>CONFIDENTIAL</w:t>
            </w:r>
          </w:p>
        </w:tc>
      </w:tr>
      <w:tr>
        <w:trPr>
          <w:trHeight w:val="200"/>
        </w:trPr>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gridSpan w:val="2"/>
          </w:tcPr>
          <w:p>
            <w:pPr>
              <w:jc w:val="center"/>
              <w:ind w:left="674"/>
              <w:spacing w:after="0"/>
              <w:rPr>
                <w:sz w:val="20"/>
                <w:szCs w:val="20"/>
                <w:color w:val="auto"/>
              </w:rPr>
            </w:pPr>
            <w:r>
              <w:rPr>
                <w:rFonts w:ascii="Arial" w:cs="Arial" w:eastAsia="Arial" w:hAnsi="Arial"/>
                <w:sz w:val="17"/>
                <w:szCs w:val="17"/>
                <w:color w:val="auto"/>
                <w:w w:val="93"/>
              </w:rPr>
              <w:t>Safety and Feasibility study of BL-1040</w:t>
            </w:r>
          </w:p>
        </w:tc>
        <w:tc>
          <w:tcPr>
            <w:tcW w:w="2480" w:type="dxa"/>
            <w:vAlign w:val="bottom"/>
          </w:tcPr>
          <w:p>
            <w:pPr>
              <w:spacing w:after="0"/>
              <w:rPr>
                <w:sz w:val="17"/>
                <w:szCs w:val="17"/>
                <w:color w:val="auto"/>
              </w:rPr>
            </w:pPr>
          </w:p>
        </w:tc>
      </w:tr>
      <w:tr>
        <w:trPr>
          <w:trHeight w:val="223"/>
        </w:trPr>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920" w:type="dxa"/>
            <w:vAlign w:val="bottom"/>
          </w:tcPr>
          <w:p>
            <w:pPr>
              <w:jc w:val="center"/>
              <w:ind w:right="1174"/>
              <w:spacing w:after="0"/>
              <w:rPr>
                <w:sz w:val="20"/>
                <w:szCs w:val="20"/>
                <w:color w:val="auto"/>
              </w:rPr>
            </w:pPr>
            <w:r>
              <w:rPr>
                <w:rFonts w:ascii="Arial" w:cs="Arial" w:eastAsia="Arial" w:hAnsi="Arial"/>
                <w:sz w:val="17"/>
                <w:szCs w:val="17"/>
                <w:b w:val="1"/>
                <w:bCs w:val="1"/>
                <w:color w:val="auto"/>
                <w:w w:val="95"/>
              </w:rPr>
              <w:t>Final</w:t>
            </w:r>
          </w:p>
        </w:tc>
        <w:tc>
          <w:tcPr>
            <w:tcW w:w="2480" w:type="dxa"/>
            <w:vAlign w:val="bottom"/>
          </w:tcPr>
          <w:p>
            <w:pPr>
              <w:spacing w:after="0"/>
              <w:rPr>
                <w:sz w:val="19"/>
                <w:szCs w:val="19"/>
                <w:color w:val="auto"/>
              </w:rPr>
            </w:pPr>
          </w:p>
        </w:tc>
      </w:tr>
      <w:tr>
        <w:trPr>
          <w:trHeight w:val="400"/>
        </w:trPr>
        <w:tc>
          <w:tcPr>
            <w:tcW w:w="2960" w:type="dxa"/>
            <w:vAlign w:val="bottom"/>
          </w:tcPr>
          <w:p>
            <w:pPr>
              <w:spacing w:after="0"/>
              <w:rPr>
                <w:sz w:val="20"/>
                <w:szCs w:val="20"/>
                <w:color w:val="auto"/>
              </w:rPr>
            </w:pPr>
            <w:r>
              <w:rPr>
                <w:rFonts w:ascii="Arial" w:cs="Arial" w:eastAsia="Arial" w:hAnsi="Arial"/>
                <w:sz w:val="17"/>
                <w:szCs w:val="17"/>
                <w:color w:val="auto"/>
              </w:rPr>
              <w:t>e-mail:</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voisin@voisinconsulting.com</w:t>
            </w:r>
          </w:p>
        </w:tc>
        <w:tc>
          <w:tcPr>
            <w:tcW w:w="2480" w:type="dxa"/>
            <w:vAlign w:val="bottom"/>
          </w:tcPr>
          <w:p>
            <w:pPr>
              <w:spacing w:after="0"/>
              <w:rPr>
                <w:sz w:val="24"/>
                <w:szCs w:val="24"/>
                <w:color w:val="auto"/>
              </w:rPr>
            </w:pPr>
          </w:p>
        </w:tc>
      </w:tr>
      <w:tr>
        <w:trPr>
          <w:trHeight w:val="212"/>
        </w:trPr>
        <w:tc>
          <w:tcPr>
            <w:tcW w:w="2960" w:type="dxa"/>
            <w:vAlign w:val="bottom"/>
          </w:tcPr>
          <w:p>
            <w:pPr>
              <w:spacing w:after="0"/>
              <w:rPr>
                <w:sz w:val="20"/>
                <w:szCs w:val="20"/>
                <w:color w:val="auto"/>
              </w:rPr>
            </w:pPr>
            <w:r>
              <w:rPr>
                <w:rFonts w:ascii="Arial" w:cs="Arial" w:eastAsia="Arial" w:hAnsi="Arial"/>
                <w:sz w:val="17"/>
                <w:szCs w:val="17"/>
                <w:color w:val="auto"/>
                <w:w w:val="95"/>
              </w:rPr>
              <w:t>Medical Monitor, US (ISMB support only)</w:t>
            </w:r>
          </w:p>
        </w:tc>
        <w:tc>
          <w:tcPr>
            <w:tcW w:w="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Name:</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Kenneth Carlson, MD</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Address:</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Averion International Corp.</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800 Westchester Ave.</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Suite N341</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Rye Brook, NY, USA 10573</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Phone:</w:t>
            </w:r>
          </w:p>
        </w:tc>
        <w:tc>
          <w:tcPr>
            <w:tcW w:w="2060" w:type="dxa"/>
            <w:vAlign w:val="bottom"/>
            <w:gridSpan w:val="2"/>
          </w:tcPr>
          <w:p>
            <w:pPr>
              <w:ind w:left="20"/>
              <w:spacing w:after="0"/>
              <w:rPr>
                <w:sz w:val="20"/>
                <w:szCs w:val="20"/>
                <w:color w:val="auto"/>
              </w:rPr>
            </w:pPr>
            <w:r>
              <w:rPr>
                <w:rFonts w:ascii="Arial" w:cs="Arial" w:eastAsia="Arial" w:hAnsi="Arial"/>
                <w:sz w:val="17"/>
                <w:szCs w:val="17"/>
                <w:color w:val="auto"/>
              </w:rPr>
              <w:t>+914-733-3410</w:t>
            </w:r>
          </w:p>
        </w:tc>
        <w:tc>
          <w:tcPr>
            <w:tcW w:w="39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Fax:</w:t>
            </w:r>
          </w:p>
        </w:tc>
        <w:tc>
          <w:tcPr>
            <w:tcW w:w="2060" w:type="dxa"/>
            <w:vAlign w:val="bottom"/>
            <w:gridSpan w:val="2"/>
          </w:tcPr>
          <w:p>
            <w:pPr>
              <w:ind w:left="20"/>
              <w:spacing w:after="0"/>
              <w:rPr>
                <w:sz w:val="20"/>
                <w:szCs w:val="20"/>
                <w:color w:val="auto"/>
              </w:rPr>
            </w:pPr>
            <w:r>
              <w:rPr>
                <w:rFonts w:ascii="Arial" w:cs="Arial" w:eastAsia="Arial" w:hAnsi="Arial"/>
                <w:sz w:val="17"/>
                <w:szCs w:val="17"/>
                <w:color w:val="auto"/>
              </w:rPr>
              <w:t>+914-6943293</w:t>
            </w:r>
          </w:p>
        </w:tc>
        <w:tc>
          <w:tcPr>
            <w:tcW w:w="39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e-mail:</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ken.carlson@averionintl.com</w:t>
            </w:r>
          </w:p>
        </w:tc>
        <w:tc>
          <w:tcPr>
            <w:tcW w:w="2480" w:type="dxa"/>
            <w:vAlign w:val="bottom"/>
          </w:tcPr>
          <w:p>
            <w:pPr>
              <w:spacing w:after="0"/>
              <w:rPr>
                <w:sz w:val="18"/>
                <w:szCs w:val="18"/>
                <w:color w:val="auto"/>
              </w:rPr>
            </w:pPr>
          </w:p>
        </w:tc>
      </w:tr>
      <w:tr>
        <w:trPr>
          <w:trHeight w:val="478"/>
        </w:trPr>
        <w:tc>
          <w:tcPr>
            <w:tcW w:w="2960" w:type="dxa"/>
            <w:vAlign w:val="bottom"/>
          </w:tcPr>
          <w:p>
            <w:pPr>
              <w:spacing w:after="0"/>
              <w:rPr>
                <w:sz w:val="20"/>
                <w:szCs w:val="20"/>
                <w:color w:val="auto"/>
              </w:rPr>
            </w:pPr>
            <w:r>
              <w:rPr>
                <w:rFonts w:ascii="Arial" w:cs="Arial" w:eastAsia="Arial" w:hAnsi="Arial"/>
                <w:sz w:val="17"/>
                <w:szCs w:val="17"/>
                <w:color w:val="auto"/>
              </w:rPr>
              <w:t>Medical Monitor, Europe</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Name:</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Christian Tuéni, MD</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Address:</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Averion Clinical Research GmbH</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Pykergasse 10/6</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17"/>
                <w:szCs w:val="17"/>
                <w:color w:val="auto"/>
              </w:rPr>
            </w:pP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1190 Vienna, Austria</w:t>
            </w: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Phone:</w:t>
            </w:r>
          </w:p>
        </w:tc>
        <w:tc>
          <w:tcPr>
            <w:tcW w:w="2060" w:type="dxa"/>
            <w:vAlign w:val="bottom"/>
            <w:gridSpan w:val="2"/>
          </w:tcPr>
          <w:p>
            <w:pPr>
              <w:ind w:left="20"/>
              <w:spacing w:after="0"/>
              <w:rPr>
                <w:sz w:val="20"/>
                <w:szCs w:val="20"/>
                <w:color w:val="auto"/>
              </w:rPr>
            </w:pPr>
            <w:r>
              <w:rPr>
                <w:rFonts w:ascii="Arial" w:cs="Arial" w:eastAsia="Arial" w:hAnsi="Arial"/>
                <w:sz w:val="17"/>
                <w:szCs w:val="17"/>
                <w:color w:val="auto"/>
              </w:rPr>
              <w:t>+43-1-367 00-88-11</w:t>
            </w:r>
          </w:p>
        </w:tc>
        <w:tc>
          <w:tcPr>
            <w:tcW w:w="39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7"/>
                <w:szCs w:val="17"/>
                <w:color w:val="auto"/>
              </w:rPr>
              <w:t>Fax:</w:t>
            </w:r>
          </w:p>
        </w:tc>
        <w:tc>
          <w:tcPr>
            <w:tcW w:w="2060" w:type="dxa"/>
            <w:vAlign w:val="bottom"/>
            <w:gridSpan w:val="2"/>
          </w:tcPr>
          <w:p>
            <w:pPr>
              <w:ind w:left="20"/>
              <w:spacing w:after="0"/>
              <w:rPr>
                <w:sz w:val="20"/>
                <w:szCs w:val="20"/>
                <w:color w:val="auto"/>
              </w:rPr>
            </w:pPr>
            <w:r>
              <w:rPr>
                <w:rFonts w:ascii="Arial" w:cs="Arial" w:eastAsia="Arial" w:hAnsi="Arial"/>
                <w:sz w:val="17"/>
                <w:szCs w:val="17"/>
                <w:color w:val="auto"/>
              </w:rPr>
              <w:t>+43-1-367 00-88-10</w:t>
            </w:r>
          </w:p>
        </w:tc>
        <w:tc>
          <w:tcPr>
            <w:tcW w:w="39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7"/>
                <w:szCs w:val="17"/>
                <w:color w:val="auto"/>
              </w:rPr>
              <w:t>e-mail:</w:t>
            </w:r>
          </w:p>
        </w:tc>
        <w:tc>
          <w:tcPr>
            <w:tcW w:w="5980" w:type="dxa"/>
            <w:vAlign w:val="bottom"/>
            <w:gridSpan w:val="3"/>
          </w:tcPr>
          <w:p>
            <w:pPr>
              <w:ind w:left="20"/>
              <w:spacing w:after="0"/>
              <w:rPr>
                <w:sz w:val="20"/>
                <w:szCs w:val="20"/>
                <w:color w:val="auto"/>
              </w:rPr>
            </w:pPr>
            <w:r>
              <w:rPr>
                <w:rFonts w:ascii="Arial" w:cs="Arial" w:eastAsia="Arial" w:hAnsi="Arial"/>
                <w:sz w:val="17"/>
                <w:szCs w:val="17"/>
                <w:color w:val="auto"/>
              </w:rPr>
              <w:t>christian.tueni@averionintl.com</w:t>
            </w:r>
          </w:p>
        </w:tc>
        <w:tc>
          <w:tcPr>
            <w:tcW w:w="2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-3069590</wp:posOffset>
            </wp:positionV>
            <wp:extent cx="1576705" cy="3841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19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0" w:name="page491"/>
    <w:bookmarkEnd w:id="490"/>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Investigator’s Signature Page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INVESTIGATOR: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Phone: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3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 the undersigned, have reviewed this Protocol, including Appendices, and I will conduct the clinical study as described and will adhere to GCP/ICH and all the ethical and regulatory considerations stated. I have read and understood the contents of the Investigator Brochure.</w:t>
      </w:r>
    </w:p>
    <w:p>
      <w:pPr>
        <w:sectPr>
          <w:pgSz w:w="11900" w:h="16838" w:orient="portrait"/>
          <w:cols w:equalWidth="0" w:num="1">
            <w:col w:w="11420"/>
          </w:cols>
          <w:pgMar w:left="240" w:top="584" w:right="2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Date/Place _______________________</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Signature 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(Name of Investigator)</w:t>
      </w:r>
    </w:p>
    <w:p>
      <w:pPr>
        <w:spacing w:after="0" w:line="200" w:lineRule="exact"/>
        <w:rPr>
          <w:sz w:val="20"/>
          <w:szCs w:val="20"/>
          <w:color w:val="auto"/>
        </w:rPr>
      </w:pPr>
    </w:p>
    <w:p>
      <w:pPr>
        <w:sectPr>
          <w:pgSz w:w="11900" w:h="16838" w:orient="portrait"/>
          <w:cols w:equalWidth="0" w:num="2">
            <w:col w:w="5360" w:space="720"/>
            <w:col w:w="5340"/>
          </w:cols>
          <w:pgMar w:left="240" w:top="584" w:right="239" w:bottom="1440" w:gutter="0" w:footer="0" w:header="0"/>
          <w:type w:val="continuous"/>
        </w:sectPr>
      </w:pPr>
    </w:p>
    <w:p>
      <w:pPr>
        <w:spacing w:after="0" w:line="2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91" w:name="page492"/>
    <w:bookmarkEnd w:id="491"/>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Sponsor Signature Page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60" w:type="dxa"/>
            <w:vAlign w:val="bottom"/>
          </w:tcPr>
          <w:p>
            <w:pPr>
              <w:spacing w:after="0"/>
              <w:rPr>
                <w:sz w:val="20"/>
                <w:szCs w:val="20"/>
                <w:color w:val="auto"/>
              </w:rPr>
            </w:pPr>
            <w:r>
              <w:rPr>
                <w:rFonts w:ascii="Arial" w:cs="Arial" w:eastAsia="Arial" w:hAnsi="Arial"/>
                <w:sz w:val="17"/>
                <w:szCs w:val="17"/>
                <w:color w:val="auto"/>
              </w:rPr>
              <w:t>Sponsor:</w:t>
            </w:r>
          </w:p>
        </w:tc>
        <w:tc>
          <w:tcPr>
            <w:tcW w:w="2140" w:type="dxa"/>
            <w:vAlign w:val="bottom"/>
            <w:gridSpan w:val="2"/>
          </w:tcPr>
          <w:p>
            <w:pPr>
              <w:spacing w:after="0"/>
              <w:rPr>
                <w:sz w:val="20"/>
                <w:szCs w:val="20"/>
                <w:color w:val="auto"/>
              </w:rPr>
            </w:pPr>
            <w:r>
              <w:rPr>
                <w:rFonts w:ascii="Arial" w:cs="Arial" w:eastAsia="Arial" w:hAnsi="Arial"/>
                <w:sz w:val="17"/>
                <w:szCs w:val="17"/>
                <w:color w:val="auto"/>
                <w:w w:val="91"/>
              </w:rPr>
              <w:t>BioLine Innovations Jerusalem</w:t>
            </w:r>
          </w:p>
        </w:tc>
      </w:tr>
      <w:tr>
        <w:trPr>
          <w:trHeight w:val="206"/>
        </w:trPr>
        <w:tc>
          <w:tcPr>
            <w:tcW w:w="3060" w:type="dxa"/>
            <w:vAlign w:val="bottom"/>
          </w:tcPr>
          <w:p>
            <w:pPr>
              <w:spacing w:after="0"/>
              <w:rPr>
                <w:sz w:val="20"/>
                <w:szCs w:val="20"/>
                <w:color w:val="auto"/>
              </w:rPr>
            </w:pPr>
            <w:r>
              <w:rPr>
                <w:rFonts w:ascii="Arial" w:cs="Arial" w:eastAsia="Arial" w:hAnsi="Arial"/>
                <w:sz w:val="17"/>
                <w:szCs w:val="17"/>
                <w:color w:val="auto"/>
              </w:rPr>
              <w:t>Address:</w:t>
            </w:r>
          </w:p>
        </w:tc>
        <w:tc>
          <w:tcPr>
            <w:tcW w:w="2140" w:type="dxa"/>
            <w:vAlign w:val="bottom"/>
            <w:gridSpan w:val="2"/>
          </w:tcPr>
          <w:p>
            <w:pPr>
              <w:spacing w:after="0"/>
              <w:rPr>
                <w:sz w:val="20"/>
                <w:szCs w:val="20"/>
                <w:color w:val="auto"/>
              </w:rPr>
            </w:pPr>
            <w:r>
              <w:rPr>
                <w:rFonts w:ascii="Arial" w:cs="Arial" w:eastAsia="Arial" w:hAnsi="Arial"/>
                <w:sz w:val="17"/>
                <w:szCs w:val="17"/>
                <w:color w:val="auto"/>
              </w:rPr>
              <w:t>19 Hartum St., POB 45158</w:t>
            </w:r>
          </w:p>
        </w:tc>
      </w:tr>
      <w:tr>
        <w:trPr>
          <w:trHeight w:val="217"/>
        </w:trPr>
        <w:tc>
          <w:tcPr>
            <w:tcW w:w="306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7"/>
                <w:szCs w:val="17"/>
                <w:color w:val="auto"/>
              </w:rPr>
              <w:t>Jerusalem, Israel 91450</w:t>
            </w:r>
          </w:p>
        </w:tc>
      </w:tr>
      <w:tr>
        <w:trPr>
          <w:trHeight w:val="401"/>
        </w:trPr>
        <w:tc>
          <w:tcPr>
            <w:tcW w:w="3060" w:type="dxa"/>
            <w:vAlign w:val="bottom"/>
          </w:tcPr>
          <w:p>
            <w:pPr>
              <w:spacing w:after="0"/>
              <w:rPr>
                <w:sz w:val="20"/>
                <w:szCs w:val="20"/>
                <w:color w:val="auto"/>
              </w:rPr>
            </w:pPr>
            <w:r>
              <w:rPr>
                <w:rFonts w:ascii="Arial" w:cs="Arial" w:eastAsia="Arial" w:hAnsi="Arial"/>
                <w:sz w:val="17"/>
                <w:szCs w:val="17"/>
                <w:color w:val="auto"/>
              </w:rPr>
              <w:t>Phone:</w:t>
            </w:r>
          </w:p>
        </w:tc>
        <w:tc>
          <w:tcPr>
            <w:tcW w:w="1460" w:type="dxa"/>
            <w:vAlign w:val="bottom"/>
          </w:tcPr>
          <w:p>
            <w:pPr>
              <w:spacing w:after="0"/>
              <w:rPr>
                <w:sz w:val="20"/>
                <w:szCs w:val="20"/>
                <w:color w:val="auto"/>
              </w:rPr>
            </w:pPr>
            <w:r>
              <w:rPr>
                <w:rFonts w:ascii="Arial" w:cs="Arial" w:eastAsia="Arial" w:hAnsi="Arial"/>
                <w:sz w:val="17"/>
                <w:szCs w:val="17"/>
                <w:color w:val="auto"/>
              </w:rPr>
              <w:t>+972-2-548-9100</w:t>
            </w:r>
          </w:p>
        </w:tc>
        <w:tc>
          <w:tcPr>
            <w:tcW w:w="680" w:type="dxa"/>
            <w:vAlign w:val="bottom"/>
          </w:tcPr>
          <w:p>
            <w:pPr>
              <w:spacing w:after="0"/>
              <w:rPr>
                <w:sz w:val="24"/>
                <w:szCs w:val="24"/>
                <w:color w:val="auto"/>
              </w:rPr>
            </w:pPr>
          </w:p>
        </w:tc>
      </w:tr>
      <w:tr>
        <w:trPr>
          <w:trHeight w:val="206"/>
        </w:trPr>
        <w:tc>
          <w:tcPr>
            <w:tcW w:w="3060" w:type="dxa"/>
            <w:vAlign w:val="bottom"/>
          </w:tcPr>
          <w:p>
            <w:pPr>
              <w:spacing w:after="0"/>
              <w:rPr>
                <w:sz w:val="20"/>
                <w:szCs w:val="20"/>
                <w:color w:val="auto"/>
              </w:rPr>
            </w:pPr>
            <w:r>
              <w:rPr>
                <w:rFonts w:ascii="Arial" w:cs="Arial" w:eastAsia="Arial" w:hAnsi="Arial"/>
                <w:sz w:val="17"/>
                <w:szCs w:val="17"/>
                <w:color w:val="auto"/>
              </w:rPr>
              <w:t>Fax:</w:t>
            </w:r>
          </w:p>
        </w:tc>
        <w:tc>
          <w:tcPr>
            <w:tcW w:w="1460" w:type="dxa"/>
            <w:vAlign w:val="bottom"/>
          </w:tcPr>
          <w:p>
            <w:pPr>
              <w:spacing w:after="0"/>
              <w:rPr>
                <w:sz w:val="20"/>
                <w:szCs w:val="20"/>
                <w:color w:val="auto"/>
              </w:rPr>
            </w:pPr>
            <w:r>
              <w:rPr>
                <w:rFonts w:ascii="Arial" w:cs="Arial" w:eastAsia="Arial" w:hAnsi="Arial"/>
                <w:sz w:val="17"/>
                <w:szCs w:val="17"/>
                <w:color w:val="auto"/>
              </w:rPr>
              <w:t>+972-2-548-9101</w:t>
            </w:r>
          </w:p>
        </w:tc>
        <w:tc>
          <w:tcPr>
            <w:tcW w:w="680" w:type="dxa"/>
            <w:vAlign w:val="bottom"/>
          </w:tcPr>
          <w:p>
            <w:pPr>
              <w:spacing w:after="0"/>
              <w:rPr>
                <w:sz w:val="17"/>
                <w:szCs w:val="17"/>
                <w:color w:val="auto"/>
              </w:rPr>
            </w:pPr>
          </w:p>
        </w:tc>
      </w:tr>
      <w:tr>
        <w:trPr>
          <w:trHeight w:val="180"/>
        </w:trPr>
        <w:tc>
          <w:tcPr>
            <w:tcW w:w="3060" w:type="dxa"/>
            <w:vAlign w:val="bottom"/>
          </w:tcPr>
          <w:p>
            <w:pPr>
              <w:spacing w:after="0" w:line="180" w:lineRule="exact"/>
              <w:rPr>
                <w:sz w:val="20"/>
                <w:szCs w:val="20"/>
                <w:color w:val="auto"/>
              </w:rPr>
            </w:pPr>
            <w:r>
              <w:rPr>
                <w:rFonts w:ascii="Arial" w:cs="Arial" w:eastAsia="Arial" w:hAnsi="Arial"/>
                <w:sz w:val="17"/>
                <w:szCs w:val="17"/>
                <w:color w:val="auto"/>
              </w:rPr>
              <w:t>e-mail:</w:t>
            </w:r>
          </w:p>
        </w:tc>
        <w:tc>
          <w:tcPr>
            <w:tcW w:w="146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95"/>
              </w:rPr>
              <w:t>info@biolineRx.com</w:t>
            </w:r>
          </w:p>
        </w:tc>
        <w:tc>
          <w:tcPr>
            <w:tcW w:w="680" w:type="dxa"/>
            <w:vAlign w:val="bottom"/>
          </w:tcPr>
          <w:p>
            <w:pPr>
              <w:spacing w:after="0"/>
              <w:rPr>
                <w:sz w:val="15"/>
                <w:szCs w:val="15"/>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have read the protocol and confirm that the protocol follows the current GCP guidelines.</w:t>
      </w:r>
    </w:p>
    <w:p>
      <w:pPr>
        <w:sectPr>
          <w:pgSz w:w="11900" w:h="16838" w:orient="portrait"/>
          <w:cols w:equalWidth="0" w:num="1">
            <w:col w:w="11420"/>
          </w:cols>
          <w:pgMar w:left="240" w:top="584"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Date/Place _______________________</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(Prof Moshe Phillip, VP of Medical Affairs, Sr. Clinical Advisor)</w:t>
      </w:r>
    </w:p>
    <w:p>
      <w:pPr>
        <w:spacing w:after="0" w:line="200" w:lineRule="exact"/>
        <w:rPr>
          <w:sz w:val="20"/>
          <w:szCs w:val="20"/>
          <w:color w:val="auto"/>
        </w:rPr>
      </w:pPr>
    </w:p>
    <w:p>
      <w:pPr>
        <w:sectPr>
          <w:pgSz w:w="11900" w:h="16838" w:orient="portrait"/>
          <w:cols w:equalWidth="0" w:num="2">
            <w:col w:w="4200" w:space="720"/>
            <w:col w:w="6500"/>
          </w:cols>
          <w:pgMar w:left="240" w:top="584"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Date/Place _______________________</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Signature 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(Shmuel Tuvia, PhD, Project Manager)</w:t>
      </w:r>
    </w:p>
    <w:p>
      <w:pPr>
        <w:spacing w:after="0" w:line="200" w:lineRule="exact"/>
        <w:rPr>
          <w:sz w:val="20"/>
          <w:szCs w:val="20"/>
          <w:color w:val="auto"/>
        </w:rPr>
      </w:pPr>
    </w:p>
    <w:p>
      <w:pPr>
        <w:sectPr>
          <w:pgSz w:w="11900" w:h="16838" w:orient="portrait"/>
          <w:cols w:equalWidth="0" w:num="2">
            <w:col w:w="4200" w:space="720"/>
            <w:col w:w="6500"/>
          </w:cols>
          <w:pgMar w:left="240" w:top="584" w:right="2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Date/Place _______________________</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Signature _______________________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(Moti Gal, Clinical Operations Manager)</w:t>
      </w:r>
    </w:p>
    <w:p>
      <w:pPr>
        <w:spacing w:after="0" w:line="200" w:lineRule="exact"/>
        <w:rPr>
          <w:sz w:val="20"/>
          <w:szCs w:val="20"/>
          <w:color w:val="auto"/>
        </w:rPr>
      </w:pPr>
    </w:p>
    <w:p>
      <w:pPr>
        <w:sectPr>
          <w:pgSz w:w="11900" w:h="16838" w:orient="portrait"/>
          <w:cols w:equalWidth="0" w:num="2">
            <w:col w:w="4200" w:space="720"/>
            <w:col w:w="6500"/>
          </w:cols>
          <w:pgMar w:left="240" w:top="584" w:right="239" w:bottom="1440" w:gutter="0" w:footer="0" w:header="0"/>
          <w:type w:val="continuous"/>
        </w:sectPr>
      </w:pPr>
    </w:p>
    <w:p>
      <w:pPr>
        <w:spacing w:after="0" w:line="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92" w:name="page493"/>
    <w:bookmarkEnd w:id="492"/>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3" w:right="2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Medical Advisor Signature Page</w:t>
      </w:r>
    </w:p>
    <w:p>
      <w:pPr>
        <w:sectPr>
          <w:pgSz w:w="11900" w:h="16838" w:orient="portrait"/>
          <w:cols w:equalWidth="0" w:num="1">
            <w:col w:w="11420"/>
          </w:cols>
          <w:pgMar w:left="240" w:top="583" w:right="23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Prof Jonathan Leor, MD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Head, Neufeld Cardiac Research Institute.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Tel-Aviv University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Sheba Medical Center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Tel-Hashomer 52621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200" w:lineRule="exact"/>
        <w:rPr>
          <w:sz w:val="20"/>
          <w:szCs w:val="20"/>
          <w:color w:val="auto"/>
        </w:rPr>
      </w:pPr>
    </w:p>
    <w:p>
      <w:pPr>
        <w:sectPr>
          <w:pgSz w:w="11900" w:h="16838" w:orient="portrait"/>
          <w:cols w:equalWidth="0" w:num="2">
            <w:col w:w="2340" w:space="720"/>
            <w:col w:w="8360"/>
          </w:cols>
          <w:pgMar w:left="240" w:top="583"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Phone: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+972-3-534-8685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+972-3-5351139</w:t>
      </w:r>
    </w:p>
    <w:p>
      <w:pPr>
        <w:spacing w:after="0" w:line="211" w:lineRule="exact"/>
        <w:rPr>
          <w:sz w:val="20"/>
          <w:szCs w:val="20"/>
          <w:color w:val="auto"/>
        </w:rPr>
      </w:pPr>
    </w:p>
    <w:p>
      <w:pPr>
        <w:sectPr>
          <w:pgSz w:w="11900" w:h="16838" w:orient="portrait"/>
          <w:cols w:equalWidth="0" w:num="2">
            <w:col w:w="2340" w:space="720"/>
            <w:col w:w="8360"/>
          </w:cols>
          <w:pgMar w:left="240" w:top="583"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I have read the protocol and confirm that the protocol follows the current GCP guidelines.</w:t>
      </w:r>
    </w:p>
    <w:p>
      <w:pPr>
        <w:sectPr>
          <w:pgSz w:w="11900" w:h="16838" w:orient="portrait"/>
          <w:cols w:equalWidth="0" w:num="1">
            <w:col w:w="11420"/>
          </w:cols>
          <w:pgMar w:left="240" w:top="583" w:right="239"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Date/Place _______________________</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Signature 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(Jonathan Leor, MD, Medical Advisor)</w:t>
      </w:r>
    </w:p>
    <w:p>
      <w:pPr>
        <w:spacing w:after="0" w:line="200" w:lineRule="exact"/>
        <w:rPr>
          <w:sz w:val="20"/>
          <w:szCs w:val="20"/>
          <w:color w:val="auto"/>
        </w:rPr>
      </w:pPr>
    </w:p>
    <w:p>
      <w:pPr>
        <w:sectPr>
          <w:pgSz w:w="11900" w:h="16838" w:orient="portrait"/>
          <w:cols w:equalWidth="0" w:num="2">
            <w:col w:w="4200" w:space="720"/>
            <w:col w:w="6500"/>
          </w:cols>
          <w:pgMar w:left="240" w:top="583" w:right="239" w:bottom="1440" w:gutter="0" w:footer="0" w:header="0"/>
          <w:type w:val="continuous"/>
        </w:sectPr>
      </w:pPr>
    </w:p>
    <w:p>
      <w:pPr>
        <w:spacing w:after="0" w:line="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493" w:name="page494"/>
    <w:bookmarkEnd w:id="493"/>
    <w:tbl>
      <w:tblPr>
        <w:tblLayout w:type="fixed"/>
        <w:tblInd w:w="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960" w:type="dxa"/>
            <w:vAlign w:val="bottom"/>
            <w:gridSpan w:val="2"/>
          </w:tcPr>
          <w:p>
            <w:pPr>
              <w:jc w:val="center"/>
              <w:ind w:right="1994"/>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1560" w:type="dxa"/>
            <w:vAlign w:val="bottom"/>
          </w:tcPr>
          <w:p>
            <w:pPr>
              <w:ind w:left="300"/>
              <w:spacing w:after="0"/>
              <w:rPr>
                <w:sz w:val="20"/>
                <w:szCs w:val="20"/>
                <w:color w:val="auto"/>
              </w:rPr>
            </w:pPr>
            <w:r>
              <w:rPr>
                <w:rFonts w:ascii="Arial" w:cs="Arial" w:eastAsia="Arial" w:hAnsi="Arial"/>
                <w:sz w:val="17"/>
                <w:szCs w:val="17"/>
                <w:color w:val="auto"/>
                <w:w w:val="99"/>
              </w:rPr>
              <w:t>CONFIDENTIAL</w:t>
            </w:r>
          </w:p>
        </w:tc>
      </w:tr>
      <w:tr>
        <w:trPr>
          <w:trHeight w:val="200"/>
        </w:trPr>
        <w:tc>
          <w:tcPr>
            <w:tcW w:w="1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960" w:type="dxa"/>
            <w:vAlign w:val="bottom"/>
            <w:gridSpan w:val="2"/>
          </w:tcPr>
          <w:p>
            <w:pPr>
              <w:jc w:val="center"/>
              <w:ind w:right="1994"/>
              <w:spacing w:after="0"/>
              <w:rPr>
                <w:sz w:val="20"/>
                <w:szCs w:val="20"/>
                <w:color w:val="auto"/>
              </w:rPr>
            </w:pPr>
            <w:r>
              <w:rPr>
                <w:rFonts w:ascii="Arial" w:cs="Arial" w:eastAsia="Arial" w:hAnsi="Arial"/>
                <w:sz w:val="17"/>
                <w:szCs w:val="17"/>
                <w:color w:val="auto"/>
                <w:w w:val="93"/>
              </w:rPr>
              <w:t>Safety and Feasibility study of BL-1040</w:t>
            </w:r>
          </w:p>
        </w:tc>
        <w:tc>
          <w:tcPr>
            <w:tcW w:w="1560" w:type="dxa"/>
            <w:vAlign w:val="bottom"/>
          </w:tcPr>
          <w:p>
            <w:pPr>
              <w:spacing w:after="0"/>
              <w:rPr>
                <w:sz w:val="17"/>
                <w:szCs w:val="17"/>
                <w:color w:val="auto"/>
              </w:rPr>
            </w:pPr>
          </w:p>
        </w:tc>
      </w:tr>
      <w:tr>
        <w:trPr>
          <w:trHeight w:val="223"/>
        </w:trPr>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80" w:type="dxa"/>
            <w:vAlign w:val="bottom"/>
          </w:tcPr>
          <w:p>
            <w:pPr>
              <w:jc w:val="center"/>
              <w:ind w:right="2854"/>
              <w:spacing w:after="0"/>
              <w:rPr>
                <w:sz w:val="20"/>
                <w:szCs w:val="20"/>
                <w:color w:val="auto"/>
              </w:rPr>
            </w:pPr>
            <w:r>
              <w:rPr>
                <w:rFonts w:ascii="Arial" w:cs="Arial" w:eastAsia="Arial" w:hAnsi="Arial"/>
                <w:sz w:val="17"/>
                <w:szCs w:val="17"/>
                <w:b w:val="1"/>
                <w:bCs w:val="1"/>
                <w:color w:val="auto"/>
                <w:w w:val="95"/>
              </w:rPr>
              <w:t>Final</w:t>
            </w:r>
          </w:p>
        </w:tc>
        <w:tc>
          <w:tcPr>
            <w:tcW w:w="1560" w:type="dxa"/>
            <w:vAlign w:val="bottom"/>
          </w:tcPr>
          <w:p>
            <w:pPr>
              <w:spacing w:after="0"/>
              <w:rPr>
                <w:sz w:val="19"/>
                <w:szCs w:val="19"/>
                <w:color w:val="auto"/>
              </w:rPr>
            </w:pPr>
          </w:p>
        </w:tc>
      </w:tr>
      <w:tr>
        <w:trPr>
          <w:trHeight w:val="541"/>
        </w:trPr>
        <w:tc>
          <w:tcPr>
            <w:tcW w:w="1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960" w:type="dxa"/>
            <w:vAlign w:val="bottom"/>
            <w:gridSpan w:val="2"/>
          </w:tcPr>
          <w:p>
            <w:pPr>
              <w:ind w:left="240"/>
              <w:spacing w:after="0"/>
              <w:rPr>
                <w:sz w:val="20"/>
                <w:szCs w:val="20"/>
                <w:color w:val="auto"/>
              </w:rPr>
            </w:pPr>
            <w:r>
              <w:rPr>
                <w:rFonts w:ascii="Arial" w:cs="Arial" w:eastAsia="Arial" w:hAnsi="Arial"/>
                <w:sz w:val="26"/>
                <w:szCs w:val="26"/>
                <w:b w:val="1"/>
                <w:bCs w:val="1"/>
                <w:color w:val="auto"/>
              </w:rPr>
              <w:t>Synopsis</w:t>
            </w:r>
          </w:p>
        </w:tc>
        <w:tc>
          <w:tcPr>
            <w:tcW w:w="1560" w:type="dxa"/>
            <w:vAlign w:val="bottom"/>
          </w:tcPr>
          <w:p>
            <w:pPr>
              <w:spacing w:after="0"/>
              <w:rPr>
                <w:sz w:val="24"/>
                <w:szCs w:val="24"/>
                <w:color w:val="auto"/>
              </w:rPr>
            </w:pPr>
          </w:p>
        </w:tc>
      </w:tr>
      <w:tr>
        <w:trPr>
          <w:trHeight w:val="424"/>
        </w:trPr>
        <w:tc>
          <w:tcPr>
            <w:tcW w:w="1900" w:type="dxa"/>
            <w:vAlign w:val="bottom"/>
          </w:tcPr>
          <w:p>
            <w:pPr>
              <w:spacing w:after="0"/>
              <w:rPr>
                <w:sz w:val="20"/>
                <w:szCs w:val="20"/>
                <w:color w:val="auto"/>
              </w:rPr>
            </w:pPr>
            <w:r>
              <w:rPr>
                <w:rFonts w:ascii="Arial" w:cs="Arial" w:eastAsia="Arial" w:hAnsi="Arial"/>
                <w:sz w:val="17"/>
                <w:szCs w:val="17"/>
                <w:color w:val="auto"/>
              </w:rPr>
              <w:t>STUDY NUMBER</w:t>
            </w: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BL-1040.01</w:t>
            </w:r>
          </w:p>
        </w:tc>
        <w:tc>
          <w:tcPr>
            <w:tcW w:w="1560" w:type="dxa"/>
            <w:vAlign w:val="bottom"/>
          </w:tcPr>
          <w:p>
            <w:pPr>
              <w:spacing w:after="0"/>
              <w:rPr>
                <w:sz w:val="24"/>
                <w:szCs w:val="24"/>
                <w:color w:val="auto"/>
              </w:rPr>
            </w:pP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TITLE OF THE STUDY</w:t>
            </w: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5"/>
              </w:rPr>
              <w:t>A Phase I, multi-center, open label study designed to assess the safety and feasibility of the injectable BL-1040 implant to provide</w:t>
            </w:r>
          </w:p>
        </w:tc>
      </w:tr>
      <w:tr>
        <w:trPr>
          <w:trHeight w:val="217"/>
        </w:trPr>
        <w:tc>
          <w:tcPr>
            <w:tcW w:w="1900" w:type="dxa"/>
            <w:vAlign w:val="bottom"/>
          </w:tcPr>
          <w:p>
            <w:pPr>
              <w:spacing w:after="0"/>
              <w:rPr>
                <w:sz w:val="18"/>
                <w:szCs w:val="18"/>
                <w:color w:val="auto"/>
              </w:rPr>
            </w:pP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scaffolding to infarcted myocardial tissue</w:t>
            </w:r>
          </w:p>
        </w:tc>
        <w:tc>
          <w:tcPr>
            <w:tcW w:w="1560" w:type="dxa"/>
            <w:vAlign w:val="bottom"/>
          </w:tcPr>
          <w:p>
            <w:pPr>
              <w:spacing w:after="0"/>
              <w:rPr>
                <w:sz w:val="18"/>
                <w:szCs w:val="18"/>
                <w:color w:val="auto"/>
              </w:rPr>
            </w:pP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STUDY CENTER/</w:t>
            </w:r>
          </w:p>
        </w:tc>
        <w:tc>
          <w:tcPr>
            <w:tcW w:w="3000" w:type="dxa"/>
            <w:vAlign w:val="bottom"/>
          </w:tcPr>
          <w:p>
            <w:pPr>
              <w:ind w:left="160"/>
              <w:spacing w:after="0"/>
              <w:rPr>
                <w:sz w:val="20"/>
                <w:szCs w:val="20"/>
                <w:color w:val="auto"/>
              </w:rPr>
            </w:pPr>
            <w:r>
              <w:rPr>
                <w:rFonts w:ascii="Arial" w:cs="Arial" w:eastAsia="Arial" w:hAnsi="Arial"/>
                <w:sz w:val="17"/>
                <w:szCs w:val="17"/>
                <w:color w:val="auto"/>
                <w:w w:val="93"/>
              </w:rPr>
              <w:t xml:space="preserve">Approximately </w:t>
            </w:r>
            <w:r>
              <w:rPr>
                <w:rFonts w:ascii="Arial" w:cs="Arial" w:eastAsia="Arial" w:hAnsi="Arial"/>
                <w:sz w:val="17"/>
                <w:szCs w:val="17"/>
                <w:b w:val="1"/>
                <w:bCs w:val="1"/>
                <w:color w:val="auto"/>
                <w:w w:val="93"/>
              </w:rPr>
              <w:t>10</w:t>
            </w:r>
            <w:r>
              <w:rPr>
                <w:rFonts w:ascii="Arial" w:cs="Arial" w:eastAsia="Arial" w:hAnsi="Arial"/>
                <w:sz w:val="17"/>
                <w:szCs w:val="17"/>
                <w:color w:val="auto"/>
                <w:w w:val="93"/>
              </w:rPr>
              <w:t xml:space="preserve"> centers in </w:t>
            </w:r>
            <w:r>
              <w:rPr>
                <w:rFonts w:ascii="Arial" w:cs="Arial" w:eastAsia="Arial" w:hAnsi="Arial"/>
                <w:sz w:val="17"/>
                <w:szCs w:val="17"/>
                <w:b w:val="1"/>
                <w:bCs w:val="1"/>
                <w:color w:val="auto"/>
                <w:w w:val="93"/>
              </w:rPr>
              <w:t>3</w:t>
            </w:r>
            <w:r>
              <w:rPr>
                <w:rFonts w:ascii="Arial" w:cs="Arial" w:eastAsia="Arial" w:hAnsi="Arial"/>
                <w:sz w:val="17"/>
                <w:szCs w:val="17"/>
                <w:color w:val="auto"/>
                <w:w w:val="93"/>
              </w:rPr>
              <w:t xml:space="preserve"> countries:</w:t>
            </w:r>
          </w:p>
        </w:tc>
        <w:tc>
          <w:tcPr>
            <w:tcW w:w="880" w:type="dxa"/>
            <w:vAlign w:val="bottom"/>
          </w:tcPr>
          <w:p>
            <w:pPr>
              <w:spacing w:after="0"/>
              <w:rPr>
                <w:sz w:val="20"/>
                <w:szCs w:val="20"/>
                <w:color w:val="auto"/>
              </w:rPr>
            </w:pPr>
            <w:r>
              <w:rPr>
                <w:rFonts w:ascii="Arial" w:cs="Arial" w:eastAsia="Arial" w:hAnsi="Arial"/>
                <w:sz w:val="17"/>
                <w:szCs w:val="17"/>
                <w:color w:val="auto"/>
                <w:strike w:val="1"/>
                <w:w w:val="89"/>
              </w:rPr>
              <w:t>Netherlands,</w:t>
            </w:r>
          </w:p>
        </w:tc>
        <w:tc>
          <w:tcPr>
            <w:tcW w:w="4080" w:type="dxa"/>
            <w:vAlign w:val="bottom"/>
          </w:tcPr>
          <w:p>
            <w:pPr>
              <w:ind w:left="40"/>
              <w:spacing w:after="0"/>
              <w:rPr>
                <w:sz w:val="20"/>
                <w:szCs w:val="20"/>
                <w:color w:val="auto"/>
              </w:rPr>
            </w:pPr>
            <w:r>
              <w:rPr>
                <w:rFonts w:ascii="Arial" w:cs="Arial" w:eastAsia="Arial" w:hAnsi="Arial"/>
                <w:sz w:val="17"/>
                <w:szCs w:val="17"/>
                <w:color w:val="auto"/>
              </w:rPr>
              <w:t>Belgium, Germany, Israel</w:t>
            </w:r>
          </w:p>
        </w:tc>
        <w:tc>
          <w:tcPr>
            <w:tcW w:w="1560" w:type="dxa"/>
            <w:vAlign w:val="bottom"/>
          </w:tcPr>
          <w:p>
            <w:pPr>
              <w:spacing w:after="0"/>
              <w:rPr>
                <w:sz w:val="24"/>
                <w:szCs w:val="24"/>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7"/>
                <w:szCs w:val="17"/>
                <w:color w:val="auto"/>
              </w:rPr>
              <w:t>COUNTRY</w:t>
            </w:r>
          </w:p>
        </w:tc>
        <w:tc>
          <w:tcPr>
            <w:tcW w:w="3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PLANNED STUDY</w:t>
            </w: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 xml:space="preserve">Q1 2008 to </w:t>
            </w:r>
            <w:r>
              <w:rPr>
                <w:rFonts w:ascii="Arial" w:cs="Arial" w:eastAsia="Arial" w:hAnsi="Arial"/>
                <w:sz w:val="17"/>
                <w:szCs w:val="17"/>
                <w:b w:val="1"/>
                <w:bCs w:val="1"/>
                <w:color w:val="auto"/>
              </w:rPr>
              <w:t>Q1 2010</w:t>
            </w:r>
          </w:p>
        </w:tc>
        <w:tc>
          <w:tcPr>
            <w:tcW w:w="1560" w:type="dxa"/>
            <w:vAlign w:val="bottom"/>
          </w:tcPr>
          <w:p>
            <w:pPr>
              <w:spacing w:after="0"/>
              <w:rPr>
                <w:sz w:val="24"/>
                <w:szCs w:val="24"/>
                <w:color w:val="auto"/>
              </w:rPr>
            </w:pPr>
          </w:p>
        </w:tc>
      </w:tr>
      <w:tr>
        <w:trPr>
          <w:trHeight w:val="206"/>
        </w:trPr>
        <w:tc>
          <w:tcPr>
            <w:tcW w:w="1900" w:type="dxa"/>
            <w:vAlign w:val="bottom"/>
          </w:tcPr>
          <w:p>
            <w:pPr>
              <w:spacing w:after="0"/>
              <w:rPr>
                <w:sz w:val="20"/>
                <w:szCs w:val="20"/>
                <w:color w:val="auto"/>
              </w:rPr>
            </w:pPr>
            <w:r>
              <w:rPr>
                <w:rFonts w:ascii="Arial" w:cs="Arial" w:eastAsia="Arial" w:hAnsi="Arial"/>
                <w:sz w:val="17"/>
                <w:szCs w:val="17"/>
                <w:color w:val="auto"/>
              </w:rPr>
              <w:t>PERIOD +</w:t>
            </w:r>
          </w:p>
        </w:tc>
        <w:tc>
          <w:tcPr>
            <w:tcW w:w="3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7"/>
                <w:szCs w:val="17"/>
                <w:color w:val="auto"/>
              </w:rPr>
              <w:t>CLINICAL PHASE</w:t>
            </w: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Phase I</w:t>
            </w:r>
          </w:p>
        </w:tc>
        <w:tc>
          <w:tcPr>
            <w:tcW w:w="1560" w:type="dxa"/>
            <w:vAlign w:val="bottom"/>
          </w:tcPr>
          <w:p>
            <w:pPr>
              <w:spacing w:after="0"/>
              <w:rPr>
                <w:sz w:val="21"/>
                <w:szCs w:val="21"/>
                <w:color w:val="auto"/>
              </w:rPr>
            </w:pP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INDICATION AND</w:t>
            </w: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8"/>
              </w:rPr>
              <w:t>Heart failure after myocardial infarction (MI) is often precipitated by early and progressive extracellular matrix degradation and</w:t>
            </w:r>
          </w:p>
        </w:tc>
      </w:tr>
      <w:tr>
        <w:trPr>
          <w:trHeight w:val="206"/>
        </w:trPr>
        <w:tc>
          <w:tcPr>
            <w:tcW w:w="1900" w:type="dxa"/>
            <w:vAlign w:val="bottom"/>
          </w:tcPr>
          <w:p>
            <w:pPr>
              <w:spacing w:after="0"/>
              <w:rPr>
                <w:sz w:val="20"/>
                <w:szCs w:val="20"/>
                <w:color w:val="auto"/>
              </w:rPr>
            </w:pPr>
            <w:r>
              <w:rPr>
                <w:rFonts w:ascii="Arial" w:cs="Arial" w:eastAsia="Arial" w:hAnsi="Arial"/>
                <w:sz w:val="17"/>
                <w:szCs w:val="17"/>
                <w:color w:val="auto"/>
              </w:rPr>
              <w:t>RATIONALE</w:t>
            </w: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5"/>
              </w:rPr>
              <w:t>pathological remodeling of the left ventricle (LV). In response to MI, a series of molecular, cellular and physiological responses are</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8"/>
              </w:rPr>
              <w:t>triggered, which can lead to early infarct expansion (infarct thinning), which may result in early ventricular rupture or aneurysm</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3"/>
              </w:rPr>
              <w:t>formation and the transition to heart failure. Late remodeling involves the left ventricle globally and is associated with time-dependent</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6"/>
              </w:rPr>
              <w:t>dilatation, and the distortion of ventricular shape. The failure to normalize increased wall stresses results in progressive dilatation,</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3"/>
              </w:rPr>
              <w:t>recruitment of border zone myocardium into the infarct, and deterioration in contractile function. Current anti-remodeling therapies are</w:t>
            </w:r>
          </w:p>
        </w:tc>
      </w:tr>
      <w:tr>
        <w:trPr>
          <w:trHeight w:val="206"/>
        </w:trPr>
        <w:tc>
          <w:tcPr>
            <w:tcW w:w="1900" w:type="dxa"/>
            <w:vAlign w:val="bottom"/>
          </w:tcPr>
          <w:p>
            <w:pPr>
              <w:spacing w:after="0"/>
              <w:rPr>
                <w:sz w:val="17"/>
                <w:szCs w:val="17"/>
                <w:color w:val="auto"/>
              </w:rPr>
            </w:pP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w w:val="96"/>
              </w:rPr>
              <w:t>clearly limited, as many ventricles continue to enlarge and mortality and morbidity remain significantly high.</w:t>
            </w:r>
          </w:p>
        </w:tc>
        <w:tc>
          <w:tcPr>
            <w:tcW w:w="1560" w:type="dxa"/>
            <w:vAlign w:val="bottom"/>
          </w:tcPr>
          <w:p>
            <w:pPr>
              <w:spacing w:after="0"/>
              <w:rPr>
                <w:sz w:val="17"/>
                <w:szCs w:val="17"/>
                <w:color w:val="auto"/>
              </w:rPr>
            </w:pP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5"/>
              </w:rPr>
              <w:t>Based on the mechanism of LV remodeling, it has been hypothesized that injection of biomaterials into the infarct could thicken the</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9"/>
              </w:rPr>
              <w:t>infarct, arrest infarct expansion, prevent LV dilatation and reduce wall stress that initiates progressive adverse LV remodeling.</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6"/>
              </w:rPr>
              <w:t>BL-1040 Myocardial Implant is a non-pharmacologic cross-linked alginate solution administered via intracoronary (IC) injection to</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5"/>
              </w:rPr>
              <w:t>infarcted tissue, forming a flexible, three-dimensional mechanical scaffold. BL-1040 Myocardial Implant presents a novel, safe and</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4"/>
              </w:rPr>
              <w:t>non-surgical therapy that directly addresses the stability and structural integrity of myocardial tissue while potentially preventing post</w:t>
            </w:r>
          </w:p>
        </w:tc>
      </w:tr>
      <w:tr>
        <w:trPr>
          <w:trHeight w:val="217"/>
        </w:trPr>
        <w:tc>
          <w:tcPr>
            <w:tcW w:w="1900" w:type="dxa"/>
            <w:vAlign w:val="bottom"/>
          </w:tcPr>
          <w:p>
            <w:pPr>
              <w:spacing w:after="0"/>
              <w:rPr>
                <w:sz w:val="18"/>
                <w:szCs w:val="18"/>
                <w:color w:val="auto"/>
              </w:rPr>
            </w:pP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infarction remodeling, primarily via limiting left ventricle dilation.</w:t>
            </w:r>
          </w:p>
        </w:tc>
        <w:tc>
          <w:tcPr>
            <w:tcW w:w="1560" w:type="dxa"/>
            <w:vAlign w:val="bottom"/>
          </w:tcPr>
          <w:p>
            <w:pPr>
              <w:spacing w:after="0"/>
              <w:rPr>
                <w:sz w:val="18"/>
                <w:szCs w:val="18"/>
                <w:color w:val="auto"/>
              </w:rPr>
            </w:pP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OBJECTIVES</w:t>
            </w: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rPr>
              <w:t>· To evaluate the safety of the BL-1040 myocardial implant in patients after MI at high risk for LV remodeling and CHF.</w:t>
            </w:r>
          </w:p>
        </w:tc>
      </w:tr>
      <w:tr>
        <w:trPr>
          <w:trHeight w:val="206"/>
        </w:trPr>
        <w:tc>
          <w:tcPr>
            <w:tcW w:w="1900" w:type="dxa"/>
            <w:vAlign w:val="bottom"/>
          </w:tcPr>
          <w:p>
            <w:pPr>
              <w:spacing w:after="0"/>
              <w:rPr>
                <w:sz w:val="17"/>
                <w:szCs w:val="17"/>
                <w:color w:val="auto"/>
              </w:rPr>
            </w:pPr>
          </w:p>
        </w:tc>
        <w:tc>
          <w:tcPr>
            <w:tcW w:w="9520" w:type="dxa"/>
            <w:vAlign w:val="bottom"/>
            <w:gridSpan w:val="4"/>
          </w:tcPr>
          <w:p>
            <w:pPr>
              <w:ind w:left="160"/>
              <w:spacing w:after="0"/>
              <w:rPr>
                <w:sz w:val="20"/>
                <w:szCs w:val="20"/>
                <w:color w:val="auto"/>
              </w:rPr>
            </w:pPr>
            <w:r>
              <w:rPr>
                <w:rFonts w:ascii="Arial" w:cs="Arial" w:eastAsia="Arial" w:hAnsi="Arial"/>
                <w:sz w:val="17"/>
                <w:szCs w:val="17"/>
                <w:color w:val="auto"/>
                <w:w w:val="95"/>
              </w:rPr>
              <w:t>· To provide feasibility data in order to initiate and conduct a pivotal clinical study evaluating the safety and efficacy of the BL-1040</w:t>
            </w:r>
          </w:p>
        </w:tc>
      </w:tr>
      <w:tr>
        <w:trPr>
          <w:trHeight w:val="217"/>
        </w:trPr>
        <w:tc>
          <w:tcPr>
            <w:tcW w:w="1900" w:type="dxa"/>
            <w:vAlign w:val="bottom"/>
          </w:tcPr>
          <w:p>
            <w:pPr>
              <w:spacing w:after="0"/>
              <w:rPr>
                <w:sz w:val="18"/>
                <w:szCs w:val="18"/>
                <w:color w:val="auto"/>
              </w:rPr>
            </w:pPr>
          </w:p>
        </w:tc>
        <w:tc>
          <w:tcPr>
            <w:tcW w:w="7960" w:type="dxa"/>
            <w:vAlign w:val="bottom"/>
            <w:gridSpan w:val="3"/>
          </w:tcPr>
          <w:p>
            <w:pPr>
              <w:ind w:left="320"/>
              <w:spacing w:after="0"/>
              <w:rPr>
                <w:sz w:val="20"/>
                <w:szCs w:val="20"/>
                <w:color w:val="auto"/>
              </w:rPr>
            </w:pPr>
            <w:r>
              <w:rPr>
                <w:rFonts w:ascii="Arial" w:cs="Arial" w:eastAsia="Arial" w:hAnsi="Arial"/>
                <w:sz w:val="17"/>
                <w:szCs w:val="17"/>
                <w:color w:val="auto"/>
              </w:rPr>
              <w:t>implant in patients following myocardial infarction.</w:t>
            </w:r>
          </w:p>
        </w:tc>
        <w:tc>
          <w:tcPr>
            <w:tcW w:w="1560" w:type="dxa"/>
            <w:vAlign w:val="bottom"/>
          </w:tcPr>
          <w:p>
            <w:pPr>
              <w:spacing w:after="0"/>
              <w:rPr>
                <w:sz w:val="18"/>
                <w:szCs w:val="18"/>
                <w:color w:val="auto"/>
              </w:rPr>
            </w:pP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ENDPOINTS</w:t>
            </w: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Primary safety endpoints</w:t>
            </w:r>
          </w:p>
        </w:tc>
        <w:tc>
          <w:tcPr>
            <w:tcW w:w="1560" w:type="dxa"/>
            <w:vAlign w:val="bottom"/>
          </w:tcPr>
          <w:p>
            <w:pPr>
              <w:spacing w:after="0"/>
              <w:rPr>
                <w:sz w:val="24"/>
                <w:szCs w:val="24"/>
                <w:color w:val="auto"/>
              </w:rPr>
            </w:pPr>
          </w:p>
        </w:tc>
      </w:tr>
      <w:tr>
        <w:trPr>
          <w:trHeight w:val="217"/>
        </w:trPr>
        <w:tc>
          <w:tcPr>
            <w:tcW w:w="1900" w:type="dxa"/>
            <w:vAlign w:val="bottom"/>
          </w:tcPr>
          <w:p>
            <w:pPr>
              <w:spacing w:after="0"/>
              <w:rPr>
                <w:sz w:val="18"/>
                <w:szCs w:val="18"/>
                <w:color w:val="auto"/>
              </w:rPr>
            </w:pPr>
          </w:p>
        </w:tc>
        <w:tc>
          <w:tcPr>
            <w:tcW w:w="7960" w:type="dxa"/>
            <w:vAlign w:val="bottom"/>
            <w:gridSpan w:val="3"/>
          </w:tcPr>
          <w:p>
            <w:pPr>
              <w:ind w:left="160"/>
              <w:spacing w:after="0"/>
              <w:rPr>
                <w:sz w:val="20"/>
                <w:szCs w:val="20"/>
                <w:color w:val="auto"/>
              </w:rPr>
            </w:pPr>
            <w:r>
              <w:rPr>
                <w:rFonts w:ascii="Arial" w:cs="Arial" w:eastAsia="Arial" w:hAnsi="Arial"/>
                <w:sz w:val="17"/>
                <w:szCs w:val="17"/>
                <w:color w:val="auto"/>
              </w:rPr>
              <w:t>Occurrence of all adverse events including but not limited to</w:t>
            </w:r>
          </w:p>
        </w:tc>
        <w:tc>
          <w:tcPr>
            <w:tcW w:w="1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-5070475</wp:posOffset>
            </wp:positionV>
            <wp:extent cx="1576705" cy="38417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7"/>
          <w:szCs w:val="17"/>
          <w:color w:val="auto"/>
        </w:rPr>
        <w:t>· All MIs</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Cardiovascular hospitalization</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Serious ventricular arrhythmias sustained:</w:t>
      </w:r>
    </w:p>
    <w:p>
      <w:pPr>
        <w:spacing w:after="0" w:line="10"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 VT (symptomatic or sustained VT [duration longer than 30 seconds or 100 beats, or associated with hemodynamic collapse])</w:t>
      </w:r>
    </w:p>
    <w:p>
      <w:pPr>
        <w:spacing w:after="0" w:line="22"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 VF</w:t>
      </w:r>
    </w:p>
    <w:p>
      <w:pPr>
        <w:spacing w:after="0" w:line="10" w:lineRule="exact"/>
        <w:rPr>
          <w:sz w:val="20"/>
          <w:szCs w:val="20"/>
          <w:color w:val="auto"/>
        </w:rPr>
      </w:pPr>
    </w:p>
    <w:p>
      <w:pPr>
        <w:ind w:left="2060" w:right="340" w:firstLine="309"/>
        <w:spacing w:after="0" w:line="252" w:lineRule="auto"/>
        <w:rPr>
          <w:sz w:val="20"/>
          <w:szCs w:val="20"/>
          <w:color w:val="auto"/>
        </w:rPr>
      </w:pPr>
      <w:r>
        <w:rPr>
          <w:rFonts w:ascii="Arial" w:cs="Arial" w:eastAsia="Arial" w:hAnsi="Arial"/>
          <w:sz w:val="17"/>
          <w:szCs w:val="17"/>
          <w:color w:val="auto"/>
        </w:rPr>
        <w:t>· symptomatic bradycardia, pauses of longer than 3.0 seconds, complete atrioventricular block, Mobitz II atrioventricular block · Symptomatic heart failure (NYHA criteria + physical examination OR hospitalization due to heart failure) · Renal failure</w:t>
      </w:r>
    </w:p>
    <w:p>
      <w:pPr>
        <w:spacing w:after="0" w:line="2"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Stroke</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Death</w:t>
      </w:r>
    </w:p>
    <w:p>
      <w:pPr>
        <w:spacing w:after="0" w:line="22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4" w:name="page495"/>
    <w:bookmarkEnd w:id="494"/>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Secondary safety endpoints</w:t>
      </w:r>
    </w:p>
    <w:p>
      <w:pPr>
        <w:spacing w:after="0" w:line="21" w:lineRule="exact"/>
        <w:rPr>
          <w:sz w:val="20"/>
          <w:szCs w:val="20"/>
          <w:color w:val="auto"/>
        </w:rPr>
      </w:pPr>
    </w:p>
    <w:p>
      <w:pPr>
        <w:ind w:left="2140" w:hanging="79"/>
        <w:spacing w:after="0"/>
        <w:tabs>
          <w:tab w:leader="none" w:pos="21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Change from baseline in LV dimensions (end-systolic volume index, end-diastolic volume index, left ventricular mass)</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Change from baseline in regional (infarct related) and global wall motion score</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Change from baseline in ejection fraction</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Cardiac rupture</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NT-proBNP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20" w:type="dxa"/>
            <w:vAlign w:val="bottom"/>
          </w:tcPr>
          <w:p>
            <w:pPr>
              <w:spacing w:after="0"/>
              <w:rPr>
                <w:sz w:val="20"/>
                <w:szCs w:val="20"/>
                <w:color w:val="auto"/>
              </w:rPr>
            </w:pPr>
            <w:r>
              <w:rPr>
                <w:rFonts w:ascii="Arial" w:cs="Arial" w:eastAsia="Arial" w:hAnsi="Arial"/>
                <w:sz w:val="17"/>
                <w:szCs w:val="17"/>
                <w:color w:val="auto"/>
              </w:rPr>
              <w:t>DESIGN</w:t>
            </w:r>
          </w:p>
        </w:tc>
        <w:tc>
          <w:tcPr>
            <w:tcW w:w="2500" w:type="dxa"/>
            <w:vAlign w:val="bottom"/>
          </w:tcPr>
          <w:p>
            <w:pPr>
              <w:ind w:left="640"/>
              <w:spacing w:after="0"/>
              <w:rPr>
                <w:sz w:val="20"/>
                <w:szCs w:val="20"/>
                <w:color w:val="auto"/>
              </w:rPr>
            </w:pPr>
            <w:r>
              <w:rPr>
                <w:rFonts w:ascii="Arial" w:cs="Arial" w:eastAsia="Arial" w:hAnsi="Arial"/>
                <w:sz w:val="17"/>
                <w:szCs w:val="17"/>
                <w:color w:val="auto"/>
              </w:rPr>
              <w:t>Multi-center, open label</w:t>
            </w:r>
          </w:p>
        </w:tc>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401"/>
        </w:trPr>
        <w:tc>
          <w:tcPr>
            <w:tcW w:w="1420" w:type="dxa"/>
            <w:vAlign w:val="bottom"/>
          </w:tcPr>
          <w:p>
            <w:pPr>
              <w:spacing w:after="0"/>
              <w:rPr>
                <w:sz w:val="20"/>
                <w:szCs w:val="20"/>
                <w:color w:val="auto"/>
              </w:rPr>
            </w:pPr>
            <w:r>
              <w:rPr>
                <w:rFonts w:ascii="Arial" w:cs="Arial" w:eastAsia="Arial" w:hAnsi="Arial"/>
                <w:sz w:val="17"/>
                <w:szCs w:val="17"/>
                <w:color w:val="auto"/>
              </w:rPr>
              <w:t>PATIENTS</w:t>
            </w:r>
          </w:p>
        </w:tc>
        <w:tc>
          <w:tcPr>
            <w:tcW w:w="2500" w:type="dxa"/>
            <w:vAlign w:val="bottom"/>
          </w:tcPr>
          <w:p>
            <w:pPr>
              <w:ind w:left="640"/>
              <w:spacing w:after="0"/>
              <w:rPr>
                <w:sz w:val="20"/>
                <w:szCs w:val="20"/>
                <w:color w:val="auto"/>
              </w:rPr>
            </w:pPr>
            <w:r>
              <w:rPr>
                <w:rFonts w:ascii="Arial" w:cs="Arial" w:eastAsia="Arial" w:hAnsi="Arial"/>
                <w:sz w:val="17"/>
                <w:szCs w:val="17"/>
                <w:color w:val="auto"/>
              </w:rPr>
              <w:t>NUMBER</w:t>
            </w: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Maximum 30</w:t>
            </w:r>
          </w:p>
        </w:tc>
      </w:tr>
      <w:tr>
        <w:trPr>
          <w:trHeight w:val="206"/>
        </w:trPr>
        <w:tc>
          <w:tcPr>
            <w:tcW w:w="1420" w:type="dxa"/>
            <w:vAlign w:val="bottom"/>
          </w:tcPr>
          <w:p>
            <w:pPr>
              <w:spacing w:after="0"/>
              <w:rPr>
                <w:sz w:val="17"/>
                <w:szCs w:val="17"/>
                <w:color w:val="auto"/>
              </w:rPr>
            </w:pPr>
          </w:p>
        </w:tc>
        <w:tc>
          <w:tcPr>
            <w:tcW w:w="2500" w:type="dxa"/>
            <w:vAlign w:val="bottom"/>
          </w:tcPr>
          <w:p>
            <w:pPr>
              <w:ind w:left="640"/>
              <w:spacing w:after="0"/>
              <w:rPr>
                <w:sz w:val="20"/>
                <w:szCs w:val="20"/>
                <w:color w:val="auto"/>
              </w:rPr>
            </w:pPr>
            <w:r>
              <w:rPr>
                <w:rFonts w:ascii="Arial" w:cs="Arial" w:eastAsia="Arial" w:hAnsi="Arial"/>
                <w:sz w:val="17"/>
                <w:szCs w:val="17"/>
                <w:color w:val="auto"/>
              </w:rPr>
              <w:t>MAIN INCLUSION</w:t>
            </w: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Signed informed consent</w:t>
            </w:r>
          </w:p>
        </w:tc>
      </w:tr>
      <w:tr>
        <w:trPr>
          <w:trHeight w:val="206"/>
        </w:trPr>
        <w:tc>
          <w:tcPr>
            <w:tcW w:w="1420" w:type="dxa"/>
            <w:vAlign w:val="bottom"/>
          </w:tcPr>
          <w:p>
            <w:pPr>
              <w:spacing w:after="0"/>
              <w:rPr>
                <w:sz w:val="17"/>
                <w:szCs w:val="17"/>
                <w:color w:val="auto"/>
              </w:rPr>
            </w:pPr>
          </w:p>
        </w:tc>
        <w:tc>
          <w:tcPr>
            <w:tcW w:w="2500" w:type="dxa"/>
            <w:vAlign w:val="bottom"/>
          </w:tcPr>
          <w:p>
            <w:pPr>
              <w:ind w:left="640"/>
              <w:spacing w:after="0"/>
              <w:rPr>
                <w:sz w:val="20"/>
                <w:szCs w:val="20"/>
                <w:color w:val="auto"/>
              </w:rPr>
            </w:pPr>
            <w:r>
              <w:rPr>
                <w:rFonts w:ascii="Arial" w:cs="Arial" w:eastAsia="Arial" w:hAnsi="Arial"/>
                <w:sz w:val="17"/>
                <w:szCs w:val="17"/>
                <w:color w:val="auto"/>
              </w:rPr>
              <w:t>CRITERIA</w:t>
            </w: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18 to 75 years of age, inclusive</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Male or female</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w w:val="93"/>
              </w:rPr>
              <w:t>· Negative pregnancy test for women of child-bearing potential, or surgically sterile, or post menopausal</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Acute MI defined as:</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500"/>
              <w:spacing w:after="0"/>
              <w:rPr>
                <w:sz w:val="20"/>
                <w:szCs w:val="20"/>
                <w:color w:val="auto"/>
              </w:rPr>
            </w:pPr>
            <w:r>
              <w:rPr>
                <w:rFonts w:ascii="Arial" w:cs="Arial" w:eastAsia="Arial" w:hAnsi="Arial"/>
                <w:sz w:val="17"/>
                <w:szCs w:val="17"/>
                <w:color w:val="auto"/>
                <w:w w:val="93"/>
              </w:rPr>
              <w:t>1.Typical rise and gradual fall (troponin) or more rapid rise and fall (CK-MB) of biochemical markers</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660"/>
              <w:spacing w:after="0"/>
              <w:rPr>
                <w:sz w:val="20"/>
                <w:szCs w:val="20"/>
                <w:color w:val="auto"/>
              </w:rPr>
            </w:pPr>
            <w:r>
              <w:rPr>
                <w:rFonts w:ascii="Arial" w:cs="Arial" w:eastAsia="Arial" w:hAnsi="Arial"/>
                <w:sz w:val="17"/>
                <w:szCs w:val="17"/>
                <w:color w:val="auto"/>
                <w:w w:val="92"/>
              </w:rPr>
              <w:t>of myocardial necrosis with at least one of the following: a) ischemic symptoms; b) development of</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660"/>
              <w:spacing w:after="0"/>
              <w:rPr>
                <w:sz w:val="20"/>
                <w:szCs w:val="20"/>
                <w:color w:val="auto"/>
              </w:rPr>
            </w:pPr>
            <w:r>
              <w:rPr>
                <w:rFonts w:ascii="Arial" w:cs="Arial" w:eastAsia="Arial" w:hAnsi="Arial"/>
                <w:sz w:val="17"/>
                <w:szCs w:val="17"/>
                <w:color w:val="auto"/>
                <w:w w:val="93"/>
              </w:rPr>
              <w:t>pathologic Qwaves on the ECG; c) ECG changes indicative of ischemia (ST segment elevation or</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660"/>
              <w:spacing w:after="0"/>
              <w:rPr>
                <w:sz w:val="20"/>
                <w:szCs w:val="20"/>
                <w:color w:val="auto"/>
              </w:rPr>
            </w:pPr>
            <w:r>
              <w:rPr>
                <w:rFonts w:ascii="Arial" w:cs="Arial" w:eastAsia="Arial" w:hAnsi="Arial"/>
                <w:sz w:val="17"/>
                <w:szCs w:val="17"/>
                <w:color w:val="auto"/>
              </w:rPr>
              <w:t>depression)</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500"/>
              <w:spacing w:after="0"/>
              <w:rPr>
                <w:sz w:val="20"/>
                <w:szCs w:val="20"/>
                <w:color w:val="auto"/>
              </w:rPr>
            </w:pPr>
            <w:r>
              <w:rPr>
                <w:rFonts w:ascii="Arial" w:cs="Arial" w:eastAsia="Arial" w:hAnsi="Arial"/>
                <w:sz w:val="17"/>
                <w:szCs w:val="17"/>
                <w:color w:val="auto"/>
                <w:w w:val="98"/>
              </w:rPr>
              <w:t>2.First anterior or inferolateral STEMI or Qwave MI (QMI Anterior: V1-V3 or V1-V4 or V1-V5 or</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660"/>
              <w:spacing w:after="0"/>
              <w:rPr>
                <w:sz w:val="20"/>
                <w:szCs w:val="20"/>
                <w:color w:val="auto"/>
              </w:rPr>
            </w:pPr>
            <w:r>
              <w:rPr>
                <w:rFonts w:ascii="Arial" w:cs="Arial" w:eastAsia="Arial" w:hAnsi="Arial"/>
                <w:sz w:val="17"/>
                <w:szCs w:val="17"/>
                <w:color w:val="auto"/>
              </w:rPr>
              <w:t>V1-V6.QMI Inferior: L2, L3, AVF, or L2, L3, AVF+ V5, V6 or L2, L3, AVF+ V6-V9 [posterior</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660"/>
              <w:spacing w:after="0"/>
              <w:rPr>
                <w:sz w:val="20"/>
                <w:szCs w:val="20"/>
                <w:color w:val="auto"/>
              </w:rPr>
            </w:pPr>
            <w:r>
              <w:rPr>
                <w:rFonts w:ascii="Arial" w:cs="Arial" w:eastAsia="Arial" w:hAnsi="Arial"/>
                <w:sz w:val="17"/>
                <w:szCs w:val="17"/>
                <w:color w:val="auto"/>
              </w:rPr>
              <w:t>leads])</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500"/>
              <w:spacing w:after="0"/>
              <w:rPr>
                <w:sz w:val="20"/>
                <w:szCs w:val="20"/>
                <w:color w:val="auto"/>
              </w:rPr>
            </w:pPr>
            <w:r>
              <w:rPr>
                <w:rFonts w:ascii="Arial" w:cs="Arial" w:eastAsia="Arial" w:hAnsi="Arial"/>
                <w:sz w:val="17"/>
                <w:szCs w:val="17"/>
                <w:color w:val="auto"/>
              </w:rPr>
              <w:t>3.Regional wall motion score index (at least 4 out of 16 akinetic segments)</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One or more of the following:</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500"/>
              <w:spacing w:after="0"/>
              <w:rPr>
                <w:sz w:val="20"/>
                <w:szCs w:val="20"/>
                <w:color w:val="auto"/>
              </w:rPr>
            </w:pPr>
            <w:r>
              <w:rPr>
                <w:rFonts w:ascii="Arial" w:cs="Arial" w:eastAsia="Arial" w:hAnsi="Arial"/>
                <w:sz w:val="17"/>
                <w:szCs w:val="17"/>
                <w:color w:val="auto"/>
              </w:rPr>
              <w:t>o LVEF &gt;20% and &lt;45% measured and calculated by 2-dimensional measurement</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500"/>
              <w:spacing w:after="0"/>
              <w:rPr>
                <w:sz w:val="20"/>
                <w:szCs w:val="20"/>
                <w:color w:val="auto"/>
              </w:rPr>
            </w:pPr>
            <w:r>
              <w:rPr>
                <w:rFonts w:ascii="Arial" w:cs="Arial" w:eastAsia="Arial" w:hAnsi="Arial"/>
                <w:sz w:val="17"/>
                <w:szCs w:val="17"/>
                <w:color w:val="auto"/>
              </w:rPr>
              <w:t>o Biomarkers: peak CK &gt; 2000 IU</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500"/>
              <w:spacing w:after="0"/>
              <w:rPr>
                <w:sz w:val="20"/>
                <w:szCs w:val="20"/>
                <w:color w:val="auto"/>
              </w:rPr>
            </w:pPr>
            <w:r>
              <w:rPr>
                <w:rFonts w:ascii="Arial" w:cs="Arial" w:eastAsia="Arial" w:hAnsi="Arial"/>
                <w:sz w:val="17"/>
                <w:szCs w:val="17"/>
                <w:color w:val="auto"/>
              </w:rPr>
              <w:t>o Infarct size &gt; 25% as measured by MRI</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940" w:type="dxa"/>
            <w:vAlign w:val="bottom"/>
          </w:tcPr>
          <w:p>
            <w:pPr>
              <w:ind w:left="200"/>
              <w:spacing w:after="0"/>
              <w:rPr>
                <w:sz w:val="20"/>
                <w:szCs w:val="20"/>
                <w:color w:val="auto"/>
              </w:rPr>
            </w:pPr>
            <w:r>
              <w:rPr>
                <w:rFonts w:ascii="Arial" w:cs="Arial" w:eastAsia="Arial" w:hAnsi="Arial"/>
                <w:sz w:val="17"/>
                <w:szCs w:val="17"/>
                <w:color w:val="auto"/>
                <w:w w:val="92"/>
              </w:rPr>
              <w:t>· Successful revascularization with PCI</w:t>
            </w:r>
          </w:p>
        </w:tc>
        <w:tc>
          <w:tcPr>
            <w:tcW w:w="1180" w:type="dxa"/>
            <w:vAlign w:val="bottom"/>
          </w:tcPr>
          <w:p>
            <w:pPr>
              <w:spacing w:after="0"/>
              <w:rPr>
                <w:sz w:val="20"/>
                <w:szCs w:val="20"/>
                <w:color w:val="auto"/>
              </w:rPr>
            </w:pPr>
            <w:r>
              <w:rPr>
                <w:rFonts w:ascii="Arial" w:cs="Arial" w:eastAsia="Arial" w:hAnsi="Arial"/>
                <w:sz w:val="17"/>
                <w:szCs w:val="17"/>
                <w:color w:val="auto"/>
                <w:strike w:val="1"/>
                <w:w w:val="91"/>
              </w:rPr>
              <w:t>with 1 stent only,</w:t>
            </w:r>
          </w:p>
        </w:tc>
        <w:tc>
          <w:tcPr>
            <w:tcW w:w="3380" w:type="dxa"/>
            <w:vAlign w:val="bottom"/>
          </w:tcPr>
          <w:p>
            <w:pPr>
              <w:ind w:left="40"/>
              <w:spacing w:after="0"/>
              <w:rPr>
                <w:sz w:val="20"/>
                <w:szCs w:val="20"/>
                <w:color w:val="auto"/>
              </w:rPr>
            </w:pPr>
            <w:r>
              <w:rPr>
                <w:rFonts w:ascii="Arial" w:cs="Arial" w:eastAsia="Arial" w:hAnsi="Arial"/>
                <w:sz w:val="17"/>
                <w:szCs w:val="17"/>
                <w:color w:val="auto"/>
              </w:rPr>
              <w:t>within 7 days of the index MI (only safe and</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360"/>
              <w:spacing w:after="0"/>
              <w:rPr>
                <w:sz w:val="20"/>
                <w:szCs w:val="20"/>
                <w:color w:val="auto"/>
              </w:rPr>
            </w:pPr>
            <w:r>
              <w:rPr>
                <w:rFonts w:ascii="Arial" w:cs="Arial" w:eastAsia="Arial" w:hAnsi="Arial"/>
                <w:sz w:val="17"/>
                <w:szCs w:val="17"/>
                <w:color w:val="auto"/>
              </w:rPr>
              <w:t>MRI compatible stents)</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w w:val="96"/>
              </w:rPr>
              <w:t>· At time of application of study device, patient must have patent infarct related artery (IRA) and TIMI</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360"/>
              <w:spacing w:after="0"/>
              <w:rPr>
                <w:sz w:val="20"/>
                <w:szCs w:val="20"/>
                <w:color w:val="auto"/>
              </w:rPr>
            </w:pPr>
            <w:r>
              <w:rPr>
                <w:rFonts w:ascii="Arial" w:cs="Arial" w:eastAsia="Arial" w:hAnsi="Arial"/>
                <w:sz w:val="17"/>
                <w:szCs w:val="17"/>
                <w:color w:val="auto"/>
              </w:rPr>
              <w:t>flow grade = 3</w:t>
            </w:r>
          </w:p>
        </w:tc>
      </w:tr>
      <w:tr>
        <w:trPr>
          <w:trHeight w:val="206"/>
        </w:trPr>
        <w:tc>
          <w:tcPr>
            <w:tcW w:w="1420" w:type="dxa"/>
            <w:vAlign w:val="bottom"/>
          </w:tcPr>
          <w:p>
            <w:pPr>
              <w:spacing w:after="0"/>
              <w:rPr>
                <w:sz w:val="17"/>
                <w:szCs w:val="17"/>
                <w:color w:val="auto"/>
              </w:rPr>
            </w:pPr>
          </w:p>
        </w:tc>
        <w:tc>
          <w:tcPr>
            <w:tcW w:w="2500" w:type="dxa"/>
            <w:vAlign w:val="bottom"/>
          </w:tcPr>
          <w:p>
            <w:pPr>
              <w:ind w:left="640"/>
              <w:spacing w:after="0"/>
              <w:rPr>
                <w:sz w:val="20"/>
                <w:szCs w:val="20"/>
                <w:color w:val="auto"/>
              </w:rPr>
            </w:pPr>
            <w:r>
              <w:rPr>
                <w:rFonts w:ascii="Arial" w:cs="Arial" w:eastAsia="Arial" w:hAnsi="Arial"/>
                <w:sz w:val="17"/>
                <w:szCs w:val="17"/>
                <w:color w:val="auto"/>
              </w:rPr>
              <w:t>MAIN EXCLUSION</w:t>
            </w: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History of CHF, Class I to Class IV, as per NYHA criteria</w:t>
            </w:r>
          </w:p>
        </w:tc>
      </w:tr>
      <w:tr>
        <w:trPr>
          <w:trHeight w:val="206"/>
        </w:trPr>
        <w:tc>
          <w:tcPr>
            <w:tcW w:w="1420" w:type="dxa"/>
            <w:vAlign w:val="bottom"/>
          </w:tcPr>
          <w:p>
            <w:pPr>
              <w:spacing w:after="0"/>
              <w:rPr>
                <w:sz w:val="17"/>
                <w:szCs w:val="17"/>
                <w:color w:val="auto"/>
              </w:rPr>
            </w:pPr>
          </w:p>
        </w:tc>
        <w:tc>
          <w:tcPr>
            <w:tcW w:w="2500" w:type="dxa"/>
            <w:vAlign w:val="bottom"/>
          </w:tcPr>
          <w:p>
            <w:pPr>
              <w:ind w:left="640"/>
              <w:spacing w:after="0"/>
              <w:rPr>
                <w:sz w:val="20"/>
                <w:szCs w:val="20"/>
                <w:color w:val="auto"/>
              </w:rPr>
            </w:pPr>
            <w:r>
              <w:rPr>
                <w:rFonts w:ascii="Arial" w:cs="Arial" w:eastAsia="Arial" w:hAnsi="Arial"/>
                <w:sz w:val="17"/>
                <w:szCs w:val="17"/>
                <w:color w:val="auto"/>
              </w:rPr>
              <w:t>CRITERIA</w:t>
            </w: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History of prior LV dysfunction</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At time of application of study device - Killip III-IV (pulmonary edema, cardiogenic shock -</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360"/>
              <w:spacing w:after="0"/>
              <w:rPr>
                <w:sz w:val="20"/>
                <w:szCs w:val="20"/>
                <w:color w:val="auto"/>
              </w:rPr>
            </w:pPr>
            <w:r>
              <w:rPr>
                <w:rFonts w:ascii="Arial" w:cs="Arial" w:eastAsia="Arial" w:hAnsi="Arial"/>
                <w:sz w:val="17"/>
                <w:szCs w:val="17"/>
                <w:color w:val="auto"/>
                <w:w w:val="99"/>
              </w:rPr>
              <w:t>hypotension [systolic &lt; 90 mmHg] and evidence of peripheral hypoperfusion [oliguria, cyanosis,</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360"/>
              <w:spacing w:after="0"/>
              <w:rPr>
                <w:sz w:val="20"/>
                <w:szCs w:val="20"/>
                <w:color w:val="auto"/>
              </w:rPr>
            </w:pPr>
            <w:r>
              <w:rPr>
                <w:rFonts w:ascii="Arial" w:cs="Arial" w:eastAsia="Arial" w:hAnsi="Arial"/>
                <w:sz w:val="17"/>
                <w:szCs w:val="17"/>
                <w:color w:val="auto"/>
              </w:rPr>
              <w:t>sweating]) or HR &gt; 100 bpm</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Patient with pacemaker</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Prior CABG</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Prior MI</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History of stroke</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Significant valvular disease (moderate or severe)</w:t>
            </w:r>
          </w:p>
        </w:tc>
      </w:tr>
      <w:tr>
        <w:trPr>
          <w:trHeight w:val="206"/>
        </w:trPr>
        <w:tc>
          <w:tcPr>
            <w:tcW w:w="1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Patient is a candidate for CABG or PCI on non-IRA</w:t>
            </w:r>
          </w:p>
        </w:tc>
      </w:tr>
      <w:tr>
        <w:trPr>
          <w:trHeight w:val="217"/>
        </w:trPr>
        <w:tc>
          <w:tcPr>
            <w:tcW w:w="1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00" w:type="dxa"/>
            <w:vAlign w:val="bottom"/>
            <w:gridSpan w:val="3"/>
          </w:tcPr>
          <w:p>
            <w:pPr>
              <w:ind w:left="200"/>
              <w:spacing w:after="0"/>
              <w:rPr>
                <w:sz w:val="20"/>
                <w:szCs w:val="20"/>
                <w:color w:val="auto"/>
              </w:rPr>
            </w:pPr>
            <w:r>
              <w:rPr>
                <w:rFonts w:ascii="Arial" w:cs="Arial" w:eastAsia="Arial" w:hAnsi="Arial"/>
                <w:sz w:val="17"/>
                <w:szCs w:val="17"/>
                <w:color w:val="auto"/>
              </w:rPr>
              <w:t>· Patient is being considered for CRT within the next 30 days</w:t>
            </w:r>
          </w:p>
        </w:tc>
      </w:tr>
    </w:tbl>
    <w:p>
      <w:pPr>
        <w:spacing w:after="0" w:line="21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495" w:name="page496"/>
    <w:bookmarkEnd w:id="495"/>
    <w:tbl>
      <w:tblPr>
        <w:tblLayout w:type="fixed"/>
        <w:tblInd w:w="0" w:type="dxa"/>
        <w:tblCellMar>
          <w:top w:w="0" w:type="dxa"/>
          <w:left w:w="0" w:type="dxa"/>
          <w:bottom w:w="0" w:type="dxa"/>
          <w:right w:w="0" w:type="dxa"/>
        </w:tblCellMar>
      </w:tblPr>
      <w:tr>
        <w:trPr>
          <w:trHeight w:val="212"/>
        </w:trPr>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20" w:type="dxa"/>
            <w:vAlign w:val="bottom"/>
          </w:tcPr>
          <w:p>
            <w:pPr>
              <w:jc w:val="center"/>
              <w:ind w:right="874"/>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1640" w:type="dxa"/>
            <w:vAlign w:val="bottom"/>
          </w:tcPr>
          <w:p>
            <w:pPr>
              <w:ind w:left="380"/>
              <w:spacing w:after="0"/>
              <w:rPr>
                <w:sz w:val="20"/>
                <w:szCs w:val="20"/>
                <w:color w:val="auto"/>
              </w:rPr>
            </w:pPr>
            <w:r>
              <w:rPr>
                <w:rFonts w:ascii="Arial" w:cs="Arial" w:eastAsia="Arial" w:hAnsi="Arial"/>
                <w:sz w:val="17"/>
                <w:szCs w:val="17"/>
                <w:color w:val="auto"/>
                <w:w w:val="99"/>
              </w:rPr>
              <w:t>CONFIDENTIAL</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920" w:type="dxa"/>
            <w:vAlign w:val="bottom"/>
          </w:tcPr>
          <w:p>
            <w:pPr>
              <w:jc w:val="center"/>
              <w:ind w:right="874"/>
              <w:spacing w:after="0"/>
              <w:rPr>
                <w:sz w:val="20"/>
                <w:szCs w:val="20"/>
                <w:color w:val="auto"/>
              </w:rPr>
            </w:pPr>
            <w:r>
              <w:rPr>
                <w:rFonts w:ascii="Arial" w:cs="Arial" w:eastAsia="Arial" w:hAnsi="Arial"/>
                <w:sz w:val="17"/>
                <w:szCs w:val="17"/>
                <w:color w:val="auto"/>
                <w:w w:val="93"/>
              </w:rPr>
              <w:t>Safety and Feasibility study of BL-1040</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920" w:type="dxa"/>
            <w:vAlign w:val="bottom"/>
          </w:tcPr>
          <w:p>
            <w:pPr>
              <w:jc w:val="center"/>
              <w:ind w:right="854"/>
              <w:spacing w:after="0"/>
              <w:rPr>
                <w:sz w:val="20"/>
                <w:szCs w:val="20"/>
                <w:color w:val="auto"/>
              </w:rPr>
            </w:pPr>
            <w:r>
              <w:rPr>
                <w:rFonts w:ascii="Arial" w:cs="Arial" w:eastAsia="Arial" w:hAnsi="Arial"/>
                <w:sz w:val="17"/>
                <w:szCs w:val="17"/>
                <w:b w:val="1"/>
                <w:bCs w:val="1"/>
                <w:color w:val="auto"/>
                <w:w w:val="95"/>
              </w:rPr>
              <w:t>Final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 Renal insufficiency (eGFR &lt; 60)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 Chronic liver disease (&gt; 3 times upper limit of normal)</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 Life expectancy &lt; 12 months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560" w:type="dxa"/>
            <w:vAlign w:val="bottom"/>
            <w:gridSpan w:val="2"/>
          </w:tcPr>
          <w:p>
            <w:pPr>
              <w:ind w:left="260"/>
              <w:spacing w:after="0"/>
              <w:rPr>
                <w:sz w:val="20"/>
                <w:szCs w:val="20"/>
                <w:color w:val="auto"/>
              </w:rPr>
            </w:pPr>
            <w:r>
              <w:rPr>
                <w:rFonts w:ascii="Arial" w:cs="Arial" w:eastAsia="Arial" w:hAnsi="Arial"/>
                <w:sz w:val="17"/>
                <w:szCs w:val="17"/>
                <w:color w:val="auto"/>
                <w:w w:val="99"/>
              </w:rPr>
              <w:t>· Current participant in another clinical trial, or participation in another trial within the last 6 months</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 Any contraindication to coronary angiography, MRI or PCI procedures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 Patient taking anti-coagulation medication prior to MI</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w w:val="97"/>
              </w:rPr>
              <w:t>· Pregnant or lactating women; pregnancy confirmed by urine pregnancy test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960" w:type="dxa"/>
            <w:vAlign w:val="bottom"/>
          </w:tcPr>
          <w:p>
            <w:pPr>
              <w:spacing w:after="0"/>
              <w:rPr>
                <w:sz w:val="20"/>
                <w:szCs w:val="20"/>
                <w:color w:val="auto"/>
              </w:rPr>
            </w:pPr>
            <w:r>
              <w:rPr>
                <w:rFonts w:ascii="Arial" w:cs="Arial" w:eastAsia="Arial" w:hAnsi="Arial"/>
                <w:sz w:val="17"/>
                <w:szCs w:val="17"/>
                <w:color w:val="auto"/>
              </w:rPr>
              <w:t>STUDY DEVICE</w:t>
            </w:r>
          </w:p>
        </w:tc>
        <w:tc>
          <w:tcPr>
            <w:tcW w:w="1900" w:type="dxa"/>
            <w:vAlign w:val="bottom"/>
          </w:tcPr>
          <w:p>
            <w:pPr>
              <w:ind w:left="100"/>
              <w:spacing w:after="0"/>
              <w:rPr>
                <w:sz w:val="20"/>
                <w:szCs w:val="20"/>
                <w:color w:val="auto"/>
              </w:rPr>
            </w:pPr>
            <w:r>
              <w:rPr>
                <w:rFonts w:ascii="Arial" w:cs="Arial" w:eastAsia="Arial" w:hAnsi="Arial"/>
                <w:sz w:val="17"/>
                <w:szCs w:val="17"/>
                <w:color w:val="auto"/>
              </w:rPr>
              <w:t>ROUTE OF</w:t>
            </w:r>
          </w:p>
        </w:tc>
        <w:tc>
          <w:tcPr>
            <w:tcW w:w="7560" w:type="dxa"/>
            <w:vAlign w:val="bottom"/>
            <w:gridSpan w:val="2"/>
          </w:tcPr>
          <w:p>
            <w:pPr>
              <w:ind w:left="260"/>
              <w:spacing w:after="0"/>
              <w:rPr>
                <w:sz w:val="20"/>
                <w:szCs w:val="20"/>
                <w:color w:val="auto"/>
              </w:rPr>
            </w:pPr>
            <w:r>
              <w:rPr>
                <w:rFonts w:ascii="Arial" w:cs="Arial" w:eastAsia="Arial" w:hAnsi="Arial"/>
                <w:sz w:val="17"/>
                <w:szCs w:val="17"/>
                <w:color w:val="auto"/>
              </w:rPr>
              <w:t>Administered via intracoronary (IC) injection, using multiple commercially available devices</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Arial" w:cs="Arial" w:eastAsia="Arial" w:hAnsi="Arial"/>
                <w:sz w:val="17"/>
                <w:szCs w:val="17"/>
                <w:color w:val="auto"/>
              </w:rPr>
              <w:t>APPLICATION</w:t>
            </w:r>
          </w:p>
        </w:tc>
        <w:tc>
          <w:tcPr>
            <w:tcW w:w="5920" w:type="dxa"/>
            <w:vAlign w:val="bottom"/>
            <w:vMerge w:val="restart"/>
          </w:tcPr>
          <w:p>
            <w:pPr>
              <w:ind w:left="260"/>
              <w:spacing w:after="0"/>
              <w:rPr>
                <w:sz w:val="20"/>
                <w:szCs w:val="20"/>
                <w:color w:val="auto"/>
              </w:rPr>
            </w:pPr>
            <w:r>
              <w:rPr>
                <w:rFonts w:ascii="Arial" w:cs="Arial" w:eastAsia="Arial" w:hAnsi="Arial"/>
                <w:sz w:val="17"/>
                <w:szCs w:val="17"/>
                <w:color w:val="auto"/>
              </w:rPr>
              <w:t xml:space="preserve">2 mL of BL-1040 administered for no longer than </w:t>
            </w:r>
            <w:r>
              <w:rPr>
                <w:rFonts w:ascii="Arial" w:cs="Arial" w:eastAsia="Arial" w:hAnsi="Arial"/>
                <w:sz w:val="17"/>
                <w:szCs w:val="17"/>
                <w:b w:val="1"/>
                <w:bCs w:val="1"/>
                <w:color w:val="auto"/>
              </w:rPr>
              <w:t>30</w:t>
            </w:r>
            <w:r>
              <w:rPr>
                <w:rFonts w:ascii="Arial" w:cs="Arial" w:eastAsia="Arial" w:hAnsi="Arial"/>
                <w:sz w:val="17"/>
                <w:szCs w:val="17"/>
                <w:color w:val="auto"/>
              </w:rPr>
              <w:t xml:space="preserve"> seconds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Arial" w:cs="Arial" w:eastAsia="Arial" w:hAnsi="Arial"/>
                <w:sz w:val="17"/>
                <w:szCs w:val="17"/>
                <w:color w:val="auto"/>
              </w:rPr>
              <w:t>DURATION AND</w:t>
            </w:r>
          </w:p>
        </w:tc>
        <w:tc>
          <w:tcPr>
            <w:tcW w:w="592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Arial" w:cs="Arial" w:eastAsia="Arial" w:hAnsi="Arial"/>
                <w:sz w:val="17"/>
                <w:szCs w:val="17"/>
                <w:color w:val="auto"/>
              </w:rPr>
              <w:t>FREQUENCY</w:t>
            </w:r>
          </w:p>
        </w:tc>
        <w:tc>
          <w:tcPr>
            <w:tcW w:w="5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Arial" w:cs="Arial" w:eastAsia="Arial" w:hAnsi="Arial"/>
                <w:sz w:val="17"/>
                <w:szCs w:val="17"/>
                <w:color w:val="auto"/>
              </w:rPr>
              <w:t>FORMULATION</w:t>
            </w:r>
          </w:p>
        </w:tc>
        <w:tc>
          <w:tcPr>
            <w:tcW w:w="5920" w:type="dxa"/>
            <w:vAlign w:val="bottom"/>
          </w:tcPr>
          <w:p>
            <w:pPr>
              <w:ind w:left="260"/>
              <w:spacing w:after="0"/>
              <w:rPr>
                <w:sz w:val="20"/>
                <w:szCs w:val="20"/>
                <w:color w:val="auto"/>
              </w:rPr>
            </w:pPr>
            <w:r>
              <w:rPr>
                <w:rFonts w:ascii="Arial" w:cs="Arial" w:eastAsia="Arial" w:hAnsi="Arial"/>
                <w:sz w:val="17"/>
                <w:szCs w:val="17"/>
                <w:color w:val="auto"/>
              </w:rPr>
              <w:t>Calcium D-Gluconate (Gluconic acid hemicalcium salt)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PRONOVA UP VLVG (Generic name: Sodium Alginate)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7"/>
                <w:szCs w:val="17"/>
                <w:color w:val="auto"/>
              </w:rPr>
              <w:t>Water for Injection USP/EP</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960" w:type="dxa"/>
            <w:vAlign w:val="bottom"/>
          </w:tcPr>
          <w:p>
            <w:pPr>
              <w:spacing w:after="0"/>
              <w:rPr>
                <w:sz w:val="20"/>
                <w:szCs w:val="20"/>
                <w:color w:val="auto"/>
              </w:rPr>
            </w:pPr>
            <w:r>
              <w:rPr>
                <w:rFonts w:ascii="Arial" w:cs="Arial" w:eastAsia="Arial" w:hAnsi="Arial"/>
                <w:sz w:val="17"/>
                <w:szCs w:val="17"/>
                <w:color w:val="auto"/>
              </w:rPr>
              <w:t>SAFETY EVALUATIONS</w:t>
            </w:r>
          </w:p>
        </w:tc>
        <w:tc>
          <w:tcPr>
            <w:tcW w:w="19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7"/>
                <w:szCs w:val="17"/>
                <w:color w:val="auto"/>
              </w:rPr>
              <w:t>TIMING AND</w:t>
            </w:r>
          </w:p>
        </w:tc>
        <w:tc>
          <w:tcPr>
            <w:tcW w:w="1900" w:type="dxa"/>
            <w:vAlign w:val="bottom"/>
          </w:tcPr>
          <w:p>
            <w:pPr>
              <w:ind w:left="100"/>
              <w:spacing w:after="0"/>
              <w:rPr>
                <w:sz w:val="20"/>
                <w:szCs w:val="20"/>
                <w:color w:val="auto"/>
              </w:rPr>
            </w:pPr>
            <w:r>
              <w:rPr>
                <w:rFonts w:ascii="Arial" w:cs="Arial" w:eastAsia="Arial" w:hAnsi="Arial"/>
                <w:sz w:val="17"/>
                <w:szCs w:val="17"/>
                <w:color w:val="auto"/>
              </w:rPr>
              <w:t>Screening</w:t>
            </w:r>
          </w:p>
        </w:tc>
        <w:tc>
          <w:tcPr>
            <w:tcW w:w="5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60" w:type="dxa"/>
            <w:vAlign w:val="bottom"/>
          </w:tcPr>
          <w:p>
            <w:pPr>
              <w:spacing w:after="0"/>
              <w:rPr>
                <w:sz w:val="20"/>
                <w:szCs w:val="20"/>
                <w:color w:val="auto"/>
              </w:rPr>
            </w:pPr>
            <w:r>
              <w:rPr>
                <w:rFonts w:ascii="Arial" w:cs="Arial" w:eastAsia="Arial" w:hAnsi="Arial"/>
                <w:sz w:val="17"/>
                <w:szCs w:val="17"/>
                <w:color w:val="auto"/>
              </w:rPr>
              <w:t>ASSESSMENTS</w:t>
            </w:r>
          </w:p>
        </w:tc>
        <w:tc>
          <w:tcPr>
            <w:tcW w:w="7820" w:type="dxa"/>
            <w:vAlign w:val="bottom"/>
            <w:gridSpan w:val="2"/>
          </w:tcPr>
          <w:p>
            <w:pPr>
              <w:ind w:left="100"/>
              <w:spacing w:after="0" w:line="207" w:lineRule="exact"/>
              <w:rPr>
                <w:sz w:val="20"/>
                <w:szCs w:val="20"/>
                <w:color w:val="auto"/>
              </w:rPr>
            </w:pPr>
            <w:r>
              <w:rPr>
                <w:rFonts w:ascii="Arial" w:cs="Arial" w:eastAsia="Arial" w:hAnsi="Arial"/>
                <w:sz w:val="17"/>
                <w:szCs w:val="17"/>
                <w:color w:val="auto"/>
              </w:rPr>
              <w:t>·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Coronary angiography, PCI and stent (as part of treatment of MI)</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20"/>
                <w:szCs w:val="20"/>
                <w:color w:val="auto"/>
              </w:rPr>
            </w:pPr>
            <w:r>
              <w:rPr>
                <w:rFonts w:ascii="Arial" w:cs="Arial" w:eastAsia="Arial" w:hAnsi="Arial"/>
                <w:sz w:val="17"/>
                <w:szCs w:val="17"/>
                <w:color w:val="auto"/>
              </w:rPr>
              <w:t>PERFORMED</w:t>
            </w:r>
          </w:p>
        </w:tc>
        <w:tc>
          <w:tcPr>
            <w:tcW w:w="1900" w:type="dxa"/>
            <w:vAlign w:val="bottom"/>
          </w:tcPr>
          <w:p>
            <w:pPr>
              <w:ind w:left="100"/>
              <w:spacing w:after="0"/>
              <w:rPr>
                <w:sz w:val="20"/>
                <w:szCs w:val="20"/>
                <w:color w:val="auto"/>
              </w:rPr>
            </w:pPr>
            <w:r>
              <w:rPr>
                <w:rFonts w:ascii="Arial" w:cs="Arial" w:eastAsia="Arial" w:hAnsi="Arial"/>
                <w:sz w:val="17"/>
                <w:szCs w:val="17"/>
                <w:color w:val="auto"/>
              </w:rPr>
              <w:t>· Physical examination</w:t>
            </w:r>
          </w:p>
        </w:tc>
        <w:tc>
          <w:tcPr>
            <w:tcW w:w="5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Pr>
          <w:p>
            <w:pPr>
              <w:spacing w:after="0"/>
              <w:rPr>
                <w:sz w:val="18"/>
                <w:szCs w:val="18"/>
                <w:color w:val="auto"/>
              </w:rPr>
            </w:pPr>
          </w:p>
        </w:tc>
        <w:tc>
          <w:tcPr>
            <w:tcW w:w="1900" w:type="dxa"/>
            <w:vAlign w:val="bottom"/>
          </w:tcPr>
          <w:p>
            <w:pPr>
              <w:ind w:left="100"/>
              <w:spacing w:after="0"/>
              <w:rPr>
                <w:sz w:val="20"/>
                <w:szCs w:val="20"/>
                <w:color w:val="auto"/>
              </w:rPr>
            </w:pPr>
            <w:r>
              <w:rPr>
                <w:rFonts w:ascii="Arial" w:cs="Arial" w:eastAsia="Arial" w:hAnsi="Arial"/>
                <w:sz w:val="17"/>
                <w:szCs w:val="17"/>
                <w:color w:val="auto"/>
              </w:rPr>
              <w:t>· Vital signs</w:t>
            </w:r>
          </w:p>
        </w:tc>
        <w:tc>
          <w:tcPr>
            <w:tcW w:w="5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-3281680</wp:posOffset>
            </wp:positionV>
            <wp:extent cx="1576705" cy="38417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7"/>
          <w:szCs w:val="17"/>
          <w:color w:val="auto"/>
        </w:rPr>
        <w:t>· 12-lead ECG</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Blood and urine sampling for laboratory safety parameters (biochemistry, hematology and urinalysis)</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Total CK/CK MB</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NT-proBNP</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Mandatory echocardiography; MRI as an additional measurement is encouraged</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Telephone contact, 1 week post-procedure</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Phone call to confirm status of patient discharged from the hospital</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Day 1 and during hospitalization</w:t>
      </w:r>
    </w:p>
    <w:p>
      <w:pPr>
        <w:spacing w:after="0" w:line="21" w:lineRule="exact"/>
        <w:rPr>
          <w:sz w:val="20"/>
          <w:szCs w:val="20"/>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Physical examination daily during hospitalization</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Vital signs daily during hospitalization</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12-lead ECG prior to and after administration of BL-1040; daily during hospitalization</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24 hour Holter monitor (after completion of 12-lead ECG)</w:t>
      </w:r>
    </w:p>
    <w:p>
      <w:pPr>
        <w:spacing w:after="0" w:line="10" w:lineRule="exact"/>
        <w:rPr>
          <w:rFonts w:ascii="Arial" w:cs="Arial" w:eastAsia="Arial" w:hAnsi="Arial"/>
          <w:sz w:val="17"/>
          <w:szCs w:val="17"/>
          <w:color w:val="auto"/>
        </w:rPr>
      </w:pPr>
    </w:p>
    <w:p>
      <w:pPr>
        <w:ind w:left="2220" w:hanging="159"/>
        <w:spacing w:after="0" w:line="252" w:lineRule="auto"/>
        <w:tabs>
          <w:tab w:leader="none" w:pos="2164" w:val="left"/>
        </w:tabs>
        <w:numPr>
          <w:ilvl w:val="0"/>
          <w:numId w:val="397"/>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hematology and urinalysis), on Day 1 (only if not done within the previous 48 hours) and on day of discharge (only if not done within the previous 48 hours)</w:t>
      </w:r>
    </w:p>
    <w:p>
      <w:pPr>
        <w:spacing w:after="0" w:line="1"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Total CK/CK MB measured prior to, and 8, 16, 24 and 48 hours after administration of BL-1040</w:t>
      </w:r>
    </w:p>
    <w:p>
      <w:pPr>
        <w:spacing w:after="0" w:line="10" w:lineRule="exact"/>
        <w:rPr>
          <w:rFonts w:ascii="Arial" w:cs="Arial" w:eastAsia="Arial" w:hAnsi="Arial"/>
          <w:sz w:val="17"/>
          <w:szCs w:val="17"/>
          <w:color w:val="auto"/>
        </w:rPr>
      </w:pPr>
    </w:p>
    <w:p>
      <w:pPr>
        <w:ind w:left="2220" w:hanging="159"/>
        <w:spacing w:after="0" w:line="252" w:lineRule="auto"/>
        <w:tabs>
          <w:tab w:leader="none" w:pos="2151" w:val="left"/>
        </w:tabs>
        <w:numPr>
          <w:ilvl w:val="0"/>
          <w:numId w:val="397"/>
        </w:numPr>
        <w:rPr>
          <w:rFonts w:ascii="Arial" w:cs="Arial" w:eastAsia="Arial" w:hAnsi="Arial"/>
          <w:sz w:val="17"/>
          <w:szCs w:val="17"/>
          <w:color w:val="auto"/>
        </w:rPr>
      </w:pPr>
      <w:r>
        <w:rPr>
          <w:rFonts w:ascii="Arial" w:cs="Arial" w:eastAsia="Arial" w:hAnsi="Arial"/>
          <w:sz w:val="17"/>
          <w:szCs w:val="17"/>
          <w:color w:val="auto"/>
        </w:rPr>
        <w:t>NT-proBNP on Day 1 (only if not done within the previous 48 hours) and on day of discharge (only if not done within the previous 48 hours)</w:t>
      </w:r>
    </w:p>
    <w:p>
      <w:pPr>
        <w:spacing w:after="0" w:line="1"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continuous ECG during the procedure</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2nd cardiac catheterization (for implantation of BL-1040)</w:t>
      </w:r>
    </w:p>
    <w:p>
      <w:pPr>
        <w:spacing w:after="0" w:line="10" w:lineRule="exact"/>
        <w:rPr>
          <w:rFonts w:ascii="Arial" w:cs="Arial" w:eastAsia="Arial" w:hAnsi="Arial"/>
          <w:sz w:val="17"/>
          <w:szCs w:val="17"/>
          <w:color w:val="auto"/>
        </w:rPr>
      </w:pPr>
    </w:p>
    <w:p>
      <w:pPr>
        <w:ind w:left="2140" w:hanging="79"/>
        <w:spacing w:after="0"/>
        <w:tabs>
          <w:tab w:leader="none" w:pos="21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PTT or ACT measurements, during procedure only (prior to implantation of BL-1040 and prior to removal of sheath)</w:t>
      </w:r>
    </w:p>
    <w:p>
      <w:pPr>
        <w:spacing w:after="0" w:line="22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6" w:name="page497"/>
    <w:bookmarkEnd w:id="496"/>
    <w:tbl>
      <w:tblPr>
        <w:tblLayout w:type="fixed"/>
        <w:tblInd w:w="0" w:type="dxa"/>
        <w:tblCellMar>
          <w:top w:w="0" w:type="dxa"/>
          <w:left w:w="0" w:type="dxa"/>
          <w:bottom w:w="0" w:type="dxa"/>
          <w:right w:w="0" w:type="dxa"/>
        </w:tblCellMar>
      </w:tblPr>
      <w:tr>
        <w:trPr>
          <w:trHeight w:val="212"/>
        </w:trPr>
        <w:tc>
          <w:tcPr>
            <w:tcW w:w="2000" w:type="dxa"/>
            <w:vAlign w:val="bottom"/>
          </w:tcPr>
          <w:p>
            <w:pPr>
              <w:spacing w:after="0"/>
              <w:rPr>
                <w:sz w:val="18"/>
                <w:szCs w:val="18"/>
                <w:color w:val="auto"/>
              </w:rPr>
            </w:pPr>
          </w:p>
        </w:tc>
        <w:tc>
          <w:tcPr>
            <w:tcW w:w="7920" w:type="dxa"/>
            <w:vAlign w:val="bottom"/>
          </w:tcPr>
          <w:p>
            <w:pPr>
              <w:jc w:val="center"/>
              <w:ind w:left="674"/>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1500" w:type="dxa"/>
            <w:vAlign w:val="bottom"/>
          </w:tcPr>
          <w:p>
            <w:pPr>
              <w:ind w:left="240"/>
              <w:spacing w:after="0"/>
              <w:rPr>
                <w:sz w:val="20"/>
                <w:szCs w:val="20"/>
                <w:color w:val="auto"/>
              </w:rPr>
            </w:pPr>
            <w:r>
              <w:rPr>
                <w:rFonts w:ascii="Arial" w:cs="Arial" w:eastAsia="Arial" w:hAnsi="Arial"/>
                <w:sz w:val="17"/>
                <w:szCs w:val="17"/>
                <w:color w:val="auto"/>
                <w:w w:val="99"/>
              </w:rPr>
              <w:t>CONFIDENTIAL</w:t>
            </w:r>
          </w:p>
        </w:tc>
      </w:tr>
      <w:tr>
        <w:trPr>
          <w:trHeight w:val="200"/>
        </w:trPr>
        <w:tc>
          <w:tcPr>
            <w:tcW w:w="2000" w:type="dxa"/>
            <w:vAlign w:val="bottom"/>
          </w:tcPr>
          <w:p>
            <w:pPr>
              <w:spacing w:after="0"/>
              <w:rPr>
                <w:sz w:val="17"/>
                <w:szCs w:val="17"/>
                <w:color w:val="auto"/>
              </w:rPr>
            </w:pPr>
          </w:p>
        </w:tc>
        <w:tc>
          <w:tcPr>
            <w:tcW w:w="7920" w:type="dxa"/>
            <w:vAlign w:val="bottom"/>
          </w:tcPr>
          <w:p>
            <w:pPr>
              <w:jc w:val="center"/>
              <w:ind w:left="674"/>
              <w:spacing w:after="0"/>
              <w:rPr>
                <w:sz w:val="20"/>
                <w:szCs w:val="20"/>
                <w:color w:val="auto"/>
              </w:rPr>
            </w:pPr>
            <w:r>
              <w:rPr>
                <w:rFonts w:ascii="Arial" w:cs="Arial" w:eastAsia="Arial" w:hAnsi="Arial"/>
                <w:sz w:val="17"/>
                <w:szCs w:val="17"/>
                <w:color w:val="auto"/>
                <w:w w:val="93"/>
              </w:rPr>
              <w:t>Safety and Feasibility study of BL-1040</w:t>
            </w:r>
          </w:p>
        </w:tc>
        <w:tc>
          <w:tcPr>
            <w:tcW w:w="1500" w:type="dxa"/>
            <w:vAlign w:val="bottom"/>
          </w:tcPr>
          <w:p>
            <w:pPr>
              <w:spacing w:after="0"/>
              <w:rPr>
                <w:sz w:val="17"/>
                <w:szCs w:val="17"/>
                <w:color w:val="auto"/>
              </w:rPr>
            </w:pPr>
          </w:p>
        </w:tc>
      </w:tr>
      <w:tr>
        <w:trPr>
          <w:trHeight w:val="223"/>
        </w:trPr>
        <w:tc>
          <w:tcPr>
            <w:tcW w:w="2000" w:type="dxa"/>
            <w:vAlign w:val="bottom"/>
          </w:tcPr>
          <w:p>
            <w:pPr>
              <w:spacing w:after="0"/>
              <w:rPr>
                <w:sz w:val="19"/>
                <w:szCs w:val="19"/>
                <w:color w:val="auto"/>
              </w:rPr>
            </w:pPr>
          </w:p>
        </w:tc>
        <w:tc>
          <w:tcPr>
            <w:tcW w:w="7920" w:type="dxa"/>
            <w:vAlign w:val="bottom"/>
          </w:tcPr>
          <w:p>
            <w:pPr>
              <w:jc w:val="center"/>
              <w:ind w:left="694"/>
              <w:spacing w:after="0"/>
              <w:rPr>
                <w:sz w:val="20"/>
                <w:szCs w:val="20"/>
                <w:color w:val="auto"/>
              </w:rPr>
            </w:pPr>
            <w:r>
              <w:rPr>
                <w:rFonts w:ascii="Arial" w:cs="Arial" w:eastAsia="Arial" w:hAnsi="Arial"/>
                <w:sz w:val="17"/>
                <w:szCs w:val="17"/>
                <w:b w:val="1"/>
                <w:bCs w:val="1"/>
                <w:color w:val="auto"/>
                <w:w w:val="95"/>
              </w:rPr>
              <w:t>Final</w:t>
            </w:r>
          </w:p>
        </w:tc>
        <w:tc>
          <w:tcPr>
            <w:tcW w:w="1500" w:type="dxa"/>
            <w:vAlign w:val="bottom"/>
          </w:tcPr>
          <w:p>
            <w:pPr>
              <w:spacing w:after="0"/>
              <w:rPr>
                <w:sz w:val="19"/>
                <w:szCs w:val="19"/>
                <w:color w:val="auto"/>
              </w:rPr>
            </w:pPr>
          </w:p>
        </w:tc>
      </w:tr>
      <w:tr>
        <w:trPr>
          <w:trHeight w:val="426"/>
        </w:trPr>
        <w:tc>
          <w:tcPr>
            <w:tcW w:w="2000" w:type="dxa"/>
            <w:vAlign w:val="bottom"/>
          </w:tcPr>
          <w:p>
            <w:pPr>
              <w:spacing w:after="0"/>
              <w:rPr>
                <w:sz w:val="24"/>
                <w:szCs w:val="24"/>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Follow-up visits (Days 30, 90 180 [End of Study]; Months 12, 24, 36, 48 and 60)</w:t>
            </w:r>
          </w:p>
        </w:tc>
        <w:tc>
          <w:tcPr>
            <w:tcW w:w="1500" w:type="dxa"/>
            <w:vAlign w:val="bottom"/>
          </w:tcPr>
          <w:p>
            <w:pPr>
              <w:spacing w:after="0"/>
              <w:rPr>
                <w:sz w:val="24"/>
                <w:szCs w:val="24"/>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Physical examination</w:t>
            </w:r>
          </w:p>
        </w:tc>
        <w:tc>
          <w:tcPr>
            <w:tcW w:w="1500" w:type="dxa"/>
            <w:vAlign w:val="bottom"/>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Vital signs</w:t>
            </w:r>
          </w:p>
        </w:tc>
        <w:tc>
          <w:tcPr>
            <w:tcW w:w="1500" w:type="dxa"/>
            <w:vAlign w:val="bottom"/>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12-lead ECG</w:t>
            </w:r>
          </w:p>
        </w:tc>
        <w:tc>
          <w:tcPr>
            <w:tcW w:w="1500" w:type="dxa"/>
            <w:vAlign w:val="bottom"/>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24 hour ambulatory Holter monitoring</w:t>
            </w:r>
          </w:p>
        </w:tc>
        <w:tc>
          <w:tcPr>
            <w:tcW w:w="1500" w:type="dxa"/>
            <w:vAlign w:val="bottom"/>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Blood and urine sampling for laboratory safety parameters (biochemistry, hematology and urinalysis)</w:t>
            </w:r>
          </w:p>
        </w:tc>
        <w:tc>
          <w:tcPr>
            <w:tcW w:w="1500" w:type="dxa"/>
            <w:vAlign w:val="bottom"/>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NT-proBNP (through Day 180 only)</w:t>
            </w:r>
          </w:p>
        </w:tc>
        <w:tc>
          <w:tcPr>
            <w:tcW w:w="1500" w:type="dxa"/>
            <w:vAlign w:val="bottom"/>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w w:val="94"/>
              </w:rPr>
              <w:t>· Mandatory echocardiography; MRI as an additional measurement is encouraged (MRI through Day 180 only)</w:t>
            </w:r>
          </w:p>
        </w:tc>
        <w:tc>
          <w:tcPr>
            <w:tcW w:w="1500" w:type="dxa"/>
            <w:vAlign w:val="bottom"/>
          </w:tcPr>
          <w:p>
            <w:pPr>
              <w:spacing w:after="0"/>
              <w:rPr>
                <w:sz w:val="17"/>
                <w:szCs w:val="17"/>
                <w:color w:val="auto"/>
              </w:rPr>
            </w:pPr>
          </w:p>
        </w:tc>
      </w:tr>
      <w:tr>
        <w:trPr>
          <w:trHeight w:val="217"/>
        </w:trPr>
        <w:tc>
          <w:tcPr>
            <w:tcW w:w="2000" w:type="dxa"/>
            <w:vAlign w:val="bottom"/>
          </w:tcPr>
          <w:p>
            <w:pPr>
              <w:spacing w:after="0"/>
              <w:rPr>
                <w:sz w:val="18"/>
                <w:szCs w:val="18"/>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 Minnesota Living with Heart FailureÒ questionnaire</w:t>
            </w:r>
          </w:p>
        </w:tc>
        <w:tc>
          <w:tcPr>
            <w:tcW w:w="1500" w:type="dxa"/>
            <w:vAlign w:val="bottom"/>
          </w:tcPr>
          <w:p>
            <w:pPr>
              <w:spacing w:after="0"/>
              <w:rPr>
                <w:sz w:val="18"/>
                <w:szCs w:val="18"/>
                <w:color w:val="auto"/>
              </w:rPr>
            </w:pPr>
          </w:p>
        </w:tc>
      </w:tr>
      <w:tr>
        <w:trPr>
          <w:trHeight w:val="437"/>
        </w:trPr>
        <w:tc>
          <w:tcPr>
            <w:tcW w:w="2000" w:type="dxa"/>
            <w:vAlign w:val="bottom"/>
          </w:tcPr>
          <w:p>
            <w:pPr>
              <w:spacing w:after="0"/>
              <w:rPr>
                <w:sz w:val="24"/>
                <w:szCs w:val="24"/>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AEs and SAEs will be collected throughout the study</w:t>
            </w:r>
          </w:p>
        </w:tc>
        <w:tc>
          <w:tcPr>
            <w:tcW w:w="1500" w:type="dxa"/>
            <w:vAlign w:val="bottom"/>
          </w:tcPr>
          <w:p>
            <w:pPr>
              <w:spacing w:after="0"/>
              <w:rPr>
                <w:sz w:val="24"/>
                <w:szCs w:val="24"/>
                <w:color w:val="auto"/>
              </w:rPr>
            </w:pPr>
          </w:p>
        </w:tc>
      </w:tr>
      <w:tr>
        <w:trPr>
          <w:trHeight w:val="401"/>
        </w:trPr>
        <w:tc>
          <w:tcPr>
            <w:tcW w:w="2000" w:type="dxa"/>
            <w:vAlign w:val="bottom"/>
          </w:tcPr>
          <w:p>
            <w:pPr>
              <w:spacing w:after="0"/>
              <w:rPr>
                <w:sz w:val="20"/>
                <w:szCs w:val="20"/>
                <w:color w:val="auto"/>
              </w:rPr>
            </w:pPr>
            <w:r>
              <w:rPr>
                <w:rFonts w:ascii="Arial" w:cs="Arial" w:eastAsia="Arial" w:hAnsi="Arial"/>
                <w:sz w:val="17"/>
                <w:szCs w:val="17"/>
                <w:color w:val="auto"/>
              </w:rPr>
              <w:t>PROCEDURE</w:t>
            </w:r>
          </w:p>
        </w:tc>
        <w:tc>
          <w:tcPr>
            <w:tcW w:w="9420" w:type="dxa"/>
            <w:vAlign w:val="bottom"/>
            <w:gridSpan w:val="2"/>
          </w:tcPr>
          <w:p>
            <w:pPr>
              <w:ind w:left="60"/>
              <w:spacing w:after="0"/>
              <w:rPr>
                <w:sz w:val="20"/>
                <w:szCs w:val="20"/>
                <w:color w:val="auto"/>
              </w:rPr>
            </w:pPr>
            <w:r>
              <w:rPr>
                <w:rFonts w:ascii="Arial" w:cs="Arial" w:eastAsia="Arial" w:hAnsi="Arial"/>
                <w:sz w:val="17"/>
                <w:szCs w:val="17"/>
                <w:color w:val="auto"/>
              </w:rPr>
              <w:t>Patient is admitted to the hospital as a result of an AMI. As part of the inclusion criteria for this study, the patient will undergo</w:t>
            </w:r>
          </w:p>
        </w:tc>
      </w:tr>
      <w:tr>
        <w:trPr>
          <w:trHeight w:val="206"/>
        </w:trPr>
        <w:tc>
          <w:tcPr>
            <w:tcW w:w="2000" w:type="dxa"/>
            <w:vAlign w:val="bottom"/>
          </w:tcPr>
          <w:p>
            <w:pPr>
              <w:spacing w:after="0"/>
              <w:rPr>
                <w:sz w:val="17"/>
                <w:szCs w:val="17"/>
                <w:color w:val="auto"/>
              </w:rPr>
            </w:pP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3"/>
              </w:rPr>
              <w:t>revascularization with PCI stent implantation. Within 7 days of the index MI, the patient will undergo an echocardiogram to determine</w:t>
            </w:r>
          </w:p>
        </w:tc>
      </w:tr>
      <w:tr>
        <w:trPr>
          <w:trHeight w:val="204"/>
        </w:trPr>
        <w:tc>
          <w:tcPr>
            <w:tcW w:w="2000" w:type="dxa"/>
            <w:vAlign w:val="bottom"/>
          </w:tcPr>
          <w:p>
            <w:pPr>
              <w:spacing w:after="0"/>
              <w:rPr>
                <w:sz w:val="17"/>
                <w:szCs w:val="17"/>
                <w:color w:val="auto"/>
              </w:rPr>
            </w:pP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3"/>
              </w:rPr>
              <w:t>LVEF. Although not mandatory, the patient will be encouraged to undergo an MRI as an additional assessment. If the patient satisfies</w:t>
            </w:r>
          </w:p>
        </w:tc>
      </w:tr>
      <w:tr>
        <w:trPr>
          <w:trHeight w:val="207"/>
        </w:trPr>
        <w:tc>
          <w:tcPr>
            <w:tcW w:w="2000" w:type="dxa"/>
            <w:vAlign w:val="bottom"/>
          </w:tcPr>
          <w:p>
            <w:pPr>
              <w:spacing w:after="0"/>
              <w:rPr>
                <w:sz w:val="18"/>
                <w:szCs w:val="18"/>
                <w:color w:val="auto"/>
              </w:rPr>
            </w:pPr>
          </w:p>
        </w:tc>
        <w:tc>
          <w:tcPr>
            <w:tcW w:w="9420" w:type="dxa"/>
            <w:vAlign w:val="bottom"/>
            <w:gridSpan w:val="2"/>
          </w:tcPr>
          <w:p>
            <w:pPr>
              <w:ind w:left="60"/>
              <w:spacing w:after="0" w:line="207" w:lineRule="exact"/>
              <w:rPr>
                <w:sz w:val="20"/>
                <w:szCs w:val="20"/>
                <w:color w:val="auto"/>
              </w:rPr>
            </w:pPr>
            <w:r>
              <w:rPr>
                <w:rFonts w:ascii="Arial" w:cs="Arial" w:eastAsia="Arial" w:hAnsi="Arial"/>
                <w:sz w:val="17"/>
                <w:szCs w:val="17"/>
                <w:color w:val="auto"/>
                <w:w w:val="94"/>
              </w:rPr>
              <w:t>inclusion/exclusion criteria, a 2</w:t>
            </w:r>
            <w:r>
              <w:rPr>
                <w:rFonts w:ascii="Arial" w:cs="Arial" w:eastAsia="Arial" w:hAnsi="Arial"/>
                <w:sz w:val="24"/>
                <w:szCs w:val="24"/>
                <w:color w:val="auto"/>
                <w:w w:val="94"/>
                <w:vertAlign w:val="superscript"/>
              </w:rPr>
              <w:t>nd</w:t>
            </w:r>
            <w:r>
              <w:rPr>
                <w:rFonts w:ascii="Arial" w:cs="Arial" w:eastAsia="Arial" w:hAnsi="Arial"/>
                <w:sz w:val="17"/>
                <w:szCs w:val="17"/>
                <w:color w:val="auto"/>
                <w:w w:val="94"/>
              </w:rPr>
              <w:t xml:space="preserve"> cardiac catheterization will be performed to administer BL-1040 after revascularization but within 7</w:t>
            </w:r>
          </w:p>
        </w:tc>
      </w:tr>
      <w:tr>
        <w:trPr>
          <w:trHeight w:val="206"/>
        </w:trPr>
        <w:tc>
          <w:tcPr>
            <w:tcW w:w="2000" w:type="dxa"/>
            <w:vAlign w:val="bottom"/>
          </w:tcPr>
          <w:p>
            <w:pPr>
              <w:spacing w:after="0"/>
              <w:rPr>
                <w:sz w:val="17"/>
                <w:szCs w:val="17"/>
                <w:color w:val="auto"/>
              </w:rPr>
            </w:pP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4"/>
              </w:rPr>
              <w:t>days of the index AMI. BL-1040 is applied via intracoronary injection through the infarct related artery. Patients discharged from the</w:t>
            </w:r>
          </w:p>
        </w:tc>
      </w:tr>
      <w:tr>
        <w:trPr>
          <w:trHeight w:val="206"/>
        </w:trPr>
        <w:tc>
          <w:tcPr>
            <w:tcW w:w="2000" w:type="dxa"/>
            <w:vAlign w:val="bottom"/>
          </w:tcPr>
          <w:p>
            <w:pPr>
              <w:spacing w:after="0"/>
              <w:rPr>
                <w:sz w:val="17"/>
                <w:szCs w:val="17"/>
                <w:color w:val="auto"/>
              </w:rPr>
            </w:pP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5"/>
              </w:rPr>
              <w:t>hospital will be contacted by phone on Day 8 for a safety follow-up. Follow-up examinations are scheduled for Day 30, Day 90 and</w:t>
            </w:r>
          </w:p>
        </w:tc>
      </w:tr>
      <w:tr>
        <w:trPr>
          <w:trHeight w:val="206"/>
        </w:trPr>
        <w:tc>
          <w:tcPr>
            <w:tcW w:w="2000" w:type="dxa"/>
            <w:vAlign w:val="bottom"/>
          </w:tcPr>
          <w:p>
            <w:pPr>
              <w:spacing w:after="0"/>
              <w:rPr>
                <w:sz w:val="17"/>
                <w:szCs w:val="17"/>
                <w:color w:val="auto"/>
              </w:rPr>
            </w:pP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5"/>
              </w:rPr>
              <w:t>Day 180 (End of Study) post-procedure. In addition, the patient will return to the hospital at Months 12, 24, 36, 48 and 60 for yearly</w:t>
            </w:r>
          </w:p>
        </w:tc>
      </w:tr>
      <w:tr>
        <w:trPr>
          <w:trHeight w:val="217"/>
        </w:trPr>
        <w:tc>
          <w:tcPr>
            <w:tcW w:w="2000" w:type="dxa"/>
            <w:vAlign w:val="bottom"/>
          </w:tcPr>
          <w:p>
            <w:pPr>
              <w:spacing w:after="0"/>
              <w:rPr>
                <w:sz w:val="18"/>
                <w:szCs w:val="18"/>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follow-up assessments, as part of a long-term safety follow-up.</w:t>
            </w:r>
          </w:p>
        </w:tc>
        <w:tc>
          <w:tcPr>
            <w:tcW w:w="1500" w:type="dxa"/>
            <w:vAlign w:val="bottom"/>
          </w:tcPr>
          <w:p>
            <w:pPr>
              <w:spacing w:after="0"/>
              <w:rPr>
                <w:sz w:val="18"/>
                <w:szCs w:val="18"/>
                <w:color w:val="auto"/>
              </w:rPr>
            </w:pPr>
          </w:p>
        </w:tc>
      </w:tr>
      <w:tr>
        <w:trPr>
          <w:trHeight w:val="401"/>
        </w:trPr>
        <w:tc>
          <w:tcPr>
            <w:tcW w:w="2000" w:type="dxa"/>
            <w:vAlign w:val="bottom"/>
          </w:tcPr>
          <w:p>
            <w:pPr>
              <w:spacing w:after="0"/>
              <w:rPr>
                <w:sz w:val="20"/>
                <w:szCs w:val="20"/>
                <w:color w:val="auto"/>
              </w:rPr>
            </w:pPr>
            <w:r>
              <w:rPr>
                <w:rFonts w:ascii="Arial" w:cs="Arial" w:eastAsia="Arial" w:hAnsi="Arial"/>
                <w:sz w:val="17"/>
                <w:szCs w:val="17"/>
                <w:color w:val="auto"/>
              </w:rPr>
              <w:t>STATISTICAL METHODS</w:t>
            </w: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3"/>
              </w:rPr>
              <w:t>All data recorded will be presented in data listings and summary tables, as appropriate. Missing values will not be replaced. No formal</w:t>
            </w:r>
          </w:p>
        </w:tc>
      </w:tr>
      <w:tr>
        <w:trPr>
          <w:trHeight w:val="206"/>
        </w:trPr>
        <w:tc>
          <w:tcPr>
            <w:tcW w:w="2000" w:type="dxa"/>
            <w:vAlign w:val="bottom"/>
          </w:tcPr>
          <w:p>
            <w:pPr>
              <w:spacing w:after="0"/>
              <w:rPr>
                <w:sz w:val="17"/>
                <w:szCs w:val="17"/>
                <w:color w:val="auto"/>
              </w:rPr>
            </w:pPr>
          </w:p>
        </w:tc>
        <w:tc>
          <w:tcPr>
            <w:tcW w:w="7920" w:type="dxa"/>
            <w:vAlign w:val="bottom"/>
          </w:tcPr>
          <w:p>
            <w:pPr>
              <w:ind w:left="60"/>
              <w:spacing w:after="0"/>
              <w:rPr>
                <w:sz w:val="20"/>
                <w:szCs w:val="20"/>
                <w:color w:val="auto"/>
              </w:rPr>
            </w:pPr>
            <w:r>
              <w:rPr>
                <w:rFonts w:ascii="Arial" w:cs="Arial" w:eastAsia="Arial" w:hAnsi="Arial"/>
                <w:sz w:val="17"/>
                <w:szCs w:val="17"/>
                <w:color w:val="auto"/>
              </w:rPr>
              <w:t>hypothesis testing will be performed.</w:t>
            </w:r>
          </w:p>
        </w:tc>
        <w:tc>
          <w:tcPr>
            <w:tcW w:w="1500" w:type="dxa"/>
            <w:vAlign w:val="bottom"/>
          </w:tcPr>
          <w:p>
            <w:pPr>
              <w:spacing w:after="0"/>
              <w:rPr>
                <w:sz w:val="17"/>
                <w:szCs w:val="17"/>
                <w:color w:val="auto"/>
              </w:rPr>
            </w:pPr>
          </w:p>
        </w:tc>
      </w:tr>
      <w:tr>
        <w:trPr>
          <w:trHeight w:val="217"/>
        </w:trPr>
        <w:tc>
          <w:tcPr>
            <w:tcW w:w="2000" w:type="dxa"/>
            <w:vAlign w:val="bottom"/>
          </w:tcPr>
          <w:p>
            <w:pPr>
              <w:spacing w:after="0"/>
              <w:rPr>
                <w:sz w:val="18"/>
                <w:szCs w:val="18"/>
                <w:color w:val="auto"/>
              </w:rPr>
            </w:pPr>
          </w:p>
        </w:tc>
        <w:tc>
          <w:tcPr>
            <w:tcW w:w="9420" w:type="dxa"/>
            <w:vAlign w:val="bottom"/>
            <w:gridSpan w:val="2"/>
          </w:tcPr>
          <w:p>
            <w:pPr>
              <w:ind w:left="60"/>
              <w:spacing w:after="0"/>
              <w:rPr>
                <w:sz w:val="20"/>
                <w:szCs w:val="20"/>
                <w:color w:val="auto"/>
              </w:rPr>
            </w:pPr>
            <w:r>
              <w:rPr>
                <w:rFonts w:ascii="Arial" w:cs="Arial" w:eastAsia="Arial" w:hAnsi="Arial"/>
                <w:sz w:val="17"/>
                <w:szCs w:val="17"/>
                <w:color w:val="auto"/>
                <w:w w:val="92"/>
              </w:rPr>
              <w:t>All participants who received BL-1040 will be included in the safety analysis. Any excluded cases will be documented together with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-3689985</wp:posOffset>
            </wp:positionV>
            <wp:extent cx="1576705" cy="38417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7"/>
          <w:szCs w:val="17"/>
          <w:color w:val="auto"/>
        </w:rPr>
        <w:t>reason for exclusion. All decisions on exclusions from the analysis will be finalized prior to database lock.</w:t>
      </w:r>
    </w:p>
    <w:p>
      <w:pPr>
        <w:spacing w:after="0" w:line="10" w:lineRule="exact"/>
        <w:rPr>
          <w:sz w:val="20"/>
          <w:szCs w:val="20"/>
          <w:color w:val="auto"/>
        </w:rPr>
      </w:pPr>
    </w:p>
    <w:p>
      <w:pPr>
        <w:ind w:left="2060"/>
        <w:spacing w:after="0" w:line="252" w:lineRule="auto"/>
        <w:rPr>
          <w:sz w:val="20"/>
          <w:szCs w:val="20"/>
          <w:color w:val="auto"/>
        </w:rPr>
      </w:pPr>
      <w:r>
        <w:rPr>
          <w:rFonts w:ascii="Arial" w:cs="Arial" w:eastAsia="Arial" w:hAnsi="Arial"/>
          <w:sz w:val="17"/>
          <w:szCs w:val="17"/>
          <w:color w:val="auto"/>
        </w:rPr>
        <w:t>Continuous variables (age, height, weight) will be summarized using mean, median, standard deviation, minimum, maximum, and number of available observations. Qualitative variables will be summarized by counts and percentages.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An interim safety analysis will be performed after 5 patients have completed the Day 30 visit, on all data collected up to this timepoint.</w:t>
      </w:r>
    </w:p>
    <w:p>
      <w:pPr>
        <w:spacing w:after="0" w:line="248"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7" w:name="page498"/>
    <w:bookmarkEnd w:id="497"/>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7"/>
          </w:tcPr>
          <w:p>
            <w:pPr>
              <w:jc w:val="center"/>
              <w:ind w:right="131"/>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auto"/>
              </w:rPr>
              <w:t>CONFIDENTIAL</w:t>
            </w: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7"/>
          </w:tcPr>
          <w:p>
            <w:pPr>
              <w:jc w:val="center"/>
              <w:ind w:right="131"/>
              <w:spacing w:after="0"/>
              <w:rPr>
                <w:sz w:val="20"/>
                <w:szCs w:val="20"/>
                <w:color w:val="auto"/>
              </w:rPr>
            </w:pPr>
            <w:r>
              <w:rPr>
                <w:rFonts w:ascii="Arial" w:cs="Arial" w:eastAsia="Arial" w:hAnsi="Arial"/>
                <w:sz w:val="17"/>
                <w:szCs w:val="17"/>
                <w:color w:val="auto"/>
                <w:w w:val="93"/>
              </w:rPr>
              <w:t>Safety and Feasibility study of BL-1040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left="311"/>
              <w:spacing w:after="0"/>
              <w:rPr>
                <w:sz w:val="20"/>
                <w:szCs w:val="20"/>
                <w:color w:val="auto"/>
              </w:rPr>
            </w:pPr>
            <w:r>
              <w:rPr>
                <w:rFonts w:ascii="Arial" w:cs="Arial" w:eastAsia="Arial" w:hAnsi="Arial"/>
                <w:sz w:val="17"/>
                <w:szCs w:val="17"/>
                <w:b w:val="1"/>
                <w:bCs w:val="1"/>
                <w:color w:val="auto"/>
                <w:w w:val="95"/>
              </w:rPr>
              <w:t>Final</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980" w:type="dxa"/>
            <w:vAlign w:val="bottom"/>
          </w:tcPr>
          <w:p>
            <w:pPr>
              <w:spacing w:after="0"/>
              <w:rPr>
                <w:sz w:val="20"/>
                <w:szCs w:val="20"/>
                <w:color w:val="auto"/>
              </w:rPr>
            </w:pPr>
            <w:r>
              <w:rPr>
                <w:rFonts w:ascii="Arial" w:cs="Arial" w:eastAsia="Arial" w:hAnsi="Arial"/>
                <w:sz w:val="17"/>
                <w:szCs w:val="17"/>
                <w:color w:val="auto"/>
              </w:rPr>
              <w:t>Schedule of Events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Visits/Week</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rPr>
              <w:t>Hospitalization</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Post discharge follow-up</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2"/>
              </w:rPr>
              <w:t>Follow-up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88"/>
              </w:rPr>
              <w:t>Screening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87"/>
              </w:rPr>
              <w:t>Telephone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w w:val="88"/>
              </w:rPr>
              <w:t>Day 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0"/>
              </w:rPr>
              <w:t>Safety Visits</w:t>
            </w:r>
          </w:p>
        </w:tc>
        <w:tc>
          <w:tcPr>
            <w:tcW w:w="0" w:type="dxa"/>
            <w:vAlign w:val="bottom"/>
          </w:tcPr>
          <w:p>
            <w:pPr>
              <w:spacing w:after="0"/>
              <w:rPr>
                <w:sz w:val="1"/>
                <w:szCs w:val="1"/>
                <w:color w:val="auto"/>
              </w:rPr>
            </w:pPr>
          </w:p>
        </w:tc>
      </w:tr>
      <w:tr>
        <w:trPr>
          <w:trHeight w:val="141"/>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4"/>
              </w:rPr>
              <w:t>Day (-7)</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2"/>
              </w:rPr>
              <w:t>Day 1</w:t>
            </w:r>
          </w:p>
        </w:tc>
        <w:tc>
          <w:tcPr>
            <w:tcW w:w="1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w w:val="96"/>
              </w:rPr>
              <w:t>Daily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86"/>
              </w:rPr>
              <w:t>Contact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51"/>
              <w:spacing w:after="0" w:line="141" w:lineRule="exact"/>
              <w:rPr>
                <w:sz w:val="20"/>
                <w:szCs w:val="20"/>
                <w:color w:val="auto"/>
              </w:rPr>
            </w:pPr>
            <w:r>
              <w:rPr>
                <w:rFonts w:ascii="Arial" w:cs="Arial" w:eastAsia="Arial" w:hAnsi="Arial"/>
                <w:sz w:val="14"/>
                <w:szCs w:val="14"/>
                <w:color w:val="auto"/>
                <w:w w:val="86"/>
              </w:rPr>
              <w:t>(± 7 days)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
              <w:spacing w:after="0" w:line="141" w:lineRule="exact"/>
              <w:rPr>
                <w:sz w:val="20"/>
                <w:szCs w:val="20"/>
                <w:color w:val="auto"/>
              </w:rPr>
            </w:pPr>
            <w:r>
              <w:rPr>
                <w:rFonts w:ascii="Arial" w:cs="Arial" w:eastAsia="Arial" w:hAnsi="Arial"/>
                <w:sz w:val="14"/>
                <w:szCs w:val="14"/>
                <w:color w:val="auto"/>
                <w:w w:val="91"/>
              </w:rPr>
              <w:t>(Months 12,</w:t>
            </w:r>
          </w:p>
        </w:tc>
        <w:tc>
          <w:tcPr>
            <w:tcW w:w="0" w:type="dxa"/>
            <w:vAlign w:val="bottom"/>
          </w:tcPr>
          <w:p>
            <w:pPr>
              <w:spacing w:after="0"/>
              <w:rPr>
                <w:sz w:val="1"/>
                <w:szCs w:val="1"/>
                <w:color w:val="auto"/>
              </w:rPr>
            </w:pPr>
          </w:p>
        </w:tc>
      </w:tr>
      <w:tr>
        <w:trPr>
          <w:trHeight w:val="141"/>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260"/>
              <w:spacing w:after="0" w:line="141" w:lineRule="exact"/>
              <w:rPr>
                <w:sz w:val="20"/>
                <w:szCs w:val="20"/>
                <w:color w:val="auto"/>
              </w:rPr>
            </w:pPr>
            <w:r>
              <w:rPr>
                <w:rFonts w:ascii="Arial" w:cs="Arial" w:eastAsia="Arial" w:hAnsi="Arial"/>
                <w:sz w:val="14"/>
                <w:szCs w:val="14"/>
                <w:color w:val="auto"/>
              </w:rPr>
              <w:t>to</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3"/>
              </w:rPr>
              <w:t>Day of</w:t>
            </w:r>
          </w:p>
        </w:tc>
        <w:tc>
          <w:tcPr>
            <w:tcW w:w="1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w w:val="92"/>
              </w:rPr>
              <w:t>during</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88"/>
              </w:rPr>
              <w:t>Day of</w:t>
            </w: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2"/>
              </w:rPr>
              <w:t>Day 8</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w w:val="90"/>
              </w:rPr>
              <w:t>Day 30</w:t>
            </w:r>
          </w:p>
        </w:tc>
        <w:tc>
          <w:tcPr>
            <w:tcW w:w="1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w w:val="90"/>
              </w:rPr>
              <w:t>Day 90</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w w:val="93"/>
              </w:rPr>
              <w:t>End of</w:t>
            </w:r>
          </w:p>
        </w:tc>
        <w:tc>
          <w:tcPr>
            <w:tcW w:w="1320" w:type="dxa"/>
            <w:vAlign w:val="bottom"/>
            <w:gridSpan w:val="3"/>
          </w:tcPr>
          <w:p>
            <w:pPr>
              <w:jc w:val="center"/>
              <w:ind w:left="123"/>
              <w:spacing w:after="0" w:line="141" w:lineRule="exact"/>
              <w:rPr>
                <w:sz w:val="20"/>
                <w:szCs w:val="20"/>
                <w:color w:val="auto"/>
              </w:rPr>
            </w:pPr>
            <w:r>
              <w:rPr>
                <w:rFonts w:ascii="Arial" w:cs="Arial" w:eastAsia="Arial" w:hAnsi="Arial"/>
                <w:sz w:val="14"/>
                <w:szCs w:val="14"/>
                <w:color w:val="auto"/>
                <w:w w:val="88"/>
              </w:rPr>
              <w:t>24, 36, 48 60,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80" w:type="dxa"/>
            <w:vAlign w:val="bottom"/>
          </w:tcPr>
          <w:p>
            <w:pPr>
              <w:ind w:left="1180"/>
              <w:spacing w:after="0" w:line="160" w:lineRule="exact"/>
              <w:rPr>
                <w:sz w:val="20"/>
                <w:szCs w:val="20"/>
                <w:color w:val="auto"/>
              </w:rPr>
            </w:pPr>
            <w:r>
              <w:rPr>
                <w:rFonts w:ascii="Arial" w:cs="Arial" w:eastAsia="Arial" w:hAnsi="Arial"/>
                <w:sz w:val="14"/>
                <w:szCs w:val="14"/>
                <w:color w:val="auto"/>
              </w:rPr>
              <w:t>Study days</w:t>
            </w:r>
          </w:p>
        </w:tc>
        <w:tc>
          <w:tcPr>
            <w:tcW w:w="100" w:type="dxa"/>
            <w:vAlign w:val="bottom"/>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4"/>
              </w:rPr>
              <w:t>Day (-1)</w:t>
            </w:r>
          </w:p>
        </w:tc>
        <w:tc>
          <w:tcPr>
            <w:tcW w:w="120" w:type="dxa"/>
            <w:vAlign w:val="bottom"/>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1"/>
              </w:rPr>
              <w:t>application</w:t>
            </w:r>
            <w:r>
              <w:rPr>
                <w:rFonts w:ascii="Arial" w:cs="Arial" w:eastAsia="Arial" w:hAnsi="Arial"/>
                <w:sz w:val="9"/>
                <w:szCs w:val="9"/>
                <w:color w:val="auto"/>
                <w:w w:val="91"/>
              </w:rPr>
              <w:t>1</w:t>
            </w:r>
          </w:p>
        </w:tc>
        <w:tc>
          <w:tcPr>
            <w:tcW w:w="120" w:type="dxa"/>
            <w:vAlign w:val="bottom"/>
          </w:tcPr>
          <w:p>
            <w:pPr>
              <w:spacing w:after="0"/>
              <w:rPr>
                <w:sz w:val="14"/>
                <w:szCs w:val="14"/>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color w:val="auto"/>
                <w:w w:val="91"/>
              </w:rPr>
              <w:t>hospitalization</w:t>
            </w:r>
            <w:r>
              <w:rPr>
                <w:rFonts w:ascii="Arial" w:cs="Arial" w:eastAsia="Arial" w:hAnsi="Arial"/>
                <w:sz w:val="9"/>
                <w:szCs w:val="9"/>
                <w:color w:val="auto"/>
                <w:w w:val="91"/>
              </w:rPr>
              <w:t>2</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line="160" w:lineRule="exact"/>
              <w:rPr>
                <w:sz w:val="20"/>
                <w:szCs w:val="20"/>
                <w:color w:val="auto"/>
              </w:rPr>
            </w:pPr>
            <w:r>
              <w:rPr>
                <w:rFonts w:ascii="Arial" w:cs="Arial" w:eastAsia="Arial" w:hAnsi="Arial"/>
                <w:sz w:val="14"/>
                <w:szCs w:val="14"/>
                <w:color w:val="auto"/>
                <w:w w:val="85"/>
              </w:rPr>
              <w:t>discharge</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0"/>
              </w:rPr>
              <w:t>(± 1 day)</w:t>
            </w:r>
          </w:p>
        </w:tc>
        <w:tc>
          <w:tcPr>
            <w:tcW w:w="100" w:type="dxa"/>
            <w:vAlign w:val="bottom"/>
          </w:tcPr>
          <w:p>
            <w:pPr>
              <w:spacing w:after="0"/>
              <w:rPr>
                <w:sz w:val="14"/>
                <w:szCs w:val="14"/>
                <w:color w:val="auto"/>
              </w:rPr>
            </w:pPr>
          </w:p>
        </w:tc>
        <w:tc>
          <w:tcPr>
            <w:tcW w:w="800" w:type="dxa"/>
            <w:vAlign w:val="bottom"/>
          </w:tcPr>
          <w:p>
            <w:pPr>
              <w:jc w:val="center"/>
              <w:spacing w:after="0" w:line="160" w:lineRule="exact"/>
              <w:rPr>
                <w:sz w:val="20"/>
                <w:szCs w:val="20"/>
                <w:color w:val="auto"/>
              </w:rPr>
            </w:pPr>
            <w:r>
              <w:rPr>
                <w:rFonts w:ascii="Arial" w:cs="Arial" w:eastAsia="Arial" w:hAnsi="Arial"/>
                <w:sz w:val="14"/>
                <w:szCs w:val="14"/>
                <w:color w:val="auto"/>
                <w:w w:val="90"/>
              </w:rPr>
              <w:t>(± 5 days)</w:t>
            </w:r>
          </w:p>
        </w:tc>
        <w:tc>
          <w:tcPr>
            <w:tcW w:w="100" w:type="dxa"/>
            <w:vAlign w:val="bottom"/>
          </w:tcPr>
          <w:p>
            <w:pPr>
              <w:spacing w:after="0"/>
              <w:rPr>
                <w:sz w:val="14"/>
                <w:szCs w:val="14"/>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color w:val="auto"/>
                <w:w w:val="90"/>
              </w:rPr>
              <w:t>(± 5 days)</w:t>
            </w:r>
          </w:p>
        </w:tc>
        <w:tc>
          <w:tcPr>
            <w:tcW w:w="100" w:type="dxa"/>
            <w:vAlign w:val="bottom"/>
          </w:tcPr>
          <w:p>
            <w:pPr>
              <w:spacing w:after="0"/>
              <w:rPr>
                <w:sz w:val="14"/>
                <w:szCs w:val="14"/>
                <w:color w:val="auto"/>
              </w:rPr>
            </w:pPr>
          </w:p>
        </w:tc>
        <w:tc>
          <w:tcPr>
            <w:tcW w:w="820" w:type="dxa"/>
            <w:vAlign w:val="bottom"/>
          </w:tcPr>
          <w:p>
            <w:pPr>
              <w:jc w:val="center"/>
              <w:ind w:left="11"/>
              <w:spacing w:after="0" w:line="160" w:lineRule="exact"/>
              <w:rPr>
                <w:sz w:val="20"/>
                <w:szCs w:val="20"/>
                <w:color w:val="auto"/>
              </w:rPr>
            </w:pPr>
            <w:r>
              <w:rPr>
                <w:rFonts w:ascii="Arial" w:cs="Arial" w:eastAsia="Arial" w:hAnsi="Arial"/>
                <w:sz w:val="14"/>
                <w:szCs w:val="14"/>
                <w:color w:val="auto"/>
                <w:w w:val="93"/>
              </w:rPr>
              <w:t>Study Visit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
              <w:spacing w:after="0" w:line="160" w:lineRule="exact"/>
              <w:rPr>
                <w:sz w:val="20"/>
                <w:szCs w:val="20"/>
                <w:color w:val="auto"/>
              </w:rPr>
            </w:pPr>
            <w:r>
              <w:rPr>
                <w:rFonts w:ascii="Arial" w:cs="Arial" w:eastAsia="Arial" w:hAnsi="Arial"/>
                <w:sz w:val="14"/>
                <w:szCs w:val="14"/>
                <w:color w:val="auto"/>
                <w:w w:val="85"/>
              </w:rPr>
              <w:t>± 30 days)</w:t>
            </w:r>
          </w:p>
        </w:tc>
        <w:tc>
          <w:tcPr>
            <w:tcW w:w="0" w:type="dxa"/>
            <w:vAlign w:val="bottom"/>
          </w:tcPr>
          <w:p>
            <w:pPr>
              <w:spacing w:after="0"/>
              <w:rPr>
                <w:sz w:val="1"/>
                <w:szCs w:val="1"/>
                <w:color w:val="auto"/>
              </w:rPr>
            </w:pPr>
          </w:p>
        </w:tc>
      </w:tr>
      <w:tr>
        <w:trPr>
          <w:trHeight w:val="141"/>
        </w:trPr>
        <w:tc>
          <w:tcPr>
            <w:tcW w:w="2980" w:type="dxa"/>
            <w:vAlign w:val="bottom"/>
            <w:tcBorders>
              <w:top w:val="single" w:sz="8" w:color="auto"/>
            </w:tcBorders>
            <w:shd w:val="clear" w:color="auto" w:fill="CCFFCC"/>
          </w:tcPr>
          <w:p>
            <w:pPr>
              <w:spacing w:after="0" w:line="141" w:lineRule="exact"/>
              <w:rPr>
                <w:sz w:val="20"/>
                <w:szCs w:val="20"/>
                <w:color w:val="auto"/>
              </w:rPr>
            </w:pPr>
            <w:r>
              <w:rPr>
                <w:rFonts w:ascii="Arial" w:cs="Arial" w:eastAsia="Arial" w:hAnsi="Arial"/>
                <w:sz w:val="14"/>
                <w:szCs w:val="14"/>
                <w:color w:val="auto"/>
              </w:rPr>
              <w:t>AMI</w:t>
            </w:r>
          </w:p>
        </w:tc>
        <w:tc>
          <w:tcPr>
            <w:tcW w:w="10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Hospitalization</w:t>
            </w:r>
          </w:p>
        </w:tc>
        <w:tc>
          <w:tcPr>
            <w:tcW w:w="100" w:type="dxa"/>
            <w:vAlign w:val="bottom"/>
          </w:tcPr>
          <w:p>
            <w:pPr>
              <w:spacing w:after="0"/>
              <w:rPr>
                <w:sz w:val="12"/>
                <w:szCs w:val="12"/>
                <w:color w:val="auto"/>
              </w:rPr>
            </w:pPr>
          </w:p>
        </w:tc>
        <w:tc>
          <w:tcPr>
            <w:tcW w:w="3480" w:type="dxa"/>
            <w:vAlign w:val="bottom"/>
            <w:gridSpan w:val="8"/>
          </w:tcPr>
          <w:p>
            <w:pPr>
              <w:ind w:left="80"/>
              <w:spacing w:after="0" w:line="141" w:lineRule="exact"/>
              <w:rPr>
                <w:sz w:val="20"/>
                <w:szCs w:val="20"/>
                <w:color w:val="auto"/>
              </w:rPr>
            </w:pPr>
            <w:r>
              <w:rPr>
                <w:rFonts w:ascii="Arial" w:cs="Arial" w:eastAsia="Arial" w:hAnsi="Arial"/>
                <w:sz w:val="14"/>
                <w:szCs w:val="14"/>
                <w:color w:val="auto"/>
              </w:rPr>
              <w:t>&lt;------------------------X----------------------------------&gt;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Coronary angiography, PCI, stent</w:t>
            </w:r>
            <w:r>
              <w:rPr>
                <w:rFonts w:ascii="Arial" w:cs="Arial" w:eastAsia="Arial" w:hAnsi="Arial"/>
                <w:sz w:val="9"/>
                <w:szCs w:val="9"/>
                <w:color w:val="auto"/>
              </w:rPr>
              <w:t>3</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Informed consent</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Inclusion/exclusion criteria</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Pregnancy test</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w w:val="94"/>
              </w:rPr>
              <w:t>Demography; medical history; concurrent illnesses</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Physical examination</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85"/>
              </w:rPr>
              <w:t>X</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Vital signs (temperature, arterial BP, weight)</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center"/>
              <w:ind w:right="120"/>
              <w:spacing w:after="0" w:line="141" w:lineRule="exact"/>
              <w:rPr>
                <w:sz w:val="20"/>
                <w:szCs w:val="20"/>
                <w:color w:val="auto"/>
              </w:rPr>
            </w:pPr>
            <w:r>
              <w:rPr>
                <w:rFonts w:ascii="Arial" w:cs="Arial" w:eastAsia="Arial" w:hAnsi="Arial"/>
                <w:sz w:val="14"/>
                <w:szCs w:val="14"/>
                <w:color w:val="auto"/>
                <w:w w:val="85"/>
              </w:rPr>
              <w:t>X</w:t>
            </w: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12-lead ECG</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7"/>
              </w:rPr>
              <w:t>X</w:t>
            </w:r>
            <w:r>
              <w:rPr>
                <w:rFonts w:ascii="Arial" w:cs="Arial" w:eastAsia="Arial" w:hAnsi="Arial"/>
                <w:sz w:val="9"/>
                <w:szCs w:val="9"/>
                <w:color w:val="auto"/>
                <w:w w:val="97"/>
              </w:rPr>
              <w:t>4</w:t>
            </w:r>
          </w:p>
        </w:tc>
        <w:tc>
          <w:tcPr>
            <w:tcW w:w="12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85"/>
              </w:rPr>
              <w:t>X</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Laboratory safety parameters</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2"/>
                <w:szCs w:val="12"/>
                <w:color w:val="auto"/>
              </w:rPr>
              <w:t>X</w:t>
            </w:r>
            <w:r>
              <w:rPr>
                <w:rFonts w:ascii="Arial" w:cs="Arial" w:eastAsia="Arial" w:hAnsi="Arial"/>
                <w:sz w:val="16"/>
                <w:szCs w:val="16"/>
                <w:color w:val="auto"/>
                <w:vertAlign w:val="superscript"/>
              </w:rPr>
              <w:t>5</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2"/>
                <w:szCs w:val="12"/>
                <w:color w:val="auto"/>
              </w:rPr>
              <w:t>X</w:t>
            </w:r>
            <w:r>
              <w:rPr>
                <w:rFonts w:ascii="Arial" w:cs="Arial" w:eastAsia="Arial" w:hAnsi="Arial"/>
                <w:sz w:val="16"/>
                <w:szCs w:val="16"/>
                <w:color w:val="auto"/>
                <w:vertAlign w:val="superscript"/>
              </w:rPr>
              <w:t>6</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center"/>
              <w:ind w:right="120"/>
              <w:spacing w:after="0" w:line="142" w:lineRule="exact"/>
              <w:rPr>
                <w:sz w:val="20"/>
                <w:szCs w:val="20"/>
                <w:color w:val="auto"/>
              </w:rPr>
            </w:pPr>
            <w:r>
              <w:rPr>
                <w:rFonts w:ascii="Arial" w:cs="Arial" w:eastAsia="Arial" w:hAnsi="Arial"/>
                <w:sz w:val="12"/>
                <w:szCs w:val="12"/>
                <w:color w:val="auto"/>
              </w:rPr>
              <w:t>X</w:t>
            </w:r>
            <w:r>
              <w:rPr>
                <w:rFonts w:ascii="Arial" w:cs="Arial" w:eastAsia="Arial" w:hAnsi="Arial"/>
                <w:sz w:val="16"/>
                <w:szCs w:val="16"/>
                <w:color w:val="auto"/>
                <w:vertAlign w:val="superscript"/>
              </w:rPr>
              <w:t>6</w:t>
            </w: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Total CK/CK MB</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6"/>
                <w:szCs w:val="16"/>
                <w:color w:val="auto"/>
                <w:vertAlign w:val="subscript"/>
              </w:rPr>
              <w:t>X</w:t>
            </w:r>
            <w:r>
              <w:rPr>
                <w:rFonts w:ascii="Arial" w:cs="Arial" w:eastAsia="Arial" w:hAnsi="Arial"/>
                <w:sz w:val="7"/>
                <w:szCs w:val="7"/>
                <w:color w:val="auto"/>
              </w:rPr>
              <w:t>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NT-proBNP</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w w:val="97"/>
              </w:rPr>
              <w:t>X</w:t>
            </w:r>
            <w:r>
              <w:rPr>
                <w:rFonts w:ascii="Arial" w:cs="Arial" w:eastAsia="Arial" w:hAnsi="Arial"/>
                <w:sz w:val="9"/>
                <w:szCs w:val="9"/>
                <w:color w:val="auto"/>
                <w:w w:val="97"/>
              </w:rPr>
              <w:t>6</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center"/>
              <w:ind w:right="120"/>
              <w:spacing w:after="0" w:line="141" w:lineRule="exact"/>
              <w:rPr>
                <w:sz w:val="20"/>
                <w:szCs w:val="20"/>
                <w:color w:val="auto"/>
              </w:rPr>
            </w:pPr>
            <w:r>
              <w:rPr>
                <w:rFonts w:ascii="Arial" w:cs="Arial" w:eastAsia="Arial" w:hAnsi="Arial"/>
                <w:sz w:val="14"/>
                <w:szCs w:val="14"/>
                <w:color w:val="auto"/>
              </w:rPr>
              <w:t>X</w:t>
            </w:r>
            <w:r>
              <w:rPr>
                <w:rFonts w:ascii="Arial" w:cs="Arial" w:eastAsia="Arial" w:hAnsi="Arial"/>
                <w:sz w:val="9"/>
                <w:szCs w:val="9"/>
                <w:color w:val="auto"/>
              </w:rPr>
              <w:t>6</w:t>
            </w: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Echocardiography/MRI</w:t>
            </w:r>
            <w:r>
              <w:rPr>
                <w:rFonts w:ascii="Arial" w:cs="Arial" w:eastAsia="Arial" w:hAnsi="Arial"/>
                <w:sz w:val="9"/>
                <w:szCs w:val="9"/>
                <w:color w:val="auto"/>
              </w:rPr>
              <w:t>8</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Continuous ECG monitoring</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2"/>
                <w:szCs w:val="12"/>
                <w:color w:val="auto"/>
              </w:rPr>
              <w:t>X</w:t>
            </w:r>
            <w:r>
              <w:rPr>
                <w:rFonts w:ascii="Arial" w:cs="Arial" w:eastAsia="Arial" w:hAnsi="Arial"/>
                <w:sz w:val="16"/>
                <w:szCs w:val="16"/>
                <w:color w:val="auto"/>
                <w:vertAlign w:val="superscript"/>
              </w:rPr>
              <w:t>9</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980" w:type="dxa"/>
            <w:vAlign w:val="bottom"/>
          </w:tcPr>
          <w:p>
            <w:pPr>
              <w:spacing w:after="0" w:line="123" w:lineRule="exact"/>
              <w:rPr>
                <w:sz w:val="20"/>
                <w:szCs w:val="20"/>
                <w:color w:val="auto"/>
              </w:rPr>
            </w:pPr>
            <w:r>
              <w:rPr>
                <w:rFonts w:ascii="Arial" w:cs="Arial" w:eastAsia="Arial" w:hAnsi="Arial"/>
                <w:sz w:val="14"/>
                <w:szCs w:val="14"/>
                <w:color w:val="auto"/>
              </w:rPr>
              <w:t>Cardiac catheterization; application of BL-1040;</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980" w:type="dxa"/>
            <w:vAlign w:val="bottom"/>
            <w:vMerge w:val="restart"/>
          </w:tcPr>
          <w:p>
            <w:pPr>
              <w:ind w:left="160"/>
              <w:spacing w:after="0" w:line="160" w:lineRule="exact"/>
              <w:rPr>
                <w:sz w:val="20"/>
                <w:szCs w:val="20"/>
                <w:color w:val="auto"/>
              </w:rPr>
            </w:pPr>
            <w:r>
              <w:rPr>
                <w:rFonts w:ascii="Arial" w:cs="Arial" w:eastAsia="Arial" w:hAnsi="Arial"/>
                <w:sz w:val="14"/>
                <w:szCs w:val="14"/>
                <w:color w:val="auto"/>
              </w:rPr>
              <w:t>coronary angiography</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PTT or ACT measurements</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w w:val="92"/>
              </w:rPr>
              <w:t>X</w:t>
            </w:r>
            <w:r>
              <w:rPr>
                <w:rFonts w:ascii="Arial" w:cs="Arial" w:eastAsia="Arial" w:hAnsi="Arial"/>
                <w:sz w:val="9"/>
                <w:szCs w:val="9"/>
                <w:color w:val="auto"/>
                <w:w w:val="92"/>
              </w:rPr>
              <w:t>10</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24-hour ambulatory Holter monitoring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Safety contact for discharged patients</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tcPr>
          <w:p>
            <w:pPr>
              <w:spacing w:after="0" w:line="141" w:lineRule="exact"/>
              <w:rPr>
                <w:sz w:val="20"/>
                <w:szCs w:val="20"/>
                <w:color w:val="auto"/>
              </w:rPr>
            </w:pPr>
            <w:r>
              <w:rPr>
                <w:rFonts w:ascii="Arial" w:cs="Arial" w:eastAsia="Arial" w:hAnsi="Arial"/>
                <w:sz w:val="14"/>
                <w:szCs w:val="14"/>
                <w:color w:val="auto"/>
              </w:rPr>
              <w:t>Minnesota Living with Heart FailureÒ</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w w:val="90"/>
              </w:rPr>
              <w:t>Serious/Adverse events and concomitant medication</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center"/>
              <w:ind w:right="120"/>
              <w:spacing w:after="0" w:line="141" w:lineRule="exact"/>
              <w:rPr>
                <w:sz w:val="20"/>
                <w:szCs w:val="20"/>
                <w:color w:val="auto"/>
              </w:rPr>
            </w:pPr>
            <w:r>
              <w:rPr>
                <w:rFonts w:ascii="Arial" w:cs="Arial" w:eastAsia="Arial" w:hAnsi="Arial"/>
                <w:sz w:val="14"/>
                <w:szCs w:val="14"/>
                <w:color w:val="auto"/>
                <w:w w:val="85"/>
              </w:rPr>
              <w:t>X</w:t>
            </w: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894715" cy="209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94715" cy="20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-3364865</wp:posOffset>
            </wp:positionV>
            <wp:extent cx="1576705" cy="38417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Device to be administered within 7 days of AMI</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Patient must remain hospitalized for at least 48 hours after procedure.</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Done as treatment of AMI</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Prior to and after administration of BL-1040</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Troponin I or T to be measured at Screening only</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If not done within previous 48 hours</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Parameters to be assessed prior to, and 8, 16, 24 and 48 hours after administration of BL-1040</w:t>
      </w:r>
    </w:p>
    <w:p>
      <w:pPr>
        <w:spacing w:after="0" w:line="121" w:lineRule="exact"/>
        <w:rPr>
          <w:rFonts w:ascii="Arial" w:cs="Arial" w:eastAsia="Arial" w:hAnsi="Arial"/>
          <w:sz w:val="14"/>
          <w:szCs w:val="14"/>
          <w:color w:val="auto"/>
        </w:rPr>
      </w:pPr>
    </w:p>
    <w:p>
      <w:pPr>
        <w:ind w:left="460" w:hanging="457"/>
        <w:spacing w:after="0" w:line="235" w:lineRule="auto"/>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Echocardiography to be done at each visit. MRIs are to be encouraged as an additional assessment through Day 180, but are contingent upon patient agreement. MRIs are not to be requested as part of the Follow-up Safety visits.</w:t>
      </w:r>
    </w:p>
    <w:p>
      <w:pPr>
        <w:spacing w:after="0" w:line="109"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Patient to be connected prior to implantation of BL-1040, and for the duration of the procedure</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Measured prior to implantation of BL-1040, and prior to removal of sheath</w:t>
      </w:r>
    </w:p>
    <w:p>
      <w:pPr>
        <w:spacing w:after="0" w:line="212"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212"/>
        </w:trPr>
        <w:tc>
          <w:tcPr>
            <w:tcW w:w="1700" w:type="dxa"/>
            <w:vAlign w:val="bottom"/>
          </w:tcPr>
          <w:p>
            <w:pPr>
              <w:spacing w:after="0"/>
              <w:rPr>
                <w:sz w:val="18"/>
                <w:szCs w:val="18"/>
                <w:color w:val="auto"/>
              </w:rPr>
            </w:pPr>
          </w:p>
        </w:tc>
        <w:tc>
          <w:tcPr>
            <w:tcW w:w="7240" w:type="dxa"/>
            <w:vAlign w:val="bottom"/>
          </w:tcPr>
          <w:p>
            <w:pPr>
              <w:jc w:val="center"/>
              <w:ind w:left="1953"/>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2500" w:type="dxa"/>
            <w:vAlign w:val="bottom"/>
            <w:gridSpan w:val="2"/>
          </w:tcPr>
          <w:p>
            <w:pPr>
              <w:jc w:val="right"/>
              <w:ind w:right="20"/>
              <w:spacing w:after="0"/>
              <w:rPr>
                <w:sz w:val="20"/>
                <w:szCs w:val="20"/>
                <w:color w:val="auto"/>
              </w:rPr>
            </w:pPr>
            <w:r>
              <w:rPr>
                <w:rFonts w:ascii="Arial" w:cs="Arial" w:eastAsia="Arial" w:hAnsi="Arial"/>
                <w:sz w:val="17"/>
                <w:szCs w:val="17"/>
                <w:color w:val="auto"/>
              </w:rPr>
              <w:t>CONFIDENTIAL</w:t>
            </w: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7240" w:type="dxa"/>
            <w:vAlign w:val="bottom"/>
          </w:tcPr>
          <w:p>
            <w:pPr>
              <w:jc w:val="center"/>
              <w:ind w:left="1953"/>
              <w:spacing w:after="0"/>
              <w:rPr>
                <w:sz w:val="20"/>
                <w:szCs w:val="20"/>
                <w:color w:val="auto"/>
              </w:rPr>
            </w:pPr>
            <w:r>
              <w:rPr>
                <w:rFonts w:ascii="Arial" w:cs="Arial" w:eastAsia="Arial" w:hAnsi="Arial"/>
                <w:sz w:val="17"/>
                <w:szCs w:val="17"/>
                <w:color w:val="auto"/>
                <w:w w:val="93"/>
              </w:rPr>
              <w:t>Safety and Feasibility study of BL-1040</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7240" w:type="dxa"/>
            <w:vAlign w:val="bottom"/>
          </w:tcPr>
          <w:p>
            <w:pPr>
              <w:jc w:val="center"/>
              <w:ind w:left="1973"/>
              <w:spacing w:after="0"/>
              <w:rPr>
                <w:sz w:val="20"/>
                <w:szCs w:val="20"/>
                <w:color w:val="auto"/>
              </w:rPr>
            </w:pPr>
            <w:r>
              <w:rPr>
                <w:rFonts w:ascii="Arial" w:cs="Arial" w:eastAsia="Arial" w:hAnsi="Arial"/>
                <w:sz w:val="17"/>
                <w:szCs w:val="17"/>
                <w:b w:val="1"/>
                <w:bCs w:val="1"/>
                <w:color w:val="auto"/>
                <w:w w:val="95"/>
              </w:rPr>
              <w:t>Final</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1"/>
        </w:trPr>
        <w:tc>
          <w:tcPr>
            <w:tcW w:w="1700" w:type="dxa"/>
            <w:vAlign w:val="bottom"/>
          </w:tcPr>
          <w:p>
            <w:pPr>
              <w:spacing w:after="0"/>
              <w:rPr>
                <w:sz w:val="24"/>
                <w:szCs w:val="24"/>
                <w:color w:val="auto"/>
              </w:rPr>
            </w:pPr>
          </w:p>
        </w:tc>
        <w:tc>
          <w:tcPr>
            <w:tcW w:w="7240" w:type="dxa"/>
            <w:vAlign w:val="bottom"/>
          </w:tcPr>
          <w:p>
            <w:pPr>
              <w:ind w:left="2940"/>
              <w:spacing w:after="0"/>
              <w:rPr>
                <w:sz w:val="20"/>
                <w:szCs w:val="20"/>
                <w:color w:val="auto"/>
              </w:rPr>
            </w:pPr>
            <w:r>
              <w:rPr>
                <w:rFonts w:ascii="Arial" w:cs="Arial" w:eastAsia="Arial" w:hAnsi="Arial"/>
                <w:sz w:val="26"/>
                <w:szCs w:val="26"/>
                <w:b w:val="1"/>
                <w:bCs w:val="1"/>
                <w:color w:val="auto"/>
              </w:rPr>
              <w:t>Table of Contents</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w w:val="99"/>
              </w:rPr>
              <w:t>List of Abbreviations</w:t>
            </w:r>
          </w:p>
        </w:tc>
        <w:tc>
          <w:tcPr>
            <w:tcW w:w="7240" w:type="dxa"/>
            <w:vAlign w:val="bottom"/>
            <w:shd w:val="clear" w:color="auto" w:fill="CCFFCC"/>
          </w:tcPr>
          <w:p>
            <w:pPr>
              <w:spacing w:after="0"/>
              <w:rPr>
                <w:sz w:val="17"/>
                <w:szCs w:val="17"/>
                <w:color w:val="auto"/>
              </w:rPr>
            </w:pP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Arial" w:cs="Arial" w:eastAsia="Arial" w:hAnsi="Arial"/>
                <w:sz w:val="17"/>
                <w:szCs w:val="17"/>
                <w:b w:val="1"/>
                <w:bCs w:val="1"/>
                <w:color w:val="auto"/>
              </w:rPr>
              <w:t>1</w:t>
            </w:r>
          </w:p>
        </w:tc>
        <w:tc>
          <w:tcPr>
            <w:tcW w:w="7240" w:type="dxa"/>
            <w:vAlign w:val="bottom"/>
          </w:tcPr>
          <w:p>
            <w:pPr>
              <w:ind w:left="140"/>
              <w:spacing w:after="0"/>
              <w:rPr>
                <w:sz w:val="20"/>
                <w:szCs w:val="20"/>
                <w:color w:val="auto"/>
              </w:rPr>
            </w:pPr>
            <w:r>
              <w:rPr>
                <w:rFonts w:ascii="Arial" w:cs="Arial" w:eastAsia="Arial" w:hAnsi="Arial"/>
                <w:sz w:val="17"/>
                <w:szCs w:val="17"/>
                <w:b w:val="1"/>
                <w:bCs w:val="1"/>
                <w:color w:val="auto"/>
              </w:rPr>
              <w:t>Introduction</w:t>
            </w:r>
          </w:p>
        </w:tc>
        <w:tc>
          <w:tcPr>
            <w:tcW w:w="24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1.1</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Background</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954"/>
              <w:spacing w:after="0"/>
              <w:rPr>
                <w:sz w:val="20"/>
                <w:szCs w:val="20"/>
                <w:color w:val="auto"/>
              </w:rPr>
            </w:pPr>
            <w:r>
              <w:rPr>
                <w:rFonts w:ascii="Arial" w:cs="Arial" w:eastAsia="Arial" w:hAnsi="Arial"/>
                <w:sz w:val="17"/>
                <w:szCs w:val="17"/>
                <w:color w:val="auto"/>
              </w:rPr>
              <w:t>1.1.1</w:t>
            </w:r>
          </w:p>
        </w:tc>
        <w:tc>
          <w:tcPr>
            <w:tcW w:w="7240" w:type="dxa"/>
            <w:vAlign w:val="bottom"/>
          </w:tcPr>
          <w:p>
            <w:pPr>
              <w:ind w:left="300"/>
              <w:spacing w:after="0"/>
              <w:rPr>
                <w:sz w:val="20"/>
                <w:szCs w:val="20"/>
                <w:color w:val="auto"/>
              </w:rPr>
            </w:pPr>
            <w:r>
              <w:rPr>
                <w:rFonts w:ascii="Arial" w:cs="Arial" w:eastAsia="Arial" w:hAnsi="Arial"/>
                <w:sz w:val="17"/>
                <w:szCs w:val="17"/>
                <w:color w:val="auto"/>
              </w:rPr>
              <w:t>Acute Myocardial Infarction- Definition</w:t>
            </w:r>
          </w:p>
        </w:tc>
        <w:tc>
          <w:tcPr>
            <w:tcW w:w="24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954"/>
              <w:spacing w:after="0"/>
              <w:rPr>
                <w:sz w:val="20"/>
                <w:szCs w:val="20"/>
                <w:color w:val="auto"/>
              </w:rPr>
            </w:pPr>
            <w:r>
              <w:rPr>
                <w:rFonts w:ascii="Arial" w:cs="Arial" w:eastAsia="Arial" w:hAnsi="Arial"/>
                <w:sz w:val="17"/>
                <w:szCs w:val="17"/>
                <w:color w:val="auto"/>
              </w:rPr>
              <w:t>1.1.2</w:t>
            </w:r>
          </w:p>
        </w:tc>
        <w:tc>
          <w:tcPr>
            <w:tcW w:w="7240" w:type="dxa"/>
            <w:vAlign w:val="bottom"/>
            <w:shd w:val="clear" w:color="auto" w:fill="CCFFCC"/>
          </w:tcPr>
          <w:p>
            <w:pPr>
              <w:ind w:left="300"/>
              <w:spacing w:after="0"/>
              <w:rPr>
                <w:sz w:val="20"/>
                <w:szCs w:val="20"/>
                <w:color w:val="auto"/>
              </w:rPr>
            </w:pPr>
            <w:r>
              <w:rPr>
                <w:rFonts w:ascii="Arial" w:cs="Arial" w:eastAsia="Arial" w:hAnsi="Arial"/>
                <w:sz w:val="17"/>
                <w:szCs w:val="17"/>
                <w:color w:val="auto"/>
              </w:rPr>
              <w:t>Infarction types and pathogenesis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954"/>
              <w:spacing w:after="0"/>
              <w:rPr>
                <w:sz w:val="20"/>
                <w:szCs w:val="20"/>
                <w:color w:val="auto"/>
              </w:rPr>
            </w:pPr>
            <w:r>
              <w:rPr>
                <w:rFonts w:ascii="Arial" w:cs="Arial" w:eastAsia="Arial" w:hAnsi="Arial"/>
                <w:sz w:val="17"/>
                <w:szCs w:val="17"/>
                <w:color w:val="auto"/>
              </w:rPr>
              <w:t>1.1.3</w:t>
            </w:r>
          </w:p>
        </w:tc>
        <w:tc>
          <w:tcPr>
            <w:tcW w:w="7240" w:type="dxa"/>
            <w:vAlign w:val="bottom"/>
          </w:tcPr>
          <w:p>
            <w:pPr>
              <w:ind w:left="300"/>
              <w:spacing w:after="0"/>
              <w:rPr>
                <w:sz w:val="20"/>
                <w:szCs w:val="20"/>
                <w:color w:val="auto"/>
              </w:rPr>
            </w:pPr>
            <w:r>
              <w:rPr>
                <w:rFonts w:ascii="Arial" w:cs="Arial" w:eastAsia="Arial" w:hAnsi="Arial"/>
                <w:sz w:val="17"/>
                <w:szCs w:val="17"/>
                <w:color w:val="auto"/>
              </w:rPr>
              <w:t>Mechanisms of myocardial damage</w:t>
            </w:r>
          </w:p>
        </w:tc>
        <w:tc>
          <w:tcPr>
            <w:tcW w:w="24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954"/>
              <w:spacing w:after="0"/>
              <w:rPr>
                <w:sz w:val="20"/>
                <w:szCs w:val="20"/>
                <w:color w:val="auto"/>
              </w:rPr>
            </w:pPr>
            <w:r>
              <w:rPr>
                <w:rFonts w:ascii="Arial" w:cs="Arial" w:eastAsia="Arial" w:hAnsi="Arial"/>
                <w:sz w:val="17"/>
                <w:szCs w:val="17"/>
                <w:color w:val="auto"/>
              </w:rPr>
              <w:t>1.1.4</w:t>
            </w:r>
          </w:p>
        </w:tc>
        <w:tc>
          <w:tcPr>
            <w:tcW w:w="7240" w:type="dxa"/>
            <w:vAlign w:val="bottom"/>
            <w:shd w:val="clear" w:color="auto" w:fill="CCFFCC"/>
          </w:tcPr>
          <w:p>
            <w:pPr>
              <w:ind w:left="300"/>
              <w:spacing w:after="0"/>
              <w:rPr>
                <w:sz w:val="20"/>
                <w:szCs w:val="20"/>
                <w:color w:val="auto"/>
              </w:rPr>
            </w:pPr>
            <w:r>
              <w:rPr>
                <w:rFonts w:ascii="Arial" w:cs="Arial" w:eastAsia="Arial" w:hAnsi="Arial"/>
                <w:sz w:val="17"/>
                <w:szCs w:val="17"/>
                <w:color w:val="auto"/>
              </w:rPr>
              <w:t>Treatment of AMI</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1.2</w:t>
            </w:r>
          </w:p>
        </w:tc>
        <w:tc>
          <w:tcPr>
            <w:tcW w:w="7240" w:type="dxa"/>
            <w:vAlign w:val="bottom"/>
          </w:tcPr>
          <w:p>
            <w:pPr>
              <w:ind w:left="140"/>
              <w:spacing w:after="0"/>
              <w:rPr>
                <w:sz w:val="20"/>
                <w:szCs w:val="20"/>
                <w:color w:val="auto"/>
              </w:rPr>
            </w:pPr>
            <w:r>
              <w:rPr>
                <w:rFonts w:ascii="Arial" w:cs="Arial" w:eastAsia="Arial" w:hAnsi="Arial"/>
                <w:sz w:val="17"/>
                <w:szCs w:val="17"/>
                <w:color w:val="auto"/>
              </w:rPr>
              <w:t>Rationale and justification</w:t>
            </w:r>
          </w:p>
        </w:tc>
        <w:tc>
          <w:tcPr>
            <w:tcW w:w="248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2</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b w:val="1"/>
                <w:bCs w:val="1"/>
                <w:color w:val="auto"/>
              </w:rPr>
              <w:t>Study Objectives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Arial" w:cs="Arial" w:eastAsia="Arial" w:hAnsi="Arial"/>
                <w:sz w:val="17"/>
                <w:szCs w:val="17"/>
                <w:b w:val="1"/>
                <w:bCs w:val="1"/>
                <w:color w:val="auto"/>
              </w:rPr>
              <w:t>3</w:t>
            </w:r>
          </w:p>
        </w:tc>
        <w:tc>
          <w:tcPr>
            <w:tcW w:w="7240" w:type="dxa"/>
            <w:vAlign w:val="bottom"/>
          </w:tcPr>
          <w:p>
            <w:pPr>
              <w:ind w:left="140"/>
              <w:spacing w:after="0"/>
              <w:rPr>
                <w:sz w:val="20"/>
                <w:szCs w:val="20"/>
                <w:color w:val="auto"/>
              </w:rPr>
            </w:pPr>
            <w:r>
              <w:rPr>
                <w:rFonts w:ascii="Arial" w:cs="Arial" w:eastAsia="Arial" w:hAnsi="Arial"/>
                <w:sz w:val="17"/>
                <w:szCs w:val="17"/>
                <w:b w:val="1"/>
                <w:bCs w:val="1"/>
                <w:color w:val="auto"/>
              </w:rPr>
              <w:t>Safety Endpoints</w:t>
            </w:r>
          </w:p>
        </w:tc>
        <w:tc>
          <w:tcPr>
            <w:tcW w:w="248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3.1</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Primary endpoints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3.2</w:t>
            </w:r>
          </w:p>
        </w:tc>
        <w:tc>
          <w:tcPr>
            <w:tcW w:w="7240" w:type="dxa"/>
            <w:vAlign w:val="bottom"/>
          </w:tcPr>
          <w:p>
            <w:pPr>
              <w:ind w:left="140"/>
              <w:spacing w:after="0"/>
              <w:rPr>
                <w:sz w:val="20"/>
                <w:szCs w:val="20"/>
                <w:color w:val="auto"/>
              </w:rPr>
            </w:pPr>
            <w:r>
              <w:rPr>
                <w:rFonts w:ascii="Arial" w:cs="Arial" w:eastAsia="Arial" w:hAnsi="Arial"/>
                <w:sz w:val="17"/>
                <w:szCs w:val="17"/>
                <w:color w:val="auto"/>
              </w:rPr>
              <w:t>Secondary endpoints</w:t>
            </w:r>
          </w:p>
        </w:tc>
        <w:tc>
          <w:tcPr>
            <w:tcW w:w="248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4</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b w:val="1"/>
                <w:bCs w:val="1"/>
                <w:color w:val="auto"/>
              </w:rPr>
              <w:t>Investigational Plan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4.1</w:t>
            </w:r>
          </w:p>
        </w:tc>
        <w:tc>
          <w:tcPr>
            <w:tcW w:w="7240" w:type="dxa"/>
            <w:vAlign w:val="bottom"/>
          </w:tcPr>
          <w:p>
            <w:pPr>
              <w:ind w:left="140"/>
              <w:spacing w:after="0"/>
              <w:rPr>
                <w:sz w:val="20"/>
                <w:szCs w:val="20"/>
                <w:color w:val="auto"/>
              </w:rPr>
            </w:pPr>
            <w:r>
              <w:rPr>
                <w:rFonts w:ascii="Arial" w:cs="Arial" w:eastAsia="Arial" w:hAnsi="Arial"/>
                <w:sz w:val="17"/>
                <w:szCs w:val="17"/>
                <w:color w:val="auto"/>
              </w:rPr>
              <w:t>Summary of study design</w:t>
            </w:r>
          </w:p>
        </w:tc>
        <w:tc>
          <w:tcPr>
            <w:tcW w:w="24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954"/>
              <w:spacing w:after="0"/>
              <w:rPr>
                <w:sz w:val="20"/>
                <w:szCs w:val="20"/>
                <w:color w:val="auto"/>
              </w:rPr>
            </w:pPr>
            <w:r>
              <w:rPr>
                <w:rFonts w:ascii="Arial" w:cs="Arial" w:eastAsia="Arial" w:hAnsi="Arial"/>
                <w:sz w:val="17"/>
                <w:szCs w:val="17"/>
                <w:color w:val="auto"/>
              </w:rPr>
              <w:t>4.1.1</w:t>
            </w:r>
          </w:p>
        </w:tc>
        <w:tc>
          <w:tcPr>
            <w:tcW w:w="7240" w:type="dxa"/>
            <w:vAlign w:val="bottom"/>
            <w:shd w:val="clear" w:color="auto" w:fill="CCFFCC"/>
          </w:tcPr>
          <w:p>
            <w:pPr>
              <w:ind w:left="300"/>
              <w:spacing w:after="0"/>
              <w:rPr>
                <w:sz w:val="20"/>
                <w:szCs w:val="20"/>
                <w:color w:val="auto"/>
              </w:rPr>
            </w:pPr>
            <w:r>
              <w:rPr>
                <w:rFonts w:ascii="Arial" w:cs="Arial" w:eastAsia="Arial" w:hAnsi="Arial"/>
                <w:sz w:val="17"/>
                <w:szCs w:val="17"/>
                <w:color w:val="auto"/>
              </w:rPr>
              <w:t>Estimated study duration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954"/>
              <w:spacing w:after="0"/>
              <w:rPr>
                <w:sz w:val="20"/>
                <w:szCs w:val="20"/>
                <w:color w:val="auto"/>
              </w:rPr>
            </w:pPr>
            <w:r>
              <w:rPr>
                <w:rFonts w:ascii="Arial" w:cs="Arial" w:eastAsia="Arial" w:hAnsi="Arial"/>
                <w:sz w:val="17"/>
                <w:szCs w:val="17"/>
                <w:color w:val="auto"/>
              </w:rPr>
              <w:t>4.1.2</w:t>
            </w:r>
          </w:p>
        </w:tc>
        <w:tc>
          <w:tcPr>
            <w:tcW w:w="7240" w:type="dxa"/>
            <w:vAlign w:val="bottom"/>
          </w:tcPr>
          <w:p>
            <w:pPr>
              <w:ind w:left="300"/>
              <w:spacing w:after="0"/>
              <w:rPr>
                <w:sz w:val="20"/>
                <w:szCs w:val="20"/>
                <w:color w:val="auto"/>
              </w:rPr>
            </w:pPr>
            <w:r>
              <w:rPr>
                <w:rFonts w:ascii="Arial" w:cs="Arial" w:eastAsia="Arial" w:hAnsi="Arial"/>
                <w:sz w:val="17"/>
                <w:szCs w:val="17"/>
                <w:color w:val="auto"/>
              </w:rPr>
              <w:t>Number of Patients</w:t>
            </w:r>
          </w:p>
        </w:tc>
        <w:tc>
          <w:tcPr>
            <w:tcW w:w="24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4.2</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Sequential enrollment</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4.3</w:t>
            </w:r>
          </w:p>
        </w:tc>
        <w:tc>
          <w:tcPr>
            <w:tcW w:w="7240" w:type="dxa"/>
            <w:vAlign w:val="bottom"/>
          </w:tcPr>
          <w:p>
            <w:pPr>
              <w:ind w:left="140"/>
              <w:spacing w:after="0"/>
              <w:rPr>
                <w:sz w:val="20"/>
                <w:szCs w:val="20"/>
                <w:color w:val="auto"/>
              </w:rPr>
            </w:pPr>
            <w:r>
              <w:rPr>
                <w:rFonts w:ascii="Arial" w:cs="Arial" w:eastAsia="Arial" w:hAnsi="Arial"/>
                <w:sz w:val="17"/>
                <w:szCs w:val="17"/>
                <w:color w:val="auto"/>
              </w:rPr>
              <w:t>Responsibilities of the Independent Safety Monitoring Board</w:t>
            </w:r>
          </w:p>
        </w:tc>
        <w:tc>
          <w:tcPr>
            <w:tcW w:w="24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954"/>
              <w:spacing w:after="0"/>
              <w:rPr>
                <w:sz w:val="20"/>
                <w:szCs w:val="20"/>
                <w:color w:val="auto"/>
              </w:rPr>
            </w:pPr>
            <w:r>
              <w:rPr>
                <w:rFonts w:ascii="Arial" w:cs="Arial" w:eastAsia="Arial" w:hAnsi="Arial"/>
                <w:sz w:val="17"/>
                <w:szCs w:val="17"/>
                <w:color w:val="auto"/>
              </w:rPr>
              <w:t>4.3.1</w:t>
            </w:r>
          </w:p>
        </w:tc>
        <w:tc>
          <w:tcPr>
            <w:tcW w:w="7240" w:type="dxa"/>
            <w:vAlign w:val="bottom"/>
            <w:shd w:val="clear" w:color="auto" w:fill="CCFFCC"/>
          </w:tcPr>
          <w:p>
            <w:pPr>
              <w:ind w:left="300"/>
              <w:spacing w:after="0"/>
              <w:rPr>
                <w:sz w:val="20"/>
                <w:szCs w:val="20"/>
                <w:color w:val="auto"/>
              </w:rPr>
            </w:pPr>
            <w:r>
              <w:rPr>
                <w:rFonts w:ascii="Arial" w:cs="Arial" w:eastAsia="Arial" w:hAnsi="Arial"/>
                <w:sz w:val="17"/>
                <w:szCs w:val="17"/>
                <w:color w:val="auto"/>
              </w:rPr>
              <w:t>Stopping Criteria</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4.4</w:t>
            </w:r>
          </w:p>
        </w:tc>
        <w:tc>
          <w:tcPr>
            <w:tcW w:w="7240" w:type="dxa"/>
            <w:vAlign w:val="bottom"/>
          </w:tcPr>
          <w:p>
            <w:pPr>
              <w:ind w:left="140"/>
              <w:spacing w:after="0"/>
              <w:rPr>
                <w:sz w:val="20"/>
                <w:szCs w:val="20"/>
                <w:color w:val="auto"/>
              </w:rPr>
            </w:pPr>
            <w:r>
              <w:rPr>
                <w:rFonts w:ascii="Arial" w:cs="Arial" w:eastAsia="Arial" w:hAnsi="Arial"/>
                <w:sz w:val="17"/>
                <w:szCs w:val="17"/>
                <w:color w:val="auto"/>
              </w:rPr>
              <w:t>Inclusion criteria</w:t>
            </w:r>
          </w:p>
        </w:tc>
        <w:tc>
          <w:tcPr>
            <w:tcW w:w="248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4.5</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Exclusion criteria</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4.6</w:t>
            </w:r>
          </w:p>
        </w:tc>
        <w:tc>
          <w:tcPr>
            <w:tcW w:w="7240" w:type="dxa"/>
            <w:vAlign w:val="bottom"/>
          </w:tcPr>
          <w:p>
            <w:pPr>
              <w:ind w:left="140"/>
              <w:spacing w:after="0"/>
              <w:rPr>
                <w:sz w:val="20"/>
                <w:szCs w:val="20"/>
                <w:color w:val="auto"/>
              </w:rPr>
            </w:pPr>
            <w:r>
              <w:rPr>
                <w:rFonts w:ascii="Arial" w:cs="Arial" w:eastAsia="Arial" w:hAnsi="Arial"/>
                <w:sz w:val="17"/>
                <w:szCs w:val="17"/>
                <w:color w:val="auto"/>
              </w:rPr>
              <w:t>Withdrawal criteria during the study</w:t>
            </w:r>
          </w:p>
        </w:tc>
        <w:tc>
          <w:tcPr>
            <w:tcW w:w="248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4.7</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Treatment allocation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4.8</w:t>
            </w:r>
          </w:p>
        </w:tc>
        <w:tc>
          <w:tcPr>
            <w:tcW w:w="7240" w:type="dxa"/>
            <w:vAlign w:val="bottom"/>
          </w:tcPr>
          <w:p>
            <w:pPr>
              <w:ind w:left="140"/>
              <w:spacing w:after="0"/>
              <w:rPr>
                <w:sz w:val="20"/>
                <w:szCs w:val="20"/>
                <w:color w:val="auto"/>
              </w:rPr>
            </w:pPr>
            <w:r>
              <w:rPr>
                <w:rFonts w:ascii="Arial" w:cs="Arial" w:eastAsia="Arial" w:hAnsi="Arial"/>
                <w:sz w:val="17"/>
                <w:szCs w:val="17"/>
                <w:color w:val="auto"/>
              </w:rPr>
              <w:t>Method of blinding and unblinding</w:t>
            </w:r>
          </w:p>
        </w:tc>
        <w:tc>
          <w:tcPr>
            <w:tcW w:w="248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5</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b w:val="1"/>
                <w:bCs w:val="1"/>
                <w:color w:val="auto"/>
              </w:rPr>
              <w:t>Product Overview</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5.1</w:t>
            </w:r>
          </w:p>
        </w:tc>
        <w:tc>
          <w:tcPr>
            <w:tcW w:w="7240" w:type="dxa"/>
            <w:vAlign w:val="bottom"/>
          </w:tcPr>
          <w:p>
            <w:pPr>
              <w:ind w:left="140"/>
              <w:spacing w:after="0"/>
              <w:rPr>
                <w:sz w:val="20"/>
                <w:szCs w:val="20"/>
                <w:color w:val="auto"/>
              </w:rPr>
            </w:pPr>
            <w:r>
              <w:rPr>
                <w:rFonts w:ascii="Arial" w:cs="Arial" w:eastAsia="Arial" w:hAnsi="Arial"/>
                <w:sz w:val="17"/>
                <w:szCs w:val="17"/>
                <w:color w:val="auto"/>
              </w:rPr>
              <w:t>BL-1040</w:t>
            </w:r>
          </w:p>
        </w:tc>
        <w:tc>
          <w:tcPr>
            <w:tcW w:w="24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5.2</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Formulation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5.3</w:t>
            </w:r>
          </w:p>
        </w:tc>
        <w:tc>
          <w:tcPr>
            <w:tcW w:w="7240" w:type="dxa"/>
            <w:vAlign w:val="bottom"/>
          </w:tcPr>
          <w:p>
            <w:pPr>
              <w:ind w:left="140"/>
              <w:spacing w:after="0"/>
              <w:rPr>
                <w:sz w:val="20"/>
                <w:szCs w:val="20"/>
                <w:color w:val="auto"/>
              </w:rPr>
            </w:pPr>
            <w:r>
              <w:rPr>
                <w:rFonts w:ascii="Arial" w:cs="Arial" w:eastAsia="Arial" w:hAnsi="Arial"/>
                <w:sz w:val="17"/>
                <w:szCs w:val="17"/>
                <w:color w:val="auto"/>
              </w:rPr>
              <w:t>Dosage and application</w:t>
            </w:r>
          </w:p>
        </w:tc>
        <w:tc>
          <w:tcPr>
            <w:tcW w:w="24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5.4</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Labelling/Packaging</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5.5</w:t>
            </w:r>
          </w:p>
        </w:tc>
        <w:tc>
          <w:tcPr>
            <w:tcW w:w="7240" w:type="dxa"/>
            <w:vAlign w:val="bottom"/>
          </w:tcPr>
          <w:p>
            <w:pPr>
              <w:ind w:left="140"/>
              <w:spacing w:after="0"/>
              <w:rPr>
                <w:sz w:val="20"/>
                <w:szCs w:val="20"/>
                <w:color w:val="auto"/>
              </w:rPr>
            </w:pPr>
            <w:r>
              <w:rPr>
                <w:rFonts w:ascii="Arial" w:cs="Arial" w:eastAsia="Arial" w:hAnsi="Arial"/>
                <w:sz w:val="17"/>
                <w:szCs w:val="17"/>
                <w:color w:val="auto"/>
              </w:rPr>
              <w:t>Storage</w:t>
            </w:r>
          </w:p>
        </w:tc>
        <w:tc>
          <w:tcPr>
            <w:tcW w:w="248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5.6</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Compliance</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5.7</w:t>
            </w:r>
          </w:p>
        </w:tc>
        <w:tc>
          <w:tcPr>
            <w:tcW w:w="7240" w:type="dxa"/>
            <w:vAlign w:val="bottom"/>
          </w:tcPr>
          <w:p>
            <w:pPr>
              <w:ind w:left="140"/>
              <w:spacing w:after="0"/>
              <w:rPr>
                <w:sz w:val="20"/>
                <w:szCs w:val="20"/>
                <w:color w:val="auto"/>
              </w:rPr>
            </w:pPr>
            <w:r>
              <w:rPr>
                <w:rFonts w:ascii="Arial" w:cs="Arial" w:eastAsia="Arial" w:hAnsi="Arial"/>
                <w:sz w:val="17"/>
                <w:szCs w:val="17"/>
                <w:color w:val="auto"/>
              </w:rPr>
              <w:t>BL-1040 accountability</w:t>
            </w:r>
          </w:p>
        </w:tc>
        <w:tc>
          <w:tcPr>
            <w:tcW w:w="248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5.8</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Concomitant medication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20"/>
                <w:szCs w:val="20"/>
                <w:color w:val="auto"/>
              </w:rPr>
            </w:pPr>
            <w:r>
              <w:rPr>
                <w:rFonts w:ascii="Arial" w:cs="Arial" w:eastAsia="Arial" w:hAnsi="Arial"/>
                <w:sz w:val="17"/>
                <w:szCs w:val="17"/>
                <w:b w:val="1"/>
                <w:bCs w:val="1"/>
                <w:color w:val="auto"/>
              </w:rPr>
              <w:t>6</w:t>
            </w:r>
          </w:p>
        </w:tc>
        <w:tc>
          <w:tcPr>
            <w:tcW w:w="7240" w:type="dxa"/>
            <w:vAlign w:val="bottom"/>
          </w:tcPr>
          <w:p>
            <w:pPr>
              <w:ind w:left="140"/>
              <w:spacing w:after="0"/>
              <w:rPr>
                <w:sz w:val="20"/>
                <w:szCs w:val="20"/>
                <w:color w:val="auto"/>
              </w:rPr>
            </w:pPr>
            <w:r>
              <w:rPr>
                <w:rFonts w:ascii="Arial" w:cs="Arial" w:eastAsia="Arial" w:hAnsi="Arial"/>
                <w:sz w:val="17"/>
                <w:szCs w:val="17"/>
                <w:b w:val="1"/>
                <w:bCs w:val="1"/>
                <w:color w:val="auto"/>
              </w:rPr>
              <w:t>Study Procedures</w:t>
            </w:r>
          </w:p>
        </w:tc>
        <w:tc>
          <w:tcPr>
            <w:tcW w:w="248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1234"/>
              <w:spacing w:after="0"/>
              <w:rPr>
                <w:sz w:val="20"/>
                <w:szCs w:val="20"/>
                <w:color w:val="auto"/>
              </w:rPr>
            </w:pPr>
            <w:r>
              <w:rPr>
                <w:rFonts w:ascii="Arial" w:cs="Arial" w:eastAsia="Arial" w:hAnsi="Arial"/>
                <w:sz w:val="17"/>
                <w:szCs w:val="17"/>
                <w:color w:val="auto"/>
              </w:rPr>
              <w:t>6.1</w:t>
            </w:r>
          </w:p>
        </w:tc>
        <w:tc>
          <w:tcPr>
            <w:tcW w:w="7240" w:type="dxa"/>
            <w:vAlign w:val="bottom"/>
            <w:shd w:val="clear" w:color="auto" w:fill="CCFFCC"/>
          </w:tcPr>
          <w:p>
            <w:pPr>
              <w:ind w:left="140"/>
              <w:spacing w:after="0"/>
              <w:rPr>
                <w:sz w:val="20"/>
                <w:szCs w:val="20"/>
                <w:color w:val="auto"/>
              </w:rPr>
            </w:pPr>
            <w:r>
              <w:rPr>
                <w:rFonts w:ascii="Arial" w:cs="Arial" w:eastAsia="Arial" w:hAnsi="Arial"/>
                <w:sz w:val="17"/>
                <w:szCs w:val="17"/>
                <w:color w:val="auto"/>
              </w:rPr>
              <w:t>General study aspects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6.2</w:t>
            </w:r>
          </w:p>
        </w:tc>
        <w:tc>
          <w:tcPr>
            <w:tcW w:w="7240" w:type="dxa"/>
            <w:vAlign w:val="bottom"/>
          </w:tcPr>
          <w:p>
            <w:pPr>
              <w:ind w:left="140"/>
              <w:spacing w:after="0"/>
              <w:rPr>
                <w:sz w:val="20"/>
                <w:szCs w:val="20"/>
                <w:color w:val="auto"/>
              </w:rPr>
            </w:pPr>
            <w:r>
              <w:rPr>
                <w:rFonts w:ascii="Arial" w:cs="Arial" w:eastAsia="Arial" w:hAnsi="Arial"/>
                <w:sz w:val="17"/>
                <w:szCs w:val="17"/>
                <w:color w:val="auto"/>
              </w:rPr>
              <w:t>Outline of study procedures</w:t>
            </w:r>
          </w:p>
        </w:tc>
        <w:tc>
          <w:tcPr>
            <w:tcW w:w="248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954"/>
              <w:spacing w:after="0"/>
              <w:rPr>
                <w:sz w:val="20"/>
                <w:szCs w:val="20"/>
                <w:color w:val="auto"/>
              </w:rPr>
            </w:pPr>
            <w:r>
              <w:rPr>
                <w:rFonts w:ascii="Arial" w:cs="Arial" w:eastAsia="Arial" w:hAnsi="Arial"/>
                <w:sz w:val="17"/>
                <w:szCs w:val="17"/>
                <w:color w:val="auto"/>
              </w:rPr>
              <w:t>6.2.1</w:t>
            </w:r>
          </w:p>
        </w:tc>
        <w:tc>
          <w:tcPr>
            <w:tcW w:w="7240" w:type="dxa"/>
            <w:vAlign w:val="bottom"/>
            <w:shd w:val="clear" w:color="auto" w:fill="CCFFCC"/>
          </w:tcPr>
          <w:p>
            <w:pPr>
              <w:ind w:left="300"/>
              <w:spacing w:after="0"/>
              <w:rPr>
                <w:sz w:val="20"/>
                <w:szCs w:val="20"/>
                <w:color w:val="auto"/>
              </w:rPr>
            </w:pPr>
            <w:r>
              <w:rPr>
                <w:rFonts w:ascii="Arial" w:cs="Arial" w:eastAsia="Arial" w:hAnsi="Arial"/>
                <w:sz w:val="17"/>
                <w:szCs w:val="17"/>
                <w:color w:val="auto"/>
              </w:rPr>
              <w:t>Detailed description of study stages/visits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674"/>
              <w:spacing w:after="0"/>
              <w:rPr>
                <w:sz w:val="20"/>
                <w:szCs w:val="20"/>
                <w:color w:val="auto"/>
              </w:rPr>
            </w:pPr>
            <w:r>
              <w:rPr>
                <w:rFonts w:ascii="Arial" w:cs="Arial" w:eastAsia="Arial" w:hAnsi="Arial"/>
                <w:sz w:val="17"/>
                <w:szCs w:val="17"/>
                <w:color w:val="auto"/>
              </w:rPr>
              <w:t>6.2.1.1</w:t>
            </w:r>
          </w:p>
        </w:tc>
        <w:tc>
          <w:tcPr>
            <w:tcW w:w="7240" w:type="dxa"/>
            <w:vAlign w:val="bottom"/>
          </w:tcPr>
          <w:p>
            <w:pPr>
              <w:ind w:left="460"/>
              <w:spacing w:after="0"/>
              <w:rPr>
                <w:sz w:val="20"/>
                <w:szCs w:val="20"/>
                <w:color w:val="auto"/>
              </w:rPr>
            </w:pPr>
            <w:r>
              <w:rPr>
                <w:rFonts w:ascii="Arial" w:cs="Arial" w:eastAsia="Arial" w:hAnsi="Arial"/>
                <w:sz w:val="17"/>
                <w:szCs w:val="17"/>
                <w:color w:val="auto"/>
              </w:rPr>
              <w:t>Screening, Day -7 to Day -1</w:t>
            </w:r>
          </w:p>
        </w:tc>
        <w:tc>
          <w:tcPr>
            <w:tcW w:w="2480" w:type="dxa"/>
            <w:vAlign w:val="bottom"/>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674"/>
              <w:spacing w:after="0"/>
              <w:rPr>
                <w:sz w:val="20"/>
                <w:szCs w:val="20"/>
                <w:color w:val="auto"/>
              </w:rPr>
            </w:pPr>
            <w:r>
              <w:rPr>
                <w:rFonts w:ascii="Arial" w:cs="Arial" w:eastAsia="Arial" w:hAnsi="Arial"/>
                <w:sz w:val="17"/>
                <w:szCs w:val="17"/>
                <w:color w:val="auto"/>
              </w:rPr>
              <w:t>6.2.1.2</w:t>
            </w:r>
          </w:p>
        </w:tc>
        <w:tc>
          <w:tcPr>
            <w:tcW w:w="7240" w:type="dxa"/>
            <w:vAlign w:val="bottom"/>
            <w:shd w:val="clear" w:color="auto" w:fill="CCFFCC"/>
          </w:tcPr>
          <w:p>
            <w:pPr>
              <w:ind w:left="460"/>
              <w:spacing w:after="0"/>
              <w:rPr>
                <w:sz w:val="20"/>
                <w:szCs w:val="20"/>
                <w:color w:val="auto"/>
              </w:rPr>
            </w:pPr>
            <w:r>
              <w:rPr>
                <w:rFonts w:ascii="Arial" w:cs="Arial" w:eastAsia="Arial" w:hAnsi="Arial"/>
                <w:sz w:val="17"/>
                <w:szCs w:val="17"/>
                <w:color w:val="auto"/>
              </w:rPr>
              <w:t>Day 1</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674"/>
              <w:spacing w:after="0"/>
              <w:rPr>
                <w:sz w:val="20"/>
                <w:szCs w:val="20"/>
                <w:color w:val="auto"/>
              </w:rPr>
            </w:pPr>
            <w:r>
              <w:rPr>
                <w:rFonts w:ascii="Arial" w:cs="Arial" w:eastAsia="Arial" w:hAnsi="Arial"/>
                <w:sz w:val="17"/>
                <w:szCs w:val="17"/>
                <w:color w:val="auto"/>
              </w:rPr>
              <w:t>6.2.1.3</w:t>
            </w:r>
          </w:p>
        </w:tc>
        <w:tc>
          <w:tcPr>
            <w:tcW w:w="7240" w:type="dxa"/>
            <w:vAlign w:val="bottom"/>
          </w:tcPr>
          <w:p>
            <w:pPr>
              <w:ind w:left="460"/>
              <w:spacing w:after="0"/>
              <w:rPr>
                <w:sz w:val="20"/>
                <w:szCs w:val="20"/>
                <w:color w:val="auto"/>
              </w:rPr>
            </w:pPr>
            <w:r>
              <w:rPr>
                <w:rFonts w:ascii="Arial" w:cs="Arial" w:eastAsia="Arial" w:hAnsi="Arial"/>
                <w:sz w:val="17"/>
                <w:szCs w:val="17"/>
                <w:color w:val="auto"/>
              </w:rPr>
              <w:t>Daily during hospitalization</w:t>
            </w:r>
          </w:p>
        </w:tc>
        <w:tc>
          <w:tcPr>
            <w:tcW w:w="248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674"/>
              <w:spacing w:after="0"/>
              <w:rPr>
                <w:sz w:val="20"/>
                <w:szCs w:val="20"/>
                <w:color w:val="auto"/>
              </w:rPr>
            </w:pPr>
            <w:r>
              <w:rPr>
                <w:rFonts w:ascii="Arial" w:cs="Arial" w:eastAsia="Arial" w:hAnsi="Arial"/>
                <w:sz w:val="17"/>
                <w:szCs w:val="17"/>
                <w:color w:val="auto"/>
              </w:rPr>
              <w:t>6.2.1.4</w:t>
            </w:r>
          </w:p>
        </w:tc>
        <w:tc>
          <w:tcPr>
            <w:tcW w:w="7240" w:type="dxa"/>
            <w:vAlign w:val="bottom"/>
            <w:shd w:val="clear" w:color="auto" w:fill="CCFFCC"/>
          </w:tcPr>
          <w:p>
            <w:pPr>
              <w:ind w:left="460"/>
              <w:spacing w:after="0"/>
              <w:rPr>
                <w:sz w:val="20"/>
                <w:szCs w:val="20"/>
                <w:color w:val="auto"/>
              </w:rPr>
            </w:pPr>
            <w:r>
              <w:rPr>
                <w:rFonts w:ascii="Arial" w:cs="Arial" w:eastAsia="Arial" w:hAnsi="Arial"/>
                <w:sz w:val="17"/>
                <w:szCs w:val="17"/>
                <w:color w:val="auto"/>
              </w:rPr>
              <w:t>Telephone Contact, Day 8, ±1</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674"/>
              <w:spacing w:after="0"/>
              <w:rPr>
                <w:sz w:val="20"/>
                <w:szCs w:val="20"/>
                <w:color w:val="auto"/>
              </w:rPr>
            </w:pPr>
            <w:r>
              <w:rPr>
                <w:rFonts w:ascii="Arial" w:cs="Arial" w:eastAsia="Arial" w:hAnsi="Arial"/>
                <w:sz w:val="17"/>
                <w:szCs w:val="17"/>
                <w:color w:val="auto"/>
              </w:rPr>
              <w:t>6.2.1.5</w:t>
            </w:r>
          </w:p>
        </w:tc>
        <w:tc>
          <w:tcPr>
            <w:tcW w:w="7240" w:type="dxa"/>
            <w:vAlign w:val="bottom"/>
          </w:tcPr>
          <w:p>
            <w:pPr>
              <w:ind w:left="460"/>
              <w:spacing w:after="0"/>
              <w:rPr>
                <w:sz w:val="20"/>
                <w:szCs w:val="20"/>
                <w:color w:val="auto"/>
              </w:rPr>
            </w:pPr>
            <w:r>
              <w:rPr>
                <w:rFonts w:ascii="Arial" w:cs="Arial" w:eastAsia="Arial" w:hAnsi="Arial"/>
                <w:sz w:val="17"/>
                <w:szCs w:val="17"/>
                <w:color w:val="auto"/>
              </w:rPr>
              <w:t>Day 30, Day 90 and Day 180 (End of Study)</w:t>
            </w:r>
          </w:p>
        </w:tc>
        <w:tc>
          <w:tcPr>
            <w:tcW w:w="248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674"/>
              <w:spacing w:after="0"/>
              <w:rPr>
                <w:sz w:val="20"/>
                <w:szCs w:val="20"/>
                <w:color w:val="auto"/>
              </w:rPr>
            </w:pPr>
            <w:r>
              <w:rPr>
                <w:rFonts w:ascii="Arial" w:cs="Arial" w:eastAsia="Arial" w:hAnsi="Arial"/>
                <w:sz w:val="17"/>
                <w:szCs w:val="17"/>
                <w:color w:val="auto"/>
              </w:rPr>
              <w:t>6.2.1.6</w:t>
            </w:r>
          </w:p>
        </w:tc>
        <w:tc>
          <w:tcPr>
            <w:tcW w:w="7240" w:type="dxa"/>
            <w:vAlign w:val="bottom"/>
            <w:shd w:val="clear" w:color="auto" w:fill="CCFFCC"/>
          </w:tcPr>
          <w:p>
            <w:pPr>
              <w:ind w:left="460"/>
              <w:spacing w:after="0"/>
              <w:rPr>
                <w:sz w:val="20"/>
                <w:szCs w:val="20"/>
                <w:color w:val="auto"/>
              </w:rPr>
            </w:pPr>
            <w:r>
              <w:rPr>
                <w:rFonts w:ascii="Arial" w:cs="Arial" w:eastAsia="Arial" w:hAnsi="Arial"/>
                <w:sz w:val="17"/>
                <w:szCs w:val="17"/>
                <w:color w:val="auto"/>
              </w:rPr>
              <w:t>Extended safety follow-up (Months 12, 24, 36, 48, 60 ± 30 days)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1234"/>
              <w:spacing w:after="0"/>
              <w:rPr>
                <w:sz w:val="20"/>
                <w:szCs w:val="20"/>
                <w:color w:val="auto"/>
              </w:rPr>
            </w:pPr>
            <w:r>
              <w:rPr>
                <w:rFonts w:ascii="Arial" w:cs="Arial" w:eastAsia="Arial" w:hAnsi="Arial"/>
                <w:sz w:val="17"/>
                <w:szCs w:val="17"/>
                <w:color w:val="auto"/>
              </w:rPr>
              <w:t>6.3</w:t>
            </w:r>
          </w:p>
        </w:tc>
        <w:tc>
          <w:tcPr>
            <w:tcW w:w="7240" w:type="dxa"/>
            <w:vAlign w:val="bottom"/>
          </w:tcPr>
          <w:p>
            <w:pPr>
              <w:ind w:left="140"/>
              <w:spacing w:after="0"/>
              <w:rPr>
                <w:sz w:val="20"/>
                <w:szCs w:val="20"/>
                <w:color w:val="auto"/>
              </w:rPr>
            </w:pPr>
            <w:r>
              <w:rPr>
                <w:rFonts w:ascii="Arial" w:cs="Arial" w:eastAsia="Arial" w:hAnsi="Arial"/>
                <w:sz w:val="17"/>
                <w:szCs w:val="17"/>
                <w:color w:val="auto"/>
              </w:rPr>
              <w:t>Study evaluations and procedures</w:t>
            </w:r>
          </w:p>
        </w:tc>
        <w:tc>
          <w:tcPr>
            <w:tcW w:w="24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954"/>
              <w:spacing w:after="0"/>
              <w:rPr>
                <w:sz w:val="20"/>
                <w:szCs w:val="20"/>
                <w:color w:val="auto"/>
              </w:rPr>
            </w:pPr>
            <w:r>
              <w:rPr>
                <w:rFonts w:ascii="Arial" w:cs="Arial" w:eastAsia="Arial" w:hAnsi="Arial"/>
                <w:sz w:val="17"/>
                <w:szCs w:val="17"/>
                <w:color w:val="auto"/>
              </w:rPr>
              <w:t>6.3.1</w:t>
            </w:r>
          </w:p>
        </w:tc>
        <w:tc>
          <w:tcPr>
            <w:tcW w:w="7240" w:type="dxa"/>
            <w:vAlign w:val="bottom"/>
            <w:shd w:val="clear" w:color="auto" w:fill="CCFFCC"/>
          </w:tcPr>
          <w:p>
            <w:pPr>
              <w:ind w:left="300"/>
              <w:spacing w:after="0"/>
              <w:rPr>
                <w:sz w:val="20"/>
                <w:szCs w:val="20"/>
                <w:color w:val="auto"/>
              </w:rPr>
            </w:pPr>
            <w:r>
              <w:rPr>
                <w:rFonts w:ascii="Arial" w:cs="Arial" w:eastAsia="Arial" w:hAnsi="Arial"/>
                <w:sz w:val="17"/>
                <w:szCs w:val="17"/>
                <w:color w:val="auto"/>
              </w:rPr>
              <w:t>Safety</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674"/>
              <w:spacing w:after="0"/>
              <w:rPr>
                <w:sz w:val="20"/>
                <w:szCs w:val="20"/>
                <w:color w:val="auto"/>
              </w:rPr>
            </w:pPr>
            <w:r>
              <w:rPr>
                <w:rFonts w:ascii="Arial" w:cs="Arial" w:eastAsia="Arial" w:hAnsi="Arial"/>
                <w:sz w:val="17"/>
                <w:szCs w:val="17"/>
                <w:color w:val="auto"/>
              </w:rPr>
              <w:t>6.3.1.1</w:t>
            </w:r>
          </w:p>
        </w:tc>
        <w:tc>
          <w:tcPr>
            <w:tcW w:w="7240" w:type="dxa"/>
            <w:vAlign w:val="bottom"/>
          </w:tcPr>
          <w:p>
            <w:pPr>
              <w:ind w:left="460"/>
              <w:spacing w:after="0"/>
              <w:rPr>
                <w:sz w:val="20"/>
                <w:szCs w:val="20"/>
                <w:color w:val="auto"/>
              </w:rPr>
            </w:pPr>
            <w:r>
              <w:rPr>
                <w:rFonts w:ascii="Arial" w:cs="Arial" w:eastAsia="Arial" w:hAnsi="Arial"/>
                <w:sz w:val="17"/>
                <w:szCs w:val="17"/>
                <w:color w:val="auto"/>
              </w:rPr>
              <w:t>Physical examinations</w:t>
            </w:r>
          </w:p>
        </w:tc>
        <w:tc>
          <w:tcPr>
            <w:tcW w:w="24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674"/>
              <w:spacing w:after="0"/>
              <w:rPr>
                <w:sz w:val="20"/>
                <w:szCs w:val="20"/>
                <w:color w:val="auto"/>
              </w:rPr>
            </w:pPr>
            <w:r>
              <w:rPr>
                <w:rFonts w:ascii="Arial" w:cs="Arial" w:eastAsia="Arial" w:hAnsi="Arial"/>
                <w:sz w:val="17"/>
                <w:szCs w:val="17"/>
                <w:color w:val="auto"/>
              </w:rPr>
              <w:t>6.3.1.2</w:t>
            </w:r>
          </w:p>
        </w:tc>
        <w:tc>
          <w:tcPr>
            <w:tcW w:w="7240" w:type="dxa"/>
            <w:vAlign w:val="bottom"/>
            <w:shd w:val="clear" w:color="auto" w:fill="CCFFCC"/>
          </w:tcPr>
          <w:p>
            <w:pPr>
              <w:ind w:left="460"/>
              <w:spacing w:after="0"/>
              <w:rPr>
                <w:sz w:val="20"/>
                <w:szCs w:val="20"/>
                <w:color w:val="auto"/>
              </w:rPr>
            </w:pPr>
            <w:r>
              <w:rPr>
                <w:rFonts w:ascii="Arial" w:cs="Arial" w:eastAsia="Arial" w:hAnsi="Arial"/>
                <w:sz w:val="17"/>
                <w:szCs w:val="17"/>
                <w:color w:val="auto"/>
              </w:rPr>
              <w:t>Vital signs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jc w:val="right"/>
              <w:ind w:right="674"/>
              <w:spacing w:after="0"/>
              <w:rPr>
                <w:sz w:val="20"/>
                <w:szCs w:val="20"/>
                <w:color w:val="auto"/>
              </w:rPr>
            </w:pPr>
            <w:r>
              <w:rPr>
                <w:rFonts w:ascii="Arial" w:cs="Arial" w:eastAsia="Arial" w:hAnsi="Arial"/>
                <w:sz w:val="17"/>
                <w:szCs w:val="17"/>
                <w:color w:val="auto"/>
              </w:rPr>
              <w:t>6.3.1.3</w:t>
            </w:r>
          </w:p>
        </w:tc>
        <w:tc>
          <w:tcPr>
            <w:tcW w:w="7240" w:type="dxa"/>
            <w:vAlign w:val="bottom"/>
          </w:tcPr>
          <w:p>
            <w:pPr>
              <w:ind w:left="460"/>
              <w:spacing w:after="0"/>
              <w:rPr>
                <w:sz w:val="20"/>
                <w:szCs w:val="20"/>
                <w:color w:val="auto"/>
              </w:rPr>
            </w:pPr>
            <w:r>
              <w:rPr>
                <w:rFonts w:ascii="Arial" w:cs="Arial" w:eastAsia="Arial" w:hAnsi="Arial"/>
                <w:sz w:val="17"/>
                <w:szCs w:val="17"/>
                <w:color w:val="auto"/>
              </w:rPr>
              <w:t>ECGs</w:t>
            </w:r>
          </w:p>
        </w:tc>
        <w:tc>
          <w:tcPr>
            <w:tcW w:w="24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FFCC"/>
          </w:tcPr>
          <w:p>
            <w:pPr>
              <w:jc w:val="right"/>
              <w:ind w:right="674"/>
              <w:spacing w:after="0"/>
              <w:rPr>
                <w:sz w:val="20"/>
                <w:szCs w:val="20"/>
                <w:color w:val="auto"/>
              </w:rPr>
            </w:pPr>
            <w:r>
              <w:rPr>
                <w:rFonts w:ascii="Arial" w:cs="Arial" w:eastAsia="Arial" w:hAnsi="Arial"/>
                <w:sz w:val="17"/>
                <w:szCs w:val="17"/>
                <w:color w:val="auto"/>
              </w:rPr>
              <w:t>6.3.1.4</w:t>
            </w:r>
          </w:p>
        </w:tc>
        <w:tc>
          <w:tcPr>
            <w:tcW w:w="7240" w:type="dxa"/>
            <w:vAlign w:val="bottom"/>
            <w:shd w:val="clear" w:color="auto" w:fill="CCFFCC"/>
          </w:tcPr>
          <w:p>
            <w:pPr>
              <w:ind w:left="460"/>
              <w:spacing w:after="0"/>
              <w:rPr>
                <w:sz w:val="20"/>
                <w:szCs w:val="20"/>
                <w:color w:val="auto"/>
              </w:rPr>
            </w:pPr>
            <w:r>
              <w:rPr>
                <w:rFonts w:ascii="Arial" w:cs="Arial" w:eastAsia="Arial" w:hAnsi="Arial"/>
                <w:sz w:val="17"/>
                <w:szCs w:val="17"/>
                <w:color w:val="auto"/>
              </w:rPr>
              <w:t>Echocardiograms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Pr>
          <w:p>
            <w:pPr>
              <w:jc w:val="right"/>
              <w:ind w:right="674"/>
              <w:spacing w:after="0"/>
              <w:rPr>
                <w:sz w:val="20"/>
                <w:szCs w:val="20"/>
                <w:color w:val="auto"/>
              </w:rPr>
            </w:pPr>
            <w:r>
              <w:rPr>
                <w:rFonts w:ascii="Arial" w:cs="Arial" w:eastAsia="Arial" w:hAnsi="Arial"/>
                <w:sz w:val="17"/>
                <w:szCs w:val="17"/>
                <w:color w:val="auto"/>
              </w:rPr>
              <w:t>6.3.1.5</w:t>
            </w:r>
          </w:p>
        </w:tc>
        <w:tc>
          <w:tcPr>
            <w:tcW w:w="7240" w:type="dxa"/>
            <w:vAlign w:val="bottom"/>
          </w:tcPr>
          <w:p>
            <w:pPr>
              <w:ind w:left="460"/>
              <w:spacing w:after="0"/>
              <w:rPr>
                <w:sz w:val="20"/>
                <w:szCs w:val="20"/>
                <w:color w:val="auto"/>
              </w:rPr>
            </w:pPr>
            <w:r>
              <w:rPr>
                <w:rFonts w:ascii="Arial" w:cs="Arial" w:eastAsia="Arial" w:hAnsi="Arial"/>
                <w:sz w:val="17"/>
                <w:szCs w:val="17"/>
                <w:color w:val="auto"/>
              </w:rPr>
              <w:t>MRIs</w:t>
            </w:r>
          </w:p>
        </w:tc>
        <w:tc>
          <w:tcPr>
            <w:tcW w:w="24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-7414895</wp:posOffset>
            </wp:positionV>
            <wp:extent cx="1576705" cy="38417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182"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7560" w:type="dxa"/>
            <w:vAlign w:val="bottom"/>
          </w:tcPr>
          <w:p>
            <w:pPr>
              <w:jc w:val="center"/>
              <w:ind w:left="2274"/>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2500" w:type="dxa"/>
            <w:vAlign w:val="bottom"/>
            <w:gridSpan w:val="2"/>
          </w:tcPr>
          <w:p>
            <w:pPr>
              <w:jc w:val="right"/>
              <w:ind w:right="20"/>
              <w:spacing w:after="0"/>
              <w:rPr>
                <w:sz w:val="20"/>
                <w:szCs w:val="20"/>
                <w:color w:val="auto"/>
              </w:rPr>
            </w:pPr>
            <w:r>
              <w:rPr>
                <w:rFonts w:ascii="Arial" w:cs="Arial" w:eastAsia="Arial" w:hAnsi="Arial"/>
                <w:sz w:val="17"/>
                <w:szCs w:val="17"/>
                <w:color w:val="auto"/>
              </w:rPr>
              <w:t>CONFIDENTIAL</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7560" w:type="dxa"/>
            <w:vAlign w:val="bottom"/>
          </w:tcPr>
          <w:p>
            <w:pPr>
              <w:jc w:val="center"/>
              <w:ind w:left="2274"/>
              <w:spacing w:after="0"/>
              <w:rPr>
                <w:sz w:val="20"/>
                <w:szCs w:val="20"/>
                <w:color w:val="auto"/>
              </w:rPr>
            </w:pPr>
            <w:r>
              <w:rPr>
                <w:rFonts w:ascii="Arial" w:cs="Arial" w:eastAsia="Arial" w:hAnsi="Arial"/>
                <w:sz w:val="17"/>
                <w:szCs w:val="17"/>
                <w:color w:val="auto"/>
                <w:w w:val="93"/>
              </w:rPr>
              <w:t>Safety and Feasibility study of BL-1040</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60" w:type="dxa"/>
            <w:vAlign w:val="bottom"/>
          </w:tcPr>
          <w:p>
            <w:pPr>
              <w:jc w:val="center"/>
              <w:ind w:left="2294"/>
              <w:spacing w:after="0"/>
              <w:rPr>
                <w:sz w:val="20"/>
                <w:szCs w:val="20"/>
                <w:color w:val="auto"/>
              </w:rPr>
            </w:pPr>
            <w:r>
              <w:rPr>
                <w:rFonts w:ascii="Arial" w:cs="Arial" w:eastAsia="Arial" w:hAnsi="Arial"/>
                <w:sz w:val="17"/>
                <w:szCs w:val="17"/>
                <w:b w:val="1"/>
                <w:bCs w:val="1"/>
                <w:color w:val="auto"/>
                <w:w w:val="95"/>
              </w:rPr>
              <w:t>Final</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460"/>
              <w:spacing w:after="0"/>
              <w:rPr>
                <w:sz w:val="20"/>
                <w:szCs w:val="20"/>
                <w:color w:val="auto"/>
              </w:rPr>
            </w:pPr>
            <w:r>
              <w:rPr>
                <w:rFonts w:ascii="Arial" w:cs="Arial" w:eastAsia="Arial" w:hAnsi="Arial"/>
                <w:sz w:val="17"/>
                <w:szCs w:val="17"/>
                <w:color w:val="auto"/>
              </w:rPr>
              <w:t>6.3.1.6</w:t>
            </w:r>
          </w:p>
        </w:tc>
        <w:tc>
          <w:tcPr>
            <w:tcW w:w="7560" w:type="dxa"/>
            <w:vAlign w:val="bottom"/>
            <w:shd w:val="clear" w:color="auto" w:fill="CCFFCC"/>
          </w:tcPr>
          <w:p>
            <w:pPr>
              <w:ind w:left="780"/>
              <w:spacing w:after="0"/>
              <w:rPr>
                <w:sz w:val="20"/>
                <w:szCs w:val="20"/>
                <w:color w:val="auto"/>
              </w:rPr>
            </w:pPr>
            <w:r>
              <w:rPr>
                <w:rFonts w:ascii="Arial" w:cs="Arial" w:eastAsia="Arial" w:hAnsi="Arial"/>
                <w:sz w:val="17"/>
                <w:szCs w:val="17"/>
                <w:color w:val="auto"/>
              </w:rPr>
              <w:t>Clinical safety evaluations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320"/>
              <w:spacing w:after="0"/>
              <w:rPr>
                <w:sz w:val="20"/>
                <w:szCs w:val="20"/>
                <w:color w:val="auto"/>
              </w:rPr>
            </w:pPr>
            <w:r>
              <w:rPr>
                <w:rFonts w:ascii="Arial" w:cs="Arial" w:eastAsia="Arial" w:hAnsi="Arial"/>
                <w:sz w:val="17"/>
                <w:szCs w:val="17"/>
                <w:color w:val="auto"/>
              </w:rPr>
              <w:t>6.3.2</w:t>
            </w:r>
          </w:p>
        </w:tc>
        <w:tc>
          <w:tcPr>
            <w:tcW w:w="7560" w:type="dxa"/>
            <w:vAlign w:val="bottom"/>
          </w:tcPr>
          <w:p>
            <w:pPr>
              <w:ind w:left="620"/>
              <w:spacing w:after="0"/>
              <w:rPr>
                <w:sz w:val="20"/>
                <w:szCs w:val="20"/>
                <w:color w:val="auto"/>
              </w:rPr>
            </w:pPr>
            <w:r>
              <w:rPr>
                <w:rFonts w:ascii="Arial" w:cs="Arial" w:eastAsia="Arial" w:hAnsi="Arial"/>
                <w:sz w:val="17"/>
                <w:szCs w:val="17"/>
                <w:color w:val="auto"/>
              </w:rPr>
              <w:t>Core laboratories</w:t>
            </w:r>
          </w:p>
        </w:tc>
        <w:tc>
          <w:tcPr>
            <w:tcW w:w="248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6.4</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Minnesota Living with Heart Failure® questionnaire</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20"/>
                <w:szCs w:val="20"/>
                <w:color w:val="auto"/>
              </w:rPr>
            </w:pPr>
            <w:r>
              <w:rPr>
                <w:rFonts w:ascii="Arial" w:cs="Arial" w:eastAsia="Arial" w:hAnsi="Arial"/>
                <w:sz w:val="17"/>
                <w:szCs w:val="17"/>
                <w:b w:val="1"/>
                <w:bCs w:val="1"/>
                <w:color w:val="auto"/>
              </w:rPr>
              <w:t>7</w:t>
            </w:r>
          </w:p>
        </w:tc>
        <w:tc>
          <w:tcPr>
            <w:tcW w:w="7560" w:type="dxa"/>
            <w:vAlign w:val="bottom"/>
          </w:tcPr>
          <w:p>
            <w:pPr>
              <w:ind w:left="460"/>
              <w:spacing w:after="0"/>
              <w:rPr>
                <w:sz w:val="20"/>
                <w:szCs w:val="20"/>
                <w:color w:val="auto"/>
              </w:rPr>
            </w:pPr>
            <w:r>
              <w:rPr>
                <w:rFonts w:ascii="Arial" w:cs="Arial" w:eastAsia="Arial" w:hAnsi="Arial"/>
                <w:sz w:val="17"/>
                <w:szCs w:val="17"/>
                <w:b w:val="1"/>
                <w:bCs w:val="1"/>
                <w:color w:val="auto"/>
              </w:rPr>
              <w:t>Adverse and Serious Adverse Events</w:t>
            </w:r>
          </w:p>
        </w:tc>
        <w:tc>
          <w:tcPr>
            <w:tcW w:w="248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7.1</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Adverse event definition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7.2</w:t>
            </w:r>
          </w:p>
        </w:tc>
        <w:tc>
          <w:tcPr>
            <w:tcW w:w="7560" w:type="dxa"/>
            <w:vAlign w:val="bottom"/>
          </w:tcPr>
          <w:p>
            <w:pPr>
              <w:ind w:left="460"/>
              <w:spacing w:after="0"/>
              <w:rPr>
                <w:sz w:val="20"/>
                <w:szCs w:val="20"/>
                <w:color w:val="auto"/>
              </w:rPr>
            </w:pPr>
            <w:r>
              <w:rPr>
                <w:rFonts w:ascii="Arial" w:cs="Arial" w:eastAsia="Arial" w:hAnsi="Arial"/>
                <w:sz w:val="17"/>
                <w:szCs w:val="17"/>
                <w:color w:val="auto"/>
              </w:rPr>
              <w:t>Recording adverse events</w:t>
            </w:r>
          </w:p>
        </w:tc>
        <w:tc>
          <w:tcPr>
            <w:tcW w:w="248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7.3</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Pre-device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7.4</w:t>
            </w:r>
          </w:p>
        </w:tc>
        <w:tc>
          <w:tcPr>
            <w:tcW w:w="7560" w:type="dxa"/>
            <w:vAlign w:val="bottom"/>
          </w:tcPr>
          <w:p>
            <w:pPr>
              <w:ind w:left="460"/>
              <w:spacing w:after="0"/>
              <w:rPr>
                <w:sz w:val="20"/>
                <w:szCs w:val="20"/>
                <w:color w:val="auto"/>
              </w:rPr>
            </w:pPr>
            <w:r>
              <w:rPr>
                <w:rFonts w:ascii="Arial" w:cs="Arial" w:eastAsia="Arial" w:hAnsi="Arial"/>
                <w:sz w:val="17"/>
                <w:szCs w:val="17"/>
                <w:color w:val="auto"/>
              </w:rPr>
              <w:t>General adverse events</w:t>
            </w:r>
          </w:p>
        </w:tc>
        <w:tc>
          <w:tcPr>
            <w:tcW w:w="24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320"/>
              <w:spacing w:after="0"/>
              <w:rPr>
                <w:sz w:val="20"/>
                <w:szCs w:val="20"/>
                <w:color w:val="auto"/>
              </w:rPr>
            </w:pPr>
            <w:r>
              <w:rPr>
                <w:rFonts w:ascii="Arial" w:cs="Arial" w:eastAsia="Arial" w:hAnsi="Arial"/>
                <w:sz w:val="17"/>
                <w:szCs w:val="17"/>
                <w:color w:val="auto"/>
              </w:rPr>
              <w:t>7.4.1</w:t>
            </w:r>
          </w:p>
        </w:tc>
        <w:tc>
          <w:tcPr>
            <w:tcW w:w="7560" w:type="dxa"/>
            <w:vAlign w:val="bottom"/>
            <w:shd w:val="clear" w:color="auto" w:fill="CCFFCC"/>
          </w:tcPr>
          <w:p>
            <w:pPr>
              <w:ind w:left="620"/>
              <w:spacing w:after="0"/>
              <w:rPr>
                <w:sz w:val="20"/>
                <w:szCs w:val="20"/>
                <w:color w:val="auto"/>
              </w:rPr>
            </w:pPr>
            <w:r>
              <w:rPr>
                <w:rFonts w:ascii="Arial" w:cs="Arial" w:eastAsia="Arial" w:hAnsi="Arial"/>
                <w:sz w:val="17"/>
                <w:szCs w:val="17"/>
                <w:color w:val="auto"/>
              </w:rPr>
              <w:t>Assessment of severity of general adverse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320"/>
              <w:spacing w:after="0"/>
              <w:rPr>
                <w:sz w:val="20"/>
                <w:szCs w:val="20"/>
                <w:color w:val="auto"/>
              </w:rPr>
            </w:pPr>
            <w:r>
              <w:rPr>
                <w:rFonts w:ascii="Arial" w:cs="Arial" w:eastAsia="Arial" w:hAnsi="Arial"/>
                <w:sz w:val="17"/>
                <w:szCs w:val="17"/>
                <w:color w:val="auto"/>
              </w:rPr>
              <w:t>7.4.2</w:t>
            </w:r>
          </w:p>
        </w:tc>
        <w:tc>
          <w:tcPr>
            <w:tcW w:w="7560" w:type="dxa"/>
            <w:vAlign w:val="bottom"/>
          </w:tcPr>
          <w:p>
            <w:pPr>
              <w:ind w:left="620"/>
              <w:spacing w:after="0"/>
              <w:rPr>
                <w:sz w:val="20"/>
                <w:szCs w:val="20"/>
                <w:color w:val="auto"/>
              </w:rPr>
            </w:pPr>
            <w:r>
              <w:rPr>
                <w:rFonts w:ascii="Arial" w:cs="Arial" w:eastAsia="Arial" w:hAnsi="Arial"/>
                <w:sz w:val="17"/>
                <w:szCs w:val="17"/>
                <w:color w:val="auto"/>
              </w:rPr>
              <w:t>Assessment of causality of adverse events</w:t>
            </w:r>
          </w:p>
        </w:tc>
        <w:tc>
          <w:tcPr>
            <w:tcW w:w="24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320"/>
              <w:spacing w:after="0"/>
              <w:rPr>
                <w:sz w:val="20"/>
                <w:szCs w:val="20"/>
                <w:color w:val="auto"/>
              </w:rPr>
            </w:pPr>
            <w:r>
              <w:rPr>
                <w:rFonts w:ascii="Arial" w:cs="Arial" w:eastAsia="Arial" w:hAnsi="Arial"/>
                <w:sz w:val="17"/>
                <w:szCs w:val="17"/>
                <w:color w:val="auto"/>
              </w:rPr>
              <w:t>7.4.3</w:t>
            </w:r>
          </w:p>
        </w:tc>
        <w:tc>
          <w:tcPr>
            <w:tcW w:w="7560" w:type="dxa"/>
            <w:vAlign w:val="bottom"/>
            <w:shd w:val="clear" w:color="auto" w:fill="CCFFCC"/>
          </w:tcPr>
          <w:p>
            <w:pPr>
              <w:ind w:left="620"/>
              <w:spacing w:after="0"/>
              <w:rPr>
                <w:sz w:val="20"/>
                <w:szCs w:val="20"/>
                <w:color w:val="auto"/>
              </w:rPr>
            </w:pPr>
            <w:r>
              <w:rPr>
                <w:rFonts w:ascii="Arial" w:cs="Arial" w:eastAsia="Arial" w:hAnsi="Arial"/>
                <w:sz w:val="17"/>
                <w:szCs w:val="17"/>
                <w:color w:val="auto"/>
              </w:rPr>
              <w:t>Follow-up of adverse events and assessment of outcome</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7.5</w:t>
            </w:r>
          </w:p>
        </w:tc>
        <w:tc>
          <w:tcPr>
            <w:tcW w:w="7560" w:type="dxa"/>
            <w:vAlign w:val="bottom"/>
          </w:tcPr>
          <w:p>
            <w:pPr>
              <w:ind w:left="460"/>
              <w:spacing w:after="0"/>
              <w:rPr>
                <w:sz w:val="20"/>
                <w:szCs w:val="20"/>
                <w:color w:val="auto"/>
              </w:rPr>
            </w:pPr>
            <w:r>
              <w:rPr>
                <w:rFonts w:ascii="Arial" w:cs="Arial" w:eastAsia="Arial" w:hAnsi="Arial"/>
                <w:sz w:val="17"/>
                <w:szCs w:val="17"/>
                <w:color w:val="auto"/>
              </w:rPr>
              <w:t>Serious Adverse Events</w:t>
            </w:r>
          </w:p>
        </w:tc>
        <w:tc>
          <w:tcPr>
            <w:tcW w:w="24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320"/>
              <w:spacing w:after="0"/>
              <w:rPr>
                <w:sz w:val="20"/>
                <w:szCs w:val="20"/>
                <w:color w:val="auto"/>
              </w:rPr>
            </w:pPr>
            <w:r>
              <w:rPr>
                <w:rFonts w:ascii="Arial" w:cs="Arial" w:eastAsia="Arial" w:hAnsi="Arial"/>
                <w:sz w:val="17"/>
                <w:szCs w:val="17"/>
                <w:color w:val="auto"/>
              </w:rPr>
              <w:t>7.5.1</w:t>
            </w:r>
          </w:p>
        </w:tc>
        <w:tc>
          <w:tcPr>
            <w:tcW w:w="7560" w:type="dxa"/>
            <w:vAlign w:val="bottom"/>
            <w:shd w:val="clear" w:color="auto" w:fill="CCFFCC"/>
          </w:tcPr>
          <w:p>
            <w:pPr>
              <w:ind w:left="620"/>
              <w:spacing w:after="0"/>
              <w:rPr>
                <w:sz w:val="20"/>
                <w:szCs w:val="20"/>
                <w:color w:val="auto"/>
              </w:rPr>
            </w:pPr>
            <w:r>
              <w:rPr>
                <w:rFonts w:ascii="Arial" w:cs="Arial" w:eastAsia="Arial" w:hAnsi="Arial"/>
                <w:sz w:val="17"/>
                <w:szCs w:val="17"/>
                <w:color w:val="auto"/>
              </w:rPr>
              <w:t>Definition of Serious Adverse Event (SAE)</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320"/>
              <w:spacing w:after="0"/>
              <w:rPr>
                <w:sz w:val="20"/>
                <w:szCs w:val="20"/>
                <w:color w:val="auto"/>
              </w:rPr>
            </w:pPr>
            <w:r>
              <w:rPr>
                <w:rFonts w:ascii="Arial" w:cs="Arial" w:eastAsia="Arial" w:hAnsi="Arial"/>
                <w:sz w:val="17"/>
                <w:szCs w:val="17"/>
                <w:color w:val="auto"/>
              </w:rPr>
              <w:t>7.5.2</w:t>
            </w:r>
          </w:p>
        </w:tc>
        <w:tc>
          <w:tcPr>
            <w:tcW w:w="7560" w:type="dxa"/>
            <w:vAlign w:val="bottom"/>
          </w:tcPr>
          <w:p>
            <w:pPr>
              <w:ind w:left="620"/>
              <w:spacing w:after="0"/>
              <w:rPr>
                <w:sz w:val="20"/>
                <w:szCs w:val="20"/>
                <w:color w:val="auto"/>
              </w:rPr>
            </w:pPr>
            <w:r>
              <w:rPr>
                <w:rFonts w:ascii="Arial" w:cs="Arial" w:eastAsia="Arial" w:hAnsi="Arial"/>
                <w:sz w:val="17"/>
                <w:szCs w:val="17"/>
                <w:color w:val="auto"/>
              </w:rPr>
              <w:t>Pre-defined SAEs</w:t>
            </w:r>
          </w:p>
        </w:tc>
        <w:tc>
          <w:tcPr>
            <w:tcW w:w="24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320"/>
              <w:spacing w:after="0"/>
              <w:rPr>
                <w:sz w:val="20"/>
                <w:szCs w:val="20"/>
                <w:color w:val="auto"/>
              </w:rPr>
            </w:pPr>
            <w:r>
              <w:rPr>
                <w:rFonts w:ascii="Arial" w:cs="Arial" w:eastAsia="Arial" w:hAnsi="Arial"/>
                <w:sz w:val="17"/>
                <w:szCs w:val="17"/>
                <w:color w:val="auto"/>
              </w:rPr>
              <w:t>7.5.3</w:t>
            </w:r>
          </w:p>
        </w:tc>
        <w:tc>
          <w:tcPr>
            <w:tcW w:w="7560" w:type="dxa"/>
            <w:vAlign w:val="bottom"/>
            <w:shd w:val="clear" w:color="auto" w:fill="CCFFCC"/>
          </w:tcPr>
          <w:p>
            <w:pPr>
              <w:ind w:left="620"/>
              <w:spacing w:after="0"/>
              <w:rPr>
                <w:sz w:val="20"/>
                <w:szCs w:val="20"/>
                <w:color w:val="auto"/>
              </w:rPr>
            </w:pPr>
            <w:r>
              <w:rPr>
                <w:rFonts w:ascii="Arial" w:cs="Arial" w:eastAsia="Arial" w:hAnsi="Arial"/>
                <w:sz w:val="17"/>
                <w:szCs w:val="17"/>
                <w:color w:val="auto"/>
              </w:rPr>
              <w:t>Reporting serious adverse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320"/>
              <w:spacing w:after="0"/>
              <w:rPr>
                <w:sz w:val="20"/>
                <w:szCs w:val="20"/>
                <w:color w:val="auto"/>
              </w:rPr>
            </w:pPr>
            <w:r>
              <w:rPr>
                <w:rFonts w:ascii="Arial" w:cs="Arial" w:eastAsia="Arial" w:hAnsi="Arial"/>
                <w:sz w:val="17"/>
                <w:szCs w:val="17"/>
                <w:color w:val="auto"/>
              </w:rPr>
              <w:t>7.5.4</w:t>
            </w:r>
          </w:p>
        </w:tc>
        <w:tc>
          <w:tcPr>
            <w:tcW w:w="7560" w:type="dxa"/>
            <w:vAlign w:val="bottom"/>
          </w:tcPr>
          <w:p>
            <w:pPr>
              <w:ind w:left="620"/>
              <w:spacing w:after="0"/>
              <w:rPr>
                <w:sz w:val="20"/>
                <w:szCs w:val="20"/>
                <w:color w:val="auto"/>
              </w:rPr>
            </w:pPr>
            <w:r>
              <w:rPr>
                <w:rFonts w:ascii="Arial" w:cs="Arial" w:eastAsia="Arial" w:hAnsi="Arial"/>
                <w:sz w:val="17"/>
                <w:szCs w:val="17"/>
                <w:color w:val="auto"/>
              </w:rPr>
              <w:t>Follow-up of serious adverse events</w:t>
            </w:r>
          </w:p>
        </w:tc>
        <w:tc>
          <w:tcPr>
            <w:tcW w:w="24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7.6</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Treatment of adverse events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7.7</w:t>
            </w:r>
          </w:p>
        </w:tc>
        <w:tc>
          <w:tcPr>
            <w:tcW w:w="7560" w:type="dxa"/>
            <w:vAlign w:val="bottom"/>
          </w:tcPr>
          <w:p>
            <w:pPr>
              <w:ind w:left="460"/>
              <w:spacing w:after="0"/>
              <w:rPr>
                <w:sz w:val="20"/>
                <w:szCs w:val="20"/>
                <w:color w:val="auto"/>
              </w:rPr>
            </w:pPr>
            <w:r>
              <w:rPr>
                <w:rFonts w:ascii="Arial" w:cs="Arial" w:eastAsia="Arial" w:hAnsi="Arial"/>
                <w:sz w:val="17"/>
                <w:szCs w:val="17"/>
                <w:color w:val="auto"/>
              </w:rPr>
              <w:t>Pregnancy</w:t>
            </w:r>
          </w:p>
        </w:tc>
        <w:tc>
          <w:tcPr>
            <w:tcW w:w="24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8</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b w:val="1"/>
                <w:bCs w:val="1"/>
                <w:color w:val="auto"/>
              </w:rPr>
              <w:t>Data Evaluation and Statistics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8.1</w:t>
            </w:r>
          </w:p>
        </w:tc>
        <w:tc>
          <w:tcPr>
            <w:tcW w:w="7560" w:type="dxa"/>
            <w:vAlign w:val="bottom"/>
          </w:tcPr>
          <w:p>
            <w:pPr>
              <w:ind w:left="460"/>
              <w:spacing w:after="0"/>
              <w:rPr>
                <w:sz w:val="20"/>
                <w:szCs w:val="20"/>
                <w:color w:val="auto"/>
              </w:rPr>
            </w:pPr>
            <w:r>
              <w:rPr>
                <w:rFonts w:ascii="Arial" w:cs="Arial" w:eastAsia="Arial" w:hAnsi="Arial"/>
                <w:sz w:val="17"/>
                <w:szCs w:val="17"/>
                <w:color w:val="auto"/>
              </w:rPr>
              <w:t>Endpoints</w:t>
            </w:r>
          </w:p>
        </w:tc>
        <w:tc>
          <w:tcPr>
            <w:tcW w:w="24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8.2</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Estimated sample size</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8.3</w:t>
            </w:r>
          </w:p>
        </w:tc>
        <w:tc>
          <w:tcPr>
            <w:tcW w:w="7560" w:type="dxa"/>
            <w:vAlign w:val="bottom"/>
          </w:tcPr>
          <w:p>
            <w:pPr>
              <w:ind w:left="460"/>
              <w:spacing w:after="0"/>
              <w:rPr>
                <w:sz w:val="20"/>
                <w:szCs w:val="20"/>
                <w:color w:val="auto"/>
              </w:rPr>
            </w:pPr>
            <w:r>
              <w:rPr>
                <w:rFonts w:ascii="Arial" w:cs="Arial" w:eastAsia="Arial" w:hAnsi="Arial"/>
                <w:sz w:val="17"/>
                <w:szCs w:val="17"/>
                <w:color w:val="auto"/>
              </w:rPr>
              <w:t>Planned methods of analysis</w:t>
            </w:r>
          </w:p>
        </w:tc>
        <w:tc>
          <w:tcPr>
            <w:tcW w:w="24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320"/>
              <w:spacing w:after="0"/>
              <w:rPr>
                <w:sz w:val="20"/>
                <w:szCs w:val="20"/>
                <w:color w:val="auto"/>
              </w:rPr>
            </w:pPr>
            <w:r>
              <w:rPr>
                <w:rFonts w:ascii="Arial" w:cs="Arial" w:eastAsia="Arial" w:hAnsi="Arial"/>
                <w:sz w:val="17"/>
                <w:szCs w:val="17"/>
                <w:color w:val="auto"/>
              </w:rPr>
              <w:t>8.3.1</w:t>
            </w:r>
          </w:p>
        </w:tc>
        <w:tc>
          <w:tcPr>
            <w:tcW w:w="7560" w:type="dxa"/>
            <w:vAlign w:val="bottom"/>
            <w:shd w:val="clear" w:color="auto" w:fill="CCFFCC"/>
          </w:tcPr>
          <w:p>
            <w:pPr>
              <w:ind w:left="620"/>
              <w:spacing w:after="0"/>
              <w:rPr>
                <w:sz w:val="20"/>
                <w:szCs w:val="20"/>
                <w:color w:val="auto"/>
              </w:rPr>
            </w:pPr>
            <w:r>
              <w:rPr>
                <w:rFonts w:ascii="Arial" w:cs="Arial" w:eastAsia="Arial" w:hAnsi="Arial"/>
                <w:sz w:val="17"/>
                <w:szCs w:val="17"/>
                <w:color w:val="auto"/>
              </w:rPr>
              <w:t>Analysis population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320"/>
              <w:spacing w:after="0"/>
              <w:rPr>
                <w:sz w:val="20"/>
                <w:szCs w:val="20"/>
                <w:color w:val="auto"/>
              </w:rPr>
            </w:pPr>
            <w:r>
              <w:rPr>
                <w:rFonts w:ascii="Arial" w:cs="Arial" w:eastAsia="Arial" w:hAnsi="Arial"/>
                <w:sz w:val="17"/>
                <w:szCs w:val="17"/>
                <w:color w:val="auto"/>
              </w:rPr>
              <w:t>8.3.2</w:t>
            </w:r>
          </w:p>
        </w:tc>
        <w:tc>
          <w:tcPr>
            <w:tcW w:w="7560" w:type="dxa"/>
            <w:vAlign w:val="bottom"/>
          </w:tcPr>
          <w:p>
            <w:pPr>
              <w:ind w:left="620"/>
              <w:spacing w:after="0"/>
              <w:rPr>
                <w:sz w:val="20"/>
                <w:szCs w:val="20"/>
                <w:color w:val="auto"/>
              </w:rPr>
            </w:pPr>
            <w:r>
              <w:rPr>
                <w:rFonts w:ascii="Arial" w:cs="Arial" w:eastAsia="Arial" w:hAnsi="Arial"/>
                <w:sz w:val="17"/>
                <w:szCs w:val="17"/>
                <w:color w:val="auto"/>
              </w:rPr>
              <w:t>Analysis of demographics</w:t>
            </w:r>
          </w:p>
        </w:tc>
        <w:tc>
          <w:tcPr>
            <w:tcW w:w="2480" w:type="dxa"/>
            <w:vAlign w:val="bottom"/>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320"/>
              <w:spacing w:after="0"/>
              <w:rPr>
                <w:sz w:val="20"/>
                <w:szCs w:val="20"/>
                <w:color w:val="auto"/>
              </w:rPr>
            </w:pPr>
            <w:r>
              <w:rPr>
                <w:rFonts w:ascii="Arial" w:cs="Arial" w:eastAsia="Arial" w:hAnsi="Arial"/>
                <w:sz w:val="17"/>
                <w:szCs w:val="17"/>
                <w:color w:val="auto"/>
              </w:rPr>
              <w:t>8.3.3</w:t>
            </w:r>
          </w:p>
        </w:tc>
        <w:tc>
          <w:tcPr>
            <w:tcW w:w="7560" w:type="dxa"/>
            <w:vAlign w:val="bottom"/>
            <w:shd w:val="clear" w:color="auto" w:fill="CCFFCC"/>
          </w:tcPr>
          <w:p>
            <w:pPr>
              <w:ind w:left="620"/>
              <w:spacing w:after="0"/>
              <w:rPr>
                <w:sz w:val="20"/>
                <w:szCs w:val="20"/>
                <w:color w:val="auto"/>
              </w:rPr>
            </w:pPr>
            <w:r>
              <w:rPr>
                <w:rFonts w:ascii="Arial" w:cs="Arial" w:eastAsia="Arial" w:hAnsi="Arial"/>
                <w:sz w:val="17"/>
                <w:szCs w:val="17"/>
                <w:color w:val="auto"/>
              </w:rPr>
              <w:t>Analysis of safety</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8.4</w:t>
            </w:r>
          </w:p>
        </w:tc>
        <w:tc>
          <w:tcPr>
            <w:tcW w:w="7560" w:type="dxa"/>
            <w:vAlign w:val="bottom"/>
          </w:tcPr>
          <w:p>
            <w:pPr>
              <w:ind w:left="460"/>
              <w:spacing w:after="0"/>
              <w:rPr>
                <w:sz w:val="20"/>
                <w:szCs w:val="20"/>
                <w:color w:val="auto"/>
              </w:rPr>
            </w:pPr>
            <w:r>
              <w:rPr>
                <w:rFonts w:ascii="Arial" w:cs="Arial" w:eastAsia="Arial" w:hAnsi="Arial"/>
                <w:sz w:val="17"/>
                <w:szCs w:val="17"/>
                <w:color w:val="auto"/>
              </w:rPr>
              <w:t>Interim analysis</w:t>
            </w:r>
          </w:p>
        </w:tc>
        <w:tc>
          <w:tcPr>
            <w:tcW w:w="248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8.5</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Final and follow-up reporting</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8.6</w:t>
            </w:r>
          </w:p>
        </w:tc>
        <w:tc>
          <w:tcPr>
            <w:tcW w:w="7560" w:type="dxa"/>
            <w:vAlign w:val="bottom"/>
          </w:tcPr>
          <w:p>
            <w:pPr>
              <w:ind w:left="460"/>
              <w:spacing w:after="0"/>
              <w:rPr>
                <w:sz w:val="20"/>
                <w:szCs w:val="20"/>
                <w:color w:val="auto"/>
              </w:rPr>
            </w:pPr>
            <w:r>
              <w:rPr>
                <w:rFonts w:ascii="Arial" w:cs="Arial" w:eastAsia="Arial" w:hAnsi="Arial"/>
                <w:sz w:val="17"/>
                <w:szCs w:val="17"/>
                <w:color w:val="auto"/>
              </w:rPr>
              <w:t>Quality assurance</w:t>
            </w:r>
          </w:p>
        </w:tc>
        <w:tc>
          <w:tcPr>
            <w:tcW w:w="2480" w:type="dxa"/>
            <w:vAlign w:val="bottom"/>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9</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b w:val="1"/>
                <w:bCs w:val="1"/>
                <w:color w:val="auto"/>
              </w:rPr>
              <w:t>Ethics and regulatory considerations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9.1</w:t>
            </w:r>
          </w:p>
        </w:tc>
        <w:tc>
          <w:tcPr>
            <w:tcW w:w="7560" w:type="dxa"/>
            <w:vAlign w:val="bottom"/>
          </w:tcPr>
          <w:p>
            <w:pPr>
              <w:ind w:left="460"/>
              <w:spacing w:after="0"/>
              <w:rPr>
                <w:sz w:val="20"/>
                <w:szCs w:val="20"/>
                <w:color w:val="auto"/>
              </w:rPr>
            </w:pPr>
            <w:r>
              <w:rPr>
                <w:rFonts w:ascii="Arial" w:cs="Arial" w:eastAsia="Arial" w:hAnsi="Arial"/>
                <w:sz w:val="17"/>
                <w:szCs w:val="17"/>
                <w:color w:val="auto"/>
              </w:rPr>
              <w:t>Informed Consent</w:t>
            </w:r>
          </w:p>
        </w:tc>
        <w:tc>
          <w:tcPr>
            <w:tcW w:w="248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9.2</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Authorities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9.3</w:t>
            </w:r>
          </w:p>
        </w:tc>
        <w:tc>
          <w:tcPr>
            <w:tcW w:w="7560" w:type="dxa"/>
            <w:vAlign w:val="bottom"/>
          </w:tcPr>
          <w:p>
            <w:pPr>
              <w:ind w:left="460"/>
              <w:spacing w:after="0"/>
              <w:rPr>
                <w:sz w:val="20"/>
                <w:szCs w:val="20"/>
                <w:color w:val="auto"/>
              </w:rPr>
            </w:pPr>
            <w:r>
              <w:rPr>
                <w:rFonts w:ascii="Arial" w:cs="Arial" w:eastAsia="Arial" w:hAnsi="Arial"/>
                <w:sz w:val="17"/>
                <w:szCs w:val="17"/>
                <w:color w:val="auto"/>
              </w:rPr>
              <w:t>Protocol Amendments</w:t>
            </w:r>
          </w:p>
        </w:tc>
        <w:tc>
          <w:tcPr>
            <w:tcW w:w="248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9.4</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Patient confidentiality</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9.5</w:t>
            </w:r>
          </w:p>
        </w:tc>
        <w:tc>
          <w:tcPr>
            <w:tcW w:w="7560" w:type="dxa"/>
            <w:vAlign w:val="bottom"/>
          </w:tcPr>
          <w:p>
            <w:pPr>
              <w:ind w:left="460"/>
              <w:spacing w:after="0"/>
              <w:rPr>
                <w:sz w:val="20"/>
                <w:szCs w:val="20"/>
                <w:color w:val="auto"/>
              </w:rPr>
            </w:pPr>
            <w:r>
              <w:rPr>
                <w:rFonts w:ascii="Arial" w:cs="Arial" w:eastAsia="Arial" w:hAnsi="Arial"/>
                <w:sz w:val="17"/>
                <w:szCs w:val="17"/>
                <w:color w:val="auto"/>
              </w:rPr>
              <w:t>Insurance</w:t>
            </w:r>
          </w:p>
        </w:tc>
        <w:tc>
          <w:tcPr>
            <w:tcW w:w="248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9.6</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Duration of the study</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20"/>
                <w:szCs w:val="20"/>
                <w:color w:val="auto"/>
              </w:rPr>
            </w:pPr>
            <w:r>
              <w:rPr>
                <w:rFonts w:ascii="Arial" w:cs="Arial" w:eastAsia="Arial" w:hAnsi="Arial"/>
                <w:sz w:val="17"/>
                <w:szCs w:val="17"/>
                <w:b w:val="1"/>
                <w:bCs w:val="1"/>
                <w:color w:val="auto"/>
              </w:rPr>
              <w:t>10</w:t>
            </w:r>
          </w:p>
        </w:tc>
        <w:tc>
          <w:tcPr>
            <w:tcW w:w="7560" w:type="dxa"/>
            <w:vAlign w:val="bottom"/>
          </w:tcPr>
          <w:p>
            <w:pPr>
              <w:ind w:left="460"/>
              <w:spacing w:after="0"/>
              <w:rPr>
                <w:sz w:val="20"/>
                <w:szCs w:val="20"/>
                <w:color w:val="auto"/>
              </w:rPr>
            </w:pPr>
            <w:r>
              <w:rPr>
                <w:rFonts w:ascii="Arial" w:cs="Arial" w:eastAsia="Arial" w:hAnsi="Arial"/>
                <w:sz w:val="17"/>
                <w:szCs w:val="17"/>
                <w:b w:val="1"/>
                <w:bCs w:val="1"/>
                <w:color w:val="auto"/>
              </w:rPr>
              <w:t>Data Handling and Record Keeping</w:t>
            </w:r>
          </w:p>
        </w:tc>
        <w:tc>
          <w:tcPr>
            <w:tcW w:w="2480" w:type="dxa"/>
            <w:vAlign w:val="bottom"/>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10.1</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Documentation</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10.2</w:t>
            </w:r>
          </w:p>
        </w:tc>
        <w:tc>
          <w:tcPr>
            <w:tcW w:w="7560" w:type="dxa"/>
            <w:vAlign w:val="bottom"/>
          </w:tcPr>
          <w:p>
            <w:pPr>
              <w:ind w:left="460"/>
              <w:spacing w:after="0"/>
              <w:rPr>
                <w:sz w:val="20"/>
                <w:szCs w:val="20"/>
                <w:color w:val="auto"/>
              </w:rPr>
            </w:pPr>
            <w:r>
              <w:rPr>
                <w:rFonts w:ascii="Arial" w:cs="Arial" w:eastAsia="Arial" w:hAnsi="Arial"/>
                <w:sz w:val="17"/>
                <w:szCs w:val="17"/>
                <w:color w:val="auto"/>
              </w:rPr>
              <w:t>Case Report Forms</w:t>
            </w:r>
          </w:p>
        </w:tc>
        <w:tc>
          <w:tcPr>
            <w:tcW w:w="2480" w:type="dxa"/>
            <w:vAlign w:val="bottom"/>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10.3</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color w:val="auto"/>
              </w:rPr>
              <w:t>Monitoring and quality control</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60"/>
              <w:spacing w:after="0"/>
              <w:rPr>
                <w:sz w:val="20"/>
                <w:szCs w:val="20"/>
                <w:color w:val="auto"/>
              </w:rPr>
            </w:pPr>
            <w:r>
              <w:rPr>
                <w:rFonts w:ascii="Arial" w:cs="Arial" w:eastAsia="Arial" w:hAnsi="Arial"/>
                <w:sz w:val="17"/>
                <w:szCs w:val="17"/>
                <w:color w:val="auto"/>
              </w:rPr>
              <w:t>10.4</w:t>
            </w:r>
          </w:p>
        </w:tc>
        <w:tc>
          <w:tcPr>
            <w:tcW w:w="7560" w:type="dxa"/>
            <w:vAlign w:val="bottom"/>
          </w:tcPr>
          <w:p>
            <w:pPr>
              <w:ind w:left="460"/>
              <w:spacing w:after="0"/>
              <w:rPr>
                <w:sz w:val="20"/>
                <w:szCs w:val="20"/>
                <w:color w:val="auto"/>
              </w:rPr>
            </w:pPr>
            <w:r>
              <w:rPr>
                <w:rFonts w:ascii="Arial" w:cs="Arial" w:eastAsia="Arial" w:hAnsi="Arial"/>
                <w:sz w:val="17"/>
                <w:szCs w:val="17"/>
                <w:color w:val="auto"/>
              </w:rPr>
              <w:t>Publication policy</w:t>
            </w:r>
          </w:p>
        </w:tc>
        <w:tc>
          <w:tcPr>
            <w:tcW w:w="2480" w:type="dxa"/>
            <w:vAlign w:val="bottom"/>
          </w:tcPr>
          <w:p>
            <w:pPr>
              <w:jc w:val="right"/>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11</w:t>
            </w:r>
          </w:p>
        </w:tc>
        <w:tc>
          <w:tcPr>
            <w:tcW w:w="7560" w:type="dxa"/>
            <w:vAlign w:val="bottom"/>
            <w:shd w:val="clear" w:color="auto" w:fill="CCFFCC"/>
          </w:tcPr>
          <w:p>
            <w:pPr>
              <w:ind w:left="460"/>
              <w:spacing w:after="0"/>
              <w:rPr>
                <w:sz w:val="20"/>
                <w:szCs w:val="20"/>
                <w:color w:val="auto"/>
              </w:rPr>
            </w:pPr>
            <w:r>
              <w:rPr>
                <w:rFonts w:ascii="Arial" w:cs="Arial" w:eastAsia="Arial" w:hAnsi="Arial"/>
                <w:sz w:val="17"/>
                <w:szCs w:val="17"/>
                <w:b w:val="1"/>
                <w:bCs w:val="1"/>
                <w:color w:val="auto"/>
              </w:rPr>
              <w:t>References</w:t>
            </w:r>
          </w:p>
        </w:tc>
        <w:tc>
          <w:tcPr>
            <w:tcW w:w="24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-5896610</wp:posOffset>
            </wp:positionV>
            <wp:extent cx="1576705" cy="38417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Appendix A: Declaration of Helsinki</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Appendix B: Minnesota Living with Heart FailureÒ questionnaire</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0" w:name="page501"/>
    <w:bookmarkEnd w:id="500"/>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Abbreviations</w:t>
      </w:r>
    </w:p>
    <w:p>
      <w:pPr>
        <w:sectPr>
          <w:pgSz w:w="11900" w:h="16838" w:orient="portrait"/>
          <w:cols w:equalWidth="0" w:num="1">
            <w:col w:w="11420"/>
          </w:cols>
          <w:pgMar w:left="240" w:top="584"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AE(s)</w:t>
      </w:r>
    </w:p>
    <w:p>
      <w:pPr>
        <w:spacing w:after="0"/>
        <w:rPr>
          <w:sz w:val="20"/>
          <w:szCs w:val="20"/>
          <w:color w:val="auto"/>
        </w:rPr>
      </w:pPr>
      <w:r>
        <w:rPr>
          <w:rFonts w:ascii="Arial" w:cs="Arial" w:eastAsia="Arial" w:hAnsi="Arial"/>
          <w:sz w:val="17"/>
          <w:szCs w:val="17"/>
          <w:color w:val="auto"/>
        </w:rPr>
        <w:t>ALT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AMI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bpm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BUN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CABG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CRF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CRT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CV</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ECG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eGFR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EOS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GCP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GGT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GLP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GMP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HPF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ICH</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IRA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ISMB</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LDH</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LV</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LVEF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MedDRA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MRI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NCE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NT-proBNP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NYHA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ºC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OTC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PCI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QMI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SAE(s)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SAS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STEMI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TIMI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VF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VT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Adverse event(s)</w:t>
      </w:r>
    </w:p>
    <w:p>
      <w:pPr>
        <w:spacing w:after="0"/>
        <w:rPr>
          <w:sz w:val="20"/>
          <w:szCs w:val="20"/>
          <w:color w:val="auto"/>
        </w:rPr>
      </w:pPr>
      <w:r>
        <w:rPr>
          <w:rFonts w:ascii="Arial" w:cs="Arial" w:eastAsia="Arial" w:hAnsi="Arial"/>
          <w:sz w:val="17"/>
          <w:szCs w:val="17"/>
          <w:color w:val="auto"/>
        </w:rPr>
        <w:t>Alanine transminase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Acute myocardial infarction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Aspartate transaminase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Blood pressure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Beats per minutes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Blood urea nitrogen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Coronary artery bypass graft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Chronic heart failure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Case Report Form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Cardiac Resynchronization Therapy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Cardiovascular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Electrocardiogram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Ejection fraction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Estimated glomerular filtration rate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End of study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Good Clinical Practice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Gamma glutamyl transferase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Good Laboratory Practice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Good Manufacturing Practices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High power field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Heart rate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Intracoronary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International Conference on Harmonization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Infarct related artery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Independent Safety Monitoring Board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Lactate dehydrogenase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Left ventricle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Left ventricular ejection fraction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Medical Dictionary for Regulatory Activities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Milligram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Myocardial infarction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Minute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Milliliter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Magnetic resonance imaging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New chemical entity</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N-terminal prohormone brain natriuretic peptide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New York Heart Association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Degrees centigrade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Over the Counter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Primary coronary intervention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Qwave myocardial infarction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Serious Adverse Event(s)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Statistical Analysis System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ST-segment elevation myocardial infarction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Thrombolysis in Myocardial Infarction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Ventricular fibrillation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Ventricular tachycardia</w:t>
      </w:r>
    </w:p>
    <w:p>
      <w:pPr>
        <w:spacing w:after="0" w:line="200" w:lineRule="exact"/>
        <w:rPr>
          <w:sz w:val="20"/>
          <w:szCs w:val="20"/>
          <w:color w:val="auto"/>
        </w:rPr>
      </w:pPr>
    </w:p>
    <w:p>
      <w:pPr>
        <w:sectPr>
          <w:pgSz w:w="11900" w:h="16838" w:orient="portrait"/>
          <w:cols w:equalWidth="0" w:num="2">
            <w:col w:w="2040" w:space="720"/>
            <w:col w:w="8660"/>
          </w:cols>
          <w:pgMar w:left="240" w:top="584" w:right="239" w:bottom="1440" w:gutter="0" w:footer="0" w:header="0"/>
          <w:type w:val="continuous"/>
        </w:sectPr>
      </w:pPr>
    </w:p>
    <w:p>
      <w:pPr>
        <w:spacing w:after="0" w:line="2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 xml:space="preserve">Annotated Protocol incorporating Amendment 1, Amendment 2,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1" w:name="page502"/>
    <w:bookmarkEnd w:id="501"/>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20" w:hanging="617"/>
        <w:spacing w:after="0"/>
        <w:tabs>
          <w:tab w:leader="none" w:pos="620" w:val="left"/>
        </w:tabs>
        <w:numPr>
          <w:ilvl w:val="0"/>
          <w:numId w:val="399"/>
        </w:numPr>
        <w:rPr>
          <w:rFonts w:ascii="Arial" w:cs="Arial" w:eastAsia="Arial" w:hAnsi="Arial"/>
          <w:sz w:val="17"/>
          <w:szCs w:val="17"/>
          <w:b w:val="1"/>
          <w:bCs w:val="1"/>
          <w:color w:val="auto"/>
        </w:rPr>
      </w:pPr>
      <w:r>
        <w:rPr>
          <w:rFonts w:ascii="Arial" w:cs="Arial" w:eastAsia="Arial" w:hAnsi="Arial"/>
          <w:sz w:val="21"/>
          <w:szCs w:val="21"/>
          <w:b w:val="1"/>
          <w:bCs w:val="1"/>
          <w:color w:val="auto"/>
        </w:rPr>
        <w:t>Introduction</w:t>
      </w:r>
    </w:p>
    <w:p>
      <w:pPr>
        <w:spacing w:after="0" w:line="20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Background</w:t>
      </w:r>
    </w:p>
    <w:p>
      <w:pPr>
        <w:spacing w:after="0" w:line="24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Acute Myocardial Infarction- Definition</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Acute myocardial infarction (AMI) is defined as death or necrosis of myocardial cells. It is a diagnosis at the end of the spectrum of myocardial ischemia or acute coronary syndromes. AMI occurs when myocardial ischemia exceeds a critical threshold and overwhelms myocardial cellular repair mechanisms that are designed to maintain normal cardiac function. Ischemia at this critical threshold level, when present for an extended time period, results in irreversible myocardial cell damage and cell death.</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5"/>
          <w:szCs w:val="15"/>
          <w:b w:val="1"/>
          <w:bCs w:val="1"/>
          <w:color w:val="auto"/>
        </w:rPr>
        <w:t>Infarction types and pathogenesis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Critical myocardial ischemia may arise as a result of increased myocardial metabolic requirement and/or reduction in the delivery of oxygen and nutrients to the myocardium through the coronary circulation, or both. An interruption in the supply of myocardial oxygen and nutrients occurs when blood flow to the myocardium is interrupted by occlusion of a coronary artery. Often, this event is caused by a thrombus superimposed on an ulcerated or unstable atherosclerotic plaque that left untreated for as little as a 20-40 minutes, can lead to irreversible cell damage and cell death. A high-grade (&gt; 75%) permanent coronary artery stenosis due to atherosclerosis or a dynamic stenosis coupled with coronary vasospasm can also reduce the supply of oxygen and nutrients and be a factor involved in AMI. Additional cardiac valvular pathologies and low cardiac output states associated with a decreased aortic diastolic pressure, which is the prime component of coronary perfusion pressure, can also precipitate AMI.</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b w:val="1"/>
          <w:bCs w:val="1"/>
          <w:color w:val="auto"/>
        </w:rPr>
        <w:t>Mechanisms of myocardial damage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severity of an AMI is dependent on three factors: the level of the occlusion in the coronary artery, the length of time of the occlusion, and the presence or absence of collateral circulation. In general, the more proximal the coronary occlusion, there is a greater risk of an increased area of necrosis. The larger the AMI, the chance of death due to a mechanical complication or pump failure increases. In addition, the longer the time period of vessel occlusion, there is a greater chance of irreversible myocardial damage distal to the occlusion.</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death of myocardial cells first occurs in the area of myocardium that is most distal to the arterial blood supply, the endocardium. As the duration of the occlusion increases, the area of myocardial cell death enlarges, extending from the endocardium to the myocardium and ultimately to the epicardium. The area of myocardial cell death then spreads laterally to areas of watershed or collateral perfusion. The extent of myocardial cell death defines the magnitude of the AMI. If blood flow can be restored to at-risk myocardium, more heart muscle can be saved from irreversible damage or death. The ischemic zone will undergo inflammatory necrotic changes, and the myocardial tissue will eventually be completely replaced by fibrous infarct tissue. In the early stages after an AMI, the damage causes deterioration of cardiac muscle contractility and structural integrity. This results in thinning of the walls of the heart, which can have severe consequences including rupture at the site, expansion of the area of damage, and the formation of blood clots. After some weeks or months, this can evolve to dilatation of the heart, which further reduces its ability to pump blood efficiently, resulting in heart failure.</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6"/>
          <w:szCs w:val="16"/>
          <w:b w:val="1"/>
          <w:bCs w:val="1"/>
          <w:color w:val="auto"/>
        </w:rPr>
        <w:t>Treatment of AMI</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goal of treatment for AMI is early reperfusion by rapid revascularization of the occluded culprit coronary artery both by medical means to dissolve the clot with thrombolytics or by cardiac catheterization with primary coronary intervention (PCI) and deployment of stents to maintain patency of the culprit coronary artery. However, while re-opening of the culprit coronary vessel can prevent the development of a large AMI and prevent further loss of viable myocardium, it does not affect myocardial tissue that has already undergone irreversible damage. An undeniable adverse outcome of AMI is progressive worsening of ventricular function that, if left unattended, culminates in the syndrome of congestive heart failure. To date, no treatment has been developed to reliably prevent the deterioration of ventricular function that follows a large AMI. Treatment options for AMI and for the resulting heart failure include medical management, heart transplantation, mechanical circulatory assist devices (left ventricular assist device, etc.), and surgical ventricular restoration, all of which have specific limitations.</w:t>
      </w:r>
    </w:p>
    <w:p>
      <w:pPr>
        <w:spacing w:after="0" w:line="190"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2" w:name="page503"/>
    <w:bookmarkEnd w:id="502"/>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Rationale and justification</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BL-1040 Myocardial Implant presents a novel, safe and non-surgical therapy that directly addresses the stability and structural integrity of myocardial tissue in this patient population. BL-1040 potentially prevents post infarction remodeling primarily via limiting left ventricle (LV) dilation, while the untreated patient LV will continue to dilate or enlarge. BL-1040, by creating a scaffold, may stabilize the AMI and limit post AMI expansion manifested as LV dilation.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are currently no other available medical and/or surgical interventions that directly address the stability and structural integrity of myocardial tissue damaged as a result of AMI. In the setting of an AMI, an inflammatory response triggers the degradation of the extracellular matrix, thus weakening of the collagen cross-link structure or structural “backbone” of the myocardium. Degradation of the extracellular matrix leads to infarct expansion manifested by myocardial wall thinning and often, aneurysmal dilation with subsequent ventricular enlargement. This process results in progressive LV remodeling and increased LV wall stress. The latter can increase myocardial oxygen consumption, a condition that the infarcted and/or failing LV can ill afford and one that can contribute to increased long-term mortality and morbidity.</w:t>
      </w:r>
    </w:p>
    <w:p>
      <w:pPr>
        <w:spacing w:after="0" w:line="21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LV dilation is the predominant cause for morbidity and mortality in congestive heart failure [2]. demonstrated that patients with LV end systolic volume smaller than 95 mL showed a 94 % survival after 5 years while LV patients with LV end systolic volume greater than 130 mL showed a 52 % survival after 5 years. Both diastolic and systolic were the main predictors for mortality. Patients with end-stage ischemic heart failure presenting dilated LV with an akinetic/dyskinetic region over 35% and with left ventricular end systolic index &gt;60 mL/m2 are offered LV reconstruction or surgical ventricular restoration (SVR) in order to reduce LV volume and to restore normal LV shape. Overall, in a large number of studies performed using SVR, there is strong evidence that SVR is safe and effective, showing significant reduction in mortality and readmission levels together with significant improvement in ejection fraction as well as in LV end systolic/diastolic index.</w:t>
      </w:r>
    </w:p>
    <w:p>
      <w:pPr>
        <w:spacing w:after="0" w:line="17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3" w:name="page504"/>
    <w:bookmarkEnd w:id="503"/>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00" w:hanging="597"/>
        <w:spacing w:after="0"/>
        <w:tabs>
          <w:tab w:leader="none" w:pos="600" w:val="left"/>
        </w:tabs>
        <w:numPr>
          <w:ilvl w:val="0"/>
          <w:numId w:val="400"/>
        </w:numPr>
        <w:rPr>
          <w:rFonts w:ascii="Arial" w:cs="Arial" w:eastAsia="Arial" w:hAnsi="Arial"/>
          <w:sz w:val="21"/>
          <w:szCs w:val="21"/>
          <w:b w:val="1"/>
          <w:bCs w:val="1"/>
          <w:color w:val="auto"/>
        </w:rPr>
      </w:pPr>
      <w:r>
        <w:rPr>
          <w:rFonts w:ascii="Arial" w:cs="Arial" w:eastAsia="Arial" w:hAnsi="Arial"/>
          <w:sz w:val="21"/>
          <w:szCs w:val="21"/>
          <w:b w:val="1"/>
          <w:bCs w:val="1"/>
          <w:color w:val="auto"/>
        </w:rPr>
        <w:t>Study Objectives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objectives of this study are:</w:t>
      </w:r>
    </w:p>
    <w:p>
      <w:pPr>
        <w:spacing w:after="0" w:line="242" w:lineRule="exact"/>
        <w:rPr>
          <w:sz w:val="20"/>
          <w:szCs w:val="20"/>
          <w:color w:val="auto"/>
        </w:rPr>
      </w:pPr>
    </w:p>
    <w:p>
      <w:pPr>
        <w:ind w:left="960" w:hanging="301"/>
        <w:spacing w:after="0"/>
        <w:tabs>
          <w:tab w:leader="none" w:pos="96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to evaluate the safety of the BL-1040 myocardial implant in patients after MI at high risk for LV remodeling and CHF, and</w:t>
      </w:r>
    </w:p>
    <w:p>
      <w:pPr>
        <w:spacing w:after="0" w:line="241" w:lineRule="exact"/>
        <w:rPr>
          <w:rFonts w:ascii="Arial" w:cs="Arial" w:eastAsia="Arial" w:hAnsi="Arial"/>
          <w:sz w:val="17"/>
          <w:szCs w:val="17"/>
          <w:color w:val="auto"/>
        </w:rPr>
      </w:pPr>
    </w:p>
    <w:p>
      <w:pPr>
        <w:ind w:left="960" w:hanging="301"/>
        <w:spacing w:after="0" w:line="278" w:lineRule="auto"/>
        <w:tabs>
          <w:tab w:leader="none" w:pos="96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to provide feasibility data in order to initiate and conduct a pivotal clinical study evaluating the safety and efficacy of the BL-1040 implant in patients following myocardial infarction.</w:t>
      </w:r>
    </w:p>
    <w:p>
      <w:pPr>
        <w:spacing w:after="0" w:line="184"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4" w:name="page505"/>
    <w:bookmarkEnd w:id="504"/>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00" w:hanging="597"/>
        <w:spacing w:after="0"/>
        <w:tabs>
          <w:tab w:leader="none" w:pos="600" w:val="left"/>
        </w:tabs>
        <w:numPr>
          <w:ilvl w:val="0"/>
          <w:numId w:val="402"/>
        </w:numPr>
        <w:rPr>
          <w:rFonts w:ascii="Arial" w:cs="Arial" w:eastAsia="Arial" w:hAnsi="Arial"/>
          <w:sz w:val="21"/>
          <w:szCs w:val="21"/>
          <w:b w:val="1"/>
          <w:bCs w:val="1"/>
          <w:color w:val="auto"/>
        </w:rPr>
      </w:pPr>
      <w:r>
        <w:rPr>
          <w:rFonts w:ascii="Arial" w:cs="Arial" w:eastAsia="Arial" w:hAnsi="Arial"/>
          <w:sz w:val="21"/>
          <w:szCs w:val="21"/>
          <w:b w:val="1"/>
          <w:bCs w:val="1"/>
          <w:color w:val="auto"/>
        </w:rPr>
        <w:t>Safety Endpoints</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Primary endpoints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Primary safety endpoints include:</w:t>
      </w:r>
    </w:p>
    <w:p>
      <w:pPr>
        <w:spacing w:after="0" w:line="242" w:lineRule="exact"/>
        <w:rPr>
          <w:sz w:val="20"/>
          <w:szCs w:val="20"/>
          <w:color w:val="auto"/>
        </w:rPr>
      </w:pPr>
    </w:p>
    <w:p>
      <w:pPr>
        <w:ind w:left="960" w:hanging="301"/>
        <w:spacing w:after="0"/>
        <w:tabs>
          <w:tab w:leader="none" w:pos="9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occurrence of all adverse events including but not limited to</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all MIs</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cardiovascular hospitalization</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serious ventricular arrhythmias sustained</w:t>
      </w:r>
    </w:p>
    <w:p>
      <w:pPr>
        <w:spacing w:after="0" w:line="216" w:lineRule="exact"/>
        <w:rPr>
          <w:rFonts w:ascii="Arial" w:cs="Arial" w:eastAsia="Arial" w:hAnsi="Arial"/>
          <w:sz w:val="17"/>
          <w:szCs w:val="17"/>
          <w:color w:val="auto"/>
        </w:rPr>
      </w:pPr>
    </w:p>
    <w:p>
      <w:pPr>
        <w:ind w:left="1760" w:hanging="304"/>
        <w:spacing w:after="0"/>
        <w:tabs>
          <w:tab w:leader="none" w:pos="1760" w:val="left"/>
        </w:tabs>
        <w:numPr>
          <w:ilvl w:val="2"/>
          <w:numId w:val="403"/>
        </w:numPr>
        <w:rPr>
          <w:rFonts w:ascii="Arial" w:cs="Arial" w:eastAsia="Arial" w:hAnsi="Arial"/>
          <w:sz w:val="15"/>
          <w:szCs w:val="15"/>
          <w:color w:val="auto"/>
        </w:rPr>
      </w:pPr>
      <w:r>
        <w:rPr>
          <w:rFonts w:ascii="Arial" w:cs="Arial" w:eastAsia="Arial" w:hAnsi="Arial"/>
          <w:sz w:val="15"/>
          <w:szCs w:val="15"/>
          <w:color w:val="auto"/>
        </w:rPr>
        <w:t>VT (symptomatic or sustained VT [duration longer than 30 seconds or 100 beats, or associated with hemodynamic collapse])</w:t>
      </w:r>
    </w:p>
    <w:p>
      <w:pPr>
        <w:spacing w:after="0" w:line="239" w:lineRule="exact"/>
        <w:rPr>
          <w:rFonts w:ascii="Arial" w:cs="Arial" w:eastAsia="Arial" w:hAnsi="Arial"/>
          <w:sz w:val="15"/>
          <w:szCs w:val="15"/>
          <w:color w:val="auto"/>
        </w:rPr>
      </w:pPr>
    </w:p>
    <w:p>
      <w:pPr>
        <w:ind w:left="1760" w:hanging="304"/>
        <w:spacing w:after="0"/>
        <w:tabs>
          <w:tab w:leader="none" w:pos="1760" w:val="left"/>
        </w:tabs>
        <w:numPr>
          <w:ilvl w:val="2"/>
          <w:numId w:val="403"/>
        </w:numPr>
        <w:rPr>
          <w:rFonts w:ascii="Arial" w:cs="Arial" w:eastAsia="Arial" w:hAnsi="Arial"/>
          <w:sz w:val="17"/>
          <w:szCs w:val="17"/>
          <w:color w:val="auto"/>
        </w:rPr>
      </w:pPr>
      <w:r>
        <w:rPr>
          <w:rFonts w:ascii="Arial" w:cs="Arial" w:eastAsia="Arial" w:hAnsi="Arial"/>
          <w:sz w:val="17"/>
          <w:szCs w:val="17"/>
          <w:color w:val="auto"/>
        </w:rPr>
        <w:t>VF</w:t>
      </w:r>
    </w:p>
    <w:p>
      <w:pPr>
        <w:spacing w:after="0" w:line="216" w:lineRule="exact"/>
        <w:rPr>
          <w:rFonts w:ascii="Arial" w:cs="Arial" w:eastAsia="Arial" w:hAnsi="Arial"/>
          <w:sz w:val="17"/>
          <w:szCs w:val="17"/>
          <w:color w:val="auto"/>
        </w:rPr>
      </w:pPr>
    </w:p>
    <w:p>
      <w:pPr>
        <w:ind w:left="1760" w:hanging="304"/>
        <w:spacing w:after="0"/>
        <w:tabs>
          <w:tab w:leader="none" w:pos="1760" w:val="left"/>
        </w:tabs>
        <w:numPr>
          <w:ilvl w:val="2"/>
          <w:numId w:val="403"/>
        </w:numPr>
        <w:rPr>
          <w:rFonts w:ascii="Arial" w:cs="Arial" w:eastAsia="Arial" w:hAnsi="Arial"/>
          <w:sz w:val="15"/>
          <w:szCs w:val="15"/>
          <w:color w:val="auto"/>
        </w:rPr>
      </w:pPr>
      <w:r>
        <w:rPr>
          <w:rFonts w:ascii="Arial" w:cs="Arial" w:eastAsia="Arial" w:hAnsi="Arial"/>
          <w:sz w:val="15"/>
          <w:szCs w:val="15"/>
          <w:color w:val="auto"/>
        </w:rPr>
        <w:t>symptomatic bradycardia, pauses of longer than 3.0 seconds, complete atrioventricular block, Mobitz II atrioventricular block</w:t>
      </w:r>
    </w:p>
    <w:p>
      <w:pPr>
        <w:spacing w:after="0" w:line="239" w:lineRule="exact"/>
        <w:rPr>
          <w:rFonts w:ascii="Arial" w:cs="Arial" w:eastAsia="Arial" w:hAnsi="Arial"/>
          <w:sz w:val="15"/>
          <w:szCs w:val="15"/>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symptomatic heart failure (NYHA criteria + physical examination OR hospitalization because of heart failure)</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renal failure</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stroke</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death</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4"/>
          <w:szCs w:val="14"/>
          <w:b w:val="1"/>
          <w:bCs w:val="1"/>
          <w:color w:val="auto"/>
        </w:rPr>
        <w:t>Secondary endpoints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Secondary safety endpoints include:</w:t>
      </w:r>
    </w:p>
    <w:p>
      <w:pPr>
        <w:spacing w:after="0" w:line="242" w:lineRule="exact"/>
        <w:rPr>
          <w:sz w:val="20"/>
          <w:szCs w:val="20"/>
          <w:color w:val="auto"/>
        </w:rPr>
      </w:pPr>
    </w:p>
    <w:p>
      <w:pPr>
        <w:ind w:left="1340" w:hanging="308"/>
        <w:spacing w:after="0"/>
        <w:tabs>
          <w:tab w:leader="none" w:pos="13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change from baseline in LV dimensions (end-systolic volume index, end-diastolic volume index, left ventricular mass)</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change from baseline in regional (infarct related) and global wall motion score</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change from baseline in ejection fraction</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cardiac rupture</w:t>
      </w:r>
    </w:p>
    <w:p>
      <w:pPr>
        <w:spacing w:after="0" w:line="216" w:lineRule="exact"/>
        <w:rPr>
          <w:rFonts w:ascii="Arial" w:cs="Arial" w:eastAsia="Arial" w:hAnsi="Arial"/>
          <w:sz w:val="17"/>
          <w:szCs w:val="17"/>
          <w:color w:val="auto"/>
        </w:rPr>
      </w:pPr>
    </w:p>
    <w:p>
      <w:pPr>
        <w:ind w:left="1340" w:hanging="308"/>
        <w:spacing w:after="0"/>
        <w:tabs>
          <w:tab w:leader="none" w:pos="13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NT-proBNP</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5" w:name="page506"/>
    <w:bookmarkEnd w:id="505"/>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00" w:hanging="597"/>
        <w:spacing w:after="0"/>
        <w:tabs>
          <w:tab w:leader="none" w:pos="600" w:val="left"/>
        </w:tabs>
        <w:numPr>
          <w:ilvl w:val="0"/>
          <w:numId w:val="405"/>
        </w:numPr>
        <w:rPr>
          <w:rFonts w:ascii="Arial" w:cs="Arial" w:eastAsia="Arial" w:hAnsi="Arial"/>
          <w:sz w:val="21"/>
          <w:szCs w:val="21"/>
          <w:b w:val="1"/>
          <w:bCs w:val="1"/>
          <w:color w:val="auto"/>
        </w:rPr>
      </w:pPr>
      <w:r>
        <w:rPr>
          <w:rFonts w:ascii="Arial" w:cs="Arial" w:eastAsia="Arial" w:hAnsi="Arial"/>
          <w:sz w:val="21"/>
          <w:szCs w:val="21"/>
          <w:b w:val="1"/>
          <w:bCs w:val="1"/>
          <w:color w:val="auto"/>
        </w:rPr>
        <w:t>Investigational Plan</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Summary of study design</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This is an open label, multi-center, sequentially enrolled, Phase I study to assess the safety and feasibility of the injectable BL-1040 myocardial implant to provide scaffolding to infarcted myocardial tissue.</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Patients who experience an MI will be admitted to the hospital. As part of the treatment for the MI, patients will undergo PCI and stent implantation. Patients will also undergo an echocardiography (and if they agree, an MRI) to determine the extent of damage to the infarct related artery (IRA). Patients who satisfy inclusion/exclusion criteria will be enrolled into the study. The BL-1040 myocardial implant will be injected into the IRA, distally to the implanted stent.</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first 2 patients will be sequentially enrolled. After both patients have completed Day 30 assessments, and after approval by the Independent Safety Monitoring Board (ISMB), the decision will be made to enroll 3 additional patients. After the ISMB reviews the Day 30 assessments of these patients, the decision will be made to enroll a maximum of 25 additional patients. Details are provided in Sec. 4.2.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Both female and male patients must agree to use effective contraception (as agreed with the Investigator) for 6 months (180 days) after the procedure.</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4.1.1</w:t>
      </w:r>
      <w:r>
        <w:rPr>
          <w:sz w:val="20"/>
          <w:szCs w:val="20"/>
          <w:color w:val="auto"/>
        </w:rPr>
        <w:tab/>
      </w:r>
      <w:r>
        <w:rPr>
          <w:rFonts w:ascii="Arial" w:cs="Arial" w:eastAsia="Arial" w:hAnsi="Arial"/>
          <w:sz w:val="15"/>
          <w:szCs w:val="15"/>
          <w:b w:val="1"/>
          <w:bCs w:val="1"/>
          <w:color w:val="auto"/>
        </w:rPr>
        <w:t>Estimated study duration</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study is planned to last from Q1 2008 to </w:t>
      </w:r>
      <w:r>
        <w:rPr>
          <w:rFonts w:ascii="Arial" w:cs="Arial" w:eastAsia="Arial" w:hAnsi="Arial"/>
          <w:sz w:val="17"/>
          <w:szCs w:val="17"/>
          <w:b w:val="1"/>
          <w:bCs w:val="1"/>
          <w:color w:val="auto"/>
        </w:rPr>
        <w:t>Q1 2010</w:t>
      </w:r>
      <w:r>
        <w:rPr>
          <w:rFonts w:ascii="Arial" w:cs="Arial" w:eastAsia="Arial" w:hAnsi="Arial"/>
          <w:sz w:val="17"/>
          <w:szCs w:val="17"/>
          <w:color w:val="auto"/>
        </w:rPr>
        <w:t>. The clinical study phase is 180 days for each patient. A long term safety follow-up will include visits at Months 12, 24, 36, 48, and 60. Patients will be consented for the entire 5 year period.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4.1.2</w:t>
      </w:r>
      <w:r>
        <w:rPr>
          <w:sz w:val="20"/>
          <w:szCs w:val="20"/>
          <w:color w:val="auto"/>
        </w:rPr>
        <w:tab/>
      </w:r>
      <w:r>
        <w:rPr>
          <w:rFonts w:ascii="Arial" w:cs="Arial" w:eastAsia="Arial" w:hAnsi="Arial"/>
          <w:sz w:val="15"/>
          <w:szCs w:val="15"/>
          <w:b w:val="1"/>
          <w:bCs w:val="1"/>
          <w:color w:val="auto"/>
        </w:rPr>
        <w:t>Number of Patients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maximum number of patients enrolled in this study will be 30.</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Sequential enrollment</w:t>
      </w:r>
    </w:p>
    <w:p>
      <w:pPr>
        <w:spacing w:after="0" w:line="24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first 2 patients will be sequentially enrolled into the study. After the 1</w:t>
      </w:r>
      <w:r>
        <w:rPr>
          <w:rFonts w:ascii="Arial" w:cs="Arial" w:eastAsia="Arial" w:hAnsi="Arial"/>
          <w:sz w:val="21"/>
          <w:szCs w:val="21"/>
          <w:color w:val="auto"/>
          <w:vertAlign w:val="superscript"/>
        </w:rPr>
        <w:t>st</w:t>
      </w:r>
      <w:r>
        <w:rPr>
          <w:rFonts w:ascii="Arial" w:cs="Arial" w:eastAsia="Arial" w:hAnsi="Arial"/>
          <w:sz w:val="15"/>
          <w:szCs w:val="15"/>
          <w:color w:val="auto"/>
        </w:rPr>
        <w:t xml:space="preserve"> patient has completed Day 30 assessments, the Independent Safety Monitoring Board (ISMB, Sec. 4.3) will review the patient’s data through Day 30. The ISMB will then decide whether to give approval to enroll the 2</w:t>
      </w:r>
      <w:r>
        <w:rPr>
          <w:rFonts w:ascii="Arial" w:cs="Arial" w:eastAsia="Arial" w:hAnsi="Arial"/>
          <w:sz w:val="21"/>
          <w:szCs w:val="21"/>
          <w:color w:val="auto"/>
          <w:vertAlign w:val="superscript"/>
        </w:rPr>
        <w:t>nd</w:t>
      </w:r>
      <w:r>
        <w:rPr>
          <w:rFonts w:ascii="Arial" w:cs="Arial" w:eastAsia="Arial" w:hAnsi="Arial"/>
          <w:sz w:val="15"/>
          <w:szCs w:val="15"/>
          <w:color w:val="auto"/>
        </w:rPr>
        <w:t xml:space="preserve"> patient. After the 2</w:t>
      </w:r>
      <w:r>
        <w:rPr>
          <w:rFonts w:ascii="Arial" w:cs="Arial" w:eastAsia="Arial" w:hAnsi="Arial"/>
          <w:sz w:val="21"/>
          <w:szCs w:val="21"/>
          <w:color w:val="auto"/>
          <w:vertAlign w:val="superscript"/>
        </w:rPr>
        <w:t>nd</w:t>
      </w:r>
      <w:r>
        <w:rPr>
          <w:rFonts w:ascii="Arial" w:cs="Arial" w:eastAsia="Arial" w:hAnsi="Arial"/>
          <w:sz w:val="15"/>
          <w:szCs w:val="15"/>
          <w:color w:val="auto"/>
        </w:rPr>
        <w:t xml:space="preserve"> patient has completed Day 30 assessments, the ISMB will again review the data and provide approval for enrollment of the next 3 patients. After all 3 patients have completed Day 30 assessments, the ISMB will review the data from these patients and provide approval for opening enrollment to the balance of the patients (maximum of 25).</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Responsibilities of the Independent Safety Monitoring Board</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 Independent Safety Monitoring Board (ISMB) will be established prior to the start of the study to monitor the safety of BL-1040 during the conduct of the protocol. This ISMB will consist of physicians with expertise in cardiovascular disease, particularly in the area of coronary artery disease and with experience monitoring safety of drugs and/or devices for cardiovascular applications, and will have no participation in the trial in any other capacity.</w:t>
      </w:r>
    </w:p>
    <w:p>
      <w:pPr>
        <w:spacing w:after="0" w:line="19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6" w:name="page507"/>
    <w:bookmarkEnd w:id="506"/>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ISMB will ensure that this study meets the highest standards of patient safety. During the study the ISMB will have the following main responsibilities:</w:t>
      </w:r>
    </w:p>
    <w:p>
      <w:pPr>
        <w:spacing w:after="0" w:line="253" w:lineRule="exact"/>
        <w:rPr>
          <w:sz w:val="20"/>
          <w:szCs w:val="20"/>
          <w:color w:val="auto"/>
        </w:rPr>
      </w:pPr>
    </w:p>
    <w:p>
      <w:pPr>
        <w:ind w:left="600" w:hanging="301"/>
        <w:spacing w:after="0" w:line="278" w:lineRule="auto"/>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review 30 day safety data patients from the first 2 sequentially enrolled patients to determine whether 3 additional patients may be enrolled; after reviewing the 30 day safety data from these 3 patients, will determine whether the balance of patients may be enrolled</w:t>
      </w:r>
    </w:p>
    <w:p>
      <w:pPr>
        <w:spacing w:after="0" w:line="164" w:lineRule="exact"/>
        <w:rPr>
          <w:rFonts w:ascii="Arial" w:cs="Arial" w:eastAsia="Arial" w:hAnsi="Arial"/>
          <w:sz w:val="17"/>
          <w:szCs w:val="17"/>
          <w:color w:val="auto"/>
        </w:rPr>
      </w:pPr>
    </w:p>
    <w:p>
      <w:pPr>
        <w:jc w:val="both"/>
        <w:ind w:left="600" w:hanging="301"/>
        <w:spacing w:after="0" w:line="265" w:lineRule="auto"/>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within 30 days of enrolment of each successive group of 5 patients receiving the device, will review all SAEs occurring to date and will recommend continuation, discontinuation, or modification of the procedure or protocol, based on a determination of whether the occurrence of serious, unexpected, or device-related adverse events (Sec. 7) might outweigh the potential benefit achievable with the device</w:t>
      </w:r>
    </w:p>
    <w:p>
      <w:pPr>
        <w:spacing w:after="0" w:line="175" w:lineRule="exact"/>
        <w:rPr>
          <w:rFonts w:ascii="Arial" w:cs="Arial" w:eastAsia="Arial" w:hAnsi="Arial"/>
          <w:sz w:val="17"/>
          <w:szCs w:val="17"/>
          <w:color w:val="auto"/>
        </w:rPr>
      </w:pPr>
    </w:p>
    <w:p>
      <w:pPr>
        <w:ind w:left="600" w:hanging="301"/>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review emerging findings in patients and identify potential safety concerns with BL-1040</w:t>
      </w:r>
    </w:p>
    <w:p>
      <w:pPr>
        <w:spacing w:after="0" w:line="216" w:lineRule="exact"/>
        <w:rPr>
          <w:rFonts w:ascii="Arial" w:cs="Arial" w:eastAsia="Arial" w:hAnsi="Arial"/>
          <w:sz w:val="17"/>
          <w:szCs w:val="17"/>
          <w:color w:val="auto"/>
        </w:rPr>
      </w:pPr>
    </w:p>
    <w:p>
      <w:pPr>
        <w:jc w:val="both"/>
        <w:ind w:left="600" w:hanging="301"/>
        <w:spacing w:after="0" w:line="317" w:lineRule="auto"/>
        <w:tabs>
          <w:tab w:leader="none" w:pos="60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will receive information, on an expedited basis, on all Serious Adverse Events (SAEs), clinically significant laboratory values/vital signs, ECG abnormalities and data from patients who decided to prematurely discontinue the study. All SAES that occur in the cath lab during or after the procedure to administer BL-1040 should be reviewed promptly by the ISMB. The ISMB will review this information and may decide to interrupt, alter, or terminate the trial</w:t>
      </w:r>
    </w:p>
    <w:p>
      <w:pPr>
        <w:spacing w:after="0" w:line="139" w:lineRule="exact"/>
        <w:rPr>
          <w:rFonts w:ascii="Arial" w:cs="Arial" w:eastAsia="Arial" w:hAnsi="Arial"/>
          <w:sz w:val="15"/>
          <w:szCs w:val="15"/>
          <w:color w:val="auto"/>
        </w:rPr>
      </w:pPr>
    </w:p>
    <w:p>
      <w:pPr>
        <w:ind w:left="600" w:hanging="301"/>
        <w:spacing w:after="0"/>
        <w:tabs>
          <w:tab w:leader="none" w:pos="60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will adjudicate whether or not an event is unexpected, based on a pre-specified list of expected SAEs within the study population.</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4.3.1</w:t>
      </w:r>
      <w:r>
        <w:rPr>
          <w:sz w:val="20"/>
          <w:szCs w:val="20"/>
          <w:color w:val="auto"/>
        </w:rPr>
        <w:tab/>
      </w:r>
      <w:r>
        <w:rPr>
          <w:rFonts w:ascii="Arial" w:cs="Arial" w:eastAsia="Arial" w:hAnsi="Arial"/>
          <w:sz w:val="15"/>
          <w:szCs w:val="15"/>
          <w:b w:val="1"/>
          <w:bCs w:val="1"/>
          <w:color w:val="auto"/>
        </w:rPr>
        <w:t>Stopping Criteria</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Given the uncontrolled nature of the study, and the small sample size, it is not practical to provide a quantitative stopping rule.</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Moreover, given the severely ill nature of the patients who will be enrolled in the study (those with large myocardial infarction and substantial LV dysfunction), adverse cardiac outcomes, including fatal ones, are to be expected in this population, regardless of participation in the study.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study will be stopped when any of the following occur:</w:t>
      </w:r>
    </w:p>
    <w:p>
      <w:pPr>
        <w:spacing w:after="0" w:line="242" w:lineRule="exact"/>
        <w:rPr>
          <w:sz w:val="20"/>
          <w:szCs w:val="20"/>
          <w:color w:val="auto"/>
        </w:rPr>
      </w:pPr>
    </w:p>
    <w:p>
      <w:pPr>
        <w:ind w:left="620" w:hanging="308"/>
        <w:spacing w:after="0"/>
        <w:tabs>
          <w:tab w:leader="none" w:pos="6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Completion of the study</w:t>
      </w:r>
    </w:p>
    <w:p>
      <w:pPr>
        <w:spacing w:after="0" w:line="216" w:lineRule="exact"/>
        <w:rPr>
          <w:rFonts w:ascii="Arial" w:cs="Arial" w:eastAsia="Arial" w:hAnsi="Arial"/>
          <w:sz w:val="17"/>
          <w:szCs w:val="17"/>
          <w:color w:val="auto"/>
        </w:rPr>
      </w:pPr>
    </w:p>
    <w:p>
      <w:pPr>
        <w:jc w:val="both"/>
        <w:ind w:left="620" w:hanging="308"/>
        <w:spacing w:after="0" w:line="261" w:lineRule="auto"/>
        <w:tabs>
          <w:tab w:leader="none" w:pos="6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ISMB and sponsor judge that the study treatment appears to be unsafe for patients. The ISMB will make this assessment based not only upon the frequency of observed complications, but also upon the character and qualitative nature of the events. This determination will be made in the context of clinical judgement of experienced cardiologists regarding the expected outcome in this population of patients and whether observed outcomes differ substantively from the expectation.</w:t>
      </w:r>
    </w:p>
    <w:p>
      <w:pPr>
        <w:spacing w:after="0" w:line="178" w:lineRule="exact"/>
        <w:rPr>
          <w:rFonts w:ascii="Arial" w:cs="Arial" w:eastAsia="Arial" w:hAnsi="Arial"/>
          <w:sz w:val="17"/>
          <w:szCs w:val="17"/>
          <w:color w:val="auto"/>
        </w:rPr>
      </w:pPr>
    </w:p>
    <w:p>
      <w:pPr>
        <w:ind w:left="620" w:right="80"/>
        <w:spacing w:after="0" w:line="278" w:lineRule="auto"/>
        <w:rPr>
          <w:rFonts w:ascii="Arial" w:cs="Arial" w:eastAsia="Arial" w:hAnsi="Arial"/>
          <w:sz w:val="17"/>
          <w:szCs w:val="17"/>
          <w:color w:val="auto"/>
        </w:rPr>
      </w:pPr>
      <w:r>
        <w:rPr>
          <w:rFonts w:ascii="Arial" w:cs="Arial" w:eastAsia="Arial" w:hAnsi="Arial"/>
          <w:sz w:val="17"/>
          <w:szCs w:val="17"/>
          <w:color w:val="auto"/>
        </w:rPr>
        <w:t>The committee reserves the right to stop the study after analysis of outcomes of sequential procedures. A decision to stop will be considered by the ISMB in the event of occurrence of severe, unusual or unexpected events.</w:t>
      </w:r>
    </w:p>
    <w:p>
      <w:pPr>
        <w:spacing w:after="0" w:line="190" w:lineRule="exact"/>
        <w:rPr>
          <w:rFonts w:ascii="Arial" w:cs="Arial" w:eastAsia="Arial" w:hAnsi="Arial"/>
          <w:sz w:val="17"/>
          <w:szCs w:val="17"/>
          <w:color w:val="auto"/>
        </w:rPr>
      </w:pPr>
    </w:p>
    <w:p>
      <w:pPr>
        <w:ind w:left="620" w:hanging="308"/>
        <w:spacing w:after="0" w:line="278" w:lineRule="auto"/>
        <w:tabs>
          <w:tab w:leader="none" w:pos="62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The ISMB may consider putting the trial on hold or terminating it and will base it decision on weighing the balance between potential but hypothetical benefits and possible risks to the participants in the study.</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Inclusion criteria</w:t>
      </w:r>
    </w:p>
    <w:p>
      <w:pPr>
        <w:spacing w:after="0" w:line="248" w:lineRule="exact"/>
        <w:rPr>
          <w:sz w:val="20"/>
          <w:szCs w:val="20"/>
          <w:color w:val="auto"/>
        </w:rPr>
      </w:pPr>
    </w:p>
    <w:p>
      <w:pPr>
        <w:ind w:left="320" w:hanging="317"/>
        <w:spacing w:after="0"/>
        <w:tabs>
          <w:tab w:leader="none" w:pos="32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inclusion criteria for this study are:</w:t>
      </w:r>
    </w:p>
    <w:p>
      <w:pPr>
        <w:spacing w:after="0" w:line="216" w:lineRule="exact"/>
        <w:rPr>
          <w:rFonts w:ascii="Arial" w:cs="Arial" w:eastAsia="Arial" w:hAnsi="Arial"/>
          <w:sz w:val="17"/>
          <w:szCs w:val="17"/>
          <w:color w:val="auto"/>
        </w:rPr>
      </w:pPr>
    </w:p>
    <w:p>
      <w:pPr>
        <w:spacing w:after="0"/>
        <w:tabs>
          <w:tab w:leader="none" w:pos="0" w:val="left"/>
        </w:tabs>
        <w:numPr>
          <w:ilvl w:val="0"/>
          <w:numId w:val="408"/>
        </w:numPr>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voluntarily signed the informed consent form prior to the conduct of any study specific procedures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male or female inpatients aged 18 to 75, inclusive</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07" w:name="page508"/>
    <w:bookmarkEnd w:id="507"/>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71" w:gutter="0" w:footer="0" w:header="0"/>
        </w:sectPr>
      </w:pPr>
    </w:p>
    <w:p>
      <w:pPr>
        <w:spacing w:after="0" w:line="31" w:lineRule="exact"/>
        <w:rPr>
          <w:sz w:val="20"/>
          <w:szCs w:val="20"/>
          <w:color w:val="auto"/>
        </w:rPr>
      </w:pPr>
    </w:p>
    <w:p>
      <w:pPr>
        <w:ind w:left="620" w:hanging="308"/>
        <w:spacing w:after="0" w:line="278" w:lineRule="auto"/>
        <w:tabs>
          <w:tab w:leader="none" w:pos="6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negative pregnancy test for all women of child-bearing potential, or surgically sterilized (i.e. tubal ligation, hysterectomy) prior to Screening, or post-menopausal for at least 1 year</w:t>
      </w:r>
    </w:p>
    <w:p>
      <w:pPr>
        <w:spacing w:after="0" w:line="164" w:lineRule="exact"/>
        <w:rPr>
          <w:rFonts w:ascii="Arial" w:cs="Arial" w:eastAsia="Arial" w:hAnsi="Arial"/>
          <w:sz w:val="17"/>
          <w:szCs w:val="17"/>
          <w:color w:val="auto"/>
        </w:rPr>
      </w:pPr>
    </w:p>
    <w:p>
      <w:pPr>
        <w:ind w:left="620" w:hanging="308"/>
        <w:spacing w:after="0"/>
        <w:tabs>
          <w:tab w:leader="none" w:pos="62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acute MI defined as:</w:t>
      </w:r>
    </w:p>
    <w:p>
      <w:pPr>
        <w:spacing w:after="0" w:line="216" w:lineRule="exact"/>
        <w:rPr>
          <w:sz w:val="20"/>
          <w:szCs w:val="20"/>
          <w:color w:val="auto"/>
        </w:rPr>
      </w:pPr>
    </w:p>
    <w:p>
      <w:pPr>
        <w:jc w:val="both"/>
        <w:ind w:left="1240" w:hanging="311"/>
        <w:spacing w:after="0" w:line="265" w:lineRule="auto"/>
        <w:tabs>
          <w:tab w:leader="none" w:pos="124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typical rise and gradual fall (troponin) or more rapid rise and fall (CK-MB) of biochemical markers of myocardial necrosis with at least one of the following: a) ischemic symptoms; b) development of pathologic Qwaves on the ECG; c) ECG changes indicative of ischemia (ST segment elevation or depression)</w:t>
      </w:r>
    </w:p>
    <w:p>
      <w:pPr>
        <w:spacing w:after="0" w:line="175" w:lineRule="exact"/>
        <w:rPr>
          <w:rFonts w:ascii="Arial" w:cs="Arial" w:eastAsia="Arial" w:hAnsi="Arial"/>
          <w:sz w:val="17"/>
          <w:szCs w:val="17"/>
          <w:color w:val="auto"/>
        </w:rPr>
      </w:pPr>
    </w:p>
    <w:p>
      <w:pPr>
        <w:ind w:left="1240" w:hanging="311"/>
        <w:spacing w:after="0" w:line="278" w:lineRule="auto"/>
        <w:tabs>
          <w:tab w:leader="none" w:pos="124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first anterior or inferolateral STEMI or Qwave MI (QMI Anterior: V1-V3 or V1-V4 or V1-V5 or V1-V6.QMI Inferior: L2, L3, AVF, or L2, L3, AVF+ V5, V6 or L2, L3, AVF+ V6-V9 [posterior leads])</w:t>
      </w:r>
    </w:p>
    <w:p>
      <w:pPr>
        <w:spacing w:after="0" w:line="164" w:lineRule="exact"/>
        <w:rPr>
          <w:rFonts w:ascii="Arial" w:cs="Arial" w:eastAsia="Arial" w:hAnsi="Arial"/>
          <w:sz w:val="17"/>
          <w:szCs w:val="17"/>
          <w:color w:val="auto"/>
        </w:rPr>
      </w:pPr>
    </w:p>
    <w:p>
      <w:pPr>
        <w:ind w:left="1240" w:hanging="311"/>
        <w:spacing w:after="0"/>
        <w:tabs>
          <w:tab w:leader="none" w:pos="124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regional wall motion score index (at least 4 out of 16 akinetic segments)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one or more of the following:</w:t>
      </w:r>
    </w:p>
    <w:p>
      <w:pPr>
        <w:spacing w:after="0" w:line="216" w:lineRule="exact"/>
        <w:rPr>
          <w:sz w:val="20"/>
          <w:szCs w:val="20"/>
          <w:color w:val="auto"/>
        </w:rPr>
      </w:pPr>
    </w:p>
    <w:p>
      <w:pPr>
        <w:ind w:left="1280" w:hanging="312"/>
        <w:spacing w:after="0"/>
        <w:tabs>
          <w:tab w:leader="none" w:pos="1280" w:val="left"/>
        </w:tabs>
        <w:numPr>
          <w:ilvl w:val="1"/>
          <w:numId w:val="411"/>
        </w:numPr>
        <w:rPr>
          <w:rFonts w:ascii="Arial" w:cs="Arial" w:eastAsia="Arial" w:hAnsi="Arial"/>
          <w:sz w:val="17"/>
          <w:szCs w:val="17"/>
          <w:color w:val="auto"/>
        </w:rPr>
      </w:pPr>
      <w:r>
        <w:rPr>
          <w:rFonts w:ascii="Arial" w:cs="Arial" w:eastAsia="Arial" w:hAnsi="Arial"/>
          <w:sz w:val="17"/>
          <w:szCs w:val="17"/>
          <w:color w:val="auto"/>
        </w:rPr>
        <w:t>LVEF &gt;20% and &lt;45% measured and calculated by 2-dimensional measurement</w:t>
      </w:r>
    </w:p>
    <w:p>
      <w:pPr>
        <w:spacing w:after="0" w:line="216" w:lineRule="exact"/>
        <w:rPr>
          <w:rFonts w:ascii="Arial" w:cs="Arial" w:eastAsia="Arial" w:hAnsi="Arial"/>
          <w:sz w:val="17"/>
          <w:szCs w:val="17"/>
          <w:color w:val="auto"/>
        </w:rPr>
      </w:pPr>
    </w:p>
    <w:p>
      <w:pPr>
        <w:ind w:left="1280" w:hanging="312"/>
        <w:spacing w:after="0"/>
        <w:tabs>
          <w:tab w:leader="none" w:pos="1280" w:val="left"/>
        </w:tabs>
        <w:numPr>
          <w:ilvl w:val="1"/>
          <w:numId w:val="411"/>
        </w:numPr>
        <w:rPr>
          <w:rFonts w:ascii="Arial" w:cs="Arial" w:eastAsia="Arial" w:hAnsi="Arial"/>
          <w:sz w:val="17"/>
          <w:szCs w:val="17"/>
          <w:color w:val="auto"/>
        </w:rPr>
      </w:pPr>
      <w:r>
        <w:rPr>
          <w:rFonts w:ascii="Arial" w:cs="Arial" w:eastAsia="Arial" w:hAnsi="Arial"/>
          <w:sz w:val="17"/>
          <w:szCs w:val="17"/>
          <w:color w:val="auto"/>
        </w:rPr>
        <w:t>Biomarkers: peak CK &gt; 2000 IU</w:t>
      </w:r>
    </w:p>
    <w:p>
      <w:pPr>
        <w:spacing w:after="0" w:line="216" w:lineRule="exact"/>
        <w:rPr>
          <w:rFonts w:ascii="Arial" w:cs="Arial" w:eastAsia="Arial" w:hAnsi="Arial"/>
          <w:sz w:val="17"/>
          <w:szCs w:val="17"/>
          <w:color w:val="auto"/>
        </w:rPr>
      </w:pPr>
    </w:p>
    <w:p>
      <w:pPr>
        <w:ind w:left="1280" w:hanging="312"/>
        <w:spacing w:after="0"/>
        <w:tabs>
          <w:tab w:leader="none" w:pos="1280" w:val="left"/>
        </w:tabs>
        <w:numPr>
          <w:ilvl w:val="1"/>
          <w:numId w:val="411"/>
        </w:numPr>
        <w:rPr>
          <w:rFonts w:ascii="Arial" w:cs="Arial" w:eastAsia="Arial" w:hAnsi="Arial"/>
          <w:sz w:val="17"/>
          <w:szCs w:val="17"/>
          <w:color w:val="auto"/>
        </w:rPr>
      </w:pPr>
      <w:r>
        <w:rPr>
          <w:rFonts w:ascii="Arial" w:cs="Arial" w:eastAsia="Arial" w:hAnsi="Arial"/>
          <w:sz w:val="17"/>
          <w:szCs w:val="17"/>
          <w:color w:val="auto"/>
        </w:rPr>
        <w:t>infarct size &gt; 25% as measured by MRI</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successful revascularization with PCI </w:t>
      </w:r>
      <w:r>
        <w:rPr>
          <w:rFonts w:ascii="Arial" w:cs="Arial" w:eastAsia="Arial" w:hAnsi="Arial"/>
          <w:sz w:val="17"/>
          <w:szCs w:val="17"/>
          <w:color w:val="auto"/>
          <w:strike w:val="1"/>
        </w:rPr>
        <w:t>with 1 stent only,</w:t>
      </w:r>
      <w:r>
        <w:rPr>
          <w:rFonts w:ascii="Arial" w:cs="Arial" w:eastAsia="Arial" w:hAnsi="Arial"/>
          <w:sz w:val="17"/>
          <w:szCs w:val="17"/>
          <w:color w:val="auto"/>
        </w:rPr>
        <w:t xml:space="preserve"> within 7 days of the index MI (only safe and MRI compatible stents)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at time of application of device patient must have patent infarct related artery (IRA) and TIMI flow grade = 3</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5"/>
          <w:szCs w:val="15"/>
          <w:b w:val="1"/>
          <w:bCs w:val="1"/>
          <w:color w:val="auto"/>
        </w:rPr>
        <w:t>Exclusion criteria</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Exclusion criteria for this study are:</w:t>
      </w:r>
    </w:p>
    <w:p>
      <w:pPr>
        <w:spacing w:after="0" w:line="242" w:lineRule="exact"/>
        <w:rPr>
          <w:sz w:val="20"/>
          <w:szCs w:val="20"/>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history of CHF, Class I to Class IV, as per NYHA criteria</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history of prior LV dysfunction</w:t>
      </w:r>
    </w:p>
    <w:p>
      <w:pPr>
        <w:spacing w:after="0" w:line="216" w:lineRule="exact"/>
        <w:rPr>
          <w:rFonts w:ascii="Arial" w:cs="Arial" w:eastAsia="Arial" w:hAnsi="Arial"/>
          <w:sz w:val="17"/>
          <w:szCs w:val="17"/>
          <w:color w:val="auto"/>
        </w:rPr>
      </w:pPr>
    </w:p>
    <w:p>
      <w:pPr>
        <w:ind w:left="600" w:right="200" w:hanging="301"/>
        <w:spacing w:after="0" w:line="278" w:lineRule="auto"/>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at time of application of study device - Killip III-IV (pulmonary edema, cardiogenic shock - hypotension (systolic &lt; 90 mmHg) and evidence of peripheral hypoperfusion (oliguria, cyanosis, sweating) or HR &gt; 100 bpm</w:t>
      </w:r>
    </w:p>
    <w:p>
      <w:pPr>
        <w:spacing w:after="0" w:line="164"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patient with pacemaker</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prior CABG</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prior MI</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history of stroke</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significant valvular disease (moderate or severe)</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patient is a candidate for CABG or PCI on non-IRA</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patient is being considered for CRT within the next 30 days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renal insufficiency (eGFR &lt; 60)</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chronic liver disease (&gt; 3 times upper limit of normal)</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life expectancy &lt; 12 months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current participant in another clinical trial, or participation in another trial within the last 6 months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any contraindication to coronary angiography, MRI or PCI procedures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patient taking anti-coagulation medication prior to MI</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pregnant or lactating women; pregnancy confirmed by urine pregnancy test</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1"/>
          <w:numId w:val="412"/>
        </w:numPr>
        <w:rPr>
          <w:rFonts w:ascii="Arial" w:cs="Arial" w:eastAsia="Arial" w:hAnsi="Arial"/>
          <w:sz w:val="17"/>
          <w:szCs w:val="17"/>
          <w:color w:val="auto"/>
        </w:rPr>
      </w:pPr>
      <w:r>
        <w:rPr>
          <w:rFonts w:ascii="Arial" w:cs="Arial" w:eastAsia="Arial" w:hAnsi="Arial"/>
          <w:sz w:val="17"/>
          <w:szCs w:val="17"/>
          <w:color w:val="auto"/>
        </w:rPr>
        <w:t>patients with a reasonable likelihood for non-compliance with the protocol</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any other reason that, in the Investigator’s opinion, prohibits the inclusion of the patient into the study</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ectPr>
          <w:pgSz w:w="11900" w:h="16838" w:orient="portrait"/>
          <w:cols w:equalWidth="0" w:num="1">
            <w:col w:w="11420"/>
          </w:cols>
          <w:pgMar w:left="240" w:top="584" w:right="239" w:bottom="71" w:gutter="0" w:footer="0" w:header="0"/>
          <w:type w:val="continuous"/>
        </w:sectPr>
      </w:pPr>
    </w:p>
    <w:bookmarkStart w:id="508" w:name="page509"/>
    <w:bookmarkEnd w:id="508"/>
    <w:p>
      <w:pPr>
        <w:jc w:val="center"/>
        <w:spacing w:after="0"/>
        <w:rPr>
          <w:sz w:val="20"/>
          <w:szCs w:val="20"/>
          <w:color w:val="auto"/>
        </w:rPr>
      </w:pPr>
      <w:r>
        <w:rPr>
          <w:rFonts w:ascii="Arial" w:cs="Arial" w:eastAsia="Arial" w:hAnsi="Arial"/>
          <w:sz w:val="15"/>
          <w:szCs w:val="15"/>
          <w:color w:val="auto"/>
        </w:rPr>
        <w:t>Page 21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92075</wp:posOffset>
            </wp:positionV>
            <wp:extent cx="7257415" cy="209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09" w:name="page510"/>
    <w:bookmarkEnd w:id="509"/>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4.6</w:t>
      </w:r>
      <w:r>
        <w:rPr>
          <w:sz w:val="20"/>
          <w:szCs w:val="20"/>
          <w:color w:val="auto"/>
        </w:rPr>
        <w:tab/>
      </w:r>
      <w:r>
        <w:rPr>
          <w:rFonts w:ascii="Arial" w:cs="Arial" w:eastAsia="Arial" w:hAnsi="Arial"/>
          <w:sz w:val="15"/>
          <w:szCs w:val="15"/>
          <w:b w:val="1"/>
          <w:bCs w:val="1"/>
          <w:color w:val="auto"/>
        </w:rPr>
        <w:t>Withdrawal criteria during the study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Each patient has the right to withdraw from the trial at any time for any reason.</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Investigator must make at least 3 documented attempts to contact those patients who do not return for the scheduled follow-up visits. Attempts must be recorded in the patient's file.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Sponsor reserves the right to terminate the study at any time.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Upon withdrawal from the study any time after administration of study device, the patient will undergo the End of Study assessments (Section 6.2.1.5; Table 6.1).</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Dropouts that occur after implantation of BL-1040 will not be replaced.</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4.7</w:t>
      </w:r>
      <w:r>
        <w:rPr>
          <w:sz w:val="20"/>
          <w:szCs w:val="20"/>
          <w:color w:val="auto"/>
        </w:rPr>
        <w:tab/>
      </w:r>
      <w:r>
        <w:rPr>
          <w:rFonts w:ascii="Arial" w:cs="Arial" w:eastAsia="Arial" w:hAnsi="Arial"/>
          <w:sz w:val="15"/>
          <w:szCs w:val="15"/>
          <w:b w:val="1"/>
          <w:bCs w:val="1"/>
          <w:color w:val="auto"/>
        </w:rPr>
        <w:t>Treatment allocation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This is an open label study. All patients will be treated with BL-1040. Patient eligibility will be established prior to treatment with BL-1040.</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If a patient discontinues from the study, the patient number will not be reused.</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4.8</w:t>
      </w:r>
      <w:r>
        <w:rPr>
          <w:sz w:val="20"/>
          <w:szCs w:val="20"/>
          <w:color w:val="auto"/>
        </w:rPr>
        <w:tab/>
      </w:r>
      <w:r>
        <w:rPr>
          <w:rFonts w:ascii="Arial" w:cs="Arial" w:eastAsia="Arial" w:hAnsi="Arial"/>
          <w:sz w:val="15"/>
          <w:szCs w:val="15"/>
          <w:b w:val="1"/>
          <w:bCs w:val="1"/>
          <w:color w:val="auto"/>
        </w:rPr>
        <w:t>Method of blinding and unblinding</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As this is an open label study, there will be no blinding or unblinding procedure.</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10" w:name="page511"/>
    <w:bookmarkEnd w:id="510"/>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00" w:hanging="597"/>
        <w:spacing w:after="0"/>
        <w:tabs>
          <w:tab w:leader="none" w:pos="600" w:val="left"/>
        </w:tabs>
        <w:numPr>
          <w:ilvl w:val="0"/>
          <w:numId w:val="413"/>
        </w:numPr>
        <w:rPr>
          <w:rFonts w:ascii="Arial" w:cs="Arial" w:eastAsia="Arial" w:hAnsi="Arial"/>
          <w:sz w:val="21"/>
          <w:szCs w:val="21"/>
          <w:b w:val="1"/>
          <w:bCs w:val="1"/>
          <w:color w:val="auto"/>
        </w:rPr>
      </w:pPr>
      <w:r>
        <w:rPr>
          <w:rFonts w:ascii="Arial" w:cs="Arial" w:eastAsia="Arial" w:hAnsi="Arial"/>
          <w:sz w:val="21"/>
          <w:szCs w:val="21"/>
          <w:b w:val="1"/>
          <w:bCs w:val="1"/>
          <w:color w:val="auto"/>
        </w:rPr>
        <w:t>Product Overview</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BL-1040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BL-1040 myocardial implant is a non-pharmacologic, non-surgical, cross-linked alginate solution administered via intracoronary (IC) injection to infarcted tissue.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BL-1040 completely disintegrates into its constituent polymers within approximately 90 days after deposition, and is excreted in the urine.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Formulation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formulation of BL-1040 is shown in Table 5.1.</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5.1 Formulation of BL-1040</w:t>
      </w:r>
    </w:p>
    <w:p>
      <w:pPr>
        <w:sectPr>
          <w:pgSz w:w="11900" w:h="16838" w:orient="portrait"/>
          <w:cols w:equalWidth="0" w:num="1">
            <w:col w:w="11420"/>
          </w:cols>
          <w:pgMar w:left="240" w:top="584"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0.3% Calcium D-Gluconate (Gluconic acid hemicalcium salt)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1% PRONOVA UP VLVG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Generic name: Sodium Alginate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Water for Injection USP/EP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Sigma, Dr. Paul Lohmann GmbH KG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FMC BioPolymer/ NovaMatrix</w:t>
      </w:r>
    </w:p>
    <w:p>
      <w:pPr>
        <w:spacing w:after="0" w:line="611" w:lineRule="exact"/>
        <w:rPr>
          <w:sz w:val="20"/>
          <w:szCs w:val="20"/>
          <w:color w:val="auto"/>
        </w:rPr>
      </w:pPr>
    </w:p>
    <w:p>
      <w:pPr>
        <w:sectPr>
          <w:pgSz w:w="11900" w:h="16838" w:orient="portrait"/>
          <w:cols w:equalWidth="0" w:num="2">
            <w:col w:w="5060" w:space="720"/>
            <w:col w:w="5640"/>
          </w:cols>
          <w:pgMar w:left="240" w:top="584" w:right="239" w:bottom="1440" w:gutter="0" w:footer="0" w:header="0"/>
          <w:type w:val="continuous"/>
        </w:sectPr>
      </w:pPr>
    </w:p>
    <w:p>
      <w:pPr>
        <w:spacing w:after="0" w:line="25"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Dosage and application</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BL-1040 will be administered to the coronary vasculature using multiple commercially available devices. Table 5.2 provides a list of the commercially available components that will be required in order to delivery the Bl-1040 implant.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5.2 List of Commercially Available BL-1040 Delivery Devices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BL-1040 Implant Delivery Devices</w:t>
      </w:r>
    </w:p>
    <w:p>
      <w:pPr>
        <w:spacing w:after="0" w:line="248" w:lineRule="exact"/>
        <w:rPr>
          <w:sz w:val="20"/>
          <w:szCs w:val="20"/>
          <w:color w:val="auto"/>
        </w:rPr>
      </w:pPr>
    </w:p>
    <w:p>
      <w:pPr>
        <w:ind w:left="740" w:hanging="737"/>
        <w:spacing w:after="0"/>
        <w:tabs>
          <w:tab w:leader="none" w:pos="7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Standard endovascular sheath (femoral or radial or brachial)</w:t>
      </w:r>
    </w:p>
    <w:p>
      <w:pPr>
        <w:spacing w:after="0" w:line="216" w:lineRule="exact"/>
        <w:rPr>
          <w:sz w:val="20"/>
          <w:szCs w:val="20"/>
          <w:color w:val="auto"/>
        </w:rPr>
      </w:pPr>
    </w:p>
    <w:p>
      <w:pPr>
        <w:ind w:left="740" w:hanging="737"/>
        <w:spacing w:after="0"/>
        <w:tabs>
          <w:tab w:leader="none" w:pos="74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Standard coronary guiding catheter (example – Launcher, ref LA6AR10SH)</w:t>
      </w:r>
    </w:p>
    <w:p>
      <w:pPr>
        <w:spacing w:after="0" w:line="216" w:lineRule="exact"/>
        <w:rPr>
          <w:sz w:val="20"/>
          <w:szCs w:val="20"/>
          <w:color w:val="auto"/>
        </w:rPr>
      </w:pPr>
    </w:p>
    <w:p>
      <w:pPr>
        <w:ind w:left="740" w:hanging="737"/>
        <w:spacing w:after="0"/>
        <w:tabs>
          <w:tab w:leader="none" w:pos="74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Guidewire 0.014 inch (example - Boston Scientific, ref. 383931-035J)</w:t>
      </w:r>
    </w:p>
    <w:p>
      <w:pPr>
        <w:spacing w:after="0" w:line="216" w:lineRule="exact"/>
        <w:rPr>
          <w:sz w:val="20"/>
          <w:szCs w:val="20"/>
          <w:color w:val="auto"/>
        </w:rPr>
      </w:pPr>
    </w:p>
    <w:p>
      <w:pPr>
        <w:ind w:left="740" w:hanging="737"/>
        <w:spacing w:after="0"/>
        <w:tabs>
          <w:tab w:leader="none" w:pos="74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Torque device (example - Boston Scientific, ref. K903606))</w:t>
      </w:r>
    </w:p>
    <w:p>
      <w:pPr>
        <w:spacing w:after="0" w:line="216" w:lineRule="exact"/>
        <w:rPr>
          <w:sz w:val="20"/>
          <w:szCs w:val="20"/>
          <w:color w:val="auto"/>
        </w:rPr>
      </w:pPr>
    </w:p>
    <w:p>
      <w:pPr>
        <w:ind w:left="740" w:hanging="737"/>
        <w:spacing w:after="0"/>
        <w:tabs>
          <w:tab w:leader="none" w:pos="74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Guidewire introducer (example Input Ref. 87311)</w:t>
      </w:r>
    </w:p>
    <w:p>
      <w:pPr>
        <w:spacing w:after="0" w:line="216" w:lineRule="exact"/>
        <w:rPr>
          <w:sz w:val="20"/>
          <w:szCs w:val="20"/>
          <w:color w:val="auto"/>
        </w:rPr>
      </w:pPr>
    </w:p>
    <w:p>
      <w:pPr>
        <w:ind w:left="740" w:hanging="737"/>
        <w:spacing w:after="0"/>
        <w:tabs>
          <w:tab w:leader="none" w:pos="7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Microcatheter designed for coronary intravascular use such as multipurpose probing endovascular microcatheter.</w:t>
      </w:r>
    </w:p>
    <w:p>
      <w:pPr>
        <w:spacing w:after="0" w:line="21" w:lineRule="exact"/>
        <w:rPr>
          <w:rFonts w:ascii="Arial" w:cs="Arial" w:eastAsia="Arial" w:hAnsi="Arial"/>
          <w:sz w:val="17"/>
          <w:szCs w:val="17"/>
          <w:color w:val="auto"/>
        </w:rPr>
      </w:pPr>
    </w:p>
    <w:p>
      <w:pPr>
        <w:ind w:left="740" w:right="100"/>
        <w:spacing w:after="0" w:line="265" w:lineRule="auto"/>
        <w:rPr>
          <w:rFonts w:ascii="Arial" w:cs="Arial" w:eastAsia="Arial" w:hAnsi="Arial"/>
          <w:sz w:val="17"/>
          <w:szCs w:val="17"/>
          <w:color w:val="auto"/>
        </w:rPr>
      </w:pPr>
      <w:r>
        <w:rPr>
          <w:rFonts w:ascii="Arial" w:cs="Arial" w:eastAsia="Arial" w:hAnsi="Arial"/>
          <w:sz w:val="17"/>
          <w:szCs w:val="17"/>
          <w:color w:val="auto"/>
        </w:rPr>
        <w:t>Example:(Boston Scientific Catalog number SCH 50058) or Transit microcatheter, (Cordis Endovascular Systems, MiMI Lakes, Fla.) or Renegase Hi-Flo microcatheter (Boston Scientific)</w:t>
      </w:r>
    </w:p>
    <w:p>
      <w:pPr>
        <w:spacing w:after="0" w:line="175" w:lineRule="exact"/>
        <w:rPr>
          <w:sz w:val="20"/>
          <w:szCs w:val="20"/>
          <w:color w:val="auto"/>
        </w:rPr>
      </w:pPr>
    </w:p>
    <w:p>
      <w:pPr>
        <w:ind w:left="740" w:hanging="737"/>
        <w:spacing w:after="0"/>
        <w:tabs>
          <w:tab w:leader="none" w:pos="7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Disposable syringe, Intmed 5 mL sterile CE, ISO9001, ISO13488</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Cardiac catheterization should be done according to the guidelines of the American College of Cardiology/Society for Cardiac Angiography and Interventions Clinical Expert Consensus Document on Cardiac Catheterization Laboratory Standards. All angiographies will be evaluated by a core laboratory. BL-1040 is delivered intra-coronary (IC) via a microcatheter that is intended for coronary intravascular use.</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timing of BL-1040 administration is within 7 days after the index MI. Two (2) mL of BL-1040 will be injected IC through the infarct related artery supplying the infarcted area. BL-1040 may not be mixed with any contrast medium.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All patients will be treated in the same manner.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Detailed instructions for the application of BL-1040 are provided in a separate Instruction Manual.</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11" w:name="page512"/>
    <w:bookmarkEnd w:id="511"/>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Labelling/Packaging</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BL-1040 will be packed in a sterile cylindrical injection vial, type A glass. Vials are filled with sterile BL-1040 and sealed with a 20 mm rubber stopper, spun-on aluminum seal and a flip-off top.</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All packages will be labeled according to the GMP guideline Volume 4, Annex 13 Manufacture of Investigational Medicinal Products (July 2003 Revision 1) [1] and local laws.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BL-1040 will be packed in labeled boxes, with at least the following information: study number, patient number, route of administration, storage guidelines, batch number, expiry date, instructions for administration, manufacturer name/code, and "Investigational use only".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Sponsor must notify the Site Investigator, who has the overall responsibility for the study device, of the anticipated date of arrival.</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5.5</w:t>
      </w:r>
      <w:r>
        <w:rPr>
          <w:sz w:val="20"/>
          <w:szCs w:val="20"/>
          <w:color w:val="auto"/>
        </w:rPr>
        <w:tab/>
      </w:r>
      <w:r>
        <w:rPr>
          <w:rFonts w:ascii="Arial" w:cs="Arial" w:eastAsia="Arial" w:hAnsi="Arial"/>
          <w:sz w:val="15"/>
          <w:szCs w:val="15"/>
          <w:b w:val="1"/>
          <w:bCs w:val="1"/>
          <w:color w:val="auto"/>
        </w:rPr>
        <w:t>Storage</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Site Investigator is responsible for ensuring that BL-1040 is stored in a safe refrigerated location (2-8° C) with controlled access. At this temperature, BL-1040 has a shelf life of 3 months. The temperature must be monitored once daily, and recorded on a temperature log.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BL-104 must be removed from the refrigerator and kept at room temperature 30 minutes prior to administration.</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5.6</w:t>
      </w:r>
      <w:r>
        <w:rPr>
          <w:sz w:val="20"/>
          <w:szCs w:val="20"/>
          <w:color w:val="auto"/>
        </w:rPr>
        <w:tab/>
      </w:r>
      <w:r>
        <w:rPr>
          <w:rFonts w:ascii="Arial" w:cs="Arial" w:eastAsia="Arial" w:hAnsi="Arial"/>
          <w:sz w:val="15"/>
          <w:szCs w:val="15"/>
          <w:b w:val="1"/>
          <w:bCs w:val="1"/>
          <w:color w:val="auto"/>
        </w:rPr>
        <w:t>Compliance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BL-1040 will be administered by the Investigator only, and will not be dispensed to the patient or any other personnel.</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5.7</w:t>
      </w:r>
      <w:r>
        <w:rPr>
          <w:sz w:val="20"/>
          <w:szCs w:val="20"/>
          <w:color w:val="auto"/>
        </w:rPr>
        <w:tab/>
      </w:r>
      <w:r>
        <w:rPr>
          <w:rFonts w:ascii="Arial" w:cs="Arial" w:eastAsia="Arial" w:hAnsi="Arial"/>
          <w:sz w:val="15"/>
          <w:szCs w:val="15"/>
          <w:b w:val="1"/>
          <w:bCs w:val="1"/>
          <w:color w:val="auto"/>
        </w:rPr>
        <w:t>BL-1040 accountability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Under no circumstances is it permitted to use study supplies for any purposes other than those specified in the protocol.</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Investigator will be provided with forms to enable accurate recording of all investigational product at all times. The Investigator must sign a statement that he/she has received BL-1040 for the study. At any time the figures of supplied, used and remaining BL-1040 must match. At the end of the study, it must be possible to reconcile delivery records with those of used and unused stocks. Account must be given of any discrepancies.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At the end of the study, all unused BL-1040 supplies and empty containers must be returned to the Sponsor.</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5.8</w:t>
      </w:r>
      <w:r>
        <w:rPr>
          <w:sz w:val="20"/>
          <w:szCs w:val="20"/>
          <w:color w:val="auto"/>
        </w:rPr>
        <w:tab/>
      </w:r>
      <w:r>
        <w:rPr>
          <w:rFonts w:ascii="Arial" w:cs="Arial" w:eastAsia="Arial" w:hAnsi="Arial"/>
          <w:sz w:val="15"/>
          <w:szCs w:val="15"/>
          <w:b w:val="1"/>
          <w:bCs w:val="1"/>
          <w:color w:val="auto"/>
        </w:rPr>
        <w:t>Concomitant medication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medications may only be administered as indicated:</w:t>
      </w:r>
    </w:p>
    <w:p>
      <w:pPr>
        <w:spacing w:after="0" w:line="242" w:lineRule="exact"/>
        <w:rPr>
          <w:sz w:val="20"/>
          <w:szCs w:val="20"/>
          <w:color w:val="auto"/>
        </w:rPr>
      </w:pPr>
    </w:p>
    <w:p>
      <w:pPr>
        <w:ind w:left="620" w:hanging="308"/>
        <w:spacing w:after="0" w:line="278" w:lineRule="auto"/>
        <w:tabs>
          <w:tab w:leader="none" w:pos="6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ceftriaxone may not be administered during the 48 hours immediately prior to the administration of BL-1040, and for the 48 hours immediately following administration of BL-1040</w:t>
      </w:r>
    </w:p>
    <w:p>
      <w:pPr>
        <w:spacing w:after="0" w:line="164" w:lineRule="exact"/>
        <w:rPr>
          <w:rFonts w:ascii="Arial" w:cs="Arial" w:eastAsia="Arial" w:hAnsi="Arial"/>
          <w:sz w:val="17"/>
          <w:szCs w:val="17"/>
          <w:color w:val="auto"/>
        </w:rPr>
      </w:pPr>
    </w:p>
    <w:p>
      <w:pPr>
        <w:ind w:left="620" w:hanging="308"/>
        <w:spacing w:after="0"/>
        <w:tabs>
          <w:tab w:leader="none" w:pos="6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calcium solutions may not be administered during the first week of the study</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introduction of any medication not allowed by the protocol at any point in the study will require a discussion between the Investigator and the Sponsor. If, in the opinion of the Investigator, it becomes necessary to administer any medication during the study, the Investigator will determine the dose and time of intake, and document the medication(s) in the patient's CRF.</w:t>
      </w:r>
    </w:p>
    <w:p>
      <w:pPr>
        <w:spacing w:after="0" w:line="19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12" w:name="page513"/>
    <w:bookmarkEnd w:id="512"/>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Patients must be instructed not to begin any new medication before consulting with the Investigator (unless required for emergency medical use). The patient must be instructed that this prohibition applies to over-the-counter products as well as prescription drugs.</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patients will receive optimal medical therapy according to the relevant, updated guidelines from the European Society of Cardiology [3,4,5]. Optimal therapy including aspirin, anticoagulation if indicated, angiotensin-converting-enzyme inhibition, beta-blockade, aldosterone antagonists, when appropriate, and lipid-lowering therapy, unless contraindicated. Clopidogrel therapy will be initiated before PCI and continued for 1 year after myocardial infarction [3].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13" w:name="page514"/>
    <w:bookmarkEnd w:id="513"/>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00" w:hanging="597"/>
        <w:spacing w:after="0"/>
        <w:tabs>
          <w:tab w:leader="none" w:pos="600" w:val="left"/>
        </w:tabs>
        <w:numPr>
          <w:ilvl w:val="0"/>
          <w:numId w:val="422"/>
        </w:numPr>
        <w:rPr>
          <w:rFonts w:ascii="Arial" w:cs="Arial" w:eastAsia="Arial" w:hAnsi="Arial"/>
          <w:sz w:val="21"/>
          <w:szCs w:val="21"/>
          <w:b w:val="1"/>
          <w:bCs w:val="1"/>
          <w:color w:val="auto"/>
        </w:rPr>
      </w:pPr>
      <w:r>
        <w:rPr>
          <w:rFonts w:ascii="Arial" w:cs="Arial" w:eastAsia="Arial" w:hAnsi="Arial"/>
          <w:sz w:val="21"/>
          <w:szCs w:val="21"/>
          <w:b w:val="1"/>
          <w:bCs w:val="1"/>
          <w:color w:val="auto"/>
        </w:rPr>
        <w:t>Study Procedures</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4"/>
          <w:szCs w:val="14"/>
          <w:b w:val="1"/>
          <w:bCs w:val="1"/>
          <w:color w:val="auto"/>
        </w:rPr>
        <w:t>General study aspects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This is an open label, multi-center study to assess the safety and feasibility of the injectable BL-1040 myocardial implant to provide scaffolding to infarcted myocardium.</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Patients will be admitted to the hospital for treatment of an acute myocardial infarction (AMI), to include angioplasty and implantation of </w:t>
      </w:r>
      <w:r>
        <w:rPr>
          <w:rFonts w:ascii="Arial" w:cs="Arial" w:eastAsia="Arial" w:hAnsi="Arial"/>
          <w:sz w:val="17"/>
          <w:szCs w:val="17"/>
          <w:color w:val="auto"/>
          <w:strike w:val="1"/>
        </w:rPr>
        <w:t>a</w:t>
      </w:r>
      <w:r>
        <w:rPr>
          <w:rFonts w:ascii="Arial" w:cs="Arial" w:eastAsia="Arial" w:hAnsi="Arial"/>
          <w:sz w:val="17"/>
          <w:szCs w:val="17"/>
          <w:color w:val="auto"/>
        </w:rPr>
        <w:t xml:space="preserve"> stent</w:t>
      </w:r>
      <w:r>
        <w:rPr>
          <w:rFonts w:ascii="Arial" w:cs="Arial" w:eastAsia="Arial" w:hAnsi="Arial"/>
          <w:sz w:val="17"/>
          <w:szCs w:val="17"/>
          <w:b w:val="1"/>
          <w:bCs w:val="1"/>
          <w:color w:val="auto"/>
        </w:rPr>
        <w:t>/s</w:t>
      </w:r>
      <w:r>
        <w:rPr>
          <w:rFonts w:ascii="Arial" w:cs="Arial" w:eastAsia="Arial" w:hAnsi="Arial"/>
          <w:sz w:val="17"/>
          <w:szCs w:val="17"/>
          <w:color w:val="auto"/>
        </w:rPr>
        <w:t>. Within 7 days of successful revascularization, patients will undergo an echocardiogram for assessment of the extent of the changes to the heart, and to verify cardiac inclusion/exclusion criteria. MRIs are to be encouraged as an additional assessment, but are contingent upon the agreement of the patient. After the echocardiogram/MRI, but still within 7 days of the index AMI, patients will undergo a 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cardiac catheterization to administer BL-1040. Patients will remain hospitalized for at least 48 hours after the procedure.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BL-1040 scaffold will be injected into one infarct related artery (IRA), distally to the implanted stent</w:t>
      </w:r>
      <w:r>
        <w:rPr>
          <w:rFonts w:ascii="Arial" w:cs="Arial" w:eastAsia="Arial" w:hAnsi="Arial"/>
          <w:sz w:val="17"/>
          <w:szCs w:val="17"/>
          <w:b w:val="1"/>
          <w:bCs w:val="1"/>
          <w:color w:val="auto"/>
        </w:rPr>
        <w:t>/s</w:t>
      </w:r>
      <w:r>
        <w:rPr>
          <w:rFonts w:ascii="Arial" w:cs="Arial" w:eastAsia="Arial" w:hAnsi="Arial"/>
          <w:sz w:val="17"/>
          <w:szCs w:val="17"/>
          <w:color w:val="auto"/>
        </w:rPr>
        <w:t>. Patients will undergo cardiac monitoring before, during and after the procedure: a 12-lead ECG will be done prior to and after administration of BL-1040; patients will be connected to a continuous ECG monitor and will have continuous hemodynamic measurements during the procedure; immediately after the completion of the 12-lead ECG, a Holter monitor will be placed and will remain connected for the following 24 hours.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Patients will undergo physical examinations, assessment of vital signs and an ECG daily during hospitalization; safety blood sampling will be done on the day of discharge.</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Patients who have been discharged from the hospital will be contacted by phone on Day 8 to confirm the administration of any concomitant medications, general status of the patient, and any doctor visits since hospital discharge.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Patients will return for follow-up visits on Day 30, Day 90 and Day 180 (End of Study). Additional follow-up safety visits are planned for Months 12, 24, 36, 48 and</w:t>
      </w:r>
    </w:p>
    <w:p>
      <w:pPr>
        <w:spacing w:after="0" w:line="33" w:lineRule="exact"/>
        <w:rPr>
          <w:sz w:val="20"/>
          <w:szCs w:val="20"/>
          <w:color w:val="auto"/>
        </w:rPr>
      </w:pPr>
    </w:p>
    <w:p>
      <w:pPr>
        <w:jc w:val="both"/>
        <w:ind w:firstLine="3"/>
        <w:spacing w:after="0" w:line="256" w:lineRule="auto"/>
        <w:tabs>
          <w:tab w:leader="none" w:pos="2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At each visit, patients will again undergo a physical examination with measurement of vital signs, ECG, blood sampling, echocardiography and completion of the Minnesota Living with Heart Failure questionnaireÒ. At each follow-up visit, the patients will be hooked up to a 24-hour ambulatory Holter monitor, which will be returned the following day. MRIs are to be encouraged through Day 180 as an additional assessment, but are contingent upon the agreement of the patient. MRIs are not to be requested as part of the long term safety visits.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Echocardiograms, ECGs, Holters, angiographies and MRIs, will be evaluated in a core laboratory.</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first 2 patients will be sequentially enrolled; if approved by the ISMB; 3 additional patients will be enrolled. After review and approval of the 30 day safety data from these 3 patients, the balance of patients may be enrolled. Details are provided in Sec. 4.2.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Both female and male patients must agree to use effective contraception (as agreed with the Investigator) for 6 months (180 days) after the procedure.</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Outline of study procedures</w:t>
      </w:r>
    </w:p>
    <w:p>
      <w:pPr>
        <w:spacing w:after="0" w:line="248"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All study procedures are outlined in the Schedule of Assessments below (Table 6.1). A more detailed description of the study procedures performed at each study stage/visit is given in the following sections.</w:t>
      </w:r>
    </w:p>
    <w:p>
      <w:pPr>
        <w:spacing w:after="0" w:line="184"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14" w:name="page515"/>
    <w:bookmarkEnd w:id="514"/>
    <w:tbl>
      <w:tblPr>
        <w:tblLayout w:type="fixed"/>
        <w:tblInd w:w="0" w:type="dxa"/>
        <w:tblCellMar>
          <w:top w:w="0" w:type="dxa"/>
          <w:left w:w="0" w:type="dxa"/>
          <w:bottom w:w="0" w:type="dxa"/>
          <w:right w:w="0" w:type="dxa"/>
        </w:tblCellMar>
      </w:tblPr>
      <w:tr>
        <w:trPr>
          <w:trHeight w:val="212"/>
        </w:trPr>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7"/>
          </w:tcPr>
          <w:p>
            <w:pPr>
              <w:jc w:val="center"/>
              <w:ind w:left="208"/>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auto"/>
              </w:rPr>
              <w:t>CONFIDENTIAL</w:t>
            </w: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8"/>
          </w:tcPr>
          <w:p>
            <w:pPr>
              <w:jc w:val="center"/>
              <w:ind w:right="351"/>
              <w:spacing w:after="0"/>
              <w:rPr>
                <w:sz w:val="20"/>
                <w:szCs w:val="20"/>
                <w:color w:val="auto"/>
              </w:rPr>
            </w:pPr>
            <w:r>
              <w:rPr>
                <w:rFonts w:ascii="Arial" w:cs="Arial" w:eastAsia="Arial" w:hAnsi="Arial"/>
                <w:sz w:val="17"/>
                <w:szCs w:val="17"/>
                <w:color w:val="auto"/>
                <w:w w:val="93"/>
              </w:rPr>
              <w:t>Safety and Feasibility study of BL-1040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left="213"/>
              <w:spacing w:after="0"/>
              <w:rPr>
                <w:sz w:val="20"/>
                <w:szCs w:val="20"/>
                <w:color w:val="auto"/>
              </w:rPr>
            </w:pPr>
            <w:r>
              <w:rPr>
                <w:rFonts w:ascii="Arial" w:cs="Arial" w:eastAsia="Arial" w:hAnsi="Arial"/>
                <w:sz w:val="17"/>
                <w:szCs w:val="17"/>
                <w:b w:val="1"/>
                <w:bCs w:val="1"/>
                <w:color w:val="auto"/>
                <w:w w:val="95"/>
              </w:rPr>
              <w:t>Final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1700" w:type="dxa"/>
            <w:vAlign w:val="bottom"/>
          </w:tcPr>
          <w:p>
            <w:pPr>
              <w:spacing w:after="0"/>
              <w:rPr>
                <w:sz w:val="20"/>
                <w:szCs w:val="20"/>
                <w:color w:val="auto"/>
              </w:rPr>
            </w:pPr>
            <w:r>
              <w:rPr>
                <w:rFonts w:ascii="Arial" w:cs="Arial" w:eastAsia="Arial" w:hAnsi="Arial"/>
                <w:sz w:val="17"/>
                <w:szCs w:val="17"/>
                <w:b w:val="1"/>
                <w:bCs w:val="1"/>
                <w:color w:val="auto"/>
              </w:rPr>
              <w:t>Table 6.1</w:t>
            </w:r>
          </w:p>
        </w:tc>
        <w:tc>
          <w:tcPr>
            <w:tcW w:w="1500" w:type="dxa"/>
            <w:vAlign w:val="bottom"/>
            <w:gridSpan w:val="2"/>
          </w:tcPr>
          <w:p>
            <w:pPr>
              <w:ind w:left="80"/>
              <w:spacing w:after="0"/>
              <w:rPr>
                <w:sz w:val="20"/>
                <w:szCs w:val="20"/>
                <w:color w:val="auto"/>
              </w:rPr>
            </w:pPr>
            <w:r>
              <w:rPr>
                <w:rFonts w:ascii="Arial" w:cs="Arial" w:eastAsia="Arial" w:hAnsi="Arial"/>
                <w:sz w:val="17"/>
                <w:szCs w:val="17"/>
                <w:b w:val="1"/>
                <w:bCs w:val="1"/>
                <w:color w:val="auto"/>
                <w:w w:val="89"/>
              </w:rPr>
              <w:t>Schedule of Events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Visits/Week</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rPr>
              <w:t>Hospitalization</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Post discharge follow-up</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2"/>
              </w:rPr>
              <w:t>Follow-up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85"/>
              </w:rPr>
              <w:t>Screening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00"/>
              <w:spacing w:after="0" w:line="141" w:lineRule="exact"/>
              <w:rPr>
                <w:sz w:val="20"/>
                <w:szCs w:val="20"/>
                <w:color w:val="auto"/>
              </w:rPr>
            </w:pPr>
            <w:r>
              <w:rPr>
                <w:rFonts w:ascii="Arial" w:cs="Arial" w:eastAsia="Arial" w:hAnsi="Arial"/>
                <w:sz w:val="14"/>
                <w:szCs w:val="14"/>
                <w:color w:val="auto"/>
                <w:w w:val="87"/>
              </w:rPr>
              <w:t>Telephone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w w:val="88"/>
              </w:rPr>
              <w:t>Day 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
              <w:spacing w:after="0" w:line="141" w:lineRule="exact"/>
              <w:rPr>
                <w:sz w:val="20"/>
                <w:szCs w:val="20"/>
                <w:color w:val="auto"/>
              </w:rPr>
            </w:pPr>
            <w:r>
              <w:rPr>
                <w:rFonts w:ascii="Arial" w:cs="Arial" w:eastAsia="Arial" w:hAnsi="Arial"/>
                <w:sz w:val="14"/>
                <w:szCs w:val="14"/>
                <w:color w:val="auto"/>
                <w:w w:val="88"/>
              </w:rPr>
              <w:t>Safety Visits</w:t>
            </w: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0"/>
              </w:rPr>
              <w:t>Day (-7)</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87"/>
              </w:rPr>
              <w:t>Day 1</w:t>
            </w:r>
          </w:p>
        </w:tc>
        <w:tc>
          <w:tcPr>
            <w:tcW w:w="10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Arial" w:cs="Arial" w:eastAsia="Arial" w:hAnsi="Arial"/>
                <w:sz w:val="14"/>
                <w:szCs w:val="14"/>
                <w:color w:val="auto"/>
                <w:w w:val="96"/>
              </w:rPr>
              <w:t>Daily</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60"/>
              <w:spacing w:after="0" w:line="141" w:lineRule="exact"/>
              <w:rPr>
                <w:sz w:val="20"/>
                <w:szCs w:val="20"/>
                <w:color w:val="auto"/>
              </w:rPr>
            </w:pPr>
            <w:r>
              <w:rPr>
                <w:rFonts w:ascii="Arial" w:cs="Arial" w:eastAsia="Arial" w:hAnsi="Arial"/>
                <w:sz w:val="14"/>
                <w:szCs w:val="14"/>
                <w:color w:val="auto"/>
                <w:w w:val="86"/>
              </w:rPr>
              <w:t>Contact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31"/>
              <w:spacing w:after="0" w:line="141" w:lineRule="exact"/>
              <w:rPr>
                <w:sz w:val="20"/>
                <w:szCs w:val="20"/>
                <w:color w:val="auto"/>
              </w:rPr>
            </w:pPr>
            <w:r>
              <w:rPr>
                <w:rFonts w:ascii="Arial" w:cs="Arial" w:eastAsia="Arial" w:hAnsi="Arial"/>
                <w:sz w:val="14"/>
                <w:szCs w:val="14"/>
                <w:color w:val="auto"/>
                <w:w w:val="90"/>
              </w:rPr>
              <w:t>(± 7 days)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
              <w:spacing w:after="0" w:line="141" w:lineRule="exact"/>
              <w:rPr>
                <w:sz w:val="20"/>
                <w:szCs w:val="20"/>
                <w:color w:val="auto"/>
              </w:rPr>
            </w:pPr>
            <w:r>
              <w:rPr>
                <w:rFonts w:ascii="Arial" w:cs="Arial" w:eastAsia="Arial" w:hAnsi="Arial"/>
                <w:sz w:val="14"/>
                <w:szCs w:val="14"/>
                <w:color w:val="auto"/>
                <w:w w:val="91"/>
              </w:rPr>
              <w:t>(Months 12,</w:t>
            </w: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85"/>
              </w:rPr>
              <w:t>to</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3"/>
              </w:rPr>
              <w:t>Day of</w:t>
            </w:r>
          </w:p>
        </w:tc>
        <w:tc>
          <w:tcPr>
            <w:tcW w:w="10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Arial" w:cs="Arial" w:eastAsia="Arial" w:hAnsi="Arial"/>
                <w:sz w:val="14"/>
                <w:szCs w:val="14"/>
                <w:color w:val="auto"/>
                <w:w w:val="87"/>
              </w:rPr>
              <w:t>during</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3"/>
              </w:rPr>
              <w:t>Day of</w:t>
            </w:r>
          </w:p>
        </w:tc>
        <w:tc>
          <w:tcPr>
            <w:tcW w:w="120" w:type="dxa"/>
            <w:vAlign w:val="bottom"/>
          </w:tcPr>
          <w:p>
            <w:pPr>
              <w:spacing w:after="0"/>
              <w:rPr>
                <w:sz w:val="12"/>
                <w:szCs w:val="12"/>
                <w:color w:val="auto"/>
              </w:rPr>
            </w:pPr>
          </w:p>
        </w:tc>
        <w:tc>
          <w:tcPr>
            <w:tcW w:w="900" w:type="dxa"/>
            <w:vAlign w:val="bottom"/>
            <w:gridSpan w:val="3"/>
          </w:tcPr>
          <w:p>
            <w:pPr>
              <w:jc w:val="center"/>
              <w:ind w:right="200"/>
              <w:spacing w:after="0" w:line="141" w:lineRule="exact"/>
              <w:rPr>
                <w:sz w:val="20"/>
                <w:szCs w:val="20"/>
                <w:color w:val="auto"/>
              </w:rPr>
            </w:pPr>
            <w:r>
              <w:rPr>
                <w:rFonts w:ascii="Arial" w:cs="Arial" w:eastAsia="Arial" w:hAnsi="Arial"/>
                <w:sz w:val="14"/>
                <w:szCs w:val="14"/>
                <w:color w:val="auto"/>
                <w:w w:val="92"/>
              </w:rPr>
              <w:t>Day 8</w:t>
            </w:r>
          </w:p>
        </w:tc>
        <w:tc>
          <w:tcPr>
            <w:tcW w:w="700" w:type="dxa"/>
            <w:vAlign w:val="bottom"/>
          </w:tcPr>
          <w:p>
            <w:pPr>
              <w:jc w:val="center"/>
              <w:ind w:right="31"/>
              <w:spacing w:after="0" w:line="141" w:lineRule="exact"/>
              <w:rPr>
                <w:sz w:val="20"/>
                <w:szCs w:val="20"/>
                <w:color w:val="auto"/>
              </w:rPr>
            </w:pPr>
            <w:r>
              <w:rPr>
                <w:rFonts w:ascii="Arial" w:cs="Arial" w:eastAsia="Arial" w:hAnsi="Arial"/>
                <w:sz w:val="14"/>
                <w:szCs w:val="14"/>
                <w:color w:val="auto"/>
                <w:w w:val="90"/>
              </w:rPr>
              <w:t>Day 30</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w w:val="90"/>
              </w:rPr>
              <w:t>Day 90</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w w:val="93"/>
              </w:rPr>
              <w:t>End of</w:t>
            </w:r>
          </w:p>
        </w:tc>
        <w:tc>
          <w:tcPr>
            <w:tcW w:w="1320" w:type="dxa"/>
            <w:vAlign w:val="bottom"/>
            <w:gridSpan w:val="3"/>
          </w:tcPr>
          <w:p>
            <w:pPr>
              <w:jc w:val="center"/>
              <w:ind w:left="123"/>
              <w:spacing w:after="0" w:line="141" w:lineRule="exact"/>
              <w:rPr>
                <w:sz w:val="20"/>
                <w:szCs w:val="20"/>
                <w:color w:val="auto"/>
              </w:rPr>
            </w:pPr>
            <w:r>
              <w:rPr>
                <w:rFonts w:ascii="Arial" w:cs="Arial" w:eastAsia="Arial" w:hAnsi="Arial"/>
                <w:sz w:val="14"/>
                <w:szCs w:val="14"/>
                <w:color w:val="auto"/>
                <w:w w:val="88"/>
              </w:rPr>
              <w:t>24, 36, 48 60,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00" w:type="dxa"/>
            <w:vAlign w:val="bottom"/>
            <w:gridSpan w:val="3"/>
          </w:tcPr>
          <w:p>
            <w:pPr>
              <w:ind w:left="1240"/>
              <w:spacing w:after="0" w:line="160" w:lineRule="exact"/>
              <w:rPr>
                <w:sz w:val="20"/>
                <w:szCs w:val="20"/>
                <w:color w:val="auto"/>
              </w:rPr>
            </w:pPr>
            <w:r>
              <w:rPr>
                <w:rFonts w:ascii="Arial" w:cs="Arial" w:eastAsia="Arial" w:hAnsi="Arial"/>
                <w:sz w:val="14"/>
                <w:szCs w:val="14"/>
                <w:color w:val="auto"/>
              </w:rPr>
              <w:t>Study days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0"/>
              </w:rPr>
              <w:t>Day (-1)</w:t>
            </w:r>
          </w:p>
        </w:tc>
        <w:tc>
          <w:tcPr>
            <w:tcW w:w="120" w:type="dxa"/>
            <w:vAlign w:val="bottom"/>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1"/>
              </w:rPr>
              <w:t>application</w:t>
            </w:r>
            <w:r>
              <w:rPr>
                <w:rFonts w:ascii="Arial" w:cs="Arial" w:eastAsia="Arial" w:hAnsi="Arial"/>
                <w:sz w:val="9"/>
                <w:szCs w:val="9"/>
                <w:color w:val="auto"/>
                <w:w w:val="91"/>
              </w:rPr>
              <w:t>1</w:t>
            </w:r>
          </w:p>
        </w:tc>
        <w:tc>
          <w:tcPr>
            <w:tcW w:w="100" w:type="dxa"/>
            <w:vAlign w:val="bottom"/>
          </w:tcPr>
          <w:p>
            <w:pPr>
              <w:spacing w:after="0"/>
              <w:rPr>
                <w:sz w:val="14"/>
                <w:szCs w:val="14"/>
                <w:color w:val="auto"/>
              </w:rPr>
            </w:pPr>
          </w:p>
        </w:tc>
        <w:tc>
          <w:tcPr>
            <w:tcW w:w="940" w:type="dxa"/>
            <w:vAlign w:val="bottom"/>
          </w:tcPr>
          <w:p>
            <w:pPr>
              <w:jc w:val="center"/>
              <w:spacing w:after="0" w:line="160" w:lineRule="exact"/>
              <w:rPr>
                <w:sz w:val="20"/>
                <w:szCs w:val="20"/>
                <w:color w:val="auto"/>
              </w:rPr>
            </w:pPr>
            <w:r>
              <w:rPr>
                <w:rFonts w:ascii="Arial" w:cs="Arial" w:eastAsia="Arial" w:hAnsi="Arial"/>
                <w:sz w:val="14"/>
                <w:szCs w:val="14"/>
                <w:color w:val="auto"/>
                <w:w w:val="91"/>
              </w:rPr>
              <w:t>hospitalization</w:t>
            </w:r>
            <w:r>
              <w:rPr>
                <w:rFonts w:ascii="Arial" w:cs="Arial" w:eastAsia="Arial" w:hAnsi="Arial"/>
                <w:sz w:val="9"/>
                <w:szCs w:val="9"/>
                <w:color w:val="auto"/>
                <w:w w:val="91"/>
              </w:rPr>
              <w:t>2</w:t>
            </w:r>
          </w:p>
        </w:tc>
        <w:tc>
          <w:tcPr>
            <w:tcW w:w="100" w:type="dxa"/>
            <w:vAlign w:val="bottom"/>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85"/>
              </w:rPr>
              <w:t>discharge</w:t>
            </w:r>
          </w:p>
        </w:tc>
        <w:tc>
          <w:tcPr>
            <w:tcW w:w="120" w:type="dxa"/>
            <w:vAlign w:val="bottom"/>
          </w:tcPr>
          <w:p>
            <w:pPr>
              <w:spacing w:after="0"/>
              <w:rPr>
                <w:sz w:val="14"/>
                <w:szCs w:val="14"/>
                <w:color w:val="auto"/>
              </w:rPr>
            </w:pPr>
          </w:p>
        </w:tc>
        <w:tc>
          <w:tcPr>
            <w:tcW w:w="900" w:type="dxa"/>
            <w:vAlign w:val="bottom"/>
            <w:gridSpan w:val="3"/>
          </w:tcPr>
          <w:p>
            <w:pPr>
              <w:jc w:val="center"/>
              <w:ind w:right="200"/>
              <w:spacing w:after="0" w:line="160" w:lineRule="exact"/>
              <w:rPr>
                <w:sz w:val="20"/>
                <w:szCs w:val="20"/>
                <w:color w:val="auto"/>
              </w:rPr>
            </w:pPr>
            <w:r>
              <w:rPr>
                <w:rFonts w:ascii="Arial" w:cs="Arial" w:eastAsia="Arial" w:hAnsi="Arial"/>
                <w:sz w:val="14"/>
                <w:szCs w:val="14"/>
                <w:color w:val="auto"/>
                <w:w w:val="90"/>
              </w:rPr>
              <w:t>(± 1 day)</w:t>
            </w:r>
          </w:p>
        </w:tc>
        <w:tc>
          <w:tcPr>
            <w:tcW w:w="700" w:type="dxa"/>
            <w:vAlign w:val="bottom"/>
          </w:tcPr>
          <w:p>
            <w:pPr>
              <w:jc w:val="center"/>
              <w:ind w:right="31"/>
              <w:spacing w:after="0" w:line="160" w:lineRule="exact"/>
              <w:rPr>
                <w:sz w:val="20"/>
                <w:szCs w:val="20"/>
                <w:color w:val="auto"/>
              </w:rPr>
            </w:pPr>
            <w:r>
              <w:rPr>
                <w:rFonts w:ascii="Arial" w:cs="Arial" w:eastAsia="Arial" w:hAnsi="Arial"/>
                <w:sz w:val="14"/>
                <w:szCs w:val="14"/>
                <w:color w:val="auto"/>
                <w:w w:val="90"/>
              </w:rPr>
              <w:t>(± 5 days)</w:t>
            </w:r>
          </w:p>
        </w:tc>
        <w:tc>
          <w:tcPr>
            <w:tcW w:w="100" w:type="dxa"/>
            <w:vAlign w:val="bottom"/>
          </w:tcPr>
          <w:p>
            <w:pPr>
              <w:spacing w:after="0"/>
              <w:rPr>
                <w:sz w:val="14"/>
                <w:szCs w:val="14"/>
                <w:color w:val="auto"/>
              </w:rPr>
            </w:pPr>
          </w:p>
        </w:tc>
        <w:tc>
          <w:tcPr>
            <w:tcW w:w="800" w:type="dxa"/>
            <w:vAlign w:val="bottom"/>
          </w:tcPr>
          <w:p>
            <w:pPr>
              <w:jc w:val="center"/>
              <w:spacing w:after="0" w:line="160" w:lineRule="exact"/>
              <w:rPr>
                <w:sz w:val="20"/>
                <w:szCs w:val="20"/>
                <w:color w:val="auto"/>
              </w:rPr>
            </w:pPr>
            <w:r>
              <w:rPr>
                <w:rFonts w:ascii="Arial" w:cs="Arial" w:eastAsia="Arial" w:hAnsi="Arial"/>
                <w:sz w:val="14"/>
                <w:szCs w:val="14"/>
                <w:color w:val="auto"/>
                <w:w w:val="90"/>
              </w:rPr>
              <w:t>(± 5 days)</w:t>
            </w:r>
          </w:p>
        </w:tc>
        <w:tc>
          <w:tcPr>
            <w:tcW w:w="100" w:type="dxa"/>
            <w:vAlign w:val="bottom"/>
          </w:tcPr>
          <w:p>
            <w:pPr>
              <w:spacing w:after="0"/>
              <w:rPr>
                <w:sz w:val="14"/>
                <w:szCs w:val="14"/>
                <w:color w:val="auto"/>
              </w:rPr>
            </w:pPr>
          </w:p>
        </w:tc>
        <w:tc>
          <w:tcPr>
            <w:tcW w:w="820" w:type="dxa"/>
            <w:vAlign w:val="bottom"/>
          </w:tcPr>
          <w:p>
            <w:pPr>
              <w:jc w:val="center"/>
              <w:ind w:left="11"/>
              <w:spacing w:after="0" w:line="160" w:lineRule="exact"/>
              <w:rPr>
                <w:sz w:val="20"/>
                <w:szCs w:val="20"/>
                <w:color w:val="auto"/>
              </w:rPr>
            </w:pPr>
            <w:r>
              <w:rPr>
                <w:rFonts w:ascii="Arial" w:cs="Arial" w:eastAsia="Arial" w:hAnsi="Arial"/>
                <w:sz w:val="14"/>
                <w:szCs w:val="14"/>
                <w:color w:val="auto"/>
                <w:w w:val="93"/>
              </w:rPr>
              <w:t>Study Visit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
              <w:spacing w:after="0" w:line="160" w:lineRule="exact"/>
              <w:rPr>
                <w:sz w:val="20"/>
                <w:szCs w:val="20"/>
                <w:color w:val="auto"/>
              </w:rPr>
            </w:pPr>
            <w:r>
              <w:rPr>
                <w:rFonts w:ascii="Arial" w:cs="Arial" w:eastAsia="Arial" w:hAnsi="Arial"/>
                <w:sz w:val="14"/>
                <w:szCs w:val="14"/>
                <w:color w:val="auto"/>
                <w:w w:val="85"/>
              </w:rPr>
              <w:t>± 30 days)</w:t>
            </w:r>
          </w:p>
        </w:tc>
        <w:tc>
          <w:tcPr>
            <w:tcW w:w="0" w:type="dxa"/>
            <w:vAlign w:val="bottom"/>
          </w:tcPr>
          <w:p>
            <w:pPr>
              <w:spacing w:after="0"/>
              <w:rPr>
                <w:sz w:val="1"/>
                <w:szCs w:val="1"/>
                <w:color w:val="auto"/>
              </w:rPr>
            </w:pPr>
          </w:p>
        </w:tc>
      </w:tr>
      <w:tr>
        <w:trPr>
          <w:trHeight w:val="141"/>
        </w:trPr>
        <w:tc>
          <w:tcPr>
            <w:tcW w:w="1700" w:type="dxa"/>
            <w:vAlign w:val="bottom"/>
            <w:tcBorders>
              <w:top w:val="single" w:sz="8" w:color="auto"/>
            </w:tcBorders>
            <w:shd w:val="clear" w:color="auto" w:fill="CCFFCC"/>
          </w:tcPr>
          <w:p>
            <w:pPr>
              <w:spacing w:after="0" w:line="141" w:lineRule="exact"/>
              <w:rPr>
                <w:sz w:val="20"/>
                <w:szCs w:val="20"/>
                <w:color w:val="auto"/>
              </w:rPr>
            </w:pPr>
            <w:r>
              <w:rPr>
                <w:rFonts w:ascii="Arial" w:cs="Arial" w:eastAsia="Arial" w:hAnsi="Arial"/>
                <w:sz w:val="14"/>
                <w:szCs w:val="14"/>
                <w:color w:val="auto"/>
              </w:rPr>
              <w:t>AMI</w:t>
            </w:r>
          </w:p>
        </w:tc>
        <w:tc>
          <w:tcPr>
            <w:tcW w:w="13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Hospitalization</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gridSpan w:val="7"/>
          </w:tcPr>
          <w:p>
            <w:pPr>
              <w:ind w:left="80"/>
              <w:spacing w:after="0" w:line="141" w:lineRule="exact"/>
              <w:rPr>
                <w:sz w:val="20"/>
                <w:szCs w:val="20"/>
                <w:color w:val="auto"/>
              </w:rPr>
            </w:pPr>
            <w:r>
              <w:rPr>
                <w:rFonts w:ascii="Arial" w:cs="Arial" w:eastAsia="Arial" w:hAnsi="Arial"/>
                <w:sz w:val="14"/>
                <w:szCs w:val="14"/>
                <w:color w:val="auto"/>
              </w:rPr>
              <w:t>&lt;-----------------------X----------------------------------&gt;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shd w:val="clear" w:color="auto" w:fill="CCFFCC"/>
          </w:tcPr>
          <w:p>
            <w:pPr>
              <w:spacing w:after="0" w:line="141" w:lineRule="exact"/>
              <w:rPr>
                <w:sz w:val="20"/>
                <w:szCs w:val="20"/>
                <w:color w:val="auto"/>
              </w:rPr>
            </w:pPr>
            <w:r>
              <w:rPr>
                <w:rFonts w:ascii="Arial" w:cs="Arial" w:eastAsia="Arial" w:hAnsi="Arial"/>
                <w:sz w:val="14"/>
                <w:szCs w:val="14"/>
                <w:color w:val="auto"/>
              </w:rPr>
              <w:t>Coronary angiography, PCI, stent</w:t>
            </w:r>
            <w:r>
              <w:rPr>
                <w:rFonts w:ascii="Arial" w:cs="Arial" w:eastAsia="Arial" w:hAnsi="Arial"/>
                <w:sz w:val="9"/>
                <w:szCs w:val="9"/>
                <w:color w:val="auto"/>
              </w:rPr>
              <w:t>3</w:t>
            </w: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Informed consent</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Inclusion/exclusion criteria</w:t>
            </w: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Pregnancy test</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shd w:val="clear" w:color="auto" w:fill="CCFFCC"/>
          </w:tcPr>
          <w:p>
            <w:pPr>
              <w:spacing w:after="0" w:line="141" w:lineRule="exact"/>
              <w:rPr>
                <w:sz w:val="20"/>
                <w:szCs w:val="20"/>
                <w:color w:val="auto"/>
              </w:rPr>
            </w:pPr>
            <w:r>
              <w:rPr>
                <w:rFonts w:ascii="Arial" w:cs="Arial" w:eastAsia="Arial" w:hAnsi="Arial"/>
                <w:sz w:val="14"/>
                <w:szCs w:val="14"/>
                <w:color w:val="auto"/>
              </w:rPr>
              <w:t>Demography; medical history; concurrent illnesses</w:t>
            </w: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Physical examination</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shd w:val="clear" w:color="auto" w:fill="CCFFCC"/>
          </w:tcPr>
          <w:p>
            <w:pPr>
              <w:spacing w:after="0" w:line="141" w:lineRule="exact"/>
              <w:rPr>
                <w:sz w:val="20"/>
                <w:szCs w:val="20"/>
                <w:color w:val="auto"/>
              </w:rPr>
            </w:pPr>
            <w:r>
              <w:rPr>
                <w:rFonts w:ascii="Arial" w:cs="Arial" w:eastAsia="Arial" w:hAnsi="Arial"/>
                <w:sz w:val="14"/>
                <w:szCs w:val="14"/>
                <w:color w:val="auto"/>
              </w:rPr>
              <w:t>Vital signs (temperature, arterial BP, weight)</w:t>
            </w: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12-lead ECG</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2"/>
                <w:szCs w:val="12"/>
                <w:color w:val="auto"/>
              </w:rPr>
              <w:t>X</w:t>
            </w:r>
            <w:r>
              <w:rPr>
                <w:rFonts w:ascii="Arial" w:cs="Arial" w:eastAsia="Arial" w:hAnsi="Arial"/>
                <w:sz w:val="16"/>
                <w:szCs w:val="16"/>
                <w:color w:val="auto"/>
                <w:vertAlign w:val="superscript"/>
              </w:rPr>
              <w:t>4</w:t>
            </w:r>
          </w:p>
        </w:tc>
        <w:tc>
          <w:tcPr>
            <w:tcW w:w="10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w w:val="91"/>
              </w:rPr>
              <w:t>Laboratory safety parameters</w:t>
            </w: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6"/>
                <w:szCs w:val="16"/>
                <w:color w:val="auto"/>
                <w:vertAlign w:val="subscript"/>
              </w:rPr>
              <w:t>X</w:t>
            </w:r>
            <w:r>
              <w:rPr>
                <w:rFonts w:ascii="Arial" w:cs="Arial" w:eastAsia="Arial" w:hAnsi="Arial"/>
                <w:sz w:val="7"/>
                <w:szCs w:val="7"/>
                <w:color w:val="auto"/>
              </w:rPr>
              <w:t>5</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6"/>
                <w:szCs w:val="16"/>
                <w:color w:val="auto"/>
                <w:vertAlign w:val="subscript"/>
              </w:rPr>
              <w:t>X</w:t>
            </w:r>
            <w:r>
              <w:rPr>
                <w:rFonts w:ascii="Arial" w:cs="Arial" w:eastAsia="Arial" w:hAnsi="Arial"/>
                <w:sz w:val="7"/>
                <w:szCs w:val="7"/>
                <w:color w:val="auto"/>
              </w:rPr>
              <w:t>6</w:t>
            </w: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6"/>
                <w:szCs w:val="16"/>
                <w:color w:val="auto"/>
                <w:vertAlign w:val="subscript"/>
              </w:rPr>
              <w:t>X</w:t>
            </w:r>
            <w:r>
              <w:rPr>
                <w:rFonts w:ascii="Arial" w:cs="Arial" w:eastAsia="Arial" w:hAnsi="Arial"/>
                <w:sz w:val="7"/>
                <w:szCs w:val="7"/>
                <w:color w:val="auto"/>
              </w:rPr>
              <w:t>6</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Total CK/CK MB</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w w:val="97"/>
              </w:rPr>
              <w:t>X</w:t>
            </w:r>
            <w:r>
              <w:rPr>
                <w:rFonts w:ascii="Arial" w:cs="Arial" w:eastAsia="Arial" w:hAnsi="Arial"/>
                <w:sz w:val="9"/>
                <w:szCs w:val="9"/>
                <w:color w:val="auto"/>
                <w:w w:val="97"/>
              </w:rPr>
              <w:t>7</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rPr>
              <w:t>NT-proBNP</w:t>
            </w: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w w:val="97"/>
              </w:rPr>
              <w:t>X</w:t>
            </w:r>
            <w:r>
              <w:rPr>
                <w:rFonts w:ascii="Arial" w:cs="Arial" w:eastAsia="Arial" w:hAnsi="Arial"/>
                <w:sz w:val="9"/>
                <w:szCs w:val="9"/>
                <w:color w:val="auto"/>
                <w:w w:val="97"/>
              </w:rPr>
              <w:t>6</w:t>
            </w: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w w:val="97"/>
              </w:rPr>
              <w:t>X</w:t>
            </w:r>
            <w:r>
              <w:rPr>
                <w:rFonts w:ascii="Arial" w:cs="Arial" w:eastAsia="Arial" w:hAnsi="Arial"/>
                <w:sz w:val="9"/>
                <w:szCs w:val="9"/>
                <w:color w:val="auto"/>
                <w:w w:val="97"/>
              </w:rPr>
              <w:t>6</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line="141" w:lineRule="exact"/>
              <w:rPr>
                <w:sz w:val="20"/>
                <w:szCs w:val="20"/>
                <w:color w:val="auto"/>
              </w:rPr>
            </w:pPr>
            <w:r>
              <w:rPr>
                <w:rFonts w:ascii="Arial" w:cs="Arial" w:eastAsia="Arial" w:hAnsi="Arial"/>
                <w:sz w:val="14"/>
                <w:szCs w:val="14"/>
                <w:color w:val="auto"/>
              </w:rPr>
              <w:t>Echocardiography/MRI</w:t>
            </w:r>
            <w:r>
              <w:rPr>
                <w:rFonts w:ascii="Arial" w:cs="Arial" w:eastAsia="Arial" w:hAnsi="Arial"/>
                <w:sz w:val="9"/>
                <w:szCs w:val="9"/>
                <w:color w:val="auto"/>
              </w:rPr>
              <w:t>8</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w w:val="96"/>
              </w:rPr>
              <w:t>Continuous ECG monitoring</w:t>
            </w: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2" w:lineRule="exact"/>
              <w:rPr>
                <w:sz w:val="20"/>
                <w:szCs w:val="20"/>
                <w:color w:val="auto"/>
              </w:rPr>
            </w:pPr>
            <w:r>
              <w:rPr>
                <w:rFonts w:ascii="Arial" w:cs="Arial" w:eastAsia="Arial" w:hAnsi="Arial"/>
                <w:sz w:val="16"/>
                <w:szCs w:val="16"/>
                <w:color w:val="auto"/>
                <w:vertAlign w:val="subscript"/>
              </w:rPr>
              <w:t>X</w:t>
            </w:r>
            <w:r>
              <w:rPr>
                <w:rFonts w:ascii="Arial" w:cs="Arial" w:eastAsia="Arial" w:hAnsi="Arial"/>
                <w:sz w:val="7"/>
                <w:szCs w:val="7"/>
                <w:color w:val="auto"/>
              </w:rPr>
              <w:t>9</w:t>
            </w: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200" w:type="dxa"/>
            <w:vAlign w:val="bottom"/>
            <w:gridSpan w:val="3"/>
          </w:tcPr>
          <w:p>
            <w:pPr>
              <w:spacing w:after="0" w:line="123" w:lineRule="exact"/>
              <w:rPr>
                <w:sz w:val="20"/>
                <w:szCs w:val="20"/>
                <w:color w:val="auto"/>
              </w:rPr>
            </w:pPr>
            <w:r>
              <w:rPr>
                <w:rFonts w:ascii="Arial" w:cs="Arial" w:eastAsia="Arial" w:hAnsi="Arial"/>
                <w:sz w:val="14"/>
                <w:szCs w:val="14"/>
                <w:color w:val="auto"/>
              </w:rPr>
              <w:t>Cardiac catheterization; application of BL-1040;</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00" w:type="dxa"/>
            <w:vAlign w:val="bottom"/>
            <w:vMerge w:val="restart"/>
          </w:tcPr>
          <w:p>
            <w:pPr>
              <w:ind w:left="160"/>
              <w:spacing w:after="0" w:line="160" w:lineRule="exact"/>
              <w:rPr>
                <w:sz w:val="20"/>
                <w:szCs w:val="20"/>
                <w:color w:val="auto"/>
              </w:rPr>
            </w:pPr>
            <w:r>
              <w:rPr>
                <w:rFonts w:ascii="Arial" w:cs="Arial" w:eastAsia="Arial" w:hAnsi="Arial"/>
                <w:sz w:val="14"/>
                <w:szCs w:val="14"/>
                <w:color w:val="auto"/>
              </w:rPr>
              <w:t>coronary angiography</w:t>
            </w: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FFCC"/>
          </w:tcPr>
          <w:p>
            <w:pPr>
              <w:spacing w:after="0" w:line="141" w:lineRule="exact"/>
              <w:rPr>
                <w:sz w:val="20"/>
                <w:szCs w:val="20"/>
                <w:color w:val="auto"/>
              </w:rPr>
            </w:pPr>
            <w:r>
              <w:rPr>
                <w:rFonts w:ascii="Arial" w:cs="Arial" w:eastAsia="Arial" w:hAnsi="Arial"/>
                <w:sz w:val="14"/>
                <w:szCs w:val="14"/>
                <w:color w:val="auto"/>
                <w:w w:val="98"/>
              </w:rPr>
              <w:t>PTT or ACT measurements</w:t>
            </w: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r>
              <w:rPr>
                <w:rFonts w:ascii="Arial" w:cs="Arial" w:eastAsia="Arial" w:hAnsi="Arial"/>
                <w:sz w:val="9"/>
                <w:szCs w:val="9"/>
                <w:color w:val="auto"/>
              </w:rPr>
              <w:t>10</w:t>
            </w: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tcPr>
          <w:p>
            <w:pPr>
              <w:spacing w:after="0" w:line="141" w:lineRule="exact"/>
              <w:rPr>
                <w:sz w:val="20"/>
                <w:szCs w:val="20"/>
                <w:color w:val="auto"/>
              </w:rPr>
            </w:pPr>
            <w:r>
              <w:rPr>
                <w:rFonts w:ascii="Arial" w:cs="Arial" w:eastAsia="Arial" w:hAnsi="Arial"/>
                <w:sz w:val="14"/>
                <w:szCs w:val="14"/>
                <w:color w:val="auto"/>
              </w:rPr>
              <w:t>24-hour ambulatory Holter monitoring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shd w:val="clear" w:color="auto" w:fill="CCFFCC"/>
          </w:tcPr>
          <w:p>
            <w:pPr>
              <w:spacing w:after="0" w:line="141" w:lineRule="exact"/>
              <w:rPr>
                <w:sz w:val="20"/>
                <w:szCs w:val="20"/>
                <w:color w:val="auto"/>
              </w:rPr>
            </w:pPr>
            <w:r>
              <w:rPr>
                <w:rFonts w:ascii="Arial" w:cs="Arial" w:eastAsia="Arial" w:hAnsi="Arial"/>
                <w:sz w:val="14"/>
                <w:szCs w:val="14"/>
                <w:color w:val="auto"/>
              </w:rPr>
              <w:t>Safety contact for discharged patients</w:t>
            </w: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gridSpan w:val="3"/>
            <w:shd w:val="clear" w:color="auto" w:fill="CCFFCC"/>
          </w:tcPr>
          <w:p>
            <w:pPr>
              <w:jc w:val="center"/>
              <w:ind w:right="200"/>
              <w:spacing w:after="0" w:line="141" w:lineRule="exact"/>
              <w:rPr>
                <w:sz w:val="20"/>
                <w:szCs w:val="20"/>
                <w:color w:val="auto"/>
              </w:rPr>
            </w:pPr>
            <w:r>
              <w:rPr>
                <w:rFonts w:ascii="Arial" w:cs="Arial" w:eastAsia="Arial" w:hAnsi="Arial"/>
                <w:sz w:val="14"/>
                <w:szCs w:val="14"/>
                <w:color w:val="auto"/>
              </w:rPr>
              <w:t>X</w:t>
            </w: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tcPr>
          <w:p>
            <w:pPr>
              <w:spacing w:after="0" w:line="141" w:lineRule="exact"/>
              <w:rPr>
                <w:sz w:val="20"/>
                <w:szCs w:val="20"/>
                <w:color w:val="auto"/>
              </w:rPr>
            </w:pPr>
            <w:r>
              <w:rPr>
                <w:rFonts w:ascii="Arial" w:cs="Arial" w:eastAsia="Arial" w:hAnsi="Arial"/>
                <w:sz w:val="14"/>
                <w:szCs w:val="14"/>
                <w:color w:val="auto"/>
              </w:rPr>
              <w:t>Minnesota Living with Heart FailureÒ</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820" w:type="dxa"/>
            <w:vAlign w:val="bottom"/>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gridSpan w:val="3"/>
            <w:shd w:val="clear" w:color="auto" w:fill="CCFFCC"/>
          </w:tcPr>
          <w:p>
            <w:pPr>
              <w:spacing w:after="0" w:line="141" w:lineRule="exact"/>
              <w:rPr>
                <w:sz w:val="20"/>
                <w:szCs w:val="20"/>
                <w:color w:val="auto"/>
              </w:rPr>
            </w:pPr>
            <w:r>
              <w:rPr>
                <w:rFonts w:ascii="Arial" w:cs="Arial" w:eastAsia="Arial" w:hAnsi="Arial"/>
                <w:sz w:val="14"/>
                <w:szCs w:val="14"/>
                <w:color w:val="auto"/>
                <w:w w:val="97"/>
              </w:rPr>
              <w:t>Serious/Adverse events and concomitant medication</w:t>
            </w: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94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center"/>
              <w:ind w:right="5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center"/>
              <w:ind w:left="11"/>
              <w:spacing w:after="0" w:line="141" w:lineRule="exact"/>
              <w:rPr>
                <w:sz w:val="20"/>
                <w:szCs w:val="20"/>
                <w:color w:val="auto"/>
              </w:rPr>
            </w:pPr>
            <w:r>
              <w:rPr>
                <w:rFonts w:ascii="Arial" w:cs="Arial" w:eastAsia="Arial" w:hAnsi="Arial"/>
                <w:sz w:val="14"/>
                <w:szCs w:val="14"/>
                <w:color w:val="auto"/>
              </w:rPr>
              <w:t>X</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shd w:val="clear" w:color="auto" w:fill="CCFFCC"/>
          </w:tcPr>
          <w:p>
            <w:pPr>
              <w:jc w:val="center"/>
              <w:spacing w:after="0" w:line="141" w:lineRule="exact"/>
              <w:rPr>
                <w:sz w:val="20"/>
                <w:szCs w:val="20"/>
                <w:color w:val="auto"/>
              </w:rPr>
            </w:pPr>
            <w:r>
              <w:rPr>
                <w:rFonts w:ascii="Arial" w:cs="Arial" w:eastAsia="Arial" w:hAnsi="Arial"/>
                <w:sz w:val="14"/>
                <w:szCs w:val="14"/>
                <w:color w:val="auto"/>
              </w:rPr>
              <w:t>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894715" cy="209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94715" cy="20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-3364230</wp:posOffset>
            </wp:positionV>
            <wp:extent cx="1576705" cy="3841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Device to be administered within 7 days of AMI</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Patient must remain hospitalized for at least 48 hours after procedure.</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Done as treatment of AMI</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Prior to and after administration of BL-1040</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Troponin I or T to be measured at Screening only</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If not done within previous 48 hours</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Parameters to be assessed prior to, and 8, 16, 24 and 48 hours after administration of BL-1040</w:t>
      </w:r>
    </w:p>
    <w:p>
      <w:pPr>
        <w:spacing w:after="0" w:line="121" w:lineRule="exact"/>
        <w:rPr>
          <w:rFonts w:ascii="Arial" w:cs="Arial" w:eastAsia="Arial" w:hAnsi="Arial"/>
          <w:sz w:val="14"/>
          <w:szCs w:val="14"/>
          <w:color w:val="auto"/>
        </w:rPr>
      </w:pPr>
    </w:p>
    <w:p>
      <w:pPr>
        <w:ind w:left="460" w:hanging="457"/>
        <w:spacing w:after="0" w:line="235" w:lineRule="auto"/>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Echocardiography to be done at each visit. MRIs are to be encouraged as an additional assessment through Day 180, but are contingent upon patient agreement. MRIs are not to be requested as part of the Follow-up Safety visits.</w:t>
      </w:r>
    </w:p>
    <w:p>
      <w:pPr>
        <w:spacing w:after="0" w:line="109"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Patient to be connected prior to implantation of BL-1040, and for the duration of the procedure</w:t>
      </w:r>
    </w:p>
    <w:p>
      <w:pPr>
        <w:spacing w:after="0" w:line="121" w:lineRule="exact"/>
        <w:rPr>
          <w:rFonts w:ascii="Arial" w:cs="Arial" w:eastAsia="Arial" w:hAnsi="Arial"/>
          <w:sz w:val="14"/>
          <w:szCs w:val="14"/>
          <w:color w:val="auto"/>
        </w:rPr>
      </w:pPr>
    </w:p>
    <w:p>
      <w:pPr>
        <w:ind w:left="460" w:hanging="457"/>
        <w:spacing w:after="0"/>
        <w:tabs>
          <w:tab w:leader="none" w:pos="460" w:val="left"/>
        </w:tabs>
        <w:numPr>
          <w:ilvl w:val="0"/>
          <w:numId w:val="424"/>
        </w:numPr>
        <w:rPr>
          <w:rFonts w:ascii="Arial" w:cs="Arial" w:eastAsia="Arial" w:hAnsi="Arial"/>
          <w:sz w:val="14"/>
          <w:szCs w:val="14"/>
          <w:color w:val="auto"/>
        </w:rPr>
      </w:pPr>
      <w:r>
        <w:rPr>
          <w:rFonts w:ascii="Arial" w:cs="Arial" w:eastAsia="Arial" w:hAnsi="Arial"/>
          <w:sz w:val="14"/>
          <w:szCs w:val="14"/>
          <w:color w:val="auto"/>
        </w:rPr>
        <w:t>Measured prior to implantation of BL-1040, and prior to removal of sheath</w:t>
      </w:r>
    </w:p>
    <w:p>
      <w:pPr>
        <w:spacing w:after="0" w:line="212"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5" w:name="page516"/>
    <w:bookmarkEnd w:id="515"/>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0" w:gutter="0" w:footer="0" w:header="0"/>
        </w:sectPr>
      </w:pPr>
    </w:p>
    <w:p>
      <w:pPr>
        <w:spacing w:after="0" w:line="25"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6.2.1</w:t>
      </w:r>
      <w:r>
        <w:rPr>
          <w:sz w:val="20"/>
          <w:szCs w:val="20"/>
          <w:color w:val="auto"/>
        </w:rPr>
        <w:tab/>
      </w:r>
      <w:r>
        <w:rPr>
          <w:rFonts w:ascii="Arial" w:cs="Arial" w:eastAsia="Arial" w:hAnsi="Arial"/>
          <w:sz w:val="14"/>
          <w:szCs w:val="14"/>
          <w:b w:val="1"/>
          <w:bCs w:val="1"/>
          <w:color w:val="auto"/>
        </w:rPr>
        <w:t>Detailed description of study stages/visits</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6.2.1.1</w:t>
      </w:r>
      <w:r>
        <w:rPr>
          <w:sz w:val="20"/>
          <w:szCs w:val="20"/>
          <w:color w:val="auto"/>
        </w:rPr>
        <w:tab/>
      </w:r>
      <w:r>
        <w:rPr>
          <w:rFonts w:ascii="Arial" w:cs="Arial" w:eastAsia="Arial" w:hAnsi="Arial"/>
          <w:sz w:val="15"/>
          <w:szCs w:val="15"/>
          <w:i w:val="1"/>
          <w:iCs w:val="1"/>
          <w:color w:val="auto"/>
        </w:rPr>
        <w:t>Screening, Day -7 to Day -1</w:t>
      </w:r>
    </w:p>
    <w:p>
      <w:pPr>
        <w:sectPr>
          <w:pgSz w:w="11900" w:h="16838" w:orient="portrait"/>
          <w:cols w:equalWidth="0" w:num="1">
            <w:col w:w="11420"/>
          </w:cols>
          <w:pgMar w:left="240" w:top="584" w:right="239" w:bottom="0" w:gutter="0" w:footer="0" w:header="0"/>
          <w:type w:val="continuous"/>
        </w:sectPr>
      </w:pP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Patients are admitted to the hospital for treatment of an AMI, prior to enrollment into the study. The treatment will include PCI with placement of a stent. After signing of Informed Consent, and prior to initiation of any study-related procedures, the following activities will be carried out:</w:t>
      </w:r>
    </w:p>
    <w:p>
      <w:pPr>
        <w:spacing w:after="0" w:line="190" w:lineRule="exact"/>
        <w:rPr>
          <w:sz w:val="20"/>
          <w:szCs w:val="20"/>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confirmation of inclusion/exclusion criteria</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negative pregnancy test for all women of child-bearing potential (as defined in Inclusion Criteria)</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demographics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medical history</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physical examination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vitals signs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12-lead ECG, in supine position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hematology and urinalysis)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blood sampling for Total CK/CK MB</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blood sampling for NT-proBNP</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echocardiography</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MRI, if patient agrees</w:t>
      </w:r>
    </w:p>
    <w:p>
      <w:pPr>
        <w:spacing w:after="0" w:line="216" w:lineRule="exact"/>
        <w:rPr>
          <w:rFonts w:ascii="Arial" w:cs="Arial" w:eastAsia="Arial" w:hAnsi="Arial"/>
          <w:sz w:val="17"/>
          <w:szCs w:val="17"/>
          <w:color w:val="auto"/>
        </w:rPr>
      </w:pPr>
    </w:p>
    <w:p>
      <w:pPr>
        <w:ind w:left="600" w:hanging="301"/>
        <w:spacing w:after="0" w:line="278" w:lineRule="auto"/>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concomitant medication record (all currently prescribed and over the counter medications must be recorded in the Case Report Form [CRF], with dose and reason for use)</w:t>
      </w:r>
    </w:p>
    <w:p>
      <w:pPr>
        <w:spacing w:after="0" w:line="164" w:lineRule="exact"/>
        <w:rPr>
          <w:rFonts w:ascii="Arial" w:cs="Arial" w:eastAsia="Arial" w:hAnsi="Arial"/>
          <w:sz w:val="17"/>
          <w:szCs w:val="17"/>
          <w:color w:val="auto"/>
        </w:rPr>
      </w:pPr>
    </w:p>
    <w:p>
      <w:pPr>
        <w:ind w:left="600" w:hanging="301"/>
        <w:spacing w:after="0"/>
        <w:tabs>
          <w:tab w:leader="none" w:pos="60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pre-device serious/adverse events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BL-1040 must be implanted within 7 days of the index AMI; the day of implant will be considered Day 1 of the study. Prior to implantation, the following assessments will be carried out:</w:t>
      </w:r>
    </w:p>
    <w:p>
      <w:pPr>
        <w:spacing w:after="0" w:line="190" w:lineRule="exact"/>
        <w:rPr>
          <w:sz w:val="20"/>
          <w:szCs w:val="20"/>
          <w:color w:val="auto"/>
        </w:rPr>
      </w:pPr>
    </w:p>
    <w:p>
      <w:pPr>
        <w:ind w:left="600" w:hanging="301"/>
        <w:spacing w:after="0"/>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physical examination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vital signs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12-lead ECG</w:t>
      </w:r>
    </w:p>
    <w:p>
      <w:pPr>
        <w:spacing w:after="0" w:line="216" w:lineRule="exact"/>
        <w:rPr>
          <w:rFonts w:ascii="Arial" w:cs="Arial" w:eastAsia="Arial" w:hAnsi="Arial"/>
          <w:sz w:val="17"/>
          <w:szCs w:val="17"/>
          <w:color w:val="auto"/>
        </w:rPr>
      </w:pPr>
    </w:p>
    <w:p>
      <w:pPr>
        <w:ind w:left="600" w:hanging="301"/>
        <w:spacing w:after="0" w:line="278" w:lineRule="auto"/>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[excluding troponin I or T], hematology, and urinalysis), if not done within the previous 48 hours</w:t>
      </w:r>
    </w:p>
    <w:p>
      <w:pPr>
        <w:spacing w:after="0" w:line="164" w:lineRule="exact"/>
        <w:rPr>
          <w:rFonts w:ascii="Arial" w:cs="Arial" w:eastAsia="Arial" w:hAnsi="Arial"/>
          <w:sz w:val="17"/>
          <w:szCs w:val="17"/>
          <w:color w:val="auto"/>
        </w:rPr>
      </w:pPr>
    </w:p>
    <w:p>
      <w:pPr>
        <w:ind w:left="600" w:hanging="301"/>
        <w:spacing w:after="0"/>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Total CK/CK MB</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NT-proBNP, if not done within the previous 48 hours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connection to continuous ECG monitoring</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BL-1040 will be implanted in the infarcted tissue via the IRA, distally to the stent as outlined in the separate BL-1040 Instruction Manual. During the procedure the following assessments will be done:</w:t>
      </w:r>
    </w:p>
    <w:p>
      <w:pPr>
        <w:spacing w:after="0" w:line="190" w:lineRule="exact"/>
        <w:rPr>
          <w:sz w:val="20"/>
          <w:szCs w:val="20"/>
          <w:color w:val="auto"/>
        </w:rPr>
      </w:pPr>
    </w:p>
    <w:p>
      <w:pPr>
        <w:ind w:left="600" w:hanging="301"/>
        <w:spacing w:after="0"/>
        <w:tabs>
          <w:tab w:leader="none" w:pos="60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continuous ECG monitoring</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continuous hemodynamic measurements (arterial blood pressure)</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blood sampling for PTT or ACT, prior to implantation of BL-1040 and prior to removal of sheath</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coronary angiography will be done 3 minutes after implantation of the BL-1040, and will include an assessment of TIMI flow and myocardial blush.</w:t>
      </w:r>
    </w:p>
    <w:p>
      <w:pPr>
        <w:spacing w:after="0" w:line="247"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1397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7415" cy="13970"/>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type w:val="continuous"/>
        </w:sectPr>
      </w:pPr>
    </w:p>
    <w:bookmarkStart w:id="516" w:name="page517"/>
    <w:bookmarkEnd w:id="516"/>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056"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assessments will be done after the procedure:</w:t>
      </w:r>
    </w:p>
    <w:p>
      <w:pPr>
        <w:sectPr>
          <w:pgSz w:w="11900" w:h="16838" w:orient="portrait"/>
          <w:cols w:equalWidth="0" w:num="1">
            <w:col w:w="11420"/>
          </w:cols>
          <w:pgMar w:left="240" w:top="584" w:right="239" w:bottom="1056" w:gutter="0" w:footer="0" w:header="0"/>
          <w:type w:val="continuous"/>
        </w:sect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urinalysis</w:t>
      </w:r>
    </w:p>
    <w:p>
      <w:pPr>
        <w:spacing w:after="0" w:line="200" w:lineRule="exact"/>
        <w:rPr>
          <w:sz w:val="20"/>
          <w:szCs w:val="20"/>
          <w:color w:val="auto"/>
        </w:rPr>
      </w:pPr>
    </w:p>
    <w:p>
      <w:pPr>
        <w:sectPr>
          <w:pgSz w:w="11900" w:h="16838" w:orient="portrait"/>
          <w:cols w:equalWidth="0" w:num="2">
            <w:col w:w="340" w:space="260"/>
            <w:col w:w="10820"/>
          </w:cols>
          <w:pgMar w:left="240" w:top="584" w:right="239" w:bottom="1056" w:gutter="0" w:footer="0" w:header="0"/>
          <w:type w:val="continuous"/>
        </w:sectPr>
      </w:pPr>
    </w:p>
    <w:p>
      <w:pPr>
        <w:spacing w:after="0" w:line="2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blood sampling at 8 hours, 16 hours and 24 hours after the procedure, for assessment of Total CK/CK MB</w:t>
      </w:r>
    </w:p>
    <w:p>
      <w:pPr>
        <w:spacing w:after="0" w:line="200" w:lineRule="exact"/>
        <w:rPr>
          <w:sz w:val="20"/>
          <w:szCs w:val="20"/>
          <w:color w:val="auto"/>
        </w:rPr>
      </w:pPr>
    </w:p>
    <w:p>
      <w:pPr>
        <w:sectPr>
          <w:pgSz w:w="11900" w:h="16838" w:orient="portrait"/>
          <w:cols w:equalWidth="0" w:num="2">
            <w:col w:w="340" w:space="260"/>
            <w:col w:w="10820"/>
          </w:cols>
          <w:pgMar w:left="240" w:top="584" w:right="239" w:bottom="1056"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12-lead ECG</w:t>
      </w:r>
    </w:p>
    <w:p>
      <w:pPr>
        <w:spacing w:after="0" w:line="200" w:lineRule="exact"/>
        <w:rPr>
          <w:sz w:val="20"/>
          <w:szCs w:val="20"/>
          <w:color w:val="auto"/>
        </w:rPr>
      </w:pPr>
    </w:p>
    <w:p>
      <w:pPr>
        <w:sectPr>
          <w:pgSz w:w="11900" w:h="16838" w:orient="portrait"/>
          <w:cols w:equalWidth="0" w:num="2">
            <w:col w:w="340" w:space="260"/>
            <w:col w:w="10820"/>
          </w:cols>
          <w:pgMar w:left="240" w:top="584" w:right="239" w:bottom="1056"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connection to 24 hour Holter monitor</w:t>
      </w:r>
    </w:p>
    <w:p>
      <w:pPr>
        <w:spacing w:after="0" w:line="200" w:lineRule="exact"/>
        <w:rPr>
          <w:sz w:val="20"/>
          <w:szCs w:val="20"/>
          <w:color w:val="auto"/>
        </w:rPr>
      </w:pPr>
    </w:p>
    <w:p>
      <w:pPr>
        <w:sectPr>
          <w:pgSz w:w="11900" w:h="16838" w:orient="portrait"/>
          <w:cols w:equalWidth="0" w:num="2">
            <w:col w:w="340" w:space="260"/>
            <w:col w:w="10820"/>
          </w:cols>
          <w:pgMar w:left="240" w:top="584" w:right="239" w:bottom="1056"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Adverse events and concomitant medications will be monitored continuously during the procedure and recorded on the patient’s CRF.</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6.2.1.3</w:t>
      </w:r>
      <w:r>
        <w:rPr>
          <w:sz w:val="20"/>
          <w:szCs w:val="20"/>
          <w:color w:val="auto"/>
        </w:rPr>
        <w:tab/>
      </w:r>
      <w:r>
        <w:rPr>
          <w:rFonts w:ascii="Arial" w:cs="Arial" w:eastAsia="Arial" w:hAnsi="Arial"/>
          <w:sz w:val="16"/>
          <w:szCs w:val="16"/>
          <w:i w:val="1"/>
          <w:iCs w:val="1"/>
          <w:color w:val="auto"/>
        </w:rPr>
        <w:t>Daily during hospitalization</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patient must remain hospitalized for at least 48 hours after the procedure. The following assessments and procedures will be carried out during each day of hospitalization, including day of discharge:</w:t>
      </w:r>
    </w:p>
    <w:p>
      <w:pPr>
        <w:spacing w:after="0" w:line="190" w:lineRule="exact"/>
        <w:rPr>
          <w:sz w:val="20"/>
          <w:szCs w:val="20"/>
          <w:color w:val="auto"/>
        </w:rPr>
      </w:pPr>
    </w:p>
    <w:p>
      <w:pPr>
        <w:ind w:left="600" w:hanging="301"/>
        <w:spacing w:after="0"/>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physical examination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vital signs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12-lead ECG</w:t>
      </w:r>
    </w:p>
    <w:p>
      <w:pPr>
        <w:spacing w:after="0" w:line="216" w:lineRule="exact"/>
        <w:rPr>
          <w:rFonts w:ascii="Arial" w:cs="Arial" w:eastAsia="Arial" w:hAnsi="Arial"/>
          <w:sz w:val="17"/>
          <w:szCs w:val="17"/>
          <w:color w:val="auto"/>
        </w:rPr>
      </w:pPr>
    </w:p>
    <w:p>
      <w:pPr>
        <w:ind w:left="600" w:hanging="301"/>
        <w:spacing w:after="0" w:line="278" w:lineRule="auto"/>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[excluding troponin I or T], hematology and urinalysis) on day of discharge and only if not done within the previous 48 hours</w:t>
      </w:r>
    </w:p>
    <w:p>
      <w:pPr>
        <w:spacing w:after="0" w:line="164" w:lineRule="exact"/>
        <w:rPr>
          <w:rFonts w:ascii="Arial" w:cs="Arial" w:eastAsia="Arial" w:hAnsi="Arial"/>
          <w:sz w:val="17"/>
          <w:szCs w:val="17"/>
          <w:color w:val="auto"/>
        </w:rPr>
      </w:pPr>
    </w:p>
    <w:p>
      <w:pPr>
        <w:ind w:left="600" w:hanging="301"/>
        <w:spacing w:after="0"/>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NT-proBNP on day of discharge and only if not done within the previous 48 hours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serious/adverse events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concomitant medication</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6.2.1.4</w:t>
      </w:r>
      <w:r>
        <w:rPr>
          <w:sz w:val="20"/>
          <w:szCs w:val="20"/>
          <w:color w:val="auto"/>
        </w:rPr>
        <w:tab/>
      </w:r>
      <w:r>
        <w:rPr>
          <w:rFonts w:ascii="Arial" w:cs="Arial" w:eastAsia="Arial" w:hAnsi="Arial"/>
          <w:sz w:val="15"/>
          <w:szCs w:val="15"/>
          <w:i w:val="1"/>
          <w:iCs w:val="1"/>
          <w:color w:val="auto"/>
        </w:rPr>
        <w:t>Telephone Contact, Day 8, ±1</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Patients who have been discharged from the hospital will be contacted by phone 7 days after application of BL-1040. The patient should be asked the following questions:</w:t>
      </w:r>
    </w:p>
    <w:p>
      <w:pPr>
        <w:spacing w:after="0" w:line="190" w:lineRule="exact"/>
        <w:rPr>
          <w:sz w:val="20"/>
          <w:szCs w:val="20"/>
          <w:color w:val="auto"/>
        </w:rPr>
      </w:pPr>
    </w:p>
    <w:p>
      <w:pPr>
        <w:ind w:left="620" w:hanging="308"/>
        <w:spacing w:after="0"/>
        <w:tabs>
          <w:tab w:leader="none" w:pos="6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How have you been feeling since your discharge? Have you had any chest pain or experienced any shortness of breath?</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Did you call your doctor for any reason? If so, when, and for what reason?</w:t>
      </w:r>
    </w:p>
    <w:p>
      <w:pPr>
        <w:spacing w:after="0" w:line="216"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Did you go to the emergency room for any reason? If so, when and for what reason?</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Are you taking any medications? If so, which ones?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collected from this phone call is to be recorded in the patient’s CRF.</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6.2.1.5</w:t>
      </w:r>
      <w:r>
        <w:rPr>
          <w:sz w:val="20"/>
          <w:szCs w:val="20"/>
          <w:color w:val="auto"/>
        </w:rPr>
        <w:tab/>
      </w:r>
      <w:r>
        <w:rPr>
          <w:rFonts w:ascii="Arial" w:cs="Arial" w:eastAsia="Arial" w:hAnsi="Arial"/>
          <w:sz w:val="15"/>
          <w:szCs w:val="15"/>
          <w:i w:val="1"/>
          <w:iCs w:val="1"/>
          <w:color w:val="auto"/>
        </w:rPr>
        <w:t>Day 30, Day 90 and Day 180 (End of Study)</w:t>
      </w:r>
    </w:p>
    <w:p>
      <w:pPr>
        <w:spacing w:after="0" w:line="24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patient will return to the hospital for the following assessments and procedures on Day 30, Day 90 and Day 180. The visit on Day 180 will be considered the End of Study visit. If a patient is discontinued prior to Day 180 for any reason, the following assessments should be done at the time of discontinuation.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Assessments to be carried out include:</w:t>
      </w:r>
    </w:p>
    <w:p>
      <w:pPr>
        <w:spacing w:after="0" w:line="242" w:lineRule="exact"/>
        <w:rPr>
          <w:sz w:val="20"/>
          <w:szCs w:val="20"/>
          <w:color w:val="auto"/>
        </w:rPr>
      </w:pPr>
    </w:p>
    <w:p>
      <w:pPr>
        <w:ind w:left="620" w:hanging="308"/>
        <w:spacing w:after="0"/>
        <w:tabs>
          <w:tab w:leader="none" w:pos="6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physical examination:</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vital signs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12-lead ECG</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056" w:gutter="0" w:footer="0" w:header="0"/>
          <w:type w:val="continuous"/>
        </w:sectPr>
      </w:pPr>
    </w:p>
    <w:bookmarkStart w:id="517" w:name="page518"/>
    <w:bookmarkEnd w:id="517"/>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0" w:gutter="0" w:footer="0" w:header="0"/>
        </w:sectPr>
      </w:pPr>
    </w:p>
    <w:p>
      <w:pPr>
        <w:spacing w:after="0" w:line="25" w:lineRule="exact"/>
        <w:rPr>
          <w:sz w:val="20"/>
          <w:szCs w:val="20"/>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connection to 24-hour Holter monitor; to be returned on Day 31/Day 91</w:t>
      </w:r>
      <w:r>
        <w:rPr>
          <w:rFonts w:ascii="Arial" w:cs="Arial" w:eastAsia="Arial" w:hAnsi="Arial"/>
          <w:sz w:val="17"/>
          <w:szCs w:val="17"/>
          <w:b w:val="1"/>
          <w:bCs w:val="1"/>
          <w:color w:val="auto"/>
        </w:rPr>
        <w:t>/Day 181</w:t>
      </w:r>
    </w:p>
    <w:p>
      <w:pPr>
        <w:spacing w:after="0" w:line="222"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[excluding troponin I or T], hematology and urinalysis)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NT-proBNP</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echocardiography</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MRI, if patient agrees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completion of the Minnesota Living with Heart FailureÒ questionnaire</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serious/adverse events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concomitant medication</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6.2.1.6</w:t>
      </w:r>
      <w:r>
        <w:rPr>
          <w:sz w:val="20"/>
          <w:szCs w:val="20"/>
          <w:color w:val="auto"/>
        </w:rPr>
        <w:tab/>
      </w:r>
      <w:r>
        <w:rPr>
          <w:rFonts w:ascii="Arial" w:cs="Arial" w:eastAsia="Arial" w:hAnsi="Arial"/>
          <w:sz w:val="15"/>
          <w:szCs w:val="15"/>
          <w:i w:val="1"/>
          <w:iCs w:val="1"/>
          <w:color w:val="auto"/>
        </w:rPr>
        <w:t>Extended safety follow-up (Months 12, 24, 36, 48, 60 ±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physical examination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vital signs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12-lead ECG</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connection to 24-hour Holter monitor; the patient is to be connected at the time of the follow-up visit, and the monitor is to be returned the following day</w:t>
      </w:r>
    </w:p>
    <w:p>
      <w:pPr>
        <w:spacing w:after="0" w:line="227" w:lineRule="exact"/>
        <w:rPr>
          <w:rFonts w:ascii="Arial" w:cs="Arial" w:eastAsia="Arial" w:hAnsi="Arial"/>
          <w:sz w:val="16"/>
          <w:szCs w:val="16"/>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blood and urine sampling for laboratory safety parameters (biochemistry [excluding troponin I or T], hematology and urinalysis)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echocardiography</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completion of the Minnesota Living with Heart FailureÒ questionnaire</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completion of the following questions:</w:t>
      </w:r>
    </w:p>
    <w:p>
      <w:pPr>
        <w:spacing w:after="0" w:line="216" w:lineRule="exact"/>
        <w:rPr>
          <w:rFonts w:ascii="Arial" w:cs="Arial" w:eastAsia="Arial" w:hAnsi="Arial"/>
          <w:sz w:val="17"/>
          <w:szCs w:val="17"/>
          <w:color w:val="auto"/>
        </w:rPr>
      </w:pPr>
    </w:p>
    <w:p>
      <w:pPr>
        <w:ind w:left="1000" w:hanging="303"/>
        <w:spacing w:after="0"/>
        <w:tabs>
          <w:tab w:leader="none" w:pos="1000" w:val="left"/>
        </w:tabs>
        <w:numPr>
          <w:ilvl w:val="2"/>
          <w:numId w:val="432"/>
        </w:numPr>
        <w:rPr>
          <w:rFonts w:ascii="Arial" w:cs="Arial" w:eastAsia="Arial" w:hAnsi="Arial"/>
          <w:sz w:val="17"/>
          <w:szCs w:val="17"/>
          <w:color w:val="auto"/>
        </w:rPr>
      </w:pPr>
      <w:r>
        <w:rPr>
          <w:rFonts w:ascii="Arial" w:cs="Arial" w:eastAsia="Arial" w:hAnsi="Arial"/>
          <w:sz w:val="17"/>
          <w:szCs w:val="17"/>
          <w:color w:val="auto"/>
        </w:rPr>
        <w:t>How have you been feeling since your last check up?</w:t>
      </w:r>
    </w:p>
    <w:p>
      <w:pPr>
        <w:spacing w:after="0" w:line="216" w:lineRule="exact"/>
        <w:rPr>
          <w:rFonts w:ascii="Arial" w:cs="Arial" w:eastAsia="Arial" w:hAnsi="Arial"/>
          <w:sz w:val="17"/>
          <w:szCs w:val="17"/>
          <w:color w:val="auto"/>
        </w:rPr>
      </w:pPr>
    </w:p>
    <w:p>
      <w:pPr>
        <w:ind w:left="1000" w:hanging="303"/>
        <w:spacing w:after="0"/>
        <w:tabs>
          <w:tab w:leader="none" w:pos="1000" w:val="left"/>
        </w:tabs>
        <w:numPr>
          <w:ilvl w:val="2"/>
          <w:numId w:val="432"/>
        </w:numPr>
        <w:rPr>
          <w:rFonts w:ascii="Arial" w:cs="Arial" w:eastAsia="Arial" w:hAnsi="Arial"/>
          <w:sz w:val="17"/>
          <w:szCs w:val="17"/>
          <w:color w:val="auto"/>
        </w:rPr>
      </w:pPr>
      <w:r>
        <w:rPr>
          <w:rFonts w:ascii="Arial" w:cs="Arial" w:eastAsia="Arial" w:hAnsi="Arial"/>
          <w:sz w:val="17"/>
          <w:szCs w:val="17"/>
          <w:color w:val="auto"/>
        </w:rPr>
        <w:t>Have you been hospitalized for any reason? If so, when, and for what reason?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serious/adverse events</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concomitant medication</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Study evaluations and procedures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Safety will be evaluated by analyzing the results of physical examinations, laboratory examinations and cardiac assessments, as well as AEs (Section 7) and vital signs. Assessments will be carried out at the time points specified in Section 6.2, and as shown in Table 6.1.</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All safety related investigations are to be performed by the Principal Investigator or a medically qualified designee, who is responsible for the overall treatment of the patient.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6.3.1</w:t>
      </w:r>
      <w:r>
        <w:rPr>
          <w:sz w:val="20"/>
          <w:szCs w:val="20"/>
          <w:color w:val="auto"/>
        </w:rPr>
        <w:tab/>
      </w:r>
      <w:r>
        <w:rPr>
          <w:rFonts w:ascii="Arial" w:cs="Arial" w:eastAsia="Arial" w:hAnsi="Arial"/>
          <w:sz w:val="15"/>
          <w:szCs w:val="15"/>
          <w:b w:val="1"/>
          <w:bCs w:val="1"/>
          <w:color w:val="auto"/>
        </w:rPr>
        <w:t>Safety</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6.3.1.1</w:t>
      </w:r>
      <w:r>
        <w:rPr>
          <w:sz w:val="20"/>
          <w:szCs w:val="20"/>
          <w:color w:val="auto"/>
        </w:rPr>
        <w:tab/>
      </w:r>
      <w:r>
        <w:rPr>
          <w:rFonts w:ascii="Arial" w:cs="Arial" w:eastAsia="Arial" w:hAnsi="Arial"/>
          <w:sz w:val="15"/>
          <w:szCs w:val="15"/>
          <w:i w:val="1"/>
          <w:iCs w:val="1"/>
          <w:color w:val="auto"/>
        </w:rPr>
        <w:t>Physical examinations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Physical examinations will include height (Screening only), weight, and a general assessment of overall body systems (cardiovascular, respiratory).</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6.3.1.2</w:t>
      </w:r>
      <w:r>
        <w:rPr>
          <w:sz w:val="20"/>
          <w:szCs w:val="20"/>
          <w:color w:val="auto"/>
        </w:rPr>
        <w:tab/>
      </w:r>
      <w:r>
        <w:rPr>
          <w:rFonts w:ascii="Arial" w:cs="Arial" w:eastAsia="Arial" w:hAnsi="Arial"/>
          <w:sz w:val="15"/>
          <w:szCs w:val="15"/>
          <w:i w:val="1"/>
          <w:iCs w:val="1"/>
          <w:color w:val="auto"/>
        </w:rPr>
        <w:t>Vital signs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vital signs will be assessed:</w:t>
      </w:r>
    </w:p>
    <w:p>
      <w:pPr>
        <w:spacing w:after="0" w:line="242" w:lineRule="exact"/>
        <w:rPr>
          <w:sz w:val="20"/>
          <w:szCs w:val="20"/>
          <w:color w:val="auto"/>
        </w:rPr>
      </w:pPr>
    </w:p>
    <w:p>
      <w:pPr>
        <w:ind w:left="1220" w:hanging="317"/>
        <w:spacing w:after="0"/>
        <w:tabs>
          <w:tab w:leader="none" w:pos="12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pulse rate</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type w:val="continuous"/>
        </w:sectPr>
      </w:pPr>
    </w:p>
    <w:bookmarkStart w:id="518" w:name="page519"/>
    <w:bookmarkEnd w:id="518"/>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ind w:left="1220" w:hanging="317"/>
        <w:spacing w:after="0"/>
        <w:tabs>
          <w:tab w:leader="none" w:pos="122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blood pressure (supine, systolic and diastolic)</w:t>
      </w:r>
    </w:p>
    <w:p>
      <w:pPr>
        <w:spacing w:after="0" w:line="241" w:lineRule="exact"/>
        <w:rPr>
          <w:rFonts w:ascii="Arial" w:cs="Arial" w:eastAsia="Arial" w:hAnsi="Arial"/>
          <w:sz w:val="17"/>
          <w:szCs w:val="17"/>
          <w:color w:val="auto"/>
        </w:rPr>
      </w:pPr>
    </w:p>
    <w:p>
      <w:pPr>
        <w:ind w:left="1220" w:hanging="317"/>
        <w:spacing w:after="0"/>
        <w:tabs>
          <w:tab w:leader="none" w:pos="122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body temperature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actual blood pressure and pulse rate should be recorded in the patient’s CRF. Rounding of values is not allowed.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ranges will be used to define acceptable blood pressure:</w:t>
      </w:r>
    </w:p>
    <w:p>
      <w:pPr>
        <w:spacing w:after="0" w:line="242" w:lineRule="exact"/>
        <w:rPr>
          <w:sz w:val="20"/>
          <w:szCs w:val="20"/>
          <w:color w:val="auto"/>
        </w:rPr>
      </w:pPr>
    </w:p>
    <w:p>
      <w:pPr>
        <w:ind w:left="1340" w:hanging="308"/>
        <w:spacing w:after="0"/>
        <w:tabs>
          <w:tab w:leader="none" w:pos="13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supine systolic blood pressure: 100 - 160 mmHg</w:t>
      </w:r>
    </w:p>
    <w:p>
      <w:pPr>
        <w:spacing w:after="0" w:line="241" w:lineRule="exact"/>
        <w:rPr>
          <w:rFonts w:ascii="Arial" w:cs="Arial" w:eastAsia="Arial" w:hAnsi="Arial"/>
          <w:sz w:val="17"/>
          <w:szCs w:val="17"/>
          <w:color w:val="auto"/>
        </w:rPr>
      </w:pPr>
    </w:p>
    <w:p>
      <w:pPr>
        <w:ind w:left="1340" w:hanging="308"/>
        <w:spacing w:after="0"/>
        <w:tabs>
          <w:tab w:leader="none" w:pos="13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supine diastolic blood pressure: 60 - 95 mmHg</w:t>
      </w:r>
    </w:p>
    <w:p>
      <w:pPr>
        <w:spacing w:after="0" w:line="241" w:lineRule="exact"/>
        <w:rPr>
          <w:rFonts w:ascii="Arial" w:cs="Arial" w:eastAsia="Arial" w:hAnsi="Arial"/>
          <w:sz w:val="17"/>
          <w:szCs w:val="17"/>
          <w:color w:val="auto"/>
        </w:rPr>
      </w:pPr>
    </w:p>
    <w:p>
      <w:pPr>
        <w:ind w:left="1340" w:hanging="308"/>
        <w:spacing w:after="0"/>
        <w:tabs>
          <w:tab w:leader="none" w:pos="13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supine pulse &lt;100 bpm</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Body temperature should be measured using the same methodology at each assessment, and should be measured in decimals.</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6.3.1.3</w:t>
      </w:r>
      <w:r>
        <w:rPr>
          <w:sz w:val="20"/>
          <w:szCs w:val="20"/>
          <w:color w:val="auto"/>
        </w:rPr>
        <w:tab/>
      </w:r>
      <w:r>
        <w:rPr>
          <w:rFonts w:ascii="Arial" w:cs="Arial" w:eastAsia="Arial" w:hAnsi="Arial"/>
          <w:sz w:val="15"/>
          <w:szCs w:val="15"/>
          <w:i w:val="1"/>
          <w:iCs w:val="1"/>
          <w:color w:val="auto"/>
        </w:rPr>
        <w:t>ECGs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 standard supine 12-lead ECG shall be recorded. ECG morphology and ECG intervals (PR, RR, QRS, QT, and QTc) will be determined; QTc will be calculated using Bazett’s formula.</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Patients will be connected to a 24-hour ambulatory Holter monitor at each follow-up visit (Day 30, Day 90, Day 180).</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Printouts/copies must be placed in the patient’s chart, clearly labeled with the patient number, time, date, visit, and study number, and signed by the Investigator. A core laboratory will evaluate the results of both the ECG and Holter.</w:t>
      </w:r>
    </w:p>
    <w:p>
      <w:pPr>
        <w:spacing w:after="0" w:line="200" w:lineRule="exact"/>
        <w:rPr>
          <w:sz w:val="20"/>
          <w:szCs w:val="20"/>
          <w:color w:val="auto"/>
        </w:rPr>
      </w:pPr>
    </w:p>
    <w:p>
      <w:pPr>
        <w:spacing w:after="0" w:line="22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6.3.1.4</w:t>
      </w:r>
      <w:r>
        <w:rPr>
          <w:sz w:val="20"/>
          <w:szCs w:val="20"/>
          <w:color w:val="auto"/>
        </w:rPr>
        <w:tab/>
      </w:r>
      <w:r>
        <w:rPr>
          <w:rFonts w:ascii="Arial" w:cs="Arial" w:eastAsia="Arial" w:hAnsi="Arial"/>
          <w:sz w:val="15"/>
          <w:szCs w:val="15"/>
          <w:i w:val="1"/>
          <w:iCs w:val="1"/>
          <w:color w:val="auto"/>
        </w:rPr>
        <w:t>Echocardiograms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Echocardiograms will be performed and recorded according to specific criteria established for this study, and provided in a separate Echocardiogram Reference Manual. The same parameters will be measured at each assessment, throughout the study.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 core laboratory will evaluate echocardiograms.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Principal Investigator, the Sponsor or the ISMB may review echocardiograms at any time if any safety concerns arise. Echocardiograms will be performed at the times indicated on the Schedule of Events and in Sec. 6.2 of the protocol.</w:t>
      </w:r>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6.3.1.5</w:t>
      </w:r>
      <w:r>
        <w:rPr>
          <w:sz w:val="20"/>
          <w:szCs w:val="20"/>
          <w:color w:val="auto"/>
        </w:rPr>
        <w:tab/>
      </w:r>
      <w:r>
        <w:rPr>
          <w:rFonts w:ascii="Arial" w:cs="Arial" w:eastAsia="Arial" w:hAnsi="Arial"/>
          <w:sz w:val="16"/>
          <w:szCs w:val="16"/>
          <w:i w:val="1"/>
          <w:iCs w:val="1"/>
          <w:color w:val="auto"/>
        </w:rPr>
        <w:t>MRIs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While the MRI is an optional procedure for cardiac assessment at Screening and all follow-up visits (Day 30, Day 90, Day 180/End of Study), patients should be encouraged to undergo the procedure at each relevant visit. Performance of the procedure is always contingent upon patient agreement.</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MRIs will be performed according to specific criteria established for this study, and provided in a separate MRI Reference Manual. A core laboratory will evaluate MRIs.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Investigator, the Sponsor or the ISMB may review MRIs at any time if any safety concerns arise.</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19" w:name="page520"/>
    <w:bookmarkEnd w:id="519"/>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0" w:gutter="0" w:footer="0" w:header="0"/>
        </w:sectPr>
      </w:pPr>
    </w:p>
    <w:p>
      <w:pPr>
        <w:spacing w:after="0" w:line="3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auto"/>
        </w:rPr>
        <w:t>6.3.1.6</w:t>
      </w:r>
      <w:r>
        <w:rPr>
          <w:sz w:val="20"/>
          <w:szCs w:val="20"/>
          <w:color w:val="auto"/>
        </w:rPr>
        <w:tab/>
      </w:r>
      <w:r>
        <w:rPr>
          <w:rFonts w:ascii="Arial" w:cs="Arial" w:eastAsia="Arial" w:hAnsi="Arial"/>
          <w:sz w:val="15"/>
          <w:szCs w:val="15"/>
          <w:i w:val="1"/>
          <w:iCs w:val="1"/>
          <w:color w:val="auto"/>
        </w:rPr>
        <w:t>Clinical safety evaluations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Safety blood sampling</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All laboratory samples will be processed at the local laboratory, except for NT-proBNP, which will be assessed at a core lab.</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Investigator must review the laboratory assessments (initialed and dated) within 24 hours after the receipt of those results. Out of range values will be interpreted by the Investigator with a comment of “not clinically significant” (NCS) or “clinically significant” (CS). Clinically significant abnormal laboratory values must be repeated on the appropriate clinical follow-up arranged by the Investigator and documented on the lab report until the lab value has stabilized or has returned to a clinically acceptable range (regardless of relationship to BL-1040). Any laboratory value that remains abnormal at the End of Study visit and is judged to be clinically significant will be followed according to accepted medical standards for up to 30 days or until resolution of the abnormality.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15 mL safety blood samples will be collected at the time points indicated in Sec 6.2 and shown in Table 6.1. Analyses will include:</w:t>
      </w:r>
    </w:p>
    <w:p>
      <w:pPr>
        <w:spacing w:after="0" w:line="242" w:lineRule="exact"/>
        <w:rPr>
          <w:sz w:val="20"/>
          <w:szCs w:val="20"/>
          <w:color w:val="auto"/>
        </w:rPr>
      </w:pPr>
    </w:p>
    <w:p>
      <w:pPr>
        <w:ind w:left="1220" w:hanging="317"/>
        <w:spacing w:after="0"/>
        <w:tabs>
          <w:tab w:leader="none" w:pos="12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biochemistry</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total protein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albumin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total bilirubin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ALT</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AST</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GGT</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LDH</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alk phosphate</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glucose</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sodium</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potassium</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calcium</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phosphate</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urea/BUN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creatinine</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PTT or ACT</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troponin I or T (Screening only)</w:t>
      </w:r>
    </w:p>
    <w:p>
      <w:pPr>
        <w:spacing w:after="0" w:line="241" w:lineRule="exact"/>
        <w:rPr>
          <w:rFonts w:ascii="Arial" w:cs="Arial" w:eastAsia="Arial" w:hAnsi="Arial"/>
          <w:sz w:val="17"/>
          <w:szCs w:val="17"/>
          <w:color w:val="auto"/>
        </w:rPr>
      </w:pPr>
    </w:p>
    <w:p>
      <w:pPr>
        <w:ind w:left="1220" w:hanging="317"/>
        <w:spacing w:after="0"/>
        <w:tabs>
          <w:tab w:leader="none" w:pos="12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hematology</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red blood cell count</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hemoglobin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hematocrit</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mean cell hemoglobin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mean cell hemoglobin concentration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mean cell volume</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white blood cell count and differential</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platelet count</w:t>
      </w:r>
    </w:p>
    <w:p>
      <w:pPr>
        <w:spacing w:after="0" w:line="241" w:lineRule="exact"/>
        <w:rPr>
          <w:rFonts w:ascii="Arial" w:cs="Arial" w:eastAsia="Arial" w:hAnsi="Arial"/>
          <w:sz w:val="17"/>
          <w:szCs w:val="17"/>
          <w:color w:val="auto"/>
        </w:rPr>
      </w:pPr>
    </w:p>
    <w:p>
      <w:pPr>
        <w:ind w:left="1220" w:hanging="317"/>
        <w:spacing w:after="0"/>
        <w:tabs>
          <w:tab w:leader="none" w:pos="122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cardiac biomarkers</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Total CK/CK MB</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6"/>
        </w:numPr>
        <w:rPr>
          <w:rFonts w:ascii="Arial" w:cs="Arial" w:eastAsia="Arial" w:hAnsi="Arial"/>
          <w:sz w:val="17"/>
          <w:szCs w:val="17"/>
          <w:color w:val="auto"/>
        </w:rPr>
      </w:pPr>
      <w:r>
        <w:rPr>
          <w:rFonts w:ascii="Arial" w:cs="Arial" w:eastAsia="Arial" w:hAnsi="Arial"/>
          <w:sz w:val="17"/>
          <w:szCs w:val="17"/>
          <w:color w:val="auto"/>
        </w:rPr>
        <w:t>NT-proBNP</w:t>
      </w:r>
    </w:p>
    <w:p>
      <w:pPr>
        <w:sectPr>
          <w:pgSz w:w="11900" w:h="16838" w:orient="portrait"/>
          <w:cols w:equalWidth="0" w:num="1">
            <w:col w:w="11420"/>
          </w:cols>
          <w:pgMar w:left="240" w:top="584" w:right="239" w:bottom="0" w:gutter="0" w:footer="0" w:header="0"/>
          <w:type w:val="continuous"/>
        </w:sectPr>
      </w:pPr>
    </w:p>
    <w:bookmarkStart w:id="520" w:name="page521"/>
    <w:bookmarkEnd w:id="520"/>
    <w:p>
      <w:pPr>
        <w:ind w:right="3339"/>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Page 32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353" w:right="1440" w:bottom="1440" w:gutter="0" w:footer="0" w:header="0"/>
        </w:sectPr>
      </w:pPr>
    </w:p>
    <w:bookmarkStart w:id="521" w:name="page522"/>
    <w:bookmarkEnd w:id="521"/>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05" w:gutter="0" w:footer="0" w:header="0"/>
        </w:sectPr>
      </w:pPr>
    </w:p>
    <w:p>
      <w:pPr>
        <w:spacing w:after="0" w:line="31" w:lineRule="exact"/>
        <w:rPr>
          <w:sz w:val="20"/>
          <w:szCs w:val="20"/>
          <w:color w:val="auto"/>
        </w:rPr>
      </w:pPr>
    </w:p>
    <w:p>
      <w:pPr>
        <w:ind w:left="1220" w:hanging="317"/>
        <w:spacing w:after="0"/>
        <w:tabs>
          <w:tab w:leader="none" w:pos="12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urinalysis</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urine protein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urine glucose</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urine blood</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leukocytes</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nitrites</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urobilinogen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bilirubin</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pH</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specific gravity</w:t>
      </w:r>
    </w:p>
    <w:p>
      <w:pPr>
        <w:spacing w:after="0" w:line="216" w:lineRule="exact"/>
        <w:rPr>
          <w:rFonts w:ascii="Arial" w:cs="Arial" w:eastAsia="Arial" w:hAnsi="Arial"/>
          <w:sz w:val="17"/>
          <w:szCs w:val="17"/>
          <w:color w:val="auto"/>
        </w:rPr>
      </w:pPr>
    </w:p>
    <w:p>
      <w:pPr>
        <w:ind w:left="1580" w:hanging="317"/>
        <w:spacing w:after="0"/>
        <w:tabs>
          <w:tab w:leader="none" w:pos="158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ketones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If dipstick analysis reveals any pathological results, a full urine analysis will be conducted and the following should be checked:</w:t>
      </w:r>
    </w:p>
    <w:p>
      <w:pPr>
        <w:spacing w:after="0" w:line="242" w:lineRule="exact"/>
        <w:rPr>
          <w:sz w:val="20"/>
          <w:szCs w:val="20"/>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Color</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Appearance</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Leukocytes + erythrocytes per HPF (High Power Field)</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Squamos epithelial cells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Non squamos epithelial cells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Yeast in urine</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Amorphous cells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Mucous in urine</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Casts</w:t>
      </w:r>
    </w:p>
    <w:p>
      <w:pPr>
        <w:spacing w:after="0" w:line="216" w:lineRule="exact"/>
        <w:rPr>
          <w:rFonts w:ascii="Arial" w:cs="Arial" w:eastAsia="Arial" w:hAnsi="Arial"/>
          <w:sz w:val="17"/>
          <w:szCs w:val="17"/>
          <w:color w:val="auto"/>
        </w:rPr>
      </w:pPr>
    </w:p>
    <w:p>
      <w:pPr>
        <w:ind w:left="620" w:hanging="308"/>
        <w:spacing w:after="0"/>
        <w:tabs>
          <w:tab w:leader="none" w:pos="6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Crystals</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6.3.2</w:t>
      </w:r>
      <w:r>
        <w:rPr>
          <w:sz w:val="20"/>
          <w:szCs w:val="20"/>
          <w:color w:val="auto"/>
        </w:rPr>
        <w:tab/>
      </w:r>
      <w:r>
        <w:rPr>
          <w:rFonts w:ascii="Arial" w:cs="Arial" w:eastAsia="Arial" w:hAnsi="Arial"/>
          <w:sz w:val="15"/>
          <w:szCs w:val="15"/>
          <w:b w:val="1"/>
          <w:bCs w:val="1"/>
          <w:color w:val="auto"/>
        </w:rPr>
        <w:t>Core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Results of echocardiograms, ECGs, Holters, angiographies, and MRIs will be evaluated at Biomedical Systems: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Biomedical Systems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1945 Ch. de Wavre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B-1160 Brussels-Belgium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phone: +32 2 661 20 70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+32 2 661 20 71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email: sjacobs@biomedsys.com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NT-proBNP samples will be assessed at the central laboratory at the University of Heidelberg:</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Universitätsklinikum Heidelberg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Zentrallabor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Im Neuenheimer Feld 671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69120 Heidelberg, Germany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Tel.: 06221-56-8803</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06221-56-5205</w:t>
      </w:r>
    </w:p>
    <w:p>
      <w:pPr>
        <w:spacing w:after="0" w:line="200" w:lineRule="exact"/>
        <w:rPr>
          <w:sz w:val="20"/>
          <w:szCs w:val="20"/>
          <w:color w:val="auto"/>
        </w:rPr>
      </w:pPr>
    </w:p>
    <w:p>
      <w:pPr>
        <w:spacing w:after="0" w:line="26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Minnesota Living with Heart FailureÒ questionnaire</w:t>
      </w:r>
    </w:p>
    <w:p>
      <w:pPr>
        <w:spacing w:after="0" w:line="24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The Minnesota Living with Heart FailureÒ questionnaire (MLHQ) is a standardized and validated questionnaire designed to measure the effects of heart failure and treatments for heart failure on an individual’s quality of life (ref. 6-8). The questionnaire measures the effects of symptoms, functional limitations, and psychological distress on the individual’s life. These items are measured using a 6 point Likert scale (0-5) to indicate how much each of 21 items has affected their quality of life.</w:t>
      </w:r>
    </w:p>
    <w:p>
      <w:pPr>
        <w:sectPr>
          <w:pgSz w:w="11900" w:h="16838" w:orient="portrait"/>
          <w:cols w:equalWidth="0" w:num="1">
            <w:col w:w="11420"/>
          </w:cols>
          <w:pgMar w:left="240" w:top="584" w:right="239" w:bottom="105" w:gutter="0" w:footer="0" w:header="0"/>
          <w:type w:val="continuous"/>
        </w:sectPr>
      </w:pPr>
    </w:p>
    <w:bookmarkStart w:id="522" w:name="page523"/>
    <w:bookmarkEnd w:id="522"/>
    <w:p>
      <w:pPr>
        <w:jc w:val="center"/>
        <w:spacing w:after="0"/>
        <w:rPr>
          <w:sz w:val="20"/>
          <w:szCs w:val="20"/>
          <w:color w:val="auto"/>
        </w:rPr>
      </w:pPr>
      <w:r>
        <w:rPr>
          <w:rFonts w:ascii="Arial" w:cs="Arial" w:eastAsia="Arial" w:hAnsi="Arial"/>
          <w:sz w:val="15"/>
          <w:szCs w:val="15"/>
          <w:color w:val="auto"/>
        </w:rPr>
        <w:t>Page 33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92075</wp:posOffset>
            </wp:positionV>
            <wp:extent cx="7257415" cy="209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523" w:name="page524"/>
    <w:bookmarkEnd w:id="523"/>
    <w:p>
      <w:pPr>
        <w:spacing w:after="0"/>
        <w:rPr>
          <w:sz w:val="20"/>
          <w:szCs w:val="20"/>
          <w:color w:val="auto"/>
        </w:rPr>
      </w:pPr>
      <w:r>
        <w:rPr>
          <w:rFonts w:ascii="Arial" w:cs="Arial" w:eastAsia="Arial" w:hAnsi="Arial"/>
          <w:sz w:val="15"/>
          <w:szCs w:val="15"/>
          <w:color w:val="auto"/>
        </w:rPr>
        <w:t>The scales will be administered by the Investigator or trained/designated personnel, in the local language.</w:t>
      </w:r>
    </w:p>
    <w:p>
      <w:pPr>
        <w:spacing w:after="0" w:line="259" w:lineRule="exact"/>
        <w:rPr>
          <w:sz w:val="20"/>
          <w:szCs w:val="20"/>
          <w:color w:val="auto"/>
        </w:rPr>
      </w:pPr>
    </w:p>
    <w:p>
      <w:pPr>
        <w:ind w:right="3339"/>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Page 34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524" w:name="page525"/>
    <w:bookmarkEnd w:id="524"/>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00" w:hanging="597"/>
        <w:spacing w:after="0"/>
        <w:tabs>
          <w:tab w:leader="none" w:pos="600" w:val="left"/>
        </w:tabs>
        <w:numPr>
          <w:ilvl w:val="0"/>
          <w:numId w:val="439"/>
        </w:numPr>
        <w:rPr>
          <w:rFonts w:ascii="Arial" w:cs="Arial" w:eastAsia="Arial" w:hAnsi="Arial"/>
          <w:sz w:val="21"/>
          <w:szCs w:val="21"/>
          <w:b w:val="1"/>
          <w:bCs w:val="1"/>
          <w:color w:val="auto"/>
        </w:rPr>
      </w:pPr>
      <w:r>
        <w:rPr>
          <w:rFonts w:ascii="Arial" w:cs="Arial" w:eastAsia="Arial" w:hAnsi="Arial"/>
          <w:sz w:val="21"/>
          <w:szCs w:val="21"/>
          <w:b w:val="1"/>
          <w:bCs w:val="1"/>
          <w:color w:val="auto"/>
        </w:rPr>
        <w:t>Adverse and Serious Adverse Events</w:t>
      </w:r>
    </w:p>
    <w:p>
      <w:pPr>
        <w:spacing w:after="0" w:line="2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Adverse event definition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 adverse event (AE) is any untoward medical occurrence in a clinical trial patient who was administered a medicinal product and/or medical device and which does not necessarily have a causal relationship with this treatment. This includes any noxious, pathological or unintended change in anatomical, physiological or metabolic functions as indicated by physical signs, symptoms and/or laboratory detected changes occurring in any phase of the clinical study whether associated with the study drug/device and whether or not considered related to study intervention. This includes an exacerbation of pre-existing conditions or events, intercurrent illnesses, or drug/device interaction. Anticipated day-to-day fluctuations of pre-existing conditions that do not represent a clinically significant exacerbation need not be considered AEs. Discrete episodes of chronic conditions occurring during a study period should be reported as AEs in order to assess changes in frequency or severity.</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AEs should be documented in terms of signs and symptoms observed by the Investigator or reported by the patient at each study visit. A medical diagnosis should be added.</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Pre-existing conditions or signs and/or symptoms (including any which are not recognized at study entry but are recognized during the study period) present in a patient prior to the start of the study should be recorded in the Medical History form within the patient's CRF.</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4"/>
          <w:szCs w:val="14"/>
          <w:b w:val="1"/>
          <w:bCs w:val="1"/>
          <w:color w:val="auto"/>
        </w:rPr>
        <w:t>Recording adverse events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non-serious AEs (serious or non-serious) will be recorded from the time of implantation of BL-1040 on Day 1 until the end of the active study period (Day 180); all serious AEs will be recorded from the time of implantation of BL-1040 until the end of the long term follow-up (Month 60). AEs are to be recorded on the appropriate AE pages in the patient's CRF; if the AE is serious, the appropriate box on the AE page of the CRF should also be ticked. Where possible, a diagnosis rather than a list of symptoms should be recorded. If a diagnosis has not been made then each symptom should be listed individually. The nature, time of onset and cessation, and any treatment provided shall be recorded.</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According to “Medical Devices: Post Market Surveillance: Global Guidance for Adverse Event Reporting for Medical Devices – GHTF/SG2/N54R8:2006, Study Group 2 Final Document”, typical adverse events for medical devices include but are not limited to:</w:t>
      </w:r>
    </w:p>
    <w:p>
      <w:pPr>
        <w:spacing w:after="0" w:line="190" w:lineRule="exact"/>
        <w:rPr>
          <w:sz w:val="20"/>
          <w:szCs w:val="20"/>
          <w:color w:val="auto"/>
        </w:rPr>
      </w:pPr>
    </w:p>
    <w:p>
      <w:pPr>
        <w:ind w:left="960" w:hanging="301"/>
        <w:spacing w:after="0"/>
        <w:tabs>
          <w:tab w:leader="none" w:pos="96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 malfunction or deterioration in the characteristics or performance</w:t>
      </w:r>
    </w:p>
    <w:p>
      <w:pPr>
        <w:spacing w:after="0" w:line="216" w:lineRule="exact"/>
        <w:rPr>
          <w:rFonts w:ascii="Arial" w:cs="Arial" w:eastAsia="Arial" w:hAnsi="Arial"/>
          <w:sz w:val="17"/>
          <w:szCs w:val="17"/>
          <w:color w:val="auto"/>
        </w:rPr>
      </w:pPr>
    </w:p>
    <w:p>
      <w:pPr>
        <w:ind w:left="960" w:hanging="301"/>
        <w:spacing w:after="0"/>
        <w:tabs>
          <w:tab w:leader="none" w:pos="96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an incorrect or out of specification test result</w:t>
      </w:r>
    </w:p>
    <w:p>
      <w:pPr>
        <w:spacing w:after="0" w:line="216" w:lineRule="exact"/>
        <w:rPr>
          <w:rFonts w:ascii="Arial" w:cs="Arial" w:eastAsia="Arial" w:hAnsi="Arial"/>
          <w:sz w:val="17"/>
          <w:szCs w:val="17"/>
          <w:color w:val="auto"/>
        </w:rPr>
      </w:pPr>
    </w:p>
    <w:p>
      <w:pPr>
        <w:ind w:left="960" w:hanging="301"/>
        <w:spacing w:after="0" w:line="278" w:lineRule="auto"/>
        <w:tabs>
          <w:tab w:leader="none" w:pos="96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an inaccuracy in the labeling, instructions for use and/or promotional materials. Inaccuracies include omissions and deficiencies. Omissions do not include the absence of information that should generally be known by the intended users.</w:t>
      </w:r>
    </w:p>
    <w:p>
      <w:pPr>
        <w:spacing w:after="0" w:line="164" w:lineRule="exact"/>
        <w:rPr>
          <w:rFonts w:ascii="Arial" w:cs="Arial" w:eastAsia="Arial" w:hAnsi="Arial"/>
          <w:sz w:val="17"/>
          <w:szCs w:val="17"/>
          <w:color w:val="auto"/>
        </w:rPr>
      </w:pPr>
    </w:p>
    <w:p>
      <w:pPr>
        <w:ind w:left="960" w:hanging="301"/>
        <w:spacing w:after="0"/>
        <w:tabs>
          <w:tab w:leader="none" w:pos="96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use error</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All AEs (serious and non-serious) shall be reported as specified in this section of the Protocol, and the expanded Medical Device Reporting Guidelines, which will be provided to all investigators prior to the start of the study.</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4"/>
          <w:szCs w:val="14"/>
          <w:b w:val="1"/>
          <w:bCs w:val="1"/>
          <w:color w:val="auto"/>
        </w:rPr>
        <w:t>Pre-device events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Investigator will report any pre-device event directly observed or mentioned by the patient from the time of signing Informed Consent until the implantation of BL-1040 on Day 1. Pre-device events are reported in the CRF with at least the nature, the start date and the treatment (if applicable).</w:t>
      </w:r>
    </w:p>
    <w:p>
      <w:pPr>
        <w:spacing w:after="0" w:line="184"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25" w:name="page526"/>
    <w:bookmarkEnd w:id="525"/>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3" w:right="239" w:bottom="1440" w:gutter="0" w:footer="0" w:header="0"/>
        </w:sectPr>
      </w:pPr>
    </w:p>
    <w:p>
      <w:pPr>
        <w:spacing w:after="0" w:line="2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General adverse events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Information on any AE must be recorded when volunteered by the patient, observed by study personnel, or elicited by a non-leading question, such as "How are you feeling?".</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7.4.1</w:t>
      </w:r>
      <w:r>
        <w:rPr>
          <w:sz w:val="20"/>
          <w:szCs w:val="20"/>
          <w:color w:val="auto"/>
        </w:rPr>
        <w:tab/>
      </w:r>
      <w:r>
        <w:rPr>
          <w:rFonts w:ascii="Arial" w:cs="Arial" w:eastAsia="Arial" w:hAnsi="Arial"/>
          <w:sz w:val="14"/>
          <w:szCs w:val="14"/>
          <w:b w:val="1"/>
          <w:bCs w:val="1"/>
          <w:color w:val="auto"/>
        </w:rPr>
        <w:t>Assessment of severity of general adverse events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General events should be assessed according to the following scale: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ind w:left="80"/>
              <w:spacing w:after="0"/>
              <w:rPr>
                <w:sz w:val="20"/>
                <w:szCs w:val="20"/>
                <w:color w:val="auto"/>
              </w:rPr>
            </w:pPr>
            <w:r>
              <w:rPr>
                <w:rFonts w:ascii="Arial" w:cs="Arial" w:eastAsia="Arial" w:hAnsi="Arial"/>
                <w:sz w:val="17"/>
                <w:szCs w:val="17"/>
                <w:color w:val="auto"/>
              </w:rPr>
              <w:t>mild</w:t>
            </w:r>
          </w:p>
        </w:tc>
        <w:tc>
          <w:tcPr>
            <w:tcW w:w="9640" w:type="dxa"/>
            <w:vAlign w:val="bottom"/>
          </w:tcPr>
          <w:p>
            <w:pPr>
              <w:ind w:left="620"/>
              <w:spacing w:after="0"/>
              <w:rPr>
                <w:sz w:val="20"/>
                <w:szCs w:val="20"/>
                <w:color w:val="auto"/>
              </w:rPr>
            </w:pPr>
            <w:r>
              <w:rPr>
                <w:rFonts w:ascii="Arial" w:cs="Arial" w:eastAsia="Arial" w:hAnsi="Arial"/>
                <w:sz w:val="17"/>
                <w:szCs w:val="17"/>
                <w:color w:val="auto"/>
              </w:rPr>
              <w:t>the event is easily tolerated and does not interfere with usual activity; disappears without residual effects</w:t>
            </w:r>
          </w:p>
        </w:tc>
      </w:tr>
      <w:tr>
        <w:trPr>
          <w:trHeight w:val="412"/>
        </w:trPr>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ind w:left="80"/>
              <w:spacing w:after="0"/>
              <w:rPr>
                <w:sz w:val="20"/>
                <w:szCs w:val="20"/>
                <w:color w:val="auto"/>
              </w:rPr>
            </w:pPr>
            <w:r>
              <w:rPr>
                <w:rFonts w:ascii="Arial" w:cs="Arial" w:eastAsia="Arial" w:hAnsi="Arial"/>
                <w:sz w:val="17"/>
                <w:szCs w:val="17"/>
                <w:color w:val="auto"/>
              </w:rPr>
              <w:t>moderate</w:t>
            </w:r>
          </w:p>
        </w:tc>
        <w:tc>
          <w:tcPr>
            <w:tcW w:w="9640" w:type="dxa"/>
            <w:vAlign w:val="bottom"/>
          </w:tcPr>
          <w:p>
            <w:pPr>
              <w:ind w:left="620"/>
              <w:spacing w:after="0"/>
              <w:rPr>
                <w:sz w:val="20"/>
                <w:szCs w:val="20"/>
                <w:color w:val="auto"/>
              </w:rPr>
            </w:pPr>
            <w:r>
              <w:rPr>
                <w:rFonts w:ascii="Arial" w:cs="Arial" w:eastAsia="Arial" w:hAnsi="Arial"/>
                <w:sz w:val="17"/>
                <w:szCs w:val="17"/>
                <w:color w:val="auto"/>
              </w:rPr>
              <w:t>the event interferes with daily activity, but the patient is still able to function</w:t>
            </w:r>
          </w:p>
        </w:tc>
      </w:tr>
      <w:tr>
        <w:trPr>
          <w:trHeight w:val="401"/>
        </w:trPr>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ind w:left="80"/>
              <w:spacing w:after="0"/>
              <w:rPr>
                <w:sz w:val="20"/>
                <w:szCs w:val="20"/>
                <w:color w:val="auto"/>
              </w:rPr>
            </w:pPr>
            <w:r>
              <w:rPr>
                <w:rFonts w:ascii="Arial" w:cs="Arial" w:eastAsia="Arial" w:hAnsi="Arial"/>
                <w:sz w:val="17"/>
                <w:szCs w:val="17"/>
                <w:color w:val="auto"/>
              </w:rPr>
              <w:t>severe</w:t>
            </w:r>
          </w:p>
        </w:tc>
        <w:tc>
          <w:tcPr>
            <w:tcW w:w="9640" w:type="dxa"/>
            <w:vAlign w:val="bottom"/>
          </w:tcPr>
          <w:p>
            <w:pPr>
              <w:ind w:left="620"/>
              <w:spacing w:after="0"/>
              <w:rPr>
                <w:sz w:val="20"/>
                <w:szCs w:val="20"/>
                <w:color w:val="auto"/>
              </w:rPr>
            </w:pPr>
            <w:r>
              <w:rPr>
                <w:rFonts w:ascii="Arial" w:cs="Arial" w:eastAsia="Arial" w:hAnsi="Arial"/>
                <w:sz w:val="17"/>
                <w:szCs w:val="17"/>
                <w:color w:val="auto"/>
                <w:w w:val="98"/>
              </w:rPr>
              <w:t>the event is incapacitating and the patient is unable to work or complete usual activity; considered as unacceptable by the</w:t>
            </w:r>
          </w:p>
        </w:tc>
      </w:tr>
      <w:tr>
        <w:trPr>
          <w:trHeight w:val="217"/>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40" w:type="dxa"/>
            <w:vAlign w:val="bottom"/>
          </w:tcPr>
          <w:p>
            <w:pPr>
              <w:ind w:left="620"/>
              <w:spacing w:after="0"/>
              <w:rPr>
                <w:sz w:val="20"/>
                <w:szCs w:val="20"/>
                <w:color w:val="auto"/>
              </w:rPr>
            </w:pPr>
            <w:r>
              <w:rPr>
                <w:rFonts w:ascii="Arial" w:cs="Arial" w:eastAsia="Arial" w:hAnsi="Arial"/>
                <w:sz w:val="17"/>
                <w:szCs w:val="17"/>
                <w:color w:val="auto"/>
              </w:rPr>
              <w:t>Investigator</w:t>
            </w:r>
          </w:p>
        </w:tc>
      </w:tr>
      <w:tr>
        <w:trPr>
          <w:trHeight w:val="437"/>
        </w:trPr>
        <w:tc>
          <w:tcPr>
            <w:tcW w:w="44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7.4.2</w:t>
            </w:r>
          </w:p>
        </w:tc>
        <w:tc>
          <w:tcPr>
            <w:tcW w:w="10980" w:type="dxa"/>
            <w:vAlign w:val="bottom"/>
            <w:gridSpan w:val="2"/>
          </w:tcPr>
          <w:p>
            <w:pPr>
              <w:ind w:left="200"/>
              <w:spacing w:after="0"/>
              <w:rPr>
                <w:sz w:val="20"/>
                <w:szCs w:val="20"/>
                <w:color w:val="auto"/>
              </w:rPr>
            </w:pPr>
            <w:r>
              <w:rPr>
                <w:rFonts w:ascii="Arial" w:cs="Arial" w:eastAsia="Arial" w:hAnsi="Arial"/>
                <w:sz w:val="17"/>
                <w:szCs w:val="17"/>
                <w:b w:val="1"/>
                <w:bCs w:val="1"/>
                <w:color w:val="auto"/>
              </w:rPr>
              <w:t>Assessment of causality of adverse events</w:t>
            </w:r>
          </w:p>
        </w:tc>
      </w:tr>
    </w:tbl>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Every effort should be made by the Investigator to explain each AE, both serious and non-serious, and assess its causal relationship, if any, to implantation of BL-1040.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relationship of BL-1040 to the event will be determined by how well the event can be understood in terms of one or more of the following</w:t>
      </w:r>
    </w:p>
    <w:p>
      <w:pPr>
        <w:sectPr>
          <w:pgSz w:w="11900" w:h="16838" w:orient="portrait"/>
          <w:cols w:equalWidth="0" w:num="1">
            <w:col w:w="11420"/>
          </w:cols>
          <w:pgMar w:left="240" w:top="583"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related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there is suspicion of a relationship between BL-1040 and AE (without determining the extent of probability); there are no other more likely causes and administration of BL-1040 is suspected to have contributed to the AE</w:t>
      </w:r>
    </w:p>
    <w:p>
      <w:pPr>
        <w:spacing w:after="0" w:line="200" w:lineRule="exact"/>
        <w:rPr>
          <w:sz w:val="20"/>
          <w:szCs w:val="20"/>
          <w:color w:val="auto"/>
        </w:rPr>
      </w:pPr>
    </w:p>
    <w:p>
      <w:pPr>
        <w:sectPr>
          <w:pgSz w:w="11900" w:h="16838" w:orient="portrait"/>
          <w:cols w:equalWidth="0" w:num="2">
            <w:col w:w="1680" w:space="720"/>
            <w:col w:w="9020"/>
          </w:cols>
          <w:pgMar w:left="240" w:top="583"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possible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AE occurs within a reasonable time after the implantation of BL-1040 but can also be reasonably explained by other factors (as mentioned below)</w:t>
      </w:r>
    </w:p>
    <w:p>
      <w:pPr>
        <w:spacing w:after="0" w:line="200" w:lineRule="exact"/>
        <w:rPr>
          <w:sz w:val="20"/>
          <w:szCs w:val="20"/>
          <w:color w:val="auto"/>
        </w:rPr>
      </w:pPr>
    </w:p>
    <w:p>
      <w:pPr>
        <w:sectPr>
          <w:pgSz w:w="11900" w:h="16838" w:orient="portrait"/>
          <w:cols w:equalWidth="0" w:num="2">
            <w:col w:w="1680" w:space="720"/>
            <w:col w:w="9020"/>
          </w:cols>
          <w:pgMar w:left="240" w:top="583"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unrelated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there is no suspicion that there is a relationship between BL-1040 and AE, there are other more likely causes and implantation of BL-1040 is not suspected to have contributed to the AE</w:t>
      </w:r>
    </w:p>
    <w:p>
      <w:pPr>
        <w:spacing w:after="0" w:line="190" w:lineRule="exact"/>
        <w:rPr>
          <w:sz w:val="20"/>
          <w:szCs w:val="20"/>
          <w:color w:val="auto"/>
        </w:rPr>
      </w:pPr>
    </w:p>
    <w:p>
      <w:pPr>
        <w:sectPr>
          <w:pgSz w:w="11900" w:h="16838" w:orient="portrait"/>
          <w:cols w:equalWidth="0" w:num="2">
            <w:col w:w="1680" w:space="720"/>
            <w:col w:w="9020"/>
          </w:cols>
          <w:pgMar w:left="240" w:top="583" w:right="239" w:bottom="1440" w:gutter="0" w:footer="0" w:header="0"/>
          <w:type w:val="continuous"/>
        </w:sectPr>
      </w:pPr>
    </w:p>
    <w:p>
      <w:pPr>
        <w:spacing w:after="0" w:line="278" w:lineRule="auto"/>
        <w:rPr>
          <w:sz w:val="20"/>
          <w:szCs w:val="20"/>
          <w:color w:val="auto"/>
        </w:rPr>
      </w:pPr>
      <w:r>
        <w:rPr>
          <w:rFonts w:ascii="Arial" w:cs="Arial" w:eastAsia="Arial" w:hAnsi="Arial"/>
          <w:sz w:val="17"/>
          <w:szCs w:val="17"/>
          <w:color w:val="auto"/>
        </w:rPr>
        <w:t>Non-serious and serious AEs will be evaluated as two distinct types of events given their different medical nature. The Investigator will examine all events assessed as “serious” (Sec. 7.5.1) in order to determine, as far as possible, ALL contributing factors applicable to each serious AE.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Other possible contributors include:</w:t>
      </w:r>
    </w:p>
    <w:p>
      <w:pPr>
        <w:spacing w:after="0" w:line="242" w:lineRule="exact"/>
        <w:rPr>
          <w:sz w:val="20"/>
          <w:szCs w:val="20"/>
          <w:color w:val="auto"/>
        </w:rPr>
      </w:pPr>
    </w:p>
    <w:p>
      <w:pPr>
        <w:ind w:left="1220" w:hanging="317"/>
        <w:spacing w:after="0"/>
        <w:tabs>
          <w:tab w:leader="none" w:pos="12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underlying disease</w:t>
      </w:r>
    </w:p>
    <w:p>
      <w:pPr>
        <w:spacing w:after="0" w:line="216" w:lineRule="exact"/>
        <w:rPr>
          <w:rFonts w:ascii="Arial" w:cs="Arial" w:eastAsia="Arial" w:hAnsi="Arial"/>
          <w:sz w:val="17"/>
          <w:szCs w:val="17"/>
          <w:color w:val="auto"/>
        </w:rPr>
      </w:pPr>
    </w:p>
    <w:p>
      <w:pPr>
        <w:ind w:left="1220" w:hanging="317"/>
        <w:spacing w:after="0"/>
        <w:tabs>
          <w:tab w:leader="none" w:pos="12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other medication</w:t>
      </w:r>
    </w:p>
    <w:p>
      <w:pPr>
        <w:spacing w:after="0" w:line="216" w:lineRule="exact"/>
        <w:rPr>
          <w:rFonts w:ascii="Arial" w:cs="Arial" w:eastAsia="Arial" w:hAnsi="Arial"/>
          <w:sz w:val="17"/>
          <w:szCs w:val="17"/>
          <w:color w:val="auto"/>
        </w:rPr>
      </w:pPr>
    </w:p>
    <w:p>
      <w:pPr>
        <w:ind w:left="1220" w:hanging="317"/>
        <w:spacing w:after="0"/>
        <w:tabs>
          <w:tab w:leader="none" w:pos="12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protocol required procedure</w:t>
      </w:r>
    </w:p>
    <w:p>
      <w:pPr>
        <w:spacing w:after="0" w:line="216" w:lineRule="exact"/>
        <w:rPr>
          <w:rFonts w:ascii="Arial" w:cs="Arial" w:eastAsia="Arial" w:hAnsi="Arial"/>
          <w:sz w:val="17"/>
          <w:szCs w:val="17"/>
          <w:color w:val="auto"/>
        </w:rPr>
      </w:pPr>
    </w:p>
    <w:p>
      <w:pPr>
        <w:ind w:left="1220" w:hanging="317"/>
        <w:spacing w:after="0"/>
        <w:tabs>
          <w:tab w:leader="none" w:pos="12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other (specify)</w:t>
      </w:r>
    </w:p>
    <w:p>
      <w:pPr>
        <w:spacing w:after="0" w:line="200" w:lineRule="exact"/>
        <w:rPr>
          <w:sz w:val="20"/>
          <w:szCs w:val="20"/>
          <w:color w:val="auto"/>
        </w:rPr>
      </w:pPr>
    </w:p>
    <w:p>
      <w:pPr>
        <w:spacing w:after="0" w:line="267"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7.4.3</w:t>
      </w:r>
      <w:r>
        <w:rPr>
          <w:sz w:val="20"/>
          <w:szCs w:val="20"/>
          <w:color w:val="auto"/>
        </w:rPr>
        <w:tab/>
      </w:r>
      <w:r>
        <w:rPr>
          <w:rFonts w:ascii="Arial" w:cs="Arial" w:eastAsia="Arial" w:hAnsi="Arial"/>
          <w:sz w:val="14"/>
          <w:szCs w:val="14"/>
          <w:b w:val="1"/>
          <w:bCs w:val="1"/>
          <w:color w:val="auto"/>
        </w:rPr>
        <w:t>Follow-up of adverse events and assessment of outcome</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All AEs will be followed to resolution (patient's health has returned to baseline status or all variables have returned to normal); until an outcome has been reached; stabilization (Investigator does not expect any further improvement of worsening of the event); or the event is otherwise explained, regardless of whether the patient is still participating in the study. Where appropriate, medical tests and examinations will be performed to document resolution of the event. All follow-up information will be recorded in the patient's CRF until Day 180.</w:t>
      </w:r>
    </w:p>
    <w:p>
      <w:pPr>
        <w:spacing w:after="0" w:line="198"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526" w:name="page527"/>
    <w:bookmarkEnd w:id="526"/>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3" w:right="239" w:bottom="1440" w:gutter="0" w:footer="0" w:header="0"/>
        </w:sectPr>
      </w:pPr>
    </w:p>
    <w:p>
      <w:pPr>
        <w:spacing w:after="0" w:line="2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7.5</w:t>
      </w:r>
      <w:r>
        <w:rPr>
          <w:sz w:val="20"/>
          <w:szCs w:val="20"/>
          <w:color w:val="auto"/>
        </w:rPr>
        <w:tab/>
      </w:r>
      <w:r>
        <w:rPr>
          <w:rFonts w:ascii="Arial" w:cs="Arial" w:eastAsia="Arial" w:hAnsi="Arial"/>
          <w:sz w:val="15"/>
          <w:szCs w:val="15"/>
          <w:b w:val="1"/>
          <w:bCs w:val="1"/>
          <w:color w:val="auto"/>
        </w:rPr>
        <w:t>Serious Adverse Events</w:t>
      </w:r>
    </w:p>
    <w:p>
      <w:pPr>
        <w:spacing w:after="0" w:line="24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7.5.1</w:t>
      </w:r>
      <w:r>
        <w:rPr>
          <w:sz w:val="20"/>
          <w:szCs w:val="20"/>
          <w:color w:val="auto"/>
        </w:rPr>
        <w:tab/>
      </w:r>
      <w:r>
        <w:rPr>
          <w:rFonts w:ascii="Arial" w:cs="Arial" w:eastAsia="Arial" w:hAnsi="Arial"/>
          <w:sz w:val="15"/>
          <w:szCs w:val="15"/>
          <w:b w:val="1"/>
          <w:bCs w:val="1"/>
          <w:color w:val="auto"/>
        </w:rPr>
        <w:t>Definition of Serious Adverse Event (SAE)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 serious adverse event (SAE) is any untoward medical occurrence or effect that led to one of the following outcomes:</w:t>
      </w:r>
    </w:p>
    <w:p>
      <w:pPr>
        <w:spacing w:after="0" w:line="242" w:lineRule="exact"/>
        <w:rPr>
          <w:sz w:val="20"/>
          <w:szCs w:val="20"/>
          <w:color w:val="auto"/>
        </w:rPr>
      </w:pPr>
    </w:p>
    <w:p>
      <w:pPr>
        <w:ind w:left="600" w:hanging="301"/>
        <w:spacing w:after="0"/>
        <w:tabs>
          <w:tab w:leader="none" w:pos="60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death of a patient, user or other person</w:t>
      </w:r>
    </w:p>
    <w:p>
      <w:pPr>
        <w:spacing w:after="0" w:line="216" w:lineRule="exact"/>
        <w:rPr>
          <w:rFonts w:ascii="Arial" w:cs="Arial" w:eastAsia="Arial" w:hAnsi="Arial"/>
          <w:sz w:val="17"/>
          <w:szCs w:val="17"/>
          <w:color w:val="auto"/>
        </w:rPr>
      </w:pPr>
    </w:p>
    <w:p>
      <w:pPr>
        <w:ind w:left="600" w:hanging="301"/>
        <w:spacing w:after="0"/>
        <w:tabs>
          <w:tab w:leader="none" w:pos="60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serious injury of a patient, user or other person</w:t>
      </w:r>
    </w:p>
    <w:p>
      <w:pPr>
        <w:spacing w:after="0" w:line="24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Serious injury (also known as serious deterioration in state of health) is either:</w:t>
      </w:r>
    </w:p>
    <w:p>
      <w:pPr>
        <w:spacing w:after="0" w:line="241" w:lineRule="exact"/>
        <w:rPr>
          <w:rFonts w:ascii="Arial" w:cs="Arial" w:eastAsia="Arial" w:hAnsi="Arial"/>
          <w:sz w:val="17"/>
          <w:szCs w:val="17"/>
          <w:color w:val="auto"/>
        </w:rPr>
      </w:pPr>
    </w:p>
    <w:p>
      <w:pPr>
        <w:ind w:left="840" w:hanging="310"/>
        <w:spacing w:after="0"/>
        <w:tabs>
          <w:tab w:leader="none" w:pos="84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a life threatening illness or injury *</w:t>
      </w:r>
    </w:p>
    <w:p>
      <w:pPr>
        <w:spacing w:after="0" w:line="214" w:lineRule="exact"/>
        <w:rPr>
          <w:rFonts w:ascii="Arial" w:cs="Arial" w:eastAsia="Arial" w:hAnsi="Arial"/>
          <w:sz w:val="17"/>
          <w:szCs w:val="17"/>
          <w:color w:val="auto"/>
        </w:rPr>
      </w:pPr>
    </w:p>
    <w:p>
      <w:pPr>
        <w:ind w:left="840" w:hanging="310"/>
        <w:spacing w:after="0"/>
        <w:tabs>
          <w:tab w:leader="none" w:pos="84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permanent impairment of a body function or permanent damage to a body structure</w:t>
      </w:r>
      <w:r>
        <w:rPr>
          <w:rFonts w:ascii="Arial" w:cs="Arial" w:eastAsia="Arial" w:hAnsi="Arial"/>
          <w:sz w:val="24"/>
          <w:szCs w:val="24"/>
          <w:color w:val="auto"/>
          <w:vertAlign w:val="superscript"/>
        </w:rPr>
        <w:t>†</w:t>
      </w:r>
    </w:p>
    <w:p>
      <w:pPr>
        <w:spacing w:after="0" w:line="137" w:lineRule="exact"/>
        <w:rPr>
          <w:rFonts w:ascii="Arial" w:cs="Arial" w:eastAsia="Arial" w:hAnsi="Arial"/>
          <w:sz w:val="17"/>
          <w:szCs w:val="17"/>
          <w:color w:val="auto"/>
        </w:rPr>
      </w:pPr>
    </w:p>
    <w:p>
      <w:pPr>
        <w:ind w:left="840" w:hanging="310"/>
        <w:spacing w:after="0"/>
        <w:tabs>
          <w:tab w:leader="none" w:pos="840" w:val="left"/>
        </w:tabs>
        <w:numPr>
          <w:ilvl w:val="1"/>
          <w:numId w:val="442"/>
        </w:numPr>
        <w:rPr>
          <w:rFonts w:ascii="Arial" w:cs="Arial" w:eastAsia="Arial" w:hAnsi="Arial"/>
          <w:sz w:val="15"/>
          <w:szCs w:val="15"/>
          <w:color w:val="auto"/>
        </w:rPr>
      </w:pPr>
      <w:r>
        <w:rPr>
          <w:rFonts w:ascii="Arial" w:cs="Arial" w:eastAsia="Arial" w:hAnsi="Arial"/>
          <w:sz w:val="15"/>
          <w:szCs w:val="15"/>
          <w:color w:val="auto"/>
        </w:rPr>
        <w:t>a condition necessitating medical or surgical intervention to prevent permanent impairment of a body function or permanent damage to a body structure</w:t>
      </w:r>
    </w:p>
    <w:p>
      <w:pPr>
        <w:spacing w:after="0" w:line="264" w:lineRule="exact"/>
        <w:rPr>
          <w:rFonts w:ascii="Arial" w:cs="Arial" w:eastAsia="Arial" w:hAnsi="Arial"/>
          <w:sz w:val="15"/>
          <w:szCs w:val="15"/>
          <w:color w:val="auto"/>
        </w:rPr>
      </w:pPr>
    </w:p>
    <w:p>
      <w:pPr>
        <w:jc w:val="both"/>
        <w:ind w:left="840"/>
        <w:spacing w:after="0" w:line="265" w:lineRule="auto"/>
        <w:rPr>
          <w:rFonts w:ascii="Arial" w:cs="Arial" w:eastAsia="Arial" w:hAnsi="Arial"/>
          <w:sz w:val="15"/>
          <w:szCs w:val="15"/>
          <w:color w:val="auto"/>
        </w:rPr>
      </w:pPr>
      <w:r>
        <w:rPr>
          <w:rFonts w:ascii="Arial" w:cs="Arial" w:eastAsia="Arial" w:hAnsi="Arial"/>
          <w:sz w:val="17"/>
          <w:szCs w:val="17"/>
          <w:color w:val="auto"/>
        </w:rPr>
        <w:t>The term “permanent” means irreversible impairment or damage to a body structure or function, excluding minor impairment or damage Medical intervention is not in itself a serious injury. It is the reason that motivated the medical intervention that should be used to assess the reportability of an event.</w:t>
      </w:r>
    </w:p>
    <w:p>
      <w:pPr>
        <w:spacing w:after="0" w:line="199" w:lineRule="exact"/>
        <w:rPr>
          <w:rFonts w:ascii="Arial" w:cs="Arial" w:eastAsia="Arial" w:hAnsi="Arial"/>
          <w:sz w:val="15"/>
          <w:szCs w:val="15"/>
          <w:color w:val="auto"/>
        </w:rPr>
      </w:pPr>
    </w:p>
    <w:p>
      <w:pPr>
        <w:ind w:left="840" w:hanging="310"/>
        <w:spacing w:after="0"/>
        <w:tabs>
          <w:tab w:leader="none" w:pos="84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in-patient hospitalization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prolongation of existing hospitalization</w:t>
      </w:r>
    </w:p>
    <w:p>
      <w:pPr>
        <w:spacing w:after="0" w:line="137" w:lineRule="exact"/>
        <w:rPr>
          <w:rFonts w:ascii="Arial" w:cs="Arial" w:eastAsia="Arial" w:hAnsi="Arial"/>
          <w:sz w:val="17"/>
          <w:szCs w:val="17"/>
          <w:color w:val="auto"/>
        </w:rPr>
      </w:pPr>
    </w:p>
    <w:p>
      <w:pPr>
        <w:ind w:left="820" w:hanging="290"/>
        <w:spacing w:after="0"/>
        <w:tabs>
          <w:tab w:leader="none" w:pos="82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an event that might lead to death or serious injury of a patient, user or other person if the event recurs (sometimes called a “near incident”)</w:t>
      </w:r>
    </w:p>
    <w:p>
      <w:pPr>
        <w:spacing w:after="0" w:line="2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*Life threatening: An AE is life threatening if the patient was at risk of death at the time of the event; it does not refer to an event which hypothetically might have caused death if it were more severe.</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Disabling/incapacitating: An AE is incapacitating or disabling if the event results in a substantial disruption of the patient's ability to carry out normal life functions. This definition is not intended to include experiences of relatively minor medical significance such as headache, nausea, vomiting, diarrhea, influenza, or accidental trauma (e.g. sprained ankle).</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Hospitalization: In general, hospitalization signifies that the patient has been detained (usually involving at least an overnight stay) at the hospital or emergency ward for treatment that would not have been appropriate in the physician's office or out-patient setting.</w:t>
      </w: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Hospitalization for either elective surgery related to a pre-existing condition which did not increase in severity or frequency following initiation of the study or for routine clinical procedures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(including hospitalization for "social" reasons) that are not the result of an AE need not be considered as AEs and are therefore not SAEs. When in doubt as to whether ‘hospitalization’ occurred or was necessary, the AE should be considered serious.</w:t>
      </w:r>
    </w:p>
    <w:p>
      <w:pPr>
        <w:spacing w:after="0" w:line="219" w:lineRule="exact"/>
        <w:rPr>
          <w:sz w:val="20"/>
          <w:szCs w:val="20"/>
          <w:color w:val="auto"/>
        </w:rPr>
      </w:pPr>
    </w:p>
    <w:p>
      <w:pPr>
        <w:jc w:val="both"/>
        <w:spacing w:after="0" w:line="226" w:lineRule="auto"/>
        <w:rPr>
          <w:sz w:val="20"/>
          <w:szCs w:val="20"/>
          <w:color w:val="auto"/>
        </w:rPr>
      </w:pPr>
      <w:r>
        <w:rPr>
          <w:rFonts w:ascii="Arial" w:cs="Arial" w:eastAsia="Arial" w:hAnsi="Arial"/>
          <w:sz w:val="24"/>
          <w:szCs w:val="24"/>
          <w:color w:val="auto"/>
          <w:vertAlign w:val="superscript"/>
        </w:rPr>
        <w:t>¶</w:t>
      </w:r>
      <w:r>
        <w:rPr>
          <w:rFonts w:ascii="Arial" w:cs="Arial" w:eastAsia="Arial" w:hAnsi="Arial"/>
          <w:sz w:val="17"/>
          <w:szCs w:val="17"/>
          <w:color w:val="auto"/>
        </w:rPr>
        <w:t>Routine Clinical Procedure: procedure which may take place during the study period and should not interfere with the implantation of BL-1040 or any of the ongoing protocol specific procedures. If anything untoward is reported during an elective procedure, that occurrence must be reported as an AE, either `serious' or non-serious according to the usual criteria.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medical devices, typical serious adverse events include but are not limited to:</w:t>
      </w:r>
    </w:p>
    <w:p>
      <w:pPr>
        <w:spacing w:after="0" w:line="242" w:lineRule="exact"/>
        <w:rPr>
          <w:sz w:val="20"/>
          <w:szCs w:val="20"/>
          <w:color w:val="auto"/>
        </w:rPr>
      </w:pPr>
    </w:p>
    <w:p>
      <w:pPr>
        <w:ind w:left="620" w:hanging="308"/>
        <w:spacing w:after="0"/>
        <w:tabs>
          <w:tab w:leader="none" w:pos="62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use error (e.g. untrained user, incorrect route of administration) related to medical devices, which </w:t>
      </w:r>
      <w:r>
        <w:rPr>
          <w:rFonts w:ascii="Arial" w:cs="Arial" w:eastAsia="Arial" w:hAnsi="Arial"/>
          <w:sz w:val="17"/>
          <w:szCs w:val="17"/>
          <w:u w:val="single" w:color="auto"/>
          <w:color w:val="auto"/>
        </w:rPr>
        <w:t>did</w:t>
      </w:r>
      <w:r>
        <w:rPr>
          <w:rFonts w:ascii="Arial" w:cs="Arial" w:eastAsia="Arial" w:hAnsi="Arial"/>
          <w:sz w:val="17"/>
          <w:szCs w:val="17"/>
          <w:color w:val="auto"/>
        </w:rPr>
        <w:t xml:space="preserve"> result in death or serious injury</w:t>
      </w:r>
    </w:p>
    <w:p>
      <w:pPr>
        <w:spacing w:after="0" w:line="241" w:lineRule="exact"/>
        <w:rPr>
          <w:rFonts w:ascii="Arial" w:cs="Arial" w:eastAsia="Arial" w:hAnsi="Arial"/>
          <w:sz w:val="17"/>
          <w:szCs w:val="17"/>
          <w:color w:val="auto"/>
        </w:rPr>
      </w:pPr>
    </w:p>
    <w:p>
      <w:pPr>
        <w:ind w:left="620" w:hanging="308"/>
        <w:spacing w:after="0"/>
        <w:tabs>
          <w:tab w:leader="none" w:pos="62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damage to tissue or tissue function following administration of study device</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527" w:name="page528"/>
    <w:bookmarkEnd w:id="527"/>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3" w:right="239" w:bottom="1440" w:gutter="0" w:footer="0" w:header="0"/>
        </w:sectPr>
      </w:pPr>
    </w:p>
    <w:p>
      <w:pPr>
        <w:spacing w:after="0" w:line="31" w:lineRule="exact"/>
        <w:rPr>
          <w:sz w:val="20"/>
          <w:szCs w:val="20"/>
          <w:color w:val="auto"/>
        </w:rPr>
      </w:pPr>
    </w:p>
    <w:p>
      <w:pPr>
        <w:ind w:left="620" w:hanging="308"/>
        <w:spacing w:after="0"/>
        <w:tabs>
          <w:tab w:leader="none" w:pos="6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impairment of an organ or organ function following administration of study device</w:t>
      </w:r>
    </w:p>
    <w:p>
      <w:pPr>
        <w:spacing w:after="0" w:line="241" w:lineRule="exact"/>
        <w:rPr>
          <w:rFonts w:ascii="Arial" w:cs="Arial" w:eastAsia="Arial" w:hAnsi="Arial"/>
          <w:sz w:val="17"/>
          <w:szCs w:val="17"/>
          <w:color w:val="auto"/>
        </w:rPr>
      </w:pPr>
    </w:p>
    <w:p>
      <w:pPr>
        <w:ind w:left="620" w:hanging="308"/>
        <w:spacing w:after="0"/>
        <w:tabs>
          <w:tab w:leader="none" w:pos="6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interaction with concomitant treatment (other devices or drugs) that might lead to death or serious injury</w:t>
      </w:r>
    </w:p>
    <w:p>
      <w:pPr>
        <w:spacing w:after="0" w:line="241" w:lineRule="exact"/>
        <w:rPr>
          <w:rFonts w:ascii="Arial" w:cs="Arial" w:eastAsia="Arial" w:hAnsi="Arial"/>
          <w:sz w:val="17"/>
          <w:szCs w:val="17"/>
          <w:color w:val="auto"/>
        </w:rPr>
      </w:pPr>
    </w:p>
    <w:p>
      <w:pPr>
        <w:ind w:left="620" w:hanging="308"/>
        <w:spacing w:after="0" w:line="278" w:lineRule="auto"/>
        <w:tabs>
          <w:tab w:leader="none" w:pos="6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interaction with materials (e.g. catheters, stent), substances or gases entering into contact with the device during normal use that might lead to death or serious injury</w:t>
      </w:r>
    </w:p>
    <w:p>
      <w:pPr>
        <w:spacing w:after="0" w:line="190" w:lineRule="exact"/>
        <w:rPr>
          <w:rFonts w:ascii="Arial" w:cs="Arial" w:eastAsia="Arial" w:hAnsi="Arial"/>
          <w:sz w:val="17"/>
          <w:szCs w:val="17"/>
          <w:color w:val="auto"/>
        </w:rPr>
      </w:pPr>
    </w:p>
    <w:p>
      <w:pPr>
        <w:ind w:left="620" w:hanging="308"/>
        <w:spacing w:after="0"/>
        <w:tabs>
          <w:tab w:leader="none" w:pos="6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non-biocompatibility leading to serious irritation/allergy that results in in-patient hospitalization or prolongation of existing hospitalization</w:t>
      </w:r>
    </w:p>
    <w:p>
      <w:pPr>
        <w:spacing w:after="0" w:line="236"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b w:val="1"/>
          <w:bCs w:val="1"/>
          <w:color w:val="auto"/>
        </w:rPr>
        <w:t>7.5.2</w:t>
      </w:r>
      <w:r>
        <w:rPr>
          <w:sz w:val="20"/>
          <w:szCs w:val="20"/>
          <w:color w:val="auto"/>
        </w:rPr>
        <w:tab/>
      </w:r>
      <w:r>
        <w:rPr>
          <w:rFonts w:ascii="Arial" w:cs="Arial" w:eastAsia="Arial" w:hAnsi="Arial"/>
          <w:sz w:val="15"/>
          <w:szCs w:val="15"/>
          <w:b w:val="1"/>
          <w:bCs w:val="1"/>
          <w:color w:val="auto"/>
        </w:rPr>
        <w:t>Pre-defined SAEs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this study, the following events will be defined as serious:</w:t>
      </w:r>
    </w:p>
    <w:p>
      <w:pPr>
        <w:spacing w:after="0" w:line="242" w:lineRule="exact"/>
        <w:rPr>
          <w:sz w:val="20"/>
          <w:szCs w:val="20"/>
          <w:color w:val="auto"/>
        </w:rPr>
      </w:pPr>
    </w:p>
    <w:p>
      <w:pPr>
        <w:ind w:left="920" w:hanging="300"/>
        <w:spacing w:after="0"/>
        <w:tabs>
          <w:tab w:leader="none" w:pos="9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re-infarction</w:t>
      </w:r>
    </w:p>
    <w:p>
      <w:pPr>
        <w:spacing w:after="0" w:line="241" w:lineRule="exact"/>
        <w:rPr>
          <w:rFonts w:ascii="Arial" w:cs="Arial" w:eastAsia="Arial" w:hAnsi="Arial"/>
          <w:sz w:val="17"/>
          <w:szCs w:val="17"/>
          <w:color w:val="auto"/>
        </w:rPr>
      </w:pPr>
    </w:p>
    <w:p>
      <w:pPr>
        <w:ind w:left="920" w:hanging="300"/>
        <w:spacing w:after="0"/>
        <w:tabs>
          <w:tab w:leader="none" w:pos="9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stroke or transient ischemic attack (TIA)</w:t>
      </w:r>
    </w:p>
    <w:p>
      <w:pPr>
        <w:spacing w:after="0" w:line="241" w:lineRule="exact"/>
        <w:rPr>
          <w:rFonts w:ascii="Arial" w:cs="Arial" w:eastAsia="Arial" w:hAnsi="Arial"/>
          <w:sz w:val="17"/>
          <w:szCs w:val="17"/>
          <w:color w:val="auto"/>
        </w:rPr>
      </w:pPr>
    </w:p>
    <w:p>
      <w:pPr>
        <w:ind w:left="920" w:hanging="300"/>
        <w:spacing w:after="0"/>
        <w:tabs>
          <w:tab w:leader="none" w:pos="9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acute heart failure (decompensation)</w:t>
      </w:r>
    </w:p>
    <w:p>
      <w:pPr>
        <w:spacing w:after="0" w:line="2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occurrence of any of these events after implantation of BL-1040 will be considered an SAE; they are to be reported and followed up as specified in Sections 7.5.3 and 7.5.4.</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b w:val="1"/>
          <w:bCs w:val="1"/>
          <w:color w:val="auto"/>
        </w:rPr>
        <w:t>7.5.3</w:t>
      </w:r>
      <w:r>
        <w:rPr>
          <w:sz w:val="20"/>
          <w:szCs w:val="20"/>
          <w:color w:val="auto"/>
        </w:rPr>
        <w:tab/>
      </w:r>
      <w:r>
        <w:rPr>
          <w:rFonts w:ascii="Arial" w:cs="Arial" w:eastAsia="Arial" w:hAnsi="Arial"/>
          <w:sz w:val="14"/>
          <w:szCs w:val="14"/>
          <w:b w:val="1"/>
          <w:bCs w:val="1"/>
          <w:color w:val="auto"/>
        </w:rPr>
        <w:t>Reporting serious adverse events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All Serious Adverse Events (SAEs) must be reported immediately by the Investigator without filtration, whether considered to be associated with BL-1040 and whether or not considered related to BL-1040. The Investigator must report SAEs within one calendar day of becoming aware of the event by telephone, fax or e-mail to the Study Contact for Reporting Serious Adverse Events as indicated below. This initial notification should include minimal, but sufficient information to permit identification of the reporter, the patient, study device, any medications administered, AEs, causality assessment and date of onset. The Investigator should not wait for additional information to fully document the event before providing notification. An acknowledgement letter will confirm the first notification. The report is then to be followed by submission of a completed SAE Report Form provided by Averion International as soon as possible but at latest within 3 calendar days of the initial telephone/fax or e-mail report detailing relevant aspects of the AEs in question. All actions taken by the Investigator and the outcome of the event must also be reported immediately. For documentation of the SAE, any actions taken, outcome and follow-up reports, the SAE Report Forms are to be used. Where applicable, hospital case records and autopsy reports should be obtained.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Investigators must report SAEs to the appropriate ethics committee if requested by the committee and/or according to local legal requirements.</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180" w:type="dxa"/>
            <w:vAlign w:val="bottom"/>
            <w:tcBorders>
              <w:top w:val="single" w:sz="8" w:color="auto"/>
              <w:left w:val="single" w:sz="8" w:color="auto"/>
              <w:bottom w:val="single" w:sz="8" w:color="auto"/>
            </w:tcBorders>
          </w:tcPr>
          <w:p>
            <w:pPr>
              <w:spacing w:after="0"/>
              <w:rPr>
                <w:sz w:val="17"/>
                <w:szCs w:val="17"/>
                <w:color w:val="auto"/>
              </w:rPr>
            </w:pPr>
          </w:p>
        </w:tc>
        <w:tc>
          <w:tcPr>
            <w:tcW w:w="9260" w:type="dxa"/>
            <w:vAlign w:val="bottom"/>
            <w:tcBorders>
              <w:top w:val="single" w:sz="8" w:color="auto"/>
              <w:bottom w:val="single" w:sz="8" w:color="auto"/>
              <w:right w:val="single" w:sz="8" w:color="auto"/>
            </w:tcBorders>
          </w:tcPr>
          <w:p>
            <w:pPr>
              <w:ind w:left="1700"/>
              <w:spacing w:after="0"/>
              <w:rPr>
                <w:sz w:val="20"/>
                <w:szCs w:val="20"/>
                <w:color w:val="auto"/>
              </w:rPr>
            </w:pPr>
            <w:r>
              <w:rPr>
                <w:rFonts w:ascii="Arial" w:cs="Arial" w:eastAsia="Arial" w:hAnsi="Arial"/>
                <w:sz w:val="17"/>
                <w:szCs w:val="17"/>
                <w:color w:val="auto"/>
              </w:rPr>
              <w:t>Study Contact for Reporting Serious Adverse Events.</w:t>
            </w:r>
          </w:p>
        </w:tc>
      </w:tr>
      <w:tr>
        <w:trPr>
          <w:trHeight w:val="421"/>
        </w:trPr>
        <w:tc>
          <w:tcPr>
            <w:tcW w:w="2180" w:type="dxa"/>
            <w:vAlign w:val="bottom"/>
          </w:tcPr>
          <w:p>
            <w:pPr>
              <w:spacing w:after="0"/>
              <w:rPr>
                <w:sz w:val="24"/>
                <w:szCs w:val="24"/>
                <w:color w:val="auto"/>
              </w:rPr>
            </w:pPr>
          </w:p>
        </w:tc>
        <w:tc>
          <w:tcPr>
            <w:tcW w:w="9260" w:type="dxa"/>
            <w:vAlign w:val="bottom"/>
            <w:tcBorders>
              <w:right w:val="single" w:sz="8" w:color="auto"/>
            </w:tcBorders>
          </w:tcPr>
          <w:p>
            <w:pPr>
              <w:jc w:val="center"/>
              <w:ind w:right="1114"/>
              <w:spacing w:after="0"/>
              <w:rPr>
                <w:sz w:val="20"/>
                <w:szCs w:val="20"/>
                <w:color w:val="auto"/>
              </w:rPr>
            </w:pPr>
            <w:r>
              <w:rPr>
                <w:rFonts w:ascii="Arial" w:cs="Arial" w:eastAsia="Arial" w:hAnsi="Arial"/>
                <w:sz w:val="17"/>
                <w:szCs w:val="17"/>
                <w:color w:val="auto"/>
                <w:w w:val="93"/>
              </w:rPr>
              <w:t>Averion International</w:t>
            </w:r>
          </w:p>
        </w:tc>
      </w:tr>
      <w:tr>
        <w:trPr>
          <w:trHeight w:val="217"/>
        </w:trPr>
        <w:tc>
          <w:tcPr>
            <w:tcW w:w="2180" w:type="dxa"/>
            <w:vAlign w:val="bottom"/>
          </w:tcPr>
          <w:p>
            <w:pPr>
              <w:spacing w:after="0"/>
              <w:rPr>
                <w:sz w:val="18"/>
                <w:szCs w:val="18"/>
                <w:color w:val="auto"/>
              </w:rPr>
            </w:pPr>
          </w:p>
        </w:tc>
        <w:tc>
          <w:tcPr>
            <w:tcW w:w="9260" w:type="dxa"/>
            <w:vAlign w:val="bottom"/>
            <w:tcBorders>
              <w:right w:val="single" w:sz="8" w:color="auto"/>
            </w:tcBorders>
          </w:tcPr>
          <w:p>
            <w:pPr>
              <w:jc w:val="center"/>
              <w:ind w:right="1114"/>
              <w:spacing w:after="0"/>
              <w:rPr>
                <w:sz w:val="20"/>
                <w:szCs w:val="20"/>
                <w:color w:val="auto"/>
              </w:rPr>
            </w:pPr>
            <w:r>
              <w:rPr>
                <w:rFonts w:ascii="Arial" w:cs="Arial" w:eastAsia="Arial" w:hAnsi="Arial"/>
                <w:sz w:val="17"/>
                <w:szCs w:val="17"/>
                <w:color w:val="auto"/>
                <w:w w:val="92"/>
              </w:rPr>
              <w:t>Gewerbestrasse 24, CH-4123 Allschwil, Switzerland</w:t>
            </w:r>
          </w:p>
        </w:tc>
      </w:tr>
      <w:tr>
        <w:trPr>
          <w:trHeight w:val="439"/>
        </w:trPr>
        <w:tc>
          <w:tcPr>
            <w:tcW w:w="2180" w:type="dxa"/>
            <w:vAlign w:val="bottom"/>
          </w:tcPr>
          <w:p>
            <w:pPr>
              <w:ind w:left="20"/>
              <w:spacing w:after="0"/>
              <w:rPr>
                <w:sz w:val="20"/>
                <w:szCs w:val="20"/>
                <w:color w:val="auto"/>
              </w:rPr>
            </w:pPr>
            <w:r>
              <w:rPr>
                <w:rFonts w:ascii="Arial" w:cs="Arial" w:eastAsia="Arial" w:hAnsi="Arial"/>
                <w:sz w:val="17"/>
                <w:szCs w:val="17"/>
                <w:b w:val="1"/>
                <w:bCs w:val="1"/>
                <w:color w:val="auto"/>
              </w:rPr>
              <w:t>Fax:</w:t>
            </w:r>
          </w:p>
        </w:tc>
        <w:tc>
          <w:tcPr>
            <w:tcW w:w="9260" w:type="dxa"/>
            <w:vAlign w:val="bottom"/>
            <w:tcBorders>
              <w:right w:val="single" w:sz="8" w:color="auto"/>
            </w:tcBorders>
          </w:tcPr>
          <w:p>
            <w:pPr>
              <w:jc w:val="center"/>
              <w:ind w:right="1114"/>
              <w:spacing w:after="0"/>
              <w:rPr>
                <w:sz w:val="20"/>
                <w:szCs w:val="20"/>
                <w:color w:val="auto"/>
              </w:rPr>
            </w:pPr>
            <w:r>
              <w:rPr>
                <w:rFonts w:ascii="Arial" w:cs="Arial" w:eastAsia="Arial" w:hAnsi="Arial"/>
                <w:sz w:val="17"/>
                <w:szCs w:val="17"/>
                <w:b w:val="1"/>
                <w:bCs w:val="1"/>
                <w:color w:val="auto"/>
                <w:w w:val="93"/>
              </w:rPr>
              <w:t>+41-61-487-1421</w:t>
            </w:r>
          </w:p>
        </w:tc>
      </w:tr>
      <w:tr>
        <w:trPr>
          <w:trHeight w:val="206"/>
        </w:trPr>
        <w:tc>
          <w:tcPr>
            <w:tcW w:w="2180" w:type="dxa"/>
            <w:vAlign w:val="bottom"/>
          </w:tcPr>
          <w:p>
            <w:pPr>
              <w:ind w:left="20"/>
              <w:spacing w:after="0"/>
              <w:rPr>
                <w:sz w:val="20"/>
                <w:szCs w:val="20"/>
                <w:color w:val="auto"/>
              </w:rPr>
            </w:pPr>
            <w:r>
              <w:rPr>
                <w:rFonts w:ascii="Arial" w:cs="Arial" w:eastAsia="Arial" w:hAnsi="Arial"/>
                <w:sz w:val="17"/>
                <w:szCs w:val="17"/>
                <w:color w:val="auto"/>
              </w:rPr>
              <w:t>e-mail:</w:t>
            </w:r>
          </w:p>
        </w:tc>
        <w:tc>
          <w:tcPr>
            <w:tcW w:w="9260" w:type="dxa"/>
            <w:vAlign w:val="bottom"/>
            <w:tcBorders>
              <w:right w:val="single" w:sz="8" w:color="auto"/>
            </w:tcBorders>
          </w:tcPr>
          <w:p>
            <w:pPr>
              <w:jc w:val="center"/>
              <w:ind w:right="1094"/>
              <w:spacing w:after="0"/>
              <w:rPr>
                <w:sz w:val="20"/>
                <w:szCs w:val="20"/>
                <w:color w:val="auto"/>
              </w:rPr>
            </w:pPr>
            <w:r>
              <w:rPr>
                <w:rFonts w:ascii="Arial" w:cs="Arial" w:eastAsia="Arial" w:hAnsi="Arial"/>
                <w:sz w:val="17"/>
                <w:szCs w:val="17"/>
                <w:color w:val="auto"/>
                <w:w w:val="94"/>
              </w:rPr>
              <w:t>SAE@averionintl.com</w:t>
            </w:r>
          </w:p>
        </w:tc>
      </w:tr>
      <w:tr>
        <w:trPr>
          <w:trHeight w:val="256"/>
        </w:trPr>
        <w:tc>
          <w:tcPr>
            <w:tcW w:w="2180" w:type="dxa"/>
            <w:vAlign w:val="bottom"/>
          </w:tcPr>
          <w:p>
            <w:pPr>
              <w:ind w:left="20"/>
              <w:spacing w:after="0"/>
              <w:rPr>
                <w:sz w:val="20"/>
                <w:szCs w:val="20"/>
                <w:color w:val="auto"/>
              </w:rPr>
            </w:pPr>
            <w:r>
              <w:rPr>
                <w:rFonts w:ascii="Arial" w:cs="Arial" w:eastAsia="Arial" w:hAnsi="Arial"/>
                <w:sz w:val="17"/>
                <w:szCs w:val="17"/>
                <w:color w:val="auto"/>
              </w:rPr>
              <w:t>Tel:</w:t>
            </w:r>
          </w:p>
        </w:tc>
        <w:tc>
          <w:tcPr>
            <w:tcW w:w="9260" w:type="dxa"/>
            <w:vAlign w:val="bottom"/>
            <w:tcBorders>
              <w:right w:val="single" w:sz="8" w:color="auto"/>
            </w:tcBorders>
          </w:tcPr>
          <w:p>
            <w:pPr>
              <w:jc w:val="center"/>
              <w:ind w:right="1114"/>
              <w:spacing w:after="0"/>
              <w:rPr>
                <w:sz w:val="20"/>
                <w:szCs w:val="20"/>
                <w:color w:val="auto"/>
              </w:rPr>
            </w:pPr>
            <w:r>
              <w:rPr>
                <w:rFonts w:ascii="Arial" w:cs="Arial" w:eastAsia="Arial" w:hAnsi="Arial"/>
                <w:sz w:val="17"/>
                <w:szCs w:val="17"/>
                <w:color w:val="auto"/>
                <w:w w:val="93"/>
              </w:rPr>
              <w:t>+41-61-487-1681</w:t>
            </w:r>
          </w:p>
        </w:tc>
      </w:tr>
      <w:tr>
        <w:trPr>
          <w:trHeight w:val="387"/>
        </w:trPr>
        <w:tc>
          <w:tcPr>
            <w:tcW w:w="21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jc w:val="center"/>
              <w:ind w:right="1114"/>
              <w:spacing w:after="0"/>
              <w:rPr>
                <w:sz w:val="20"/>
                <w:szCs w:val="20"/>
                <w:color w:val="auto"/>
              </w:rPr>
            </w:pPr>
            <w:r>
              <w:rPr>
                <w:rFonts w:ascii="Arial" w:cs="Arial" w:eastAsia="Arial" w:hAnsi="Arial"/>
                <w:sz w:val="17"/>
                <w:szCs w:val="17"/>
                <w:color w:val="auto"/>
                <w:w w:val="93"/>
              </w:rPr>
              <w:t>24/24 hour and 7/7 day availability</w:t>
            </w:r>
          </w:p>
        </w:tc>
      </w:tr>
    </w:tbl>
    <w:p>
      <w:pPr>
        <w:spacing w:after="0" w:line="213"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528" w:name="page529"/>
    <w:bookmarkEnd w:id="528"/>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7.5.4</w:t>
      </w:r>
      <w:r>
        <w:rPr>
          <w:sz w:val="20"/>
          <w:szCs w:val="20"/>
          <w:color w:val="auto"/>
        </w:rPr>
        <w:tab/>
      </w:r>
      <w:r>
        <w:rPr>
          <w:rFonts w:ascii="Arial" w:cs="Arial" w:eastAsia="Arial" w:hAnsi="Arial"/>
          <w:sz w:val="15"/>
          <w:szCs w:val="15"/>
          <w:b w:val="1"/>
          <w:bCs w:val="1"/>
          <w:color w:val="auto"/>
        </w:rPr>
        <w:t>Follow-up of serious adverse events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 SAEs must be collected and documented until the end of the long term follow-up (Month 60), and followed up until the event either resolved, subsided, stabilized, disappeared or is otherwise explained or the study patient is lost to follow-up. All follow-up activities must be reported, if necessary on one or more consecutive SAE report forms, in a timely manner. All fields with additional or changed information must be completed and the report form should be forwarded to the Study Contact for Reporting Serious Adverse Events as soon as possible but latest within 7 calendar days after receipt of the new information. Clinically significant laboratory abnormalities will be followed up until they have returned to normal, or a satisfactory explanation has been provided. Reports relative to the subsequent course of an AE noted for any patient must be submitted to Averion International.</w:t>
      </w:r>
    </w:p>
    <w:p>
      <w:pPr>
        <w:spacing w:after="0" w:line="20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Treatment of adverse events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Treatment of any AE is at the sole discretion of the Investigator and according to current available best treatment. The applied measures should be recorded in the CRF of the patient.</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5"/>
          <w:szCs w:val="15"/>
          <w:b w:val="1"/>
          <w:bCs w:val="1"/>
          <w:color w:val="auto"/>
        </w:rPr>
        <w:t>Pregnancy</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Sponsor must be notified immediately of any pregnancy that occurs during the study. The SAE report form should be used to report the pregnancy, even though the pregnancy is not considered an SAE. Women who become pregnant during the study will be followed up until birth of the child. The health status of the newborn will be reported in the patient’s CRF.</w:t>
      </w:r>
    </w:p>
    <w:p>
      <w:pPr>
        <w:spacing w:after="0" w:line="19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29" w:name="page530"/>
    <w:bookmarkEnd w:id="529"/>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9220" w:type="dxa"/>
            <w:vAlign w:val="bottom"/>
          </w:tcPr>
          <w:p>
            <w:pPr>
              <w:jc w:val="center"/>
              <w:ind w:left="2571"/>
              <w:spacing w:after="0"/>
              <w:rPr>
                <w:sz w:val="20"/>
                <w:szCs w:val="20"/>
                <w:color w:val="auto"/>
              </w:rPr>
            </w:pPr>
            <w:r>
              <w:rPr>
                <w:rFonts w:ascii="Arial" w:cs="Arial" w:eastAsia="Arial" w:hAnsi="Arial"/>
                <w:sz w:val="17"/>
                <w:szCs w:val="17"/>
                <w:color w:val="auto"/>
                <w:w w:val="92"/>
              </w:rPr>
              <w:t xml:space="preserve">Protocol BL-1040.01, Version </w:t>
            </w:r>
            <w:r>
              <w:rPr>
                <w:rFonts w:ascii="Arial" w:cs="Arial" w:eastAsia="Arial" w:hAnsi="Arial"/>
                <w:sz w:val="17"/>
                <w:szCs w:val="17"/>
                <w:b w:val="1"/>
                <w:bCs w:val="1"/>
                <w:color w:val="auto"/>
                <w:w w:val="92"/>
              </w:rPr>
              <w:t>5.00</w:t>
            </w:r>
          </w:p>
        </w:tc>
        <w:tc>
          <w:tcPr>
            <w:tcW w:w="1800" w:type="dxa"/>
            <w:vAlign w:val="bottom"/>
          </w:tcPr>
          <w:p>
            <w:pPr>
              <w:ind w:left="540"/>
              <w:spacing w:after="0"/>
              <w:rPr>
                <w:sz w:val="20"/>
                <w:szCs w:val="20"/>
                <w:color w:val="auto"/>
              </w:rPr>
            </w:pPr>
            <w:r>
              <w:rPr>
                <w:rFonts w:ascii="Arial" w:cs="Arial" w:eastAsia="Arial" w:hAnsi="Arial"/>
                <w:sz w:val="17"/>
                <w:szCs w:val="17"/>
                <w:color w:val="auto"/>
                <w:w w:val="99"/>
              </w:rPr>
              <w:t>CONFIDENTIAL</w:t>
            </w:r>
          </w:p>
        </w:tc>
      </w:tr>
      <w:tr>
        <w:trPr>
          <w:trHeight w:val="200"/>
        </w:trPr>
        <w:tc>
          <w:tcPr>
            <w:tcW w:w="400" w:type="dxa"/>
            <w:vAlign w:val="bottom"/>
          </w:tcPr>
          <w:p>
            <w:pPr>
              <w:spacing w:after="0"/>
              <w:rPr>
                <w:sz w:val="17"/>
                <w:szCs w:val="17"/>
                <w:color w:val="auto"/>
              </w:rPr>
            </w:pPr>
          </w:p>
        </w:tc>
        <w:tc>
          <w:tcPr>
            <w:tcW w:w="9220" w:type="dxa"/>
            <w:vAlign w:val="bottom"/>
          </w:tcPr>
          <w:p>
            <w:pPr>
              <w:jc w:val="center"/>
              <w:ind w:left="2571"/>
              <w:spacing w:after="0"/>
              <w:rPr>
                <w:sz w:val="20"/>
                <w:szCs w:val="20"/>
                <w:color w:val="auto"/>
              </w:rPr>
            </w:pPr>
            <w:r>
              <w:rPr>
                <w:rFonts w:ascii="Arial" w:cs="Arial" w:eastAsia="Arial" w:hAnsi="Arial"/>
                <w:sz w:val="17"/>
                <w:szCs w:val="17"/>
                <w:color w:val="auto"/>
                <w:w w:val="93"/>
              </w:rPr>
              <w:t>Safety and Feasibility study of BL-1040</w:t>
            </w:r>
          </w:p>
        </w:tc>
        <w:tc>
          <w:tcPr>
            <w:tcW w:w="1800" w:type="dxa"/>
            <w:vAlign w:val="bottom"/>
          </w:tcPr>
          <w:p>
            <w:pPr>
              <w:spacing w:after="0"/>
              <w:rPr>
                <w:sz w:val="17"/>
                <w:szCs w:val="17"/>
                <w:color w:val="auto"/>
              </w:rPr>
            </w:pPr>
          </w:p>
        </w:tc>
      </w:tr>
      <w:tr>
        <w:trPr>
          <w:trHeight w:val="223"/>
        </w:trPr>
        <w:tc>
          <w:tcPr>
            <w:tcW w:w="400" w:type="dxa"/>
            <w:vAlign w:val="bottom"/>
          </w:tcPr>
          <w:p>
            <w:pPr>
              <w:spacing w:after="0"/>
              <w:rPr>
                <w:sz w:val="19"/>
                <w:szCs w:val="19"/>
                <w:color w:val="auto"/>
              </w:rPr>
            </w:pPr>
          </w:p>
        </w:tc>
        <w:tc>
          <w:tcPr>
            <w:tcW w:w="9220" w:type="dxa"/>
            <w:vAlign w:val="bottom"/>
          </w:tcPr>
          <w:p>
            <w:pPr>
              <w:jc w:val="center"/>
              <w:ind w:left="2591"/>
              <w:spacing w:after="0"/>
              <w:rPr>
                <w:sz w:val="20"/>
                <w:szCs w:val="20"/>
                <w:color w:val="auto"/>
              </w:rPr>
            </w:pPr>
            <w:r>
              <w:rPr>
                <w:rFonts w:ascii="Arial" w:cs="Arial" w:eastAsia="Arial" w:hAnsi="Arial"/>
                <w:sz w:val="17"/>
                <w:szCs w:val="17"/>
                <w:b w:val="1"/>
                <w:bCs w:val="1"/>
                <w:color w:val="auto"/>
                <w:w w:val="95"/>
              </w:rPr>
              <w:t>Final</w:t>
            </w:r>
          </w:p>
        </w:tc>
        <w:tc>
          <w:tcPr>
            <w:tcW w:w="1800" w:type="dxa"/>
            <w:vAlign w:val="bottom"/>
          </w:tcPr>
          <w:p>
            <w:pPr>
              <w:spacing w:after="0"/>
              <w:rPr>
                <w:sz w:val="19"/>
                <w:szCs w:val="19"/>
                <w:color w:val="auto"/>
              </w:rPr>
            </w:pPr>
          </w:p>
        </w:tc>
      </w:tr>
      <w:tr>
        <w:trPr>
          <w:trHeight w:val="475"/>
        </w:trPr>
        <w:tc>
          <w:tcPr>
            <w:tcW w:w="400" w:type="dxa"/>
            <w:vAlign w:val="bottom"/>
          </w:tcPr>
          <w:p>
            <w:pPr>
              <w:spacing w:after="0"/>
              <w:rPr>
                <w:sz w:val="20"/>
                <w:szCs w:val="20"/>
                <w:color w:val="auto"/>
              </w:rPr>
            </w:pPr>
            <w:r>
              <w:rPr>
                <w:rFonts w:ascii="Arial" w:cs="Arial" w:eastAsia="Arial" w:hAnsi="Arial"/>
                <w:sz w:val="21"/>
                <w:szCs w:val="21"/>
                <w:b w:val="1"/>
                <w:bCs w:val="1"/>
                <w:color w:val="auto"/>
              </w:rPr>
              <w:t>8</w:t>
            </w:r>
          </w:p>
        </w:tc>
        <w:tc>
          <w:tcPr>
            <w:tcW w:w="9220" w:type="dxa"/>
            <w:vAlign w:val="bottom"/>
          </w:tcPr>
          <w:p>
            <w:pPr>
              <w:ind w:left="180"/>
              <w:spacing w:after="0"/>
              <w:rPr>
                <w:sz w:val="20"/>
                <w:szCs w:val="20"/>
                <w:color w:val="auto"/>
              </w:rPr>
            </w:pPr>
            <w:r>
              <w:rPr>
                <w:rFonts w:ascii="Arial" w:cs="Arial" w:eastAsia="Arial" w:hAnsi="Arial"/>
                <w:sz w:val="21"/>
                <w:szCs w:val="21"/>
                <w:b w:val="1"/>
                <w:bCs w:val="1"/>
                <w:color w:val="auto"/>
              </w:rPr>
              <w:t>Data Evaluation and Statistics</w:t>
            </w:r>
          </w:p>
        </w:tc>
        <w:tc>
          <w:tcPr>
            <w:tcW w:w="1800" w:type="dxa"/>
            <w:vAlign w:val="bottom"/>
          </w:tcPr>
          <w:p>
            <w:pPr>
              <w:spacing w:after="0"/>
              <w:rPr>
                <w:sz w:val="24"/>
                <w:szCs w:val="24"/>
                <w:color w:val="auto"/>
              </w:rPr>
            </w:pPr>
          </w:p>
        </w:tc>
      </w:tr>
      <w:tr>
        <w:trPr>
          <w:trHeight w:val="425"/>
        </w:trPr>
        <w:tc>
          <w:tcPr>
            <w:tcW w:w="9620" w:type="dxa"/>
            <w:vAlign w:val="bottom"/>
            <w:gridSpan w:val="2"/>
          </w:tcPr>
          <w:p>
            <w:pPr>
              <w:spacing w:after="0"/>
              <w:rPr>
                <w:sz w:val="20"/>
                <w:szCs w:val="20"/>
                <w:color w:val="auto"/>
              </w:rPr>
            </w:pPr>
            <w:r>
              <w:rPr>
                <w:rFonts w:ascii="Arial" w:cs="Arial" w:eastAsia="Arial" w:hAnsi="Arial"/>
                <w:sz w:val="17"/>
                <w:szCs w:val="17"/>
                <w:color w:val="auto"/>
                <w:w w:val="96"/>
              </w:rPr>
              <w:t>In all analyses where a change from baseline is performed, baseline is defined as the last available value before device implantation.</w:t>
            </w:r>
          </w:p>
        </w:tc>
        <w:tc>
          <w:tcPr>
            <w:tcW w:w="1800" w:type="dxa"/>
            <w:vAlign w:val="bottom"/>
          </w:tcPr>
          <w:p>
            <w:pPr>
              <w:spacing w:after="0"/>
              <w:rPr>
                <w:sz w:val="24"/>
                <w:szCs w:val="24"/>
                <w:color w:val="auto"/>
              </w:rPr>
            </w:pPr>
          </w:p>
        </w:tc>
      </w:tr>
      <w:tr>
        <w:trPr>
          <w:trHeight w:val="437"/>
        </w:trPr>
        <w:tc>
          <w:tcPr>
            <w:tcW w:w="400" w:type="dxa"/>
            <w:vAlign w:val="bottom"/>
          </w:tcPr>
          <w:p>
            <w:pPr>
              <w:spacing w:after="0"/>
              <w:rPr>
                <w:sz w:val="20"/>
                <w:szCs w:val="20"/>
                <w:color w:val="auto"/>
              </w:rPr>
            </w:pPr>
            <w:r>
              <w:rPr>
                <w:rFonts w:ascii="Arial" w:cs="Arial" w:eastAsia="Arial" w:hAnsi="Arial"/>
                <w:sz w:val="17"/>
                <w:szCs w:val="17"/>
                <w:b w:val="1"/>
                <w:bCs w:val="1"/>
                <w:color w:val="auto"/>
              </w:rPr>
              <w:t>8.1</w:t>
            </w:r>
          </w:p>
        </w:tc>
        <w:tc>
          <w:tcPr>
            <w:tcW w:w="9220" w:type="dxa"/>
            <w:vAlign w:val="bottom"/>
          </w:tcPr>
          <w:p>
            <w:pPr>
              <w:ind w:left="200"/>
              <w:spacing w:after="0"/>
              <w:rPr>
                <w:sz w:val="20"/>
                <w:szCs w:val="20"/>
                <w:color w:val="auto"/>
              </w:rPr>
            </w:pPr>
            <w:r>
              <w:rPr>
                <w:rFonts w:ascii="Arial" w:cs="Arial" w:eastAsia="Arial" w:hAnsi="Arial"/>
                <w:sz w:val="17"/>
                <w:szCs w:val="17"/>
                <w:b w:val="1"/>
                <w:bCs w:val="1"/>
                <w:color w:val="auto"/>
              </w:rPr>
              <w:t>Endpoints</w:t>
            </w: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-1239520</wp:posOffset>
            </wp:positionV>
            <wp:extent cx="1576705" cy="38417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primary</w:t>
      </w:r>
      <w:r>
        <w:rPr>
          <w:rFonts w:ascii="Arial" w:cs="Arial" w:eastAsia="Arial" w:hAnsi="Arial"/>
          <w:sz w:val="17"/>
          <w:szCs w:val="17"/>
          <w:color w:val="auto"/>
        </w:rPr>
        <w:t xml:space="preserve"> endpoints are occurrence of all adverse events including but not limited to:</w:t>
      </w:r>
    </w:p>
    <w:p>
      <w:pPr>
        <w:spacing w:after="0" w:line="248" w:lineRule="exact"/>
        <w:rPr>
          <w:sz w:val="20"/>
          <w:szCs w:val="20"/>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all MIs</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cardiovascular hospitalization</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serious ventricular arrhythmias sustained</w:t>
      </w:r>
    </w:p>
    <w:p>
      <w:pPr>
        <w:spacing w:after="0" w:line="216" w:lineRule="exact"/>
        <w:rPr>
          <w:rFonts w:ascii="Arial" w:cs="Arial" w:eastAsia="Arial" w:hAnsi="Arial"/>
          <w:sz w:val="17"/>
          <w:szCs w:val="17"/>
          <w:color w:val="auto"/>
        </w:rPr>
      </w:pPr>
    </w:p>
    <w:p>
      <w:pPr>
        <w:ind w:left="1220" w:hanging="317"/>
        <w:spacing w:after="0"/>
        <w:tabs>
          <w:tab w:leader="none" w:pos="122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VT (symptomatic or sustained VT [duration longer than 30 seconds or 100 beats, or associated with hemodynamic collapse]</w:t>
      </w:r>
    </w:p>
    <w:p>
      <w:pPr>
        <w:spacing w:after="0" w:line="216" w:lineRule="exact"/>
        <w:rPr>
          <w:rFonts w:ascii="Arial" w:cs="Arial" w:eastAsia="Arial" w:hAnsi="Arial"/>
          <w:sz w:val="17"/>
          <w:szCs w:val="17"/>
          <w:color w:val="auto"/>
        </w:rPr>
      </w:pPr>
    </w:p>
    <w:p>
      <w:pPr>
        <w:ind w:left="1220" w:hanging="317"/>
        <w:spacing w:after="0"/>
        <w:tabs>
          <w:tab w:leader="none" w:pos="122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VF</w:t>
      </w:r>
    </w:p>
    <w:p>
      <w:pPr>
        <w:spacing w:after="0" w:line="216" w:lineRule="exact"/>
        <w:rPr>
          <w:rFonts w:ascii="Arial" w:cs="Arial" w:eastAsia="Arial" w:hAnsi="Arial"/>
          <w:sz w:val="17"/>
          <w:szCs w:val="17"/>
          <w:color w:val="auto"/>
        </w:rPr>
      </w:pPr>
    </w:p>
    <w:p>
      <w:pPr>
        <w:ind w:left="1220" w:hanging="317"/>
        <w:spacing w:after="0"/>
        <w:tabs>
          <w:tab w:leader="none" w:pos="122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symptomatic bradycardia, pauses of longer than 3.0 seconds, complete atrioventricular block, Mobitz II atrioventricular block</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symptomatic heart failure (NYHA criteria + physical examination OR hospitalization due to heart failure)</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renal failure</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stroke</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death</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Secondary Endpoints include the parameters:</w:t>
      </w:r>
    </w:p>
    <w:p>
      <w:pPr>
        <w:spacing w:after="0" w:line="242" w:lineRule="exact"/>
        <w:rPr>
          <w:sz w:val="20"/>
          <w:szCs w:val="20"/>
          <w:color w:val="auto"/>
        </w:rPr>
      </w:pPr>
    </w:p>
    <w:p>
      <w:pPr>
        <w:ind w:left="720" w:hanging="305"/>
        <w:spacing w:after="0"/>
        <w:tabs>
          <w:tab w:leader="none" w:pos="7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change from baseline in LV dimensions (end-systolic volume index, end-diastolic volume index, left ventricular mass)</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change from baseline in regional (infarct related) and global wall motion score</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change from baseline in ejection fraction</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cardiac rupture</w:t>
      </w:r>
    </w:p>
    <w:p>
      <w:pPr>
        <w:spacing w:after="0" w:line="216" w:lineRule="exact"/>
        <w:rPr>
          <w:rFonts w:ascii="Arial" w:cs="Arial" w:eastAsia="Arial" w:hAnsi="Arial"/>
          <w:sz w:val="17"/>
          <w:szCs w:val="17"/>
          <w:color w:val="auto"/>
        </w:rPr>
      </w:pPr>
    </w:p>
    <w:p>
      <w:pPr>
        <w:ind w:left="720" w:hanging="305"/>
        <w:spacing w:after="0"/>
        <w:tabs>
          <w:tab w:leader="none" w:pos="7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NT-proBNP</w:t>
      </w:r>
    </w:p>
    <w:p>
      <w:pPr>
        <w:spacing w:after="0" w:line="200" w:lineRule="exact"/>
        <w:rPr>
          <w:sz w:val="20"/>
          <w:szCs w:val="20"/>
          <w:color w:val="auto"/>
        </w:rPr>
      </w:pPr>
    </w:p>
    <w:p>
      <w:pPr>
        <w:spacing w:after="0" w:line="26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4"/>
          <w:szCs w:val="14"/>
          <w:b w:val="1"/>
          <w:bCs w:val="1"/>
          <w:color w:val="auto"/>
        </w:rPr>
        <w:t>Estimated sample size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 formal sample size calculation was performed. Twenty patients followed up to Day 180 were deemed necessary to meet the objectives of this Phase I study.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Taking into account drop-outs after the device implantation, thirty patients will be enrolled.</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4"/>
          <w:szCs w:val="14"/>
          <w:b w:val="1"/>
          <w:bCs w:val="1"/>
          <w:color w:val="auto"/>
        </w:rPr>
        <w:t>Planned methods of analysis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All data recorded will be presented in data listings and summary tables, as appropriate. Missing values will not be replaced. No formal hypothesis testing will be performed.</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8.3.1</w:t>
      </w:r>
      <w:r>
        <w:rPr>
          <w:sz w:val="20"/>
          <w:szCs w:val="20"/>
          <w:color w:val="auto"/>
        </w:rPr>
        <w:tab/>
      </w:r>
      <w:r>
        <w:rPr>
          <w:rFonts w:ascii="Arial" w:cs="Arial" w:eastAsia="Arial" w:hAnsi="Arial"/>
          <w:sz w:val="15"/>
          <w:szCs w:val="15"/>
          <w:b w:val="1"/>
          <w:bCs w:val="1"/>
          <w:color w:val="auto"/>
        </w:rPr>
        <w:t>Analysis population</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All participants who received the BL-1040 myocardial implant will be included in the safety analysis. Any excluded cases will be documented together with the reason for exclusion. All decisions on exclusions from the analysis will be finalized prior database lock.</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8.3.2</w:t>
      </w:r>
      <w:r>
        <w:rPr>
          <w:sz w:val="20"/>
          <w:szCs w:val="20"/>
          <w:color w:val="auto"/>
        </w:rPr>
        <w:tab/>
      </w:r>
      <w:r>
        <w:rPr>
          <w:rFonts w:ascii="Arial" w:cs="Arial" w:eastAsia="Arial" w:hAnsi="Arial"/>
          <w:sz w:val="15"/>
          <w:szCs w:val="15"/>
          <w:b w:val="1"/>
          <w:bCs w:val="1"/>
          <w:color w:val="auto"/>
        </w:rPr>
        <w:t>Analysis of demographics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Continuous demographic variables (age, height, weight) will be summarized using mean, median, standard deviation, minimum, maximum, and number of available observations.</w:t>
      </w:r>
    </w:p>
    <w:p>
      <w:pPr>
        <w:spacing w:after="0" w:line="184"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773" w:gutter="0" w:footer="0" w:header="0"/>
        </w:sectPr>
      </w:pPr>
    </w:p>
    <w:bookmarkStart w:id="530" w:name="page531"/>
    <w:bookmarkEnd w:id="530"/>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3" w:right="239" w:bottom="1440" w:gutter="0" w:footer="0" w:header="0"/>
        </w:sectPr>
      </w:pP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Qualitative demographic characteristics will be summarized by counts and percentages. Other patient characteristics (medical history, clinical findings, prior medications, inclusion/exclusion criteria) will only be listed.</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8.3.3</w:t>
      </w:r>
      <w:r>
        <w:rPr>
          <w:sz w:val="20"/>
          <w:szCs w:val="20"/>
          <w:color w:val="auto"/>
        </w:rPr>
        <w:tab/>
      </w:r>
      <w:r>
        <w:rPr>
          <w:rFonts w:ascii="Arial" w:cs="Arial" w:eastAsia="Arial" w:hAnsi="Arial"/>
          <w:sz w:val="15"/>
          <w:szCs w:val="15"/>
          <w:b w:val="1"/>
          <w:bCs w:val="1"/>
          <w:color w:val="auto"/>
        </w:rPr>
        <w:t>Analysis of safety</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AEs will be described in individual listings and frequency tables by system organ class and preferred terms (MedDRA version 10.0 or higher), regardless of relationship as well as for related AEs. The severity of AEs will also be tabulated.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Vital signs will be listed and changes from baseline and raw results will be summarized by means and standard deviations.</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Laboratory test values will be presented by individual listings with flagging of values outside the normal ranges. Raw laboratory results and changes from baseline will be summarized by means and standard deviations.</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12 lead ECG findings will be presented by listings and frequency tables, as appropriate. Continuous ECG data will be summarized using standard descriptive statistics.</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change from baseline in cardiac parameter (LV dimensions, wall motion score, ejection fraction) as well as the NT-proBNP data will be summarized using standard descriptive statistics.</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Interim analysis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An interim safety analysis will be performed after 5 patients have completed the Day 30 visit, on all data collected up to this timepoint.</w:t>
      </w:r>
    </w:p>
    <w:p>
      <w:pPr>
        <w:spacing w:after="0" w:line="23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5"/>
          <w:szCs w:val="15"/>
          <w:b w:val="1"/>
          <w:bCs w:val="1"/>
          <w:color w:val="auto"/>
        </w:rPr>
        <w:t>Final and follow-up reporting</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final clinical study report will be prepared based on data from Day 180, or End of Study, from the final patient. Thereafter, an annual safety report will be prepared after each yearly safety follow-up visit (Months 12, 24, 36, 48, 60).</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5"/>
          <w:szCs w:val="15"/>
          <w:b w:val="1"/>
          <w:bCs w:val="1"/>
          <w:color w:val="auto"/>
        </w:rPr>
        <w:t>Quality assurance</w:t>
      </w:r>
    </w:p>
    <w:p>
      <w:pPr>
        <w:spacing w:after="0" w:line="248" w:lineRule="exact"/>
        <w:rPr>
          <w:sz w:val="20"/>
          <w:szCs w:val="20"/>
          <w:color w:val="auto"/>
        </w:rPr>
      </w:pPr>
    </w:p>
    <w:p>
      <w:pPr>
        <w:spacing w:after="0" w:line="347" w:lineRule="auto"/>
        <w:rPr>
          <w:sz w:val="20"/>
          <w:szCs w:val="20"/>
          <w:color w:val="auto"/>
        </w:rPr>
      </w:pPr>
      <w:r>
        <w:rPr>
          <w:rFonts w:ascii="Arial" w:cs="Arial" w:eastAsia="Arial" w:hAnsi="Arial"/>
          <w:sz w:val="15"/>
          <w:szCs w:val="15"/>
          <w:color w:val="auto"/>
        </w:rPr>
        <w:t>All data collected in the CRF will be double entered into a validated computerized clinical data management system (Clintrial). Laboratory values from the local lab will be entered into the CRF. Analysis of the data will only be performed after all queries have been resolved using an appropriate software for analysis (SAS 8.1).</w:t>
      </w:r>
    </w:p>
    <w:p>
      <w:pPr>
        <w:spacing w:after="0" w:line="138"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531" w:name="page532"/>
    <w:bookmarkEnd w:id="531"/>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ind w:left="680" w:hanging="677"/>
        <w:spacing w:after="0"/>
        <w:tabs>
          <w:tab w:leader="none" w:pos="680" w:val="left"/>
        </w:tabs>
        <w:numPr>
          <w:ilvl w:val="0"/>
          <w:numId w:val="448"/>
        </w:numPr>
        <w:rPr>
          <w:rFonts w:ascii="Arial" w:cs="Arial" w:eastAsia="Arial" w:hAnsi="Arial"/>
          <w:sz w:val="21"/>
          <w:szCs w:val="21"/>
          <w:b w:val="1"/>
          <w:bCs w:val="1"/>
          <w:color w:val="auto"/>
        </w:rPr>
      </w:pPr>
      <w:r>
        <w:rPr>
          <w:rFonts w:ascii="Arial" w:cs="Arial" w:eastAsia="Arial" w:hAnsi="Arial"/>
          <w:sz w:val="21"/>
          <w:szCs w:val="21"/>
          <w:b w:val="1"/>
          <w:bCs w:val="1"/>
          <w:color w:val="auto"/>
        </w:rPr>
        <w:t>Ethics and regulatory considerations</w:t>
      </w:r>
    </w:p>
    <w:p>
      <w:pPr>
        <w:spacing w:after="0" w:line="23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study will be conducted according to Good Clinical Practice, the Declaration of Helsinki 2000 (Appendix A), and the rules and regulations of the European Union and Israel.</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5"/>
          <w:szCs w:val="15"/>
          <w:b w:val="1"/>
          <w:bCs w:val="1"/>
          <w:color w:val="auto"/>
        </w:rPr>
        <w:t>Informed Consent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nature, purpose and potential risk of the study as well as the action of the BL-1040 myocardial implant will be explained to all patients both verbally and in writing. They will be given adequate time to consider the study before signing the consent form. Their questions will be actively encouraged. They will be informed that they may withdraw from the study at any time. This information is documented in the protocol and participants in the study will sign a consent form confirming that they have read and understood it; no study activities will take place until the consent form has been signed. They will also be given a Patient Information Sheet and copy of the consent form.</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Authorities</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procedures laid out by the local regulatory authorities must be followed and all documents must be submitted to all concerned authorities, and where needed, approved before a clinical study may commence.</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Protocol Amendments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There will be no alteration to the protocol without the express written approval of the Sponsor.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local authorities or ethics committees must approve all major protocol amendments prior to implementation.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No protocol amendments should be adopted without prior written approval from the ethics committee except in the following cases:</w:t>
      </w:r>
    </w:p>
    <w:p>
      <w:pPr>
        <w:spacing w:after="0" w:line="242" w:lineRule="exact"/>
        <w:rPr>
          <w:sz w:val="20"/>
          <w:szCs w:val="20"/>
          <w:color w:val="auto"/>
        </w:rPr>
      </w:pPr>
    </w:p>
    <w:p>
      <w:pPr>
        <w:ind w:left="1100" w:hanging="312"/>
        <w:spacing w:after="0"/>
        <w:tabs>
          <w:tab w:leader="none" w:pos="110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in order to eliminate immediate hazard to the patients,</w:t>
      </w:r>
    </w:p>
    <w:p>
      <w:pPr>
        <w:spacing w:after="0" w:line="241" w:lineRule="exact"/>
        <w:rPr>
          <w:rFonts w:ascii="Arial" w:cs="Arial" w:eastAsia="Arial" w:hAnsi="Arial"/>
          <w:sz w:val="17"/>
          <w:szCs w:val="17"/>
          <w:color w:val="auto"/>
        </w:rPr>
      </w:pPr>
    </w:p>
    <w:p>
      <w:pPr>
        <w:ind w:right="1020" w:firstLine="788"/>
        <w:spacing w:after="0" w:line="608" w:lineRule="auto"/>
        <w:tabs>
          <w:tab w:leader="none" w:pos="1093" w:val="left"/>
        </w:tabs>
        <w:numPr>
          <w:ilvl w:val="0"/>
          <w:numId w:val="449"/>
        </w:numPr>
        <w:rPr>
          <w:rFonts w:ascii="Arial" w:cs="Arial" w:eastAsia="Arial" w:hAnsi="Arial"/>
          <w:sz w:val="15"/>
          <w:szCs w:val="15"/>
          <w:color w:val="auto"/>
        </w:rPr>
      </w:pPr>
      <w:r>
        <w:rPr>
          <w:rFonts w:ascii="Arial" w:cs="Arial" w:eastAsia="Arial" w:hAnsi="Arial"/>
          <w:sz w:val="15"/>
          <w:szCs w:val="15"/>
          <w:color w:val="auto"/>
        </w:rPr>
        <w:t>changes involving only logistical or administrative aspects of the trial. Then notification to the relevant authorities should be submitted. In these cases, the implemented deviation or change should be submitted as soon as possible to the relevant authorities for review and approval.</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No protocol deviations are anticipated. However, should any protocol deviations occur, the Principal Investigator must report the matter to the Sponsor as soon as reasonably practical. Details of the deviation and, if possible, the reason for its occurrence must be included in the study report.</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Major modifications will need further approval, and will be submitted to the local authorities or ethics committees, according to local regulations, in the form of an Amendment. Minor administrative changes require only that the Chairman of the Ethics Committee be informed in writing without delay.</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color w:val="auto"/>
        </w:rPr>
        <w:t>Patient confidentiality</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Individual patient data obtained as a result of this study is considered confidential. A patient identification number will identify any patient data collected throughout the study only.</w:t>
      </w:r>
    </w:p>
    <w:p>
      <w:pPr>
        <w:spacing w:after="0" w:line="184"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2" w:name="page533"/>
    <w:bookmarkEnd w:id="532"/>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Data generated as a result of this study are to be available for inspection on request by all authorized Sponsor personnel, Averion International personnel, audit personnel and regulatory authorities. The Informed Consent must clearly reflect this access.</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5"/>
          <w:szCs w:val="15"/>
          <w:b w:val="1"/>
          <w:bCs w:val="1"/>
          <w:color w:val="auto"/>
        </w:rPr>
        <w:t>Insurance</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compensation of the patient in the event of study related injuries will comply with the applicable obligatory requirements. Details will be included in the Informed Consent.</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5"/>
          <w:szCs w:val="15"/>
          <w:b w:val="1"/>
          <w:bCs w:val="1"/>
          <w:color w:val="auto"/>
        </w:rPr>
        <w:t>Duration of the study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active study phase for each patient is 180 days. Enrolment is expected to begin in Q1 2008; the study is expected to end </w:t>
      </w:r>
      <w:r>
        <w:rPr>
          <w:rFonts w:ascii="Arial" w:cs="Arial" w:eastAsia="Arial" w:hAnsi="Arial"/>
          <w:sz w:val="17"/>
          <w:szCs w:val="17"/>
          <w:b w:val="1"/>
          <w:bCs w:val="1"/>
          <w:color w:val="auto"/>
        </w:rPr>
        <w:t>Q1 2010</w:t>
      </w:r>
      <w:r>
        <w:rPr>
          <w:rFonts w:ascii="Arial" w:cs="Arial" w:eastAsia="Arial" w:hAnsi="Arial"/>
          <w:sz w:val="17"/>
          <w:szCs w:val="17"/>
          <w:color w:val="auto"/>
        </w:rPr>
        <w:t>.</w:t>
      </w:r>
    </w:p>
    <w:p>
      <w:pPr>
        <w:spacing w:after="0" w:line="242"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3" w:name="page534"/>
    <w:bookmarkEnd w:id="533"/>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spacing w:after="0"/>
        <w:tabs>
          <w:tab w:leader="none" w:pos="72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1"/>
          <w:szCs w:val="21"/>
          <w:b w:val="1"/>
          <w:bCs w:val="1"/>
          <w:color w:val="auto"/>
        </w:rPr>
        <w:t>Data Handling and Record Keeping</w:t>
      </w:r>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5"/>
          <w:szCs w:val="15"/>
          <w:b w:val="1"/>
          <w:bCs w:val="1"/>
          <w:color w:val="auto"/>
        </w:rPr>
        <w:t>Documentation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Records must be retained for 15 years after study completion.</w:t>
      </w:r>
    </w:p>
    <w:p>
      <w:pPr>
        <w:spacing w:after="0" w:line="23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5"/>
          <w:szCs w:val="15"/>
          <w:b w:val="1"/>
          <w:bCs w:val="1"/>
          <w:color w:val="auto"/>
        </w:rPr>
        <w:t>Case Report Forms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The Investigator is responsible for maintaining adequate and accurate medical records from which accurate information will be transferred into the study database.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Case Report Forms (CRFs) should be completed by the Investigator or delegated personnel.</w:t>
      </w:r>
    </w:p>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CRFs will be provided for each patient. All data will be entered in black ink. Data/corrections entered will be signed or initialed by the study personnel undertaking that procedure. Overwriting data or use of liquid correcting fluid is not allowed. Detailed instructions are provided with the CRF.</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10.3</w:t>
      </w:r>
      <w:r>
        <w:rPr>
          <w:sz w:val="20"/>
          <w:szCs w:val="20"/>
          <w:color w:val="auto"/>
        </w:rPr>
        <w:tab/>
      </w:r>
      <w:r>
        <w:rPr>
          <w:rFonts w:ascii="Arial" w:cs="Arial" w:eastAsia="Arial" w:hAnsi="Arial"/>
          <w:sz w:val="15"/>
          <w:szCs w:val="15"/>
          <w:b w:val="1"/>
          <w:bCs w:val="1"/>
          <w:color w:val="auto"/>
        </w:rPr>
        <w:t>Monitoring and quality control</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To ensure compliance with relevant regulations, data generated by this study must be available for inspection upon request by representatives of BioLine Innovations Jerusalem, Averion International (CRO), auditing personnel and relevant local regulatory authorities.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Regular on-site visits for monitoring of study activities and data recording will be scheduled. Formal reports of these visits will be generated and copies provided to relevant Sponsor and study personnel.</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10.4</w:t>
      </w:r>
      <w:r>
        <w:rPr>
          <w:sz w:val="20"/>
          <w:szCs w:val="20"/>
          <w:color w:val="auto"/>
        </w:rPr>
        <w:tab/>
      </w:r>
      <w:r>
        <w:rPr>
          <w:rFonts w:ascii="Arial" w:cs="Arial" w:eastAsia="Arial" w:hAnsi="Arial"/>
          <w:sz w:val="15"/>
          <w:szCs w:val="15"/>
          <w:b w:val="1"/>
          <w:bCs w:val="1"/>
          <w:color w:val="auto"/>
        </w:rPr>
        <w:t>Publication policy</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results of the study are the property of the Sponsor. All manuscripts, abstracts or other modes of presentation arising from the results of the study must be reviewed and approved in writing by the Sponsor, in advance of submission. Co-authorship with any Sponsor personnel will be discussed and mutually agreed upon before submission of a manuscript to a publisher.</w:t>
      </w:r>
    </w:p>
    <w:p>
      <w:pPr>
        <w:spacing w:after="0" w:line="195"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4" w:name="page535"/>
    <w:bookmarkEnd w:id="534"/>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21"/>
          <w:szCs w:val="21"/>
          <w:b w:val="1"/>
          <w:bCs w:val="1"/>
          <w:color w:val="auto"/>
        </w:rPr>
        <w:t>References</w:t>
      </w:r>
    </w:p>
    <w:p>
      <w:pPr>
        <w:spacing w:after="0" w:line="236" w:lineRule="exact"/>
        <w:rPr>
          <w:sz w:val="20"/>
          <w:szCs w:val="20"/>
          <w:color w:val="auto"/>
        </w:rPr>
      </w:pPr>
    </w:p>
    <w:p>
      <w:pPr>
        <w:ind w:left="320" w:hanging="317"/>
        <w:spacing w:after="0"/>
        <w:tabs>
          <w:tab w:leader="none" w:pos="3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GMP guideline Volume 4, Annex 13 Manufacture of Investigational Medicinal Products (July 2003 Revision 1)</w:t>
      </w:r>
    </w:p>
    <w:p>
      <w:pPr>
        <w:spacing w:after="0" w:line="216" w:lineRule="exact"/>
        <w:rPr>
          <w:rFonts w:ascii="Arial" w:cs="Arial" w:eastAsia="Arial" w:hAnsi="Arial"/>
          <w:sz w:val="17"/>
          <w:szCs w:val="17"/>
          <w:color w:val="auto"/>
        </w:rPr>
      </w:pPr>
    </w:p>
    <w:p>
      <w:pPr>
        <w:ind w:left="320" w:hanging="317"/>
        <w:spacing w:after="0"/>
        <w:tabs>
          <w:tab w:leader="none" w:pos="32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Marcus ML, Wilson RF and White CW. Methods of measurement of myocardial blood flow in patients: a critical review, </w:t>
      </w:r>
      <w:r>
        <w:rPr>
          <w:rFonts w:ascii="Arial" w:cs="Arial" w:eastAsia="Arial" w:hAnsi="Arial"/>
          <w:sz w:val="16"/>
          <w:szCs w:val="16"/>
          <w:i w:val="1"/>
          <w:iCs w:val="1"/>
          <w:color w:val="auto"/>
        </w:rPr>
        <w:t>Circulation</w:t>
      </w:r>
      <w:r>
        <w:rPr>
          <w:rFonts w:ascii="Arial" w:cs="Arial" w:eastAsia="Arial" w:hAnsi="Arial"/>
          <w:sz w:val="16"/>
          <w:szCs w:val="16"/>
          <w:color w:val="auto"/>
        </w:rPr>
        <w:t xml:space="preserve"> 1987, 76; 245-253</w:t>
      </w:r>
    </w:p>
    <w:p>
      <w:pPr>
        <w:spacing w:after="0" w:line="227" w:lineRule="exact"/>
        <w:rPr>
          <w:rFonts w:ascii="Arial" w:cs="Arial" w:eastAsia="Arial" w:hAnsi="Arial"/>
          <w:sz w:val="16"/>
          <w:szCs w:val="16"/>
          <w:color w:val="auto"/>
        </w:rPr>
      </w:pPr>
    </w:p>
    <w:p>
      <w:pPr>
        <w:ind w:left="320" w:right="180" w:hanging="317"/>
        <w:spacing w:after="0" w:line="278" w:lineRule="auto"/>
        <w:tabs>
          <w:tab w:leader="none" w:pos="3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 xml:space="preserve">Bassand et al., Guidelines for the diagnosis and treatment of patients with non-ST-segment elevation acute coronary syndromes. </w:t>
      </w:r>
      <w:r>
        <w:rPr>
          <w:rFonts w:ascii="Arial" w:cs="Arial" w:eastAsia="Arial" w:hAnsi="Arial"/>
          <w:sz w:val="17"/>
          <w:szCs w:val="17"/>
          <w:i w:val="1"/>
          <w:iCs w:val="1"/>
          <w:color w:val="auto"/>
        </w:rPr>
        <w:t>European Heart Journal</w:t>
      </w:r>
      <w:r>
        <w:rPr>
          <w:rFonts w:ascii="Arial" w:cs="Arial" w:eastAsia="Arial" w:hAnsi="Arial"/>
          <w:sz w:val="17"/>
          <w:szCs w:val="17"/>
          <w:color w:val="auto"/>
        </w:rPr>
        <w:t xml:space="preserve"> 2007, 27; 1598-1660</w:t>
      </w:r>
    </w:p>
    <w:p>
      <w:pPr>
        <w:spacing w:after="0" w:line="164" w:lineRule="exact"/>
        <w:rPr>
          <w:rFonts w:ascii="Arial" w:cs="Arial" w:eastAsia="Arial" w:hAnsi="Arial"/>
          <w:sz w:val="17"/>
          <w:szCs w:val="17"/>
          <w:color w:val="auto"/>
        </w:rPr>
      </w:pPr>
    </w:p>
    <w:p>
      <w:pPr>
        <w:ind w:left="320" w:hanging="317"/>
        <w:spacing w:after="0"/>
        <w:tabs>
          <w:tab w:leader="none" w:pos="3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Silber S et al</w:t>
      </w:r>
      <w:r>
        <w:rPr>
          <w:rFonts w:ascii="Arial" w:cs="Arial" w:eastAsia="Arial" w:hAnsi="Arial"/>
          <w:sz w:val="17"/>
          <w:szCs w:val="17"/>
          <w:i w:val="1"/>
          <w:iCs w:val="1"/>
          <w:color w:val="auto"/>
        </w:rPr>
        <w:t>.</w:t>
      </w:r>
      <w:r>
        <w:rPr>
          <w:rFonts w:ascii="Arial" w:cs="Arial" w:eastAsia="Arial" w:hAnsi="Arial"/>
          <w:sz w:val="17"/>
          <w:szCs w:val="17"/>
          <w:color w:val="auto"/>
        </w:rPr>
        <w:t xml:space="preserve"> ESC Guidelines: Guidelines for percutaneous coronary interventions. </w:t>
      </w:r>
      <w:r>
        <w:rPr>
          <w:rFonts w:ascii="Arial" w:cs="Arial" w:eastAsia="Arial" w:hAnsi="Arial"/>
          <w:sz w:val="17"/>
          <w:szCs w:val="17"/>
          <w:i w:val="1"/>
          <w:iCs w:val="1"/>
          <w:color w:val="auto"/>
        </w:rPr>
        <w:t>European Heart Journal</w:t>
      </w:r>
      <w:r>
        <w:rPr>
          <w:rFonts w:ascii="Arial" w:cs="Arial" w:eastAsia="Arial" w:hAnsi="Arial"/>
          <w:sz w:val="17"/>
          <w:szCs w:val="17"/>
          <w:color w:val="auto"/>
        </w:rPr>
        <w:t xml:space="preserve"> 2005, 26; 804-847</w:t>
      </w:r>
    </w:p>
    <w:p>
      <w:pPr>
        <w:spacing w:after="0" w:line="216" w:lineRule="exact"/>
        <w:rPr>
          <w:rFonts w:ascii="Arial" w:cs="Arial" w:eastAsia="Arial" w:hAnsi="Arial"/>
          <w:sz w:val="17"/>
          <w:szCs w:val="17"/>
          <w:color w:val="auto"/>
        </w:rPr>
      </w:pPr>
    </w:p>
    <w:p>
      <w:pPr>
        <w:ind w:left="320" w:hanging="317"/>
        <w:spacing w:after="0"/>
        <w:tabs>
          <w:tab w:leader="none" w:pos="320" w:val="left"/>
        </w:tabs>
        <w:numPr>
          <w:ilvl w:val="0"/>
          <w:numId w:val="450"/>
        </w:numPr>
        <w:rPr>
          <w:rFonts w:ascii="Arial" w:cs="Arial" w:eastAsia="Arial" w:hAnsi="Arial"/>
          <w:sz w:val="15"/>
          <w:szCs w:val="15"/>
          <w:color w:val="auto"/>
        </w:rPr>
      </w:pPr>
      <w:r>
        <w:rPr>
          <w:rFonts w:ascii="Arial" w:cs="Arial" w:eastAsia="Arial" w:hAnsi="Arial"/>
          <w:sz w:val="15"/>
          <w:szCs w:val="15"/>
          <w:color w:val="auto"/>
        </w:rPr>
        <w:t xml:space="preserve">Van de Werf et al., Management of acute myocardial infarction in patients presenting with ST-segment elevation. </w:t>
      </w:r>
      <w:r>
        <w:rPr>
          <w:rFonts w:ascii="Arial" w:cs="Arial" w:eastAsia="Arial" w:hAnsi="Arial"/>
          <w:sz w:val="15"/>
          <w:szCs w:val="15"/>
          <w:i w:val="1"/>
          <w:iCs w:val="1"/>
          <w:color w:val="auto"/>
        </w:rPr>
        <w:t>European Heart Journal</w:t>
      </w:r>
      <w:r>
        <w:rPr>
          <w:rFonts w:ascii="Arial" w:cs="Arial" w:eastAsia="Arial" w:hAnsi="Arial"/>
          <w:sz w:val="15"/>
          <w:szCs w:val="15"/>
          <w:color w:val="auto"/>
        </w:rPr>
        <w:t xml:space="preserve"> 2003, 24; 28-66.</w:t>
      </w:r>
    </w:p>
    <w:p>
      <w:pPr>
        <w:spacing w:after="0" w:line="239" w:lineRule="exact"/>
        <w:rPr>
          <w:rFonts w:ascii="Arial" w:cs="Arial" w:eastAsia="Arial" w:hAnsi="Arial"/>
          <w:sz w:val="15"/>
          <w:szCs w:val="15"/>
          <w:color w:val="auto"/>
        </w:rPr>
      </w:pPr>
    </w:p>
    <w:p>
      <w:pPr>
        <w:ind w:left="320" w:right="320" w:hanging="317"/>
        <w:spacing w:after="0" w:line="278" w:lineRule="auto"/>
        <w:tabs>
          <w:tab w:leader="none" w:pos="3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Rector TS, Francis GS, Cohn JN. Patients’ self-assessment of their congestive heart failure. Part 1 Patient perceived dysfunction and its poor correlation with maximal exercise tests. Heart Failure 1987, Oct/Nov; 192-196.</w:t>
      </w:r>
    </w:p>
    <w:p>
      <w:pPr>
        <w:spacing w:after="0" w:line="164" w:lineRule="exact"/>
        <w:rPr>
          <w:rFonts w:ascii="Arial" w:cs="Arial" w:eastAsia="Arial" w:hAnsi="Arial"/>
          <w:sz w:val="17"/>
          <w:szCs w:val="17"/>
          <w:color w:val="auto"/>
        </w:rPr>
      </w:pPr>
    </w:p>
    <w:p>
      <w:pPr>
        <w:ind w:left="320" w:right="720" w:hanging="317"/>
        <w:spacing w:after="0" w:line="278" w:lineRule="auto"/>
        <w:tabs>
          <w:tab w:leader="none" w:pos="3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Rector TS, Kubo SH, Cohn JN: patients’ self-assessment of their congestive heart failure. Part 2: Content, reliability and validity of a new measure, the Minnesota Living with Heart Failure questionnaire. Heart Failure 1987, Oct/Nov; 198-209.</w:t>
      </w:r>
    </w:p>
    <w:p>
      <w:pPr>
        <w:spacing w:after="0" w:line="164" w:lineRule="exact"/>
        <w:rPr>
          <w:rFonts w:ascii="Arial" w:cs="Arial" w:eastAsia="Arial" w:hAnsi="Arial"/>
          <w:sz w:val="17"/>
          <w:szCs w:val="17"/>
          <w:color w:val="auto"/>
        </w:rPr>
      </w:pPr>
    </w:p>
    <w:p>
      <w:pPr>
        <w:ind w:left="320" w:hanging="317"/>
        <w:spacing w:after="0"/>
        <w:tabs>
          <w:tab w:leader="none" w:pos="3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 xml:space="preserve">Rector TS. A conceptual model of the quality of life in relation to heart failure. </w:t>
      </w:r>
      <w:r>
        <w:rPr>
          <w:rFonts w:ascii="Arial" w:cs="Arial" w:eastAsia="Arial" w:hAnsi="Arial"/>
          <w:sz w:val="17"/>
          <w:szCs w:val="17"/>
          <w:i w:val="1"/>
          <w:iCs w:val="1"/>
          <w:color w:val="auto"/>
        </w:rPr>
        <w:t>J Cardiac Failure</w:t>
      </w:r>
      <w:r>
        <w:rPr>
          <w:rFonts w:ascii="Arial" w:cs="Arial" w:eastAsia="Arial" w:hAnsi="Arial"/>
          <w:sz w:val="17"/>
          <w:szCs w:val="17"/>
          <w:color w:val="auto"/>
        </w:rPr>
        <w:t xml:space="preserve"> 2006.</w:t>
      </w:r>
    </w:p>
    <w:p>
      <w:pPr>
        <w:spacing w:after="0" w:line="236" w:lineRule="exact"/>
        <w:rPr>
          <w:sz w:val="20"/>
          <w:szCs w:val="20"/>
          <w:color w:val="auto"/>
        </w:rPr>
      </w:pPr>
    </w:p>
    <w:p>
      <w:pPr>
        <w:ind w:right="454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5" w:name="page536"/>
    <w:bookmarkEnd w:id="535"/>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Appendix A: Declaration of Helsinki</w:t>
      </w:r>
    </w:p>
    <w:p>
      <w:pPr>
        <w:spacing w:after="0" w:line="249" w:lineRule="exact"/>
        <w:rPr>
          <w:sz w:val="20"/>
          <w:szCs w:val="20"/>
          <w:color w:val="auto"/>
        </w:rPr>
      </w:pPr>
    </w:p>
    <w:p>
      <w:pPr>
        <w:spacing w:after="0"/>
        <w:tabs>
          <w:tab w:leader="none" w:pos="3680" w:val="left"/>
        </w:tabs>
        <w:rPr>
          <w:sz w:val="20"/>
          <w:szCs w:val="20"/>
          <w:color w:val="auto"/>
        </w:rPr>
      </w:pPr>
      <w:r>
        <w:rPr>
          <w:rFonts w:ascii="Arial" w:cs="Arial" w:eastAsia="Arial" w:hAnsi="Arial"/>
          <w:sz w:val="17"/>
          <w:szCs w:val="17"/>
          <w:color w:val="auto"/>
        </w:rPr>
        <w:t>Initiated: 1964 17.C</w:t>
      </w:r>
      <w:r>
        <w:rPr>
          <w:sz w:val="20"/>
          <w:szCs w:val="20"/>
          <w:color w:val="auto"/>
        </w:rPr>
        <w:tab/>
      </w:r>
      <w:r>
        <w:rPr>
          <w:rFonts w:ascii="Arial" w:cs="Arial" w:eastAsia="Arial" w:hAnsi="Arial"/>
          <w:sz w:val="16"/>
          <w:szCs w:val="16"/>
          <w:color w:val="auto"/>
        </w:rPr>
        <w:t>Original: English</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 MEDICAL ASSOCIATION DECLARATION OF HELSINKI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Ethical Principles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Medical Research Involving Human Subjects</w:t>
      </w:r>
    </w:p>
    <w:p>
      <w:pPr>
        <w:spacing w:after="0" w:line="23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Adopted by the 18th WMA General Assembly</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Helsinki, Finland, June 1964</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and amended by the</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29th WMA General Assembly, Tokyo, Japan, October 1975</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35th WMA General Assembly, Venice, Italy, October 1983</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41st WMA General Assembly, Hong Kong, September 1989</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48th WMA General Assembly, Somerset West, Republic of South Africa, October 1996</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and the</w:t>
      </w:r>
    </w:p>
    <w:p>
      <w:pPr>
        <w:spacing w:after="0" w:line="242" w:lineRule="exact"/>
        <w:rPr>
          <w:sz w:val="20"/>
          <w:szCs w:val="20"/>
          <w:color w:val="auto"/>
        </w:rPr>
      </w:pPr>
    </w:p>
    <w:p>
      <w:pPr>
        <w:jc w:val="center"/>
        <w:ind w:left="320" w:right="2380"/>
        <w:spacing w:after="0" w:line="265" w:lineRule="auto"/>
        <w:rPr>
          <w:sz w:val="20"/>
          <w:szCs w:val="20"/>
          <w:color w:val="auto"/>
        </w:rPr>
      </w:pPr>
      <w:r>
        <w:rPr>
          <w:rFonts w:ascii="Arial" w:cs="Arial" w:eastAsia="Arial" w:hAnsi="Arial"/>
          <w:sz w:val="17"/>
          <w:szCs w:val="17"/>
          <w:color w:val="auto"/>
        </w:rPr>
        <w:t>52nd WMA General Assembly, Edinburgh, Scotland, October 2000 Note of Clarification on Paragraph 29 added by the WMA General Assembly, Washington 2002 Note of Clarification on Paragraph 30 added by the WMA General Assembly, Tokyo 2004</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INTRODUCTION</w:t>
      </w:r>
    </w:p>
    <w:p>
      <w:pPr>
        <w:spacing w:after="0" w:line="248" w:lineRule="exact"/>
        <w:rPr>
          <w:sz w:val="20"/>
          <w:szCs w:val="20"/>
          <w:color w:val="auto"/>
        </w:rPr>
      </w:pPr>
    </w:p>
    <w:p>
      <w:pPr>
        <w:jc w:val="both"/>
        <w:ind w:left="460" w:hanging="457"/>
        <w:spacing w:after="0" w:line="265" w:lineRule="auto"/>
        <w:tabs>
          <w:tab w:leader="none" w:pos="4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World Medical Association has developed the Declaration of Helsinki as a statement of ethical principles to provide guidance to physicians and other participants in medical research involving human subjects. Medical research involving human subjects includes research on identifiable human material or identifiable data.</w:t>
      </w:r>
    </w:p>
    <w:p>
      <w:pPr>
        <w:spacing w:after="0" w:line="201" w:lineRule="exact"/>
        <w:rPr>
          <w:rFonts w:ascii="Arial" w:cs="Arial" w:eastAsia="Arial" w:hAnsi="Arial"/>
          <w:sz w:val="17"/>
          <w:szCs w:val="17"/>
          <w:color w:val="auto"/>
        </w:rPr>
      </w:pPr>
    </w:p>
    <w:p>
      <w:pPr>
        <w:ind w:left="460" w:hanging="457"/>
        <w:spacing w:after="0" w:line="278" w:lineRule="auto"/>
        <w:tabs>
          <w:tab w:leader="none" w:pos="4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It is the duty of the physician to promote and safeguard the health of the people. The physician’s knowledge and conscience are dedicated to the fulfillment of this duty.</w:t>
      </w:r>
    </w:p>
    <w:p>
      <w:pPr>
        <w:spacing w:after="0" w:line="190" w:lineRule="exact"/>
        <w:rPr>
          <w:rFonts w:ascii="Arial" w:cs="Arial" w:eastAsia="Arial" w:hAnsi="Arial"/>
          <w:sz w:val="17"/>
          <w:szCs w:val="17"/>
          <w:color w:val="auto"/>
        </w:rPr>
      </w:pPr>
    </w:p>
    <w:p>
      <w:pPr>
        <w:jc w:val="both"/>
        <w:ind w:left="460" w:hanging="457"/>
        <w:spacing w:after="0" w:line="265" w:lineRule="auto"/>
        <w:tabs>
          <w:tab w:leader="none" w:pos="4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Declaration of Geneva of the World Medical Association binds the physician with the words, "The health of my patient will be my first consideration," and the International Code of Medical Ethics declares that, "A physician shall act only in the patient's interest when providing medical care which might have the effect of weakening the physical and mental condition of the patient."</w:t>
      </w:r>
    </w:p>
    <w:p>
      <w:pPr>
        <w:spacing w:after="0" w:line="201" w:lineRule="exact"/>
        <w:rPr>
          <w:rFonts w:ascii="Arial" w:cs="Arial" w:eastAsia="Arial" w:hAnsi="Arial"/>
          <w:sz w:val="17"/>
          <w:szCs w:val="17"/>
          <w:color w:val="auto"/>
        </w:rPr>
      </w:pPr>
    </w:p>
    <w:p>
      <w:pPr>
        <w:ind w:left="460" w:hanging="457"/>
        <w:spacing w:after="0"/>
        <w:tabs>
          <w:tab w:leader="none" w:pos="4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Medical progress is based on research which ultimately must rest in part on experimentation involving human subjects.</w:t>
      </w:r>
    </w:p>
    <w:p>
      <w:pPr>
        <w:spacing w:after="0" w:line="241" w:lineRule="exact"/>
        <w:rPr>
          <w:rFonts w:ascii="Arial" w:cs="Arial" w:eastAsia="Arial" w:hAnsi="Arial"/>
          <w:sz w:val="17"/>
          <w:szCs w:val="17"/>
          <w:color w:val="auto"/>
        </w:rPr>
      </w:pPr>
    </w:p>
    <w:p>
      <w:pPr>
        <w:ind w:left="460" w:hanging="457"/>
        <w:spacing w:after="0" w:line="278" w:lineRule="auto"/>
        <w:tabs>
          <w:tab w:leader="none" w:pos="4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In medical research on human subjects, considerations related to the well-being of the human subject should take precedence over the interests of science and society.</w:t>
      </w:r>
    </w:p>
    <w:p>
      <w:pPr>
        <w:spacing w:after="0" w:line="190" w:lineRule="exact"/>
        <w:rPr>
          <w:rFonts w:ascii="Arial" w:cs="Arial" w:eastAsia="Arial" w:hAnsi="Arial"/>
          <w:sz w:val="17"/>
          <w:szCs w:val="17"/>
          <w:color w:val="auto"/>
        </w:rPr>
      </w:pPr>
    </w:p>
    <w:p>
      <w:pPr>
        <w:jc w:val="both"/>
        <w:ind w:left="460" w:hanging="457"/>
        <w:spacing w:after="0" w:line="265" w:lineRule="auto"/>
        <w:tabs>
          <w:tab w:leader="none" w:pos="4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primary purpose of medical research involving human subjects is to improve prophylactic, diagnostic and therapeutic procedures and the understanding of the aetiology and pathogenesis of disease. Even the best proven prophylactic, diagnostic, and therapeutic methods must continuously be challenged through research for their effectiveness, efficiency, accessibility and quality.</w:t>
      </w:r>
    </w:p>
    <w:p>
      <w:pPr>
        <w:spacing w:after="0" w:line="195" w:lineRule="exact"/>
        <w:rPr>
          <w:sz w:val="20"/>
          <w:szCs w:val="20"/>
          <w:color w:val="auto"/>
        </w:rPr>
      </w:pPr>
    </w:p>
    <w:p>
      <w:pPr>
        <w:ind w:right="360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A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6" w:name="page537"/>
    <w:bookmarkEnd w:id="536"/>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ind w:left="460" w:hanging="457"/>
        <w:spacing w:after="0"/>
        <w:tabs>
          <w:tab w:leader="none" w:pos="4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In current medical practice and in medical research, most prophylactic, diagnostic and therapeutic procedures involve risks and burdens.</w:t>
      </w:r>
    </w:p>
    <w:p>
      <w:pPr>
        <w:spacing w:after="0" w:line="241" w:lineRule="exact"/>
        <w:rPr>
          <w:rFonts w:ascii="Arial" w:cs="Arial" w:eastAsia="Arial" w:hAnsi="Arial"/>
          <w:sz w:val="17"/>
          <w:szCs w:val="17"/>
          <w:color w:val="auto"/>
        </w:rPr>
      </w:pPr>
    </w:p>
    <w:p>
      <w:pPr>
        <w:jc w:val="both"/>
        <w:ind w:left="460" w:hanging="457"/>
        <w:spacing w:after="0" w:line="261" w:lineRule="auto"/>
        <w:tabs>
          <w:tab w:leader="none" w:pos="4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Medical research is subject to ethical standards that promote respect for all human beings and protect their health and rights. Some research populations are vulnerable and need special protection. The particular needs of the economically and medically disadvantaged must be recognised. Special attention is also required for those who cannot give or refuse consent for themselves, for those who may be subject to giving consent under duress, for those who will not benefit personally from the research and for those for whom the research is combined with care.</w:t>
      </w:r>
    </w:p>
    <w:p>
      <w:pPr>
        <w:spacing w:after="0" w:line="204" w:lineRule="exact"/>
        <w:rPr>
          <w:rFonts w:ascii="Arial" w:cs="Arial" w:eastAsia="Arial" w:hAnsi="Arial"/>
          <w:sz w:val="17"/>
          <w:szCs w:val="17"/>
          <w:color w:val="auto"/>
        </w:rPr>
      </w:pPr>
    </w:p>
    <w:p>
      <w:pPr>
        <w:jc w:val="both"/>
        <w:ind w:left="460" w:hanging="457"/>
        <w:spacing w:after="0" w:line="265" w:lineRule="auto"/>
        <w:tabs>
          <w:tab w:leader="none" w:pos="4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Research Investigators should be aware of the ethical, legal and regulatory requirements for research on human subjects in their own countries as well as applicable international requirements. No national ethical, legal or regulatory requirement should be allowed to reduce or eliminate any of the protections for human subjects set forth in this Declaration.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BASIC PRINCIPLES FOR ALL MEDICAL RESEARCH</w:t>
      </w:r>
    </w:p>
    <w:p>
      <w:pPr>
        <w:spacing w:after="0" w:line="248" w:lineRule="exact"/>
        <w:rPr>
          <w:sz w:val="20"/>
          <w:szCs w:val="20"/>
          <w:color w:val="auto"/>
        </w:rPr>
      </w:pPr>
    </w:p>
    <w:p>
      <w:pPr>
        <w:ind w:left="620" w:hanging="617"/>
        <w:spacing w:after="0"/>
        <w:tabs>
          <w:tab w:leader="none" w:pos="6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It is the duty of the physician in medical research to protect the life, health, privacy, and dignity of the human subject.</w:t>
      </w:r>
    </w:p>
    <w:p>
      <w:pPr>
        <w:spacing w:after="0" w:line="241"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Medical research involving human subjects must conform to generally accepted scientific principles, be based on a thorough knowledge of the scientific literature, other relevant sources of information, and on adequate laboratory and, where appropriate, animal experimentation.</w:t>
      </w:r>
    </w:p>
    <w:p>
      <w:pPr>
        <w:spacing w:after="0" w:line="190"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Appropriate caution must be exercised in the conduct of research which may affect the environment, and the welfare of animals used for research must be respected.</w:t>
      </w:r>
    </w:p>
    <w:p>
      <w:pPr>
        <w:spacing w:after="0" w:line="190" w:lineRule="exact"/>
        <w:rPr>
          <w:rFonts w:ascii="Arial" w:cs="Arial" w:eastAsia="Arial" w:hAnsi="Arial"/>
          <w:sz w:val="17"/>
          <w:szCs w:val="17"/>
          <w:color w:val="auto"/>
        </w:rPr>
      </w:pPr>
    </w:p>
    <w:p>
      <w:pPr>
        <w:jc w:val="both"/>
        <w:ind w:left="620" w:hanging="617"/>
        <w:spacing w:after="0" w:line="298" w:lineRule="auto"/>
        <w:tabs>
          <w:tab w:leader="none" w:pos="620" w:val="left"/>
        </w:tabs>
        <w:numPr>
          <w:ilvl w:val="0"/>
          <w:numId w:val="453"/>
        </w:numPr>
        <w:rPr>
          <w:rFonts w:ascii="Arial" w:cs="Arial" w:eastAsia="Arial" w:hAnsi="Arial"/>
          <w:sz w:val="15"/>
          <w:szCs w:val="15"/>
          <w:color w:val="auto"/>
        </w:rPr>
      </w:pPr>
      <w:r>
        <w:rPr>
          <w:rFonts w:ascii="Arial" w:cs="Arial" w:eastAsia="Arial" w:hAnsi="Arial"/>
          <w:sz w:val="15"/>
          <w:szCs w:val="15"/>
          <w:color w:val="auto"/>
        </w:rPr>
        <w:t>The design and performance of each experimental procedure involving human subjects should be clearly formulated in an experimental protocol. This protocol should be submitted for consideration, comment, guidance, and where appropriate, approval to a specially appointed ethical review committee, which must be independent of the Investigator, the sponsor or any other kind of undue influence. This independent committee should be in conformity with the laws and regulations of the country in which the research experiment is performed. The committee has the right to monitor ongoing trials. The researcher has the obligation to provide monitoring information to the committee, especially any serious adverse events. The researcher should also submit to the committee, for review, information regarding funding, sponsors, institutional affiliations, other potential conflicts of interest and incentives for subjects.</w:t>
      </w:r>
    </w:p>
    <w:p>
      <w:pPr>
        <w:spacing w:after="0" w:line="181" w:lineRule="exact"/>
        <w:rPr>
          <w:rFonts w:ascii="Arial" w:cs="Arial" w:eastAsia="Arial" w:hAnsi="Arial"/>
          <w:sz w:val="15"/>
          <w:szCs w:val="15"/>
          <w:color w:val="auto"/>
        </w:rPr>
      </w:pPr>
    </w:p>
    <w:p>
      <w:pPr>
        <w:ind w:left="620" w:hanging="617"/>
        <w:spacing w:after="0" w:line="278" w:lineRule="auto"/>
        <w:tabs>
          <w:tab w:leader="none" w:pos="6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The research protocol should always contain a statement of the ethical considerations involved and should indicate that there is compliance with the principles enunciated in this Declaration.</w:t>
      </w:r>
    </w:p>
    <w:p>
      <w:pPr>
        <w:spacing w:after="0" w:line="190" w:lineRule="exact"/>
        <w:rPr>
          <w:rFonts w:ascii="Arial" w:cs="Arial" w:eastAsia="Arial" w:hAnsi="Arial"/>
          <w:sz w:val="17"/>
          <w:szCs w:val="17"/>
          <w:color w:val="auto"/>
        </w:rPr>
      </w:pPr>
    </w:p>
    <w:p>
      <w:pPr>
        <w:jc w:val="both"/>
        <w:ind w:left="620" w:hanging="617"/>
        <w:spacing w:after="0" w:line="265" w:lineRule="auto"/>
        <w:tabs>
          <w:tab w:leader="none" w:pos="6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Medical research involving human subjects should be conducted only by scientifically qualified persons and under the supervision of a clinically competent medical person. The responsibility for the human subject must always rest with a medically qualified person and never rest on the subject of the research, even though the subject has given consent.</w:t>
      </w:r>
    </w:p>
    <w:p>
      <w:pPr>
        <w:spacing w:after="0" w:line="201" w:lineRule="exact"/>
        <w:rPr>
          <w:rFonts w:ascii="Arial" w:cs="Arial" w:eastAsia="Arial" w:hAnsi="Arial"/>
          <w:sz w:val="17"/>
          <w:szCs w:val="17"/>
          <w:color w:val="auto"/>
        </w:rPr>
      </w:pPr>
    </w:p>
    <w:p>
      <w:pPr>
        <w:jc w:val="both"/>
        <w:ind w:left="620" w:hanging="617"/>
        <w:spacing w:after="0" w:line="265" w:lineRule="auto"/>
        <w:tabs>
          <w:tab w:leader="none" w:pos="6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Every medical research project involving human subjects should be preceded by careful assessment of predictable risks and burdens in comparison with foreseeable benefits to the subject or to others. This does not preclude the participation of healthy volunteers in medical research. The design of all studies should be publicly available.</w:t>
      </w:r>
    </w:p>
    <w:p>
      <w:pPr>
        <w:spacing w:after="0" w:line="195" w:lineRule="exact"/>
        <w:rPr>
          <w:sz w:val="20"/>
          <w:szCs w:val="20"/>
          <w:color w:val="auto"/>
        </w:rPr>
      </w:pPr>
    </w:p>
    <w:p>
      <w:pPr>
        <w:ind w:right="360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A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7" w:name="page538"/>
    <w:bookmarkEnd w:id="537"/>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jc w:val="both"/>
        <w:ind w:left="620" w:hanging="617"/>
        <w:spacing w:after="0" w:line="265"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Physicians should abstain from engaging in research projects involving human subjects unless they are confident that the risks involved have been adequately assessed and can be satisfactorily managed. Physicians should cease any investigation if the risks are found to outweigh the potential benefits or if there is conclusive proof of positive and beneficial results.</w:t>
      </w:r>
    </w:p>
    <w:p>
      <w:pPr>
        <w:spacing w:after="0" w:line="201"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Medical research involving human subjects should only be conducted if the importance of the objective outweighs the inherent risks and burdens to the subject. This is especially important when the human subjects are healthy volunteers.</w:t>
      </w:r>
    </w:p>
    <w:p>
      <w:pPr>
        <w:spacing w:after="0" w:line="190"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Medical research is only justified if there is a reasonable likelihood that the populations in which the research is carried out stand to benefit from the results of the research.</w:t>
      </w:r>
    </w:p>
    <w:p>
      <w:pPr>
        <w:spacing w:after="0" w:line="190" w:lineRule="exact"/>
        <w:rPr>
          <w:rFonts w:ascii="Arial" w:cs="Arial" w:eastAsia="Arial" w:hAnsi="Arial"/>
          <w:sz w:val="17"/>
          <w:szCs w:val="17"/>
          <w:color w:val="auto"/>
        </w:rPr>
      </w:pPr>
    </w:p>
    <w:p>
      <w:pPr>
        <w:ind w:left="620" w:hanging="617"/>
        <w:spacing w:after="0"/>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subjects must be volunteers and informed participants in the research project.</w:t>
      </w:r>
    </w:p>
    <w:p>
      <w:pPr>
        <w:spacing w:after="0" w:line="241" w:lineRule="exact"/>
        <w:rPr>
          <w:rFonts w:ascii="Arial" w:cs="Arial" w:eastAsia="Arial" w:hAnsi="Arial"/>
          <w:sz w:val="17"/>
          <w:szCs w:val="17"/>
          <w:color w:val="auto"/>
        </w:rPr>
      </w:pPr>
    </w:p>
    <w:p>
      <w:pPr>
        <w:jc w:val="both"/>
        <w:ind w:left="620" w:hanging="617"/>
        <w:spacing w:after="0" w:line="265"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right of research subjects to safeguard their integrity must always be respected. Every precaution should be taken to respect the privacy of the subject, the confidentiality of the patient’s information and to minimise the impact of the study on the subject's physical and mental integrity and on the personality of the subject.</w:t>
      </w:r>
    </w:p>
    <w:p>
      <w:pPr>
        <w:spacing w:after="0" w:line="201" w:lineRule="exact"/>
        <w:rPr>
          <w:rFonts w:ascii="Arial" w:cs="Arial" w:eastAsia="Arial" w:hAnsi="Arial"/>
          <w:sz w:val="17"/>
          <w:szCs w:val="17"/>
          <w:color w:val="auto"/>
        </w:rPr>
      </w:pPr>
    </w:p>
    <w:p>
      <w:pPr>
        <w:jc w:val="both"/>
        <w:ind w:left="620" w:hanging="617"/>
        <w:spacing w:after="0" w:line="279" w:lineRule="auto"/>
        <w:tabs>
          <w:tab w:leader="none" w:pos="6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In any research on human beings, each potential subject must be adequately informed of the aims, methods, sources of funding, any possible conflicts of interest, institutional affiliations of the researcher, the anticipated benefits and potential risks of the study and the discomfort it may entail. The subject should be informed of the right to abstain from participation in the study or to withdraw consent to participate at any time without reprisal. After ensuring that the subject has understood the information, the physician should then obtain the subject's freely given informed consent, preferably in writing. If the consent cannot be obtained in writing, the non-written consent must be formally documented and witnessed.</w:t>
      </w:r>
    </w:p>
    <w:p>
      <w:pPr>
        <w:spacing w:after="0" w:line="191" w:lineRule="exact"/>
        <w:rPr>
          <w:rFonts w:ascii="Arial" w:cs="Arial" w:eastAsia="Arial" w:hAnsi="Arial"/>
          <w:sz w:val="16"/>
          <w:szCs w:val="16"/>
          <w:color w:val="auto"/>
        </w:rPr>
      </w:pPr>
    </w:p>
    <w:p>
      <w:pPr>
        <w:jc w:val="both"/>
        <w:ind w:left="620" w:hanging="617"/>
        <w:spacing w:after="0" w:line="265"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When obtaining informed consent for the research project the physician should be particularly cautious if the subject is in a dependent relationship with the physician or may consent under duress. In that case the informed consent should be obtained by a well-informed physician who is not engaged in the investigation and who is completely independent of this relationship.</w:t>
      </w:r>
    </w:p>
    <w:p>
      <w:pPr>
        <w:spacing w:after="0" w:line="201" w:lineRule="exact"/>
        <w:rPr>
          <w:rFonts w:ascii="Arial" w:cs="Arial" w:eastAsia="Arial" w:hAnsi="Arial"/>
          <w:sz w:val="17"/>
          <w:szCs w:val="17"/>
          <w:color w:val="auto"/>
        </w:rPr>
      </w:pPr>
    </w:p>
    <w:p>
      <w:pPr>
        <w:jc w:val="both"/>
        <w:ind w:left="620" w:hanging="617"/>
        <w:spacing w:after="0" w:line="317" w:lineRule="auto"/>
        <w:tabs>
          <w:tab w:leader="none" w:pos="620" w:val="left"/>
        </w:tabs>
        <w:numPr>
          <w:ilvl w:val="0"/>
          <w:numId w:val="454"/>
        </w:numPr>
        <w:rPr>
          <w:rFonts w:ascii="Arial" w:cs="Arial" w:eastAsia="Arial" w:hAnsi="Arial"/>
          <w:sz w:val="15"/>
          <w:szCs w:val="15"/>
          <w:color w:val="auto"/>
        </w:rPr>
      </w:pPr>
      <w:r>
        <w:rPr>
          <w:rFonts w:ascii="Arial" w:cs="Arial" w:eastAsia="Arial" w:hAnsi="Arial"/>
          <w:sz w:val="15"/>
          <w:szCs w:val="15"/>
          <w:color w:val="auto"/>
        </w:rPr>
        <w:t>For a research subject who is legally incompetent, physically or mentally incapable of giving consent or is a legally incompetent minor, the Investigator must obtain informed consent from the legally authorised representative in accordance with applicable law. These groups should not be included in research unless the research is necessary to promote the health of the population represented and this research cannot instead be performed on legally competent persons.</w:t>
      </w:r>
    </w:p>
    <w:p>
      <w:pPr>
        <w:spacing w:after="0" w:line="165" w:lineRule="exact"/>
        <w:rPr>
          <w:rFonts w:ascii="Arial" w:cs="Arial" w:eastAsia="Arial" w:hAnsi="Arial"/>
          <w:sz w:val="15"/>
          <w:szCs w:val="15"/>
          <w:color w:val="auto"/>
        </w:rPr>
      </w:pPr>
    </w:p>
    <w:p>
      <w:pPr>
        <w:ind w:left="620" w:hanging="617"/>
        <w:spacing w:after="0" w:line="278"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When a subject deemed legally incompetent, such as a minor child, is able to give assent to decisions about participation in research, the Investigator must obtain that assent in addition to the consent of the legally authorised representative.</w:t>
      </w:r>
    </w:p>
    <w:p>
      <w:pPr>
        <w:spacing w:after="0" w:line="190" w:lineRule="exact"/>
        <w:rPr>
          <w:rFonts w:ascii="Arial" w:cs="Arial" w:eastAsia="Arial" w:hAnsi="Arial"/>
          <w:sz w:val="17"/>
          <w:szCs w:val="17"/>
          <w:color w:val="auto"/>
        </w:rPr>
      </w:pPr>
    </w:p>
    <w:p>
      <w:pPr>
        <w:jc w:val="both"/>
        <w:ind w:left="620" w:hanging="617"/>
        <w:spacing w:after="0" w:line="259"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Research on individuals from whom it is not possible to obtain consent, including proxy or advance consent, should be done only if the physical/mental condition that prevents obtaining informed consent is a necessary characteristic of the research population. The specific reasons for involving research subjects with a condition that renders them unable to give informed consent should be stated in the experimental protocol for consideration and approval of the review committee. The protocol should state that consent to remain in the research should be obtained as soon as possible from the individual or a legally authorised surrogate.</w:t>
      </w:r>
    </w:p>
    <w:p>
      <w:pPr>
        <w:spacing w:after="0" w:line="205" w:lineRule="exact"/>
        <w:rPr>
          <w:rFonts w:ascii="Arial" w:cs="Arial" w:eastAsia="Arial" w:hAnsi="Arial"/>
          <w:sz w:val="17"/>
          <w:szCs w:val="17"/>
          <w:color w:val="auto"/>
        </w:rPr>
      </w:pPr>
    </w:p>
    <w:p>
      <w:pPr>
        <w:jc w:val="both"/>
        <w:ind w:left="620" w:hanging="617"/>
        <w:spacing w:after="0" w:line="261" w:lineRule="auto"/>
        <w:tabs>
          <w:tab w:leader="none" w:pos="6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Both authors and publishers have ethical obligations. In publication of the results of research, the Investigators are obliged to preserve the accuracy of the results. Negative as well as positive results should be published or otherwise publicly available. Sources of funding, institutional affiliations and any possible conflicts of interest should be declared in the publication. Reports of experimentation not in accordance with the principles laid down in this Declaration should not be accepted for publication.</w:t>
      </w:r>
    </w:p>
    <w:p>
      <w:pPr>
        <w:spacing w:after="0" w:line="198" w:lineRule="exact"/>
        <w:rPr>
          <w:sz w:val="20"/>
          <w:szCs w:val="20"/>
          <w:color w:val="auto"/>
        </w:rPr>
      </w:pPr>
    </w:p>
    <w:p>
      <w:pPr>
        <w:ind w:right="360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A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8" w:name="page539"/>
    <w:bookmarkEnd w:id="538"/>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ADDITIONAL PRINCIPLES FOR MEDICAL RESEARCH COMBINED WITH MEDICAL CARE</w:t>
      </w:r>
    </w:p>
    <w:p>
      <w:pPr>
        <w:sectPr>
          <w:pgSz w:w="11900" w:h="16838" w:orient="portrait"/>
          <w:cols w:equalWidth="0" w:num="1">
            <w:col w:w="11420"/>
          </w:cols>
          <w:pgMar w:left="240" w:top="584" w:right="239" w:bottom="1440" w:gutter="0" w:footer="0" w:header="0"/>
          <w:type w:val="continuous"/>
        </w:sectPr>
      </w:pPr>
    </w:p>
    <w:p>
      <w:pPr>
        <w:spacing w:after="0" w:line="248" w:lineRule="exact"/>
        <w:rPr>
          <w:sz w:val="20"/>
          <w:szCs w:val="20"/>
          <w:color w:val="auto"/>
        </w:rPr>
      </w:pPr>
    </w:p>
    <w:p>
      <w:pPr>
        <w:ind w:left="620" w:hanging="617"/>
        <w:spacing w:after="0" w:line="311" w:lineRule="auto"/>
        <w:tabs>
          <w:tab w:leader="none" w:pos="62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physician may combine medical research with medical care, only to the extent that the research is justified by its potential prophylactic, diagnostic or therapeutic value. When medical research is combined with medical care, additional standards apply to protect the patients who are research subjects.</w:t>
      </w:r>
    </w:p>
    <w:p>
      <w:pPr>
        <w:spacing w:after="0" w:line="166" w:lineRule="exact"/>
        <w:rPr>
          <w:rFonts w:ascii="Arial" w:cs="Arial" w:eastAsia="Arial" w:hAnsi="Arial"/>
          <w:sz w:val="16"/>
          <w:szCs w:val="16"/>
          <w:color w:val="auto"/>
        </w:rPr>
      </w:pPr>
    </w:p>
    <w:p>
      <w:pPr>
        <w:ind w:left="620" w:hanging="617"/>
        <w:spacing w:after="0" w:line="347" w:lineRule="auto"/>
        <w:tabs>
          <w:tab w:leader="none" w:pos="620" w:val="left"/>
        </w:tabs>
        <w:numPr>
          <w:ilvl w:val="0"/>
          <w:numId w:val="455"/>
        </w:numPr>
        <w:rPr>
          <w:rFonts w:ascii="Arial" w:cs="Arial" w:eastAsia="Arial" w:hAnsi="Arial"/>
          <w:sz w:val="15"/>
          <w:szCs w:val="15"/>
          <w:color w:val="auto"/>
        </w:rPr>
      </w:pPr>
      <w:r>
        <w:rPr>
          <w:rFonts w:ascii="Arial" w:cs="Arial" w:eastAsia="Arial" w:hAnsi="Arial"/>
          <w:sz w:val="15"/>
          <w:szCs w:val="15"/>
          <w:color w:val="auto"/>
        </w:rPr>
        <w:t>The benefits, risks, burdens and effectiveness of a new method should be tested against those of the best current prophylactic, diagnostic, and therapeutic methods. This does not exclude the use of placebo, or no treatment, in studies where no proven prophylactic, diagnostic or therapeutic method exists.</w:t>
      </w:r>
    </w:p>
    <w:p>
      <w:pPr>
        <w:spacing w:after="0" w:line="144" w:lineRule="exact"/>
        <w:rPr>
          <w:rFonts w:ascii="Arial" w:cs="Arial" w:eastAsia="Arial" w:hAnsi="Arial"/>
          <w:sz w:val="15"/>
          <w:szCs w:val="15"/>
          <w:color w:val="auto"/>
        </w:rPr>
      </w:pPr>
    </w:p>
    <w:p>
      <w:pPr>
        <w:ind w:left="620" w:hanging="617"/>
        <w:spacing w:after="0" w:line="278" w:lineRule="auto"/>
        <w:tabs>
          <w:tab w:leader="none" w:pos="6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At the conclusion of the study, every patient entered into the study should be assured of access to the best proven prophylactic, diagnostic and therapeutic methods identified by the study.</w:t>
      </w:r>
    </w:p>
    <w:p>
      <w:pPr>
        <w:spacing w:after="0" w:line="190"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physician should fully inform the patient which aspects of the care are related to the research. The refusal of a patient to participate in a study must never interfere with the patient-physician relationship.</w:t>
      </w:r>
    </w:p>
    <w:p>
      <w:pPr>
        <w:spacing w:after="0" w:line="190" w:lineRule="exact"/>
        <w:rPr>
          <w:rFonts w:ascii="Arial" w:cs="Arial" w:eastAsia="Arial" w:hAnsi="Arial"/>
          <w:sz w:val="17"/>
          <w:szCs w:val="17"/>
          <w:color w:val="auto"/>
        </w:rPr>
      </w:pPr>
    </w:p>
    <w:p>
      <w:pPr>
        <w:jc w:val="both"/>
        <w:ind w:left="620" w:hanging="617"/>
        <w:spacing w:after="0" w:line="259" w:lineRule="auto"/>
        <w:tabs>
          <w:tab w:leader="none" w:pos="6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In the treatment of a patient, where proven prophylactic, diagnostic and therapeutic methods do not exist or have been ineffective, the physician, with informed consent from the patient, must be free to use unproven or new prophylactic, diagnostic and therapeutic measures, if in the physician’s judgement it offers hope of saving life, re-establishing health or alleviating suffering. Where possible, these measures should be made the object of research, designed to evaluate their safety and efficacy. In all cases, new information should be recorded and, where appropriate, published. The other relevant guidelines of this Declaration should be followed.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 §</w:t>
      </w:r>
    </w:p>
    <w:p>
      <w:pPr>
        <w:spacing w:after="0" w:line="236" w:lineRule="exact"/>
        <w:rPr>
          <w:sz w:val="20"/>
          <w:szCs w:val="20"/>
          <w:color w:val="auto"/>
        </w:rPr>
      </w:pPr>
    </w:p>
    <w:p>
      <w:pPr>
        <w:ind w:right="360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A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39" w:name="page540"/>
    <w:bookmarkEnd w:id="539"/>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Appendix B: Minnesota Living with Heart FailureÒ questionnaire</w:t>
      </w:r>
    </w:p>
    <w:p>
      <w:pPr>
        <w:spacing w:after="0" w:line="243" w:lineRule="exact"/>
        <w:rPr>
          <w:sz w:val="20"/>
          <w:szCs w:val="20"/>
          <w:color w:val="auto"/>
        </w:rPr>
      </w:pPr>
    </w:p>
    <w:p>
      <w:pPr>
        <w:ind w:right="358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B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40" w:name="page541"/>
    <w:bookmarkEnd w:id="540"/>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LIVING WITH HEART FAILURE QUESTIONNAIRE</w:t>
      </w:r>
    </w:p>
    <w:p>
      <w:pPr>
        <w:sectPr>
          <w:pgSz w:w="11900" w:h="16838" w:orient="portrait"/>
          <w:cols w:equalWidth="0" w:num="1">
            <w:col w:w="11420"/>
          </w:cols>
          <w:pgMar w:left="240" w:top="584" w:right="2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Instructions for Use</w:t>
      </w:r>
    </w:p>
    <w:p>
      <w:pPr>
        <w:spacing w:after="0" w:line="242" w:lineRule="exact"/>
        <w:rPr>
          <w:sz w:val="20"/>
          <w:szCs w:val="20"/>
          <w:color w:val="auto"/>
        </w:rPr>
      </w:pPr>
    </w:p>
    <w:p>
      <w:pPr>
        <w:ind w:left="620" w:hanging="617"/>
        <w:spacing w:after="0" w:line="278" w:lineRule="auto"/>
        <w:tabs>
          <w:tab w:leader="none" w:pos="6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Patients should respond to the questionnaire prior to other assessments and interactions that may bias responses. You may tell the patient that you would like to get his or her opinion before doing other medical assessments.</w:t>
      </w:r>
    </w:p>
    <w:p>
      <w:pPr>
        <w:spacing w:after="0" w:line="190" w:lineRule="exact"/>
        <w:rPr>
          <w:rFonts w:ascii="Arial" w:cs="Arial" w:eastAsia="Arial" w:hAnsi="Arial"/>
          <w:sz w:val="17"/>
          <w:szCs w:val="17"/>
          <w:color w:val="auto"/>
        </w:rPr>
      </w:pPr>
    </w:p>
    <w:p>
      <w:pPr>
        <w:ind w:left="620" w:hanging="617"/>
        <w:spacing w:after="0"/>
        <w:tabs>
          <w:tab w:leader="none" w:pos="6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Ample, uninterrupted time should be provided for the patient to complete the questionnaire.</w:t>
      </w:r>
    </w:p>
    <w:p>
      <w:pPr>
        <w:spacing w:after="0" w:line="241" w:lineRule="exact"/>
        <w:rPr>
          <w:rFonts w:ascii="Arial" w:cs="Arial" w:eastAsia="Arial" w:hAnsi="Arial"/>
          <w:sz w:val="17"/>
          <w:szCs w:val="17"/>
          <w:color w:val="auto"/>
        </w:rPr>
      </w:pPr>
    </w:p>
    <w:p>
      <w:pPr>
        <w:ind w:left="620" w:hanging="617"/>
        <w:spacing w:after="0"/>
        <w:tabs>
          <w:tab w:leader="none" w:pos="6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The following instructions should be given to the patient each time the questionnaire is completed.</w:t>
      </w:r>
    </w:p>
    <w:p>
      <w:pPr>
        <w:spacing w:after="0" w:line="241" w:lineRule="exact"/>
        <w:rPr>
          <w:rFonts w:ascii="Arial" w:cs="Arial" w:eastAsia="Arial" w:hAnsi="Arial"/>
          <w:sz w:val="17"/>
          <w:szCs w:val="17"/>
          <w:color w:val="auto"/>
        </w:rPr>
      </w:pPr>
    </w:p>
    <w:p>
      <w:pPr>
        <w:ind w:left="1240" w:hanging="620"/>
        <w:spacing w:after="0"/>
        <w:tabs>
          <w:tab w:leader="none" w:pos="1240" w:val="left"/>
        </w:tabs>
        <w:numPr>
          <w:ilvl w:val="1"/>
          <w:numId w:val="456"/>
        </w:numPr>
        <w:rPr>
          <w:rFonts w:ascii="Arial" w:cs="Arial" w:eastAsia="Arial" w:hAnsi="Arial"/>
          <w:sz w:val="17"/>
          <w:szCs w:val="17"/>
          <w:color w:val="auto"/>
        </w:rPr>
      </w:pPr>
      <w:r>
        <w:rPr>
          <w:rFonts w:ascii="Arial" w:cs="Arial" w:eastAsia="Arial" w:hAnsi="Arial"/>
          <w:sz w:val="17"/>
          <w:szCs w:val="17"/>
          <w:color w:val="auto"/>
        </w:rPr>
        <w:t>Read the introductory paragraph at the top of the questionnaire to the patient.</w:t>
      </w:r>
    </w:p>
    <w:p>
      <w:pPr>
        <w:spacing w:after="0" w:line="241" w:lineRule="exact"/>
        <w:rPr>
          <w:rFonts w:ascii="Arial" w:cs="Arial" w:eastAsia="Arial" w:hAnsi="Arial"/>
          <w:sz w:val="17"/>
          <w:szCs w:val="17"/>
          <w:color w:val="auto"/>
        </w:rPr>
      </w:pPr>
    </w:p>
    <w:p>
      <w:pPr>
        <w:jc w:val="both"/>
        <w:ind w:left="1240" w:hanging="620"/>
        <w:spacing w:after="0" w:line="296" w:lineRule="auto"/>
        <w:tabs>
          <w:tab w:leader="none" w:pos="1240" w:val="left"/>
        </w:tabs>
        <w:numPr>
          <w:ilvl w:val="1"/>
          <w:numId w:val="456"/>
        </w:numPr>
        <w:rPr>
          <w:rFonts w:ascii="Arial" w:cs="Arial" w:eastAsia="Arial" w:hAnsi="Arial"/>
          <w:sz w:val="15"/>
          <w:szCs w:val="15"/>
          <w:color w:val="auto"/>
        </w:rPr>
      </w:pPr>
      <w:r>
        <w:rPr>
          <w:rFonts w:ascii="Arial" w:cs="Arial" w:eastAsia="Arial" w:hAnsi="Arial"/>
          <w:sz w:val="15"/>
          <w:szCs w:val="15"/>
          <w:color w:val="auto"/>
        </w:rPr>
        <w:t>Read the first question to the patient - "Did your heart failure prevent you from living as you wanted during the past month by causing swelling in your ankles or legs"? Tell the patient, "If you did not have any ankle or leg swelling during the past month you should circle the zero after this question to indicate that swelling was not a problem during the past month". Explain to the patient that if he or she did have swelling that was caused by a sprained ankle or some other cause that was definitely not related to heart failure he or she should also circle the zero. Tell the patient, "If you are not sure why you had the swelling or think it was related to your heart condition, then rate how much the swelling prevented you from doing things you wanted to do and from feeling the way you would like to feel". In other words, how bothersome was the swelling? Show the patient how to use the 1 to 5 scale to indicate how much the swelling affected his or her life during the past month - from very little to very much.</w:t>
      </w:r>
    </w:p>
    <w:p>
      <w:pPr>
        <w:spacing w:after="0" w:line="183" w:lineRule="exact"/>
        <w:rPr>
          <w:rFonts w:ascii="Arial" w:cs="Arial" w:eastAsia="Arial" w:hAnsi="Arial"/>
          <w:sz w:val="15"/>
          <w:szCs w:val="15"/>
          <w:color w:val="auto"/>
        </w:rPr>
      </w:pPr>
    </w:p>
    <w:p>
      <w:pPr>
        <w:ind w:left="620" w:hanging="617"/>
        <w:spacing w:after="0" w:line="278" w:lineRule="auto"/>
        <w:tabs>
          <w:tab w:leader="none" w:pos="6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Let the patient read and respond to the other questions. The entire questionnaire may be read directly to the patient if one is careful not to influence responses by verbal or physical cues.</w:t>
      </w:r>
    </w:p>
    <w:p>
      <w:pPr>
        <w:spacing w:after="0" w:line="190" w:lineRule="exact"/>
        <w:rPr>
          <w:rFonts w:ascii="Arial" w:cs="Arial" w:eastAsia="Arial" w:hAnsi="Arial"/>
          <w:sz w:val="17"/>
          <w:szCs w:val="17"/>
          <w:color w:val="auto"/>
        </w:rPr>
      </w:pPr>
    </w:p>
    <w:p>
      <w:pPr>
        <w:ind w:left="620" w:hanging="617"/>
        <w:spacing w:after="0" w:line="278" w:lineRule="auto"/>
        <w:tabs>
          <w:tab w:leader="none" w:pos="6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Check to make sure the patient has responded to each question and that there is only one answer clearly marked for each question. If a patient elects not to answer a specific question(s) indicate so on the questionnaire.</w:t>
      </w:r>
    </w:p>
    <w:p>
      <w:pPr>
        <w:spacing w:after="0" w:line="190" w:lineRule="exact"/>
        <w:rPr>
          <w:rFonts w:ascii="Arial" w:cs="Arial" w:eastAsia="Arial" w:hAnsi="Arial"/>
          <w:sz w:val="17"/>
          <w:szCs w:val="17"/>
          <w:color w:val="auto"/>
        </w:rPr>
      </w:pPr>
    </w:p>
    <w:p>
      <w:pPr>
        <w:jc w:val="both"/>
        <w:ind w:left="620" w:hanging="617"/>
        <w:spacing w:after="0" w:line="265" w:lineRule="auto"/>
        <w:tabs>
          <w:tab w:leader="none" w:pos="6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Score the questionnaire by summating the responses to all 21 questions. In addition, physical (items 2, 3, 4, 5, 6, 7, 12 and 13) and emotional (items 17, 18, 19, 20, and 21) dimensions of the questionnaire have been identified by factor analysis, and may be examined to further characterize the effect of heart failure on a patient's life.</w:t>
      </w:r>
    </w:p>
    <w:p>
      <w:pPr>
        <w:spacing w:after="0" w:line="195" w:lineRule="exact"/>
        <w:rPr>
          <w:sz w:val="20"/>
          <w:szCs w:val="20"/>
          <w:color w:val="auto"/>
        </w:rPr>
      </w:pPr>
    </w:p>
    <w:p>
      <w:pPr>
        <w:ind w:right="358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B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41" w:name="page542"/>
    <w:bookmarkEnd w:id="541"/>
    <w:p>
      <w:pPr>
        <w:jc w:val="center"/>
        <w:ind w:left="3240"/>
        <w:spacing w:after="0"/>
        <w:rPr>
          <w:sz w:val="20"/>
          <w:szCs w:val="20"/>
          <w:color w:val="auto"/>
        </w:rPr>
      </w:pPr>
      <w:r>
        <w:rPr>
          <w:rFonts w:ascii="Arial" w:cs="Arial" w:eastAsia="Arial" w:hAnsi="Arial"/>
          <w:sz w:val="17"/>
          <w:szCs w:val="17"/>
          <w:color w:val="auto"/>
        </w:rPr>
        <w:t xml:space="preserve">Protocol BL-1040.01, Version </w:t>
      </w:r>
      <w:r>
        <w:rPr>
          <w:rFonts w:ascii="Arial" w:cs="Arial" w:eastAsia="Arial" w:hAnsi="Arial"/>
          <w:sz w:val="17"/>
          <w:szCs w:val="17"/>
          <w:b w:val="1"/>
          <w:bCs w:val="1"/>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576705" cy="38417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576705" cy="384175"/>
                    </a:xfrm>
                    <a:prstGeom prst="rect">
                      <a:avLst/>
                    </a:prstGeom>
                    <a:noFill/>
                  </pic:spPr>
                </pic:pic>
              </a:graphicData>
            </a:graphic>
          </wp:anchor>
        </w:drawing>
      </w:r>
    </w:p>
    <w:p>
      <w:pPr>
        <w:spacing w:after="0" w:line="7" w:lineRule="exact"/>
        <w:rPr>
          <w:sz w:val="20"/>
          <w:szCs w:val="20"/>
          <w:color w:val="auto"/>
        </w:rPr>
      </w:pPr>
    </w:p>
    <w:p>
      <w:pPr>
        <w:jc w:val="center"/>
        <w:ind w:left="3240"/>
        <w:spacing w:after="0"/>
        <w:rPr>
          <w:sz w:val="20"/>
          <w:szCs w:val="20"/>
          <w:color w:val="auto"/>
        </w:rPr>
      </w:pPr>
      <w:r>
        <w:rPr>
          <w:rFonts w:ascii="Arial" w:cs="Arial" w:eastAsia="Arial" w:hAnsi="Arial"/>
          <w:sz w:val="15"/>
          <w:szCs w:val="15"/>
          <w:color w:val="auto"/>
        </w:rPr>
        <w:t>Safety and Feasibility study of BL-1040</w:t>
      </w:r>
    </w:p>
    <w:p>
      <w:pPr>
        <w:spacing w:after="0" w:line="33" w:lineRule="exact"/>
        <w:rPr>
          <w:sz w:val="20"/>
          <w:szCs w:val="20"/>
          <w:color w:val="auto"/>
        </w:rPr>
      </w:pPr>
    </w:p>
    <w:p>
      <w:pPr>
        <w:jc w:val="center"/>
        <w:ind w:left="3240"/>
        <w:spacing w:after="0"/>
        <w:rPr>
          <w:sz w:val="20"/>
          <w:szCs w:val="20"/>
          <w:color w:val="auto"/>
        </w:rPr>
      </w:pPr>
      <w:r>
        <w:rPr>
          <w:rFonts w:ascii="Arial" w:cs="Arial" w:eastAsia="Arial" w:hAnsi="Arial"/>
          <w:sz w:val="17"/>
          <w:szCs w:val="17"/>
          <w:b w:val="1"/>
          <w:bCs w:val="1"/>
          <w:color w:val="auto"/>
        </w:rPr>
        <w:t>Final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CONFIDENTIAL</w:t>
      </w:r>
    </w:p>
    <w:p>
      <w:pPr>
        <w:spacing w:after="0" w:line="622" w:lineRule="exact"/>
        <w:rPr>
          <w:sz w:val="20"/>
          <w:szCs w:val="20"/>
          <w:color w:val="auto"/>
        </w:rPr>
      </w:pPr>
    </w:p>
    <w:p>
      <w:pPr>
        <w:sectPr>
          <w:pgSz w:w="11900" w:h="16838" w:orient="portrait"/>
          <w:cols w:equalWidth="0" w:num="2">
            <w:col w:w="9440" w:space="720"/>
            <w:col w:w="1260"/>
          </w:cols>
          <w:pgMar w:left="240" w:top="584"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LIVING WITH HEART FAILURE QUESTIONNAIRE</w:t>
      </w:r>
    </w:p>
    <w:p>
      <w:pPr>
        <w:sectPr>
          <w:pgSz w:w="11900" w:h="16838" w:orient="portrait"/>
          <w:cols w:equalWidth="0" w:num="1">
            <w:col w:w="11420"/>
          </w:cols>
          <w:pgMar w:left="240" w:top="584" w:right="239" w:bottom="1440" w:gutter="0" w:footer="0" w:header="0"/>
          <w:type w:val="continuous"/>
        </w:sectPr>
      </w:pP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questions concern how your heart failure (heart condition) has prevented you from living as you wanted during the last month. The items listed below describe different ways some people are affected. If you are sure an item does not apply to you or is not related to your heart failure then circle 0 (No) and go on to the next item. If an item does apply to you, then circle the number rating how much it prevented you from living as you wanted.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Did your heart failure prevent you from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living as you wanted during the last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month by: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Very</w:t>
            </w:r>
          </w:p>
        </w:tc>
      </w:tr>
      <w:tr>
        <w:trPr>
          <w:trHeight w:val="224"/>
        </w:trPr>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No</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Very little</w:t>
            </w: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much</w:t>
            </w:r>
          </w:p>
        </w:tc>
        <w:tc>
          <w:tcPr>
            <w:tcW w:w="100" w:type="dxa"/>
            <w:vAlign w:val="bottom"/>
          </w:tcPr>
          <w:p>
            <w:pPr>
              <w:spacing w:after="0"/>
              <w:rPr>
                <w:sz w:val="19"/>
                <w:szCs w:val="19"/>
                <w:color w:val="auto"/>
              </w:rPr>
            </w:pP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1.</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Causing swelling in your ankles, legs, etc.?</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2.</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 sit or lie down to rest during the day?</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3.</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Making your walking about or climbing stairs 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4.</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your working around the house or yard difficult?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5.</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Making your going places away from home 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6.</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your sleeping well at night difficult?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193"/>
        </w:trPr>
        <w:tc>
          <w:tcPr>
            <w:tcW w:w="340" w:type="dxa"/>
            <w:vAlign w:val="bottom"/>
            <w:shd w:val="clear" w:color="auto" w:fill="CCFFCC"/>
          </w:tcPr>
          <w:p>
            <w:pPr>
              <w:spacing w:after="0"/>
              <w:rPr>
                <w:sz w:val="16"/>
                <w:szCs w:val="16"/>
                <w:color w:val="auto"/>
              </w:rPr>
            </w:pPr>
          </w:p>
        </w:tc>
        <w:tc>
          <w:tcPr>
            <w:tcW w:w="5060" w:type="dxa"/>
            <w:vAlign w:val="bottom"/>
            <w:gridSpan w:val="2"/>
            <w:shd w:val="clear" w:color="auto" w:fill="CCFFCC"/>
          </w:tcPr>
          <w:p>
            <w:pPr>
              <w:ind w:left="120"/>
              <w:spacing w:after="0" w:line="194" w:lineRule="exact"/>
              <w:rPr>
                <w:sz w:val="20"/>
                <w:szCs w:val="20"/>
                <w:color w:val="auto"/>
              </w:rPr>
            </w:pPr>
            <w:r>
              <w:rPr>
                <w:rFonts w:ascii="Arial" w:cs="Arial" w:eastAsia="Arial" w:hAnsi="Arial"/>
                <w:sz w:val="17"/>
                <w:szCs w:val="17"/>
                <w:color w:val="auto"/>
              </w:rPr>
              <w:t>Making your relating to or doing things with your friends</w:t>
            </w: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8"/>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7.</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or family 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8.</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your working to earn a living difficult?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193"/>
        </w:trPr>
        <w:tc>
          <w:tcPr>
            <w:tcW w:w="340" w:type="dxa"/>
            <w:vAlign w:val="bottom"/>
            <w:shd w:val="clear" w:color="auto" w:fill="CCFFCC"/>
          </w:tcPr>
          <w:p>
            <w:pPr>
              <w:spacing w:after="0"/>
              <w:rPr>
                <w:sz w:val="16"/>
                <w:szCs w:val="16"/>
                <w:color w:val="auto"/>
              </w:rPr>
            </w:pPr>
          </w:p>
        </w:tc>
        <w:tc>
          <w:tcPr>
            <w:tcW w:w="5060" w:type="dxa"/>
            <w:vAlign w:val="bottom"/>
            <w:gridSpan w:val="2"/>
            <w:shd w:val="clear" w:color="auto" w:fill="CCFFCC"/>
          </w:tcPr>
          <w:p>
            <w:pPr>
              <w:ind w:left="120"/>
              <w:spacing w:after="0" w:line="194" w:lineRule="exact"/>
              <w:rPr>
                <w:sz w:val="20"/>
                <w:szCs w:val="20"/>
                <w:color w:val="auto"/>
              </w:rPr>
            </w:pPr>
            <w:r>
              <w:rPr>
                <w:rFonts w:ascii="Arial" w:cs="Arial" w:eastAsia="Arial" w:hAnsi="Arial"/>
                <w:sz w:val="17"/>
                <w:szCs w:val="17"/>
                <w:color w:val="auto"/>
              </w:rPr>
              <w:t>Making  your  recreational  pastimes,  sports  or  hobbies</w:t>
            </w: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8"/>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9.</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difficult?</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10.</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your sexual activities difficult?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11.</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Making you eat less of the foods you like?</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12.</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 short of breath?</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13.</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Making you tired, fatigued, or low on energy?</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14.</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 stay in a hospital?</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15.</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Costing you money for medical care?</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16.</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Giving you side effects from medications?</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193"/>
        </w:trPr>
        <w:tc>
          <w:tcPr>
            <w:tcW w:w="340" w:type="dxa"/>
            <w:vAlign w:val="bottom"/>
            <w:shd w:val="clear" w:color="auto" w:fill="CCFFCC"/>
          </w:tcPr>
          <w:p>
            <w:pPr>
              <w:spacing w:after="0"/>
              <w:rPr>
                <w:sz w:val="16"/>
                <w:szCs w:val="16"/>
                <w:color w:val="auto"/>
              </w:rPr>
            </w:pPr>
          </w:p>
        </w:tc>
        <w:tc>
          <w:tcPr>
            <w:tcW w:w="5060" w:type="dxa"/>
            <w:vAlign w:val="bottom"/>
            <w:gridSpan w:val="2"/>
            <w:shd w:val="clear" w:color="auto" w:fill="CCFFCC"/>
          </w:tcPr>
          <w:p>
            <w:pPr>
              <w:ind w:left="120"/>
              <w:spacing w:after="0" w:line="194" w:lineRule="exact"/>
              <w:rPr>
                <w:sz w:val="20"/>
                <w:szCs w:val="20"/>
                <w:color w:val="auto"/>
              </w:rPr>
            </w:pPr>
            <w:r>
              <w:rPr>
                <w:rFonts w:ascii="Arial" w:cs="Arial" w:eastAsia="Arial" w:hAnsi="Arial"/>
                <w:sz w:val="17"/>
                <w:szCs w:val="17"/>
                <w:color w:val="auto"/>
              </w:rPr>
              <w:t>Making you feel you are a burden to your family or</w:t>
            </w: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8"/>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17.</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friends?</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tcPr>
          <w:p>
            <w:pPr>
              <w:spacing w:after="0"/>
              <w:rPr>
                <w:sz w:val="20"/>
                <w:szCs w:val="20"/>
                <w:color w:val="auto"/>
              </w:rPr>
            </w:pPr>
            <w:r>
              <w:rPr>
                <w:rFonts w:ascii="Arial" w:cs="Arial" w:eastAsia="Arial" w:hAnsi="Arial"/>
                <w:sz w:val="17"/>
                <w:szCs w:val="17"/>
                <w:color w:val="auto"/>
              </w:rPr>
              <w:t>18.</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Making you feel a loss of self-control in your life?</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6"/>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19.</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Making you worry?</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r>
        <w:trPr>
          <w:trHeight w:val="193"/>
        </w:trPr>
        <w:tc>
          <w:tcPr>
            <w:tcW w:w="340" w:type="dxa"/>
            <w:vAlign w:val="bottom"/>
          </w:tcPr>
          <w:p>
            <w:pPr>
              <w:spacing w:after="0"/>
              <w:rPr>
                <w:sz w:val="16"/>
                <w:szCs w:val="16"/>
                <w:color w:val="auto"/>
              </w:rPr>
            </w:pPr>
          </w:p>
        </w:tc>
        <w:tc>
          <w:tcPr>
            <w:tcW w:w="5060" w:type="dxa"/>
            <w:vAlign w:val="bottom"/>
            <w:gridSpan w:val="2"/>
          </w:tcPr>
          <w:p>
            <w:pPr>
              <w:ind w:left="120"/>
              <w:spacing w:after="0" w:line="194" w:lineRule="exact"/>
              <w:rPr>
                <w:sz w:val="20"/>
                <w:szCs w:val="20"/>
                <w:color w:val="auto"/>
              </w:rPr>
            </w:pPr>
            <w:r>
              <w:rPr>
                <w:rFonts w:ascii="Arial" w:cs="Arial" w:eastAsia="Arial" w:hAnsi="Arial"/>
                <w:sz w:val="17"/>
                <w:szCs w:val="17"/>
                <w:color w:val="auto"/>
              </w:rPr>
              <w:t>Making it difficult for you to concentrate or remember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40" w:type="dxa"/>
            <w:vAlign w:val="bottom"/>
          </w:tcPr>
          <w:p>
            <w:pPr>
              <w:spacing w:after="0"/>
              <w:rPr>
                <w:sz w:val="20"/>
                <w:szCs w:val="20"/>
                <w:color w:val="auto"/>
              </w:rPr>
            </w:pPr>
            <w:r>
              <w:rPr>
                <w:rFonts w:ascii="Arial" w:cs="Arial" w:eastAsia="Arial" w:hAnsi="Arial"/>
                <w:sz w:val="17"/>
                <w:szCs w:val="17"/>
                <w:color w:val="auto"/>
              </w:rPr>
              <w:t>20.</w:t>
            </w:r>
          </w:p>
        </w:tc>
        <w:tc>
          <w:tcPr>
            <w:tcW w:w="5060" w:type="dxa"/>
            <w:vAlign w:val="bottom"/>
            <w:gridSpan w:val="2"/>
          </w:tcPr>
          <w:p>
            <w:pPr>
              <w:ind w:left="120"/>
              <w:spacing w:after="0"/>
              <w:rPr>
                <w:sz w:val="20"/>
                <w:szCs w:val="20"/>
                <w:color w:val="auto"/>
              </w:rPr>
            </w:pPr>
            <w:r>
              <w:rPr>
                <w:rFonts w:ascii="Arial" w:cs="Arial" w:eastAsia="Arial" w:hAnsi="Arial"/>
                <w:sz w:val="17"/>
                <w:szCs w:val="17"/>
                <w:color w:val="auto"/>
              </w:rPr>
              <w:t>things?</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7"/>
        </w:trPr>
        <w:tc>
          <w:tcPr>
            <w:tcW w:w="340" w:type="dxa"/>
            <w:vAlign w:val="bottom"/>
            <w:shd w:val="clear" w:color="auto" w:fill="CCFFCC"/>
          </w:tcPr>
          <w:p>
            <w:pPr>
              <w:spacing w:after="0"/>
              <w:rPr>
                <w:sz w:val="20"/>
                <w:szCs w:val="20"/>
                <w:color w:val="auto"/>
              </w:rPr>
            </w:pPr>
            <w:r>
              <w:rPr>
                <w:rFonts w:ascii="Arial" w:cs="Arial" w:eastAsia="Arial" w:hAnsi="Arial"/>
                <w:sz w:val="17"/>
                <w:szCs w:val="17"/>
                <w:color w:val="auto"/>
              </w:rPr>
              <w:t>21.</w:t>
            </w:r>
          </w:p>
        </w:tc>
        <w:tc>
          <w:tcPr>
            <w:tcW w:w="5060" w:type="dxa"/>
            <w:vAlign w:val="bottom"/>
            <w:gridSpan w:val="2"/>
            <w:shd w:val="clear" w:color="auto" w:fill="CCFFCC"/>
          </w:tcPr>
          <w:p>
            <w:pPr>
              <w:ind w:left="120"/>
              <w:spacing w:after="0"/>
              <w:rPr>
                <w:sz w:val="20"/>
                <w:szCs w:val="20"/>
                <w:color w:val="auto"/>
              </w:rPr>
            </w:pPr>
            <w:r>
              <w:rPr>
                <w:rFonts w:ascii="Arial" w:cs="Arial" w:eastAsia="Arial" w:hAnsi="Arial"/>
                <w:sz w:val="17"/>
                <w:szCs w:val="17"/>
                <w:color w:val="auto"/>
              </w:rPr>
              <w:t>Making you feel depressed?</w:t>
            </w:r>
          </w:p>
        </w:tc>
        <w:tc>
          <w:tcPr>
            <w:tcW w:w="4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5</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Copyright University of Minnesota 1986.</w:t>
      </w:r>
    </w:p>
    <w:p>
      <w:pPr>
        <w:spacing w:after="0" w:line="236" w:lineRule="exact"/>
        <w:rPr>
          <w:sz w:val="20"/>
          <w:szCs w:val="20"/>
          <w:color w:val="auto"/>
        </w:rPr>
      </w:pPr>
    </w:p>
    <w:p>
      <w:pPr>
        <w:ind w:right="3580"/>
        <w:spacing w:after="0" w:line="286" w:lineRule="auto"/>
        <w:rPr>
          <w:sz w:val="20"/>
          <w:szCs w:val="20"/>
          <w:color w:val="auto"/>
        </w:rPr>
      </w:pPr>
      <w:r>
        <w:rPr>
          <w:rFonts w:ascii="Arial" w:cs="Arial" w:eastAsia="Arial" w:hAnsi="Arial"/>
          <w:sz w:val="17"/>
          <w:szCs w:val="17"/>
          <w:color w:val="auto"/>
        </w:rPr>
        <w:t>Annotated Protocol incorporating Amendment 1, Amendment 2</w:t>
      </w:r>
      <w:r>
        <w:rPr>
          <w:rFonts w:ascii="Arial" w:cs="Arial" w:eastAsia="Arial" w:hAnsi="Arial"/>
          <w:sz w:val="17"/>
          <w:szCs w:val="17"/>
          <w:b w:val="1"/>
          <w:bCs w:val="1"/>
          <w:color w:val="auto"/>
        </w:rPr>
        <w:t>,</w:t>
      </w:r>
      <w:r>
        <w:rPr>
          <w:rFonts w:ascii="Arial" w:cs="Arial" w:eastAsia="Arial" w:hAnsi="Arial"/>
          <w:sz w:val="17"/>
          <w:szCs w:val="17"/>
          <w:color w:val="auto"/>
        </w:rPr>
        <w:t xml:space="preserve"> Amendment 3, </w:t>
      </w:r>
      <w:r>
        <w:rPr>
          <w:rFonts w:ascii="Arial" w:cs="Arial" w:eastAsia="Arial" w:hAnsi="Arial"/>
          <w:sz w:val="17"/>
          <w:szCs w:val="17"/>
          <w:b w:val="1"/>
          <w:bCs w:val="1"/>
          <w:color w:val="auto"/>
        </w:rPr>
        <w:t>and Amendment 4</w:t>
      </w:r>
      <w:r>
        <w:rPr>
          <w:rFonts w:ascii="Arial" w:cs="Arial" w:eastAsia="Arial" w:hAnsi="Arial"/>
          <w:sz w:val="17"/>
          <w:szCs w:val="17"/>
          <w:color w:val="auto"/>
        </w:rPr>
        <w:t xml:space="preserve"> Appendix B </w:t>
      </w:r>
      <w:r>
        <w:rPr>
          <w:rFonts w:ascii="Arial" w:cs="Arial" w:eastAsia="Arial" w:hAnsi="Arial"/>
          <w:sz w:val="17"/>
          <w:szCs w:val="17"/>
          <w:b w:val="1"/>
          <w:bCs w:val="1"/>
          <w:color w:val="auto"/>
        </w:rPr>
        <w:t xml:space="preserve">01 December </w:t>
      </w:r>
      <w:r>
        <w:rPr>
          <w:rFonts w:ascii="Arial" w:cs="Arial" w:eastAsia="Arial" w:hAnsi="Arial"/>
          <w:sz w:val="17"/>
          <w:szCs w:val="17"/>
          <w:color w:val="auto"/>
        </w:rPr>
        <w:t>2008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42" w:name="page543"/>
    <w:bookmarkEnd w:id="542"/>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SCHEDULE 1.31</w:t>
            </w:r>
          </w:p>
        </w:tc>
        <w:tc>
          <w:tcPr>
            <w:tcW w:w="1660" w:type="dxa"/>
            <w:vAlign w:val="bottom"/>
            <w:gridSpan w:val="3"/>
          </w:tcPr>
          <w:p>
            <w:pPr>
              <w:spacing w:after="0"/>
              <w:rPr>
                <w:sz w:val="16"/>
                <w:szCs w:val="16"/>
                <w:color w:val="auto"/>
              </w:rPr>
            </w:pPr>
          </w:p>
        </w:tc>
        <w:tc>
          <w:tcPr>
            <w:tcW w:w="3420" w:type="dxa"/>
            <w:vAlign w:val="bottom"/>
          </w:tcPr>
          <w:p>
            <w:pPr>
              <w:spacing w:after="0"/>
              <w:rPr>
                <w:sz w:val="16"/>
                <w:szCs w:val="16"/>
                <w:color w:val="auto"/>
              </w:rPr>
            </w:pPr>
          </w:p>
        </w:tc>
      </w:tr>
      <w:tr>
        <w:trPr>
          <w:trHeight w:val="41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gridSpan w:val="6"/>
          </w:tcPr>
          <w:p>
            <w:pPr>
              <w:jc w:val="center"/>
              <w:ind w:right="480"/>
              <w:spacing w:after="0"/>
              <w:rPr>
                <w:sz w:val="20"/>
                <w:szCs w:val="20"/>
                <w:color w:val="auto"/>
              </w:rPr>
            </w:pPr>
            <w:r>
              <w:rPr>
                <w:rFonts w:ascii="Arial" w:cs="Arial" w:eastAsia="Arial" w:hAnsi="Arial"/>
                <w:sz w:val="17"/>
                <w:szCs w:val="17"/>
                <w:color w:val="auto"/>
                <w:w w:val="96"/>
              </w:rPr>
              <w:t>DESCRIPTIONS OF OTHER ON-GOING TRIALS</w:t>
            </w:r>
          </w:p>
        </w:tc>
        <w:tc>
          <w:tcPr>
            <w:tcW w:w="3420" w:type="dxa"/>
            <w:vAlign w:val="bottom"/>
          </w:tcPr>
          <w:p>
            <w:pPr>
              <w:spacing w:after="0"/>
              <w:rPr>
                <w:sz w:val="24"/>
                <w:szCs w:val="24"/>
                <w:color w:val="auto"/>
              </w:rPr>
            </w:pPr>
          </w:p>
        </w:tc>
      </w:tr>
      <w:tr>
        <w:trPr>
          <w:trHeight w:val="462"/>
        </w:trPr>
        <w:tc>
          <w:tcPr>
            <w:tcW w:w="3440" w:type="dxa"/>
            <w:vAlign w:val="bottom"/>
          </w:tcPr>
          <w:p>
            <w:pPr>
              <w:spacing w:after="0"/>
              <w:rPr>
                <w:sz w:val="20"/>
                <w:szCs w:val="20"/>
                <w:color w:val="auto"/>
              </w:rPr>
            </w:pPr>
            <w:r>
              <w:rPr>
                <w:rFonts w:ascii="Arial" w:cs="Arial" w:eastAsia="Arial" w:hAnsi="Arial"/>
                <w:sz w:val="17"/>
                <w:szCs w:val="17"/>
                <w:b w:val="1"/>
                <w:bCs w:val="1"/>
                <w:color w:val="auto"/>
              </w:rPr>
              <w:t>Name of Study</w:t>
            </w: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color w:val="auto"/>
              </w:rPr>
              <w:t>Estimated Duration</w:t>
            </w:r>
          </w:p>
        </w:tc>
        <w:tc>
          <w:tcPr>
            <w:tcW w:w="4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b w:val="1"/>
                <w:bCs w:val="1"/>
                <w:color w:val="auto"/>
              </w:rPr>
              <w:t>Estimated End Date</w:t>
            </w:r>
          </w:p>
        </w:tc>
      </w:tr>
      <w:tr>
        <w:trPr>
          <w:trHeight w:val="193"/>
        </w:trPr>
        <w:tc>
          <w:tcPr>
            <w:tcW w:w="34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2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w:t>
            </w:r>
          </w:p>
        </w:tc>
      </w:tr>
      <w:tr>
        <w:trPr>
          <w:trHeight w:val="206"/>
        </w:trPr>
        <w:tc>
          <w:tcPr>
            <w:tcW w:w="344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w:t>
            </w:r>
          </w:p>
        </w:tc>
      </w:tr>
      <w:tr>
        <w:trPr>
          <w:trHeight w:val="217"/>
        </w:trPr>
        <w:tc>
          <w:tcPr>
            <w:tcW w:w="344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7257415" cy="209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543" w:name="page544"/>
    <w:bookmarkEnd w:id="543"/>
    <w:p>
      <w:pPr>
        <w:jc w:val="center"/>
        <w:ind w:right="-20"/>
        <w:spacing w:after="0"/>
        <w:rPr>
          <w:sz w:val="20"/>
          <w:szCs w:val="20"/>
          <w:color w:val="auto"/>
        </w:rPr>
      </w:pPr>
      <w:r>
        <w:rPr>
          <w:rFonts w:ascii="Arial" w:cs="Arial" w:eastAsia="Arial" w:hAnsi="Arial"/>
          <w:sz w:val="17"/>
          <w:szCs w:val="17"/>
          <w:u w:val="single" w:color="auto"/>
          <w:color w:val="auto"/>
        </w:rPr>
        <w:t>SCHEDULE 1.35</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OUTLINE OF STRUCTURE FOR PIVOTAL CLINICAL TRIAL FOR PRIMARY INDICATION</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Schedule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461645</wp:posOffset>
            </wp:positionV>
            <wp:extent cx="7257415" cy="209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44" w:name="page545"/>
    <w:bookmarkEnd w:id="544"/>
    <w:p>
      <w:pPr>
        <w:jc w:val="center"/>
        <w:spacing w:after="0"/>
        <w:rPr>
          <w:sz w:val="20"/>
          <w:szCs w:val="20"/>
          <w:color w:val="auto"/>
        </w:rPr>
      </w:pPr>
      <w:r>
        <w:rPr>
          <w:rFonts w:ascii="Arial" w:cs="Arial" w:eastAsia="Arial" w:hAnsi="Arial"/>
          <w:sz w:val="17"/>
          <w:szCs w:val="17"/>
          <w:u w:val="single" w:color="auto"/>
          <w:color w:val="auto"/>
        </w:rPr>
        <w:t>SCHEDULE 1.42(a)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SAFETY MONITORING BOARD CHARTER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Independent Safety Monitoring Board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Charter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For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Bioline Innovations Jerusalem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Protocol No. BL-1040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168910</wp:posOffset>
            </wp:positionV>
            <wp:extent cx="7249160" cy="6172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49160" cy="617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line="257" w:lineRule="auto"/>
        <w:rPr>
          <w:sz w:val="20"/>
          <w:szCs w:val="20"/>
          <w:color w:val="auto"/>
        </w:rPr>
      </w:pPr>
      <w:r>
        <w:rPr>
          <w:rFonts w:ascii="Arial" w:cs="Arial" w:eastAsia="Arial" w:hAnsi="Arial"/>
          <w:sz w:val="21"/>
          <w:szCs w:val="21"/>
          <w:b w:val="1"/>
          <w:bCs w:val="1"/>
          <w:color w:val="auto"/>
        </w:rPr>
        <w:t>A Phase I, multi-center, open label study designed to assess the safety and feasibility of the injectable BL-1040 implant to provide scaffolding to infarcted myocardial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593090</wp:posOffset>
            </wp:positionV>
            <wp:extent cx="7257415" cy="209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320" w:top="500" w:right="299" w:bottom="1440" w:gutter="0" w:footer="0" w:header="0"/>
        </w:sectPr>
      </w:pPr>
    </w:p>
    <w:bookmarkStart w:id="545" w:name="page546"/>
    <w:bookmarkEnd w:id="545"/>
    <w:tbl>
      <w:tblPr>
        <w:tblLayout w:type="fixed"/>
        <w:tblInd w:w="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APPROVING OFFICIALS</w:t>
            </w: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462"/>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Name</w:t>
            </w:r>
          </w:p>
        </w:tc>
        <w:tc>
          <w:tcPr>
            <w:tcW w:w="2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Title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Signature</w:t>
            </w:r>
          </w:p>
        </w:tc>
        <w:tc>
          <w:tcPr>
            <w:tcW w:w="460" w:type="dxa"/>
            <w:vAlign w:val="bottom"/>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r>
      <w:tr>
        <w:trPr>
          <w:trHeight w:val="417"/>
        </w:trPr>
        <w:tc>
          <w:tcPr>
            <w:tcW w:w="3660" w:type="dxa"/>
            <w:vAlign w:val="bottom"/>
            <w:gridSpan w:val="2"/>
          </w:tcPr>
          <w:p>
            <w:pPr>
              <w:spacing w:after="0"/>
              <w:rPr>
                <w:sz w:val="20"/>
                <w:szCs w:val="20"/>
                <w:color w:val="auto"/>
              </w:rPr>
            </w:pPr>
            <w:r>
              <w:rPr>
                <w:rFonts w:ascii="Arial" w:cs="Arial" w:eastAsia="Arial" w:hAnsi="Arial"/>
                <w:sz w:val="17"/>
                <w:szCs w:val="17"/>
                <w:color w:val="auto"/>
              </w:rPr>
              <w:t>Lincoff, A. Michael, M.D</w:t>
            </w: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7"/>
                <w:szCs w:val="17"/>
                <w:color w:val="auto"/>
              </w:rPr>
              <w:t>Chairman ISMB</w:t>
            </w:r>
          </w:p>
        </w:tc>
        <w:tc>
          <w:tcPr>
            <w:tcW w:w="1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417"/>
        </w:trPr>
        <w:tc>
          <w:tcPr>
            <w:tcW w:w="3660" w:type="dxa"/>
            <w:vAlign w:val="bottom"/>
            <w:gridSpan w:val="2"/>
          </w:tcPr>
          <w:p>
            <w:pPr>
              <w:spacing w:after="0"/>
              <w:rPr>
                <w:sz w:val="20"/>
                <w:szCs w:val="20"/>
                <w:color w:val="auto"/>
              </w:rPr>
            </w:pPr>
            <w:r>
              <w:rPr>
                <w:rFonts w:ascii="Arial" w:cs="Arial" w:eastAsia="Arial" w:hAnsi="Arial"/>
                <w:sz w:val="17"/>
                <w:szCs w:val="17"/>
                <w:color w:val="auto"/>
              </w:rPr>
              <w:t>Moti Gal</w:t>
            </w:r>
          </w:p>
        </w:tc>
        <w:tc>
          <w:tcPr>
            <w:tcW w:w="24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7"/>
                <w:szCs w:val="17"/>
                <w:color w:val="auto"/>
              </w:rPr>
              <w:t>Sponsor Contact Person</w:t>
            </w:r>
          </w:p>
        </w:tc>
        <w:tc>
          <w:tcPr>
            <w:tcW w:w="1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417"/>
        </w:trPr>
        <w:tc>
          <w:tcPr>
            <w:tcW w:w="3660" w:type="dxa"/>
            <w:vAlign w:val="bottom"/>
            <w:gridSpan w:val="2"/>
          </w:tcPr>
          <w:p>
            <w:pPr>
              <w:spacing w:after="0"/>
              <w:rPr>
                <w:sz w:val="20"/>
                <w:szCs w:val="20"/>
                <w:color w:val="auto"/>
              </w:rPr>
            </w:pPr>
            <w:r>
              <w:rPr>
                <w:rFonts w:ascii="Arial" w:cs="Arial" w:eastAsia="Arial" w:hAnsi="Arial"/>
                <w:sz w:val="17"/>
                <w:szCs w:val="17"/>
                <w:color w:val="auto"/>
              </w:rPr>
              <w:t>Andrea Kempf-Müller, M.D</w:t>
            </w:r>
          </w:p>
        </w:tc>
        <w:tc>
          <w:tcPr>
            <w:tcW w:w="240" w:type="dxa"/>
            <w:vAlign w:val="bottom"/>
          </w:tcPr>
          <w:p>
            <w:pPr>
              <w:spacing w:after="0"/>
              <w:rPr>
                <w:sz w:val="24"/>
                <w:szCs w:val="24"/>
                <w:color w:val="auto"/>
              </w:rPr>
            </w:pPr>
          </w:p>
        </w:tc>
        <w:tc>
          <w:tcPr>
            <w:tcW w:w="2980" w:type="dxa"/>
            <w:vAlign w:val="bottom"/>
            <w:gridSpan w:val="2"/>
          </w:tcPr>
          <w:p>
            <w:pPr>
              <w:ind w:left="1500"/>
              <w:spacing w:after="0"/>
              <w:rPr>
                <w:sz w:val="20"/>
                <w:szCs w:val="20"/>
                <w:color w:val="auto"/>
              </w:rPr>
            </w:pPr>
            <w:r>
              <w:rPr>
                <w:rFonts w:ascii="Arial" w:cs="Arial" w:eastAsia="Arial" w:hAnsi="Arial"/>
                <w:sz w:val="17"/>
                <w:szCs w:val="17"/>
                <w:color w:val="auto"/>
              </w:rPr>
              <w:t>Drug Safety Officer</w:t>
            </w:r>
          </w:p>
        </w:tc>
        <w:tc>
          <w:tcPr>
            <w:tcW w:w="1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627"/>
        </w:trPr>
        <w:tc>
          <w:tcPr>
            <w:tcW w:w="19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546" w:name="page547"/>
    <w:bookmarkEnd w:id="546"/>
    <w:tbl>
      <w:tblPr>
        <w:tblLayout w:type="fixed"/>
        <w:tblInd w:w="0" w:type="dxa"/>
        <w:tblCellMar>
          <w:top w:w="0" w:type="dxa"/>
          <w:left w:w="0" w:type="dxa"/>
          <w:bottom w:w="0" w:type="dxa"/>
          <w:right w:w="0" w:type="dxa"/>
        </w:tblCellMar>
      </w:tblPr>
      <w:tr>
        <w:trPr>
          <w:trHeight w:val="223"/>
        </w:trPr>
        <w:tc>
          <w:tcPr>
            <w:tcW w:w="4660" w:type="dxa"/>
            <w:vAlign w:val="bottom"/>
            <w:gridSpan w:val="5"/>
          </w:tcPr>
          <w:p>
            <w:pPr>
              <w:spacing w:after="0"/>
              <w:rPr>
                <w:sz w:val="20"/>
                <w:szCs w:val="20"/>
                <w:color w:val="auto"/>
              </w:rPr>
            </w:pPr>
            <w:r>
              <w:rPr>
                <w:rFonts w:ascii="Arial" w:cs="Arial" w:eastAsia="Arial" w:hAnsi="Arial"/>
                <w:sz w:val="17"/>
                <w:szCs w:val="17"/>
                <w:b w:val="1"/>
                <w:bCs w:val="1"/>
                <w:color w:val="auto"/>
              </w:rPr>
              <w:t>Contact details ISMB members</w:t>
            </w:r>
          </w:p>
        </w:tc>
        <w:tc>
          <w:tcPr>
            <w:tcW w:w="6760" w:type="dxa"/>
            <w:vAlign w:val="bottom"/>
          </w:tcPr>
          <w:p>
            <w:pPr>
              <w:spacing w:after="0"/>
              <w:rPr>
                <w:sz w:val="19"/>
                <w:szCs w:val="19"/>
                <w:color w:val="auto"/>
              </w:rPr>
            </w:pPr>
          </w:p>
        </w:tc>
      </w:tr>
      <w:tr>
        <w:trPr>
          <w:trHeight w:val="426"/>
        </w:trPr>
        <w:tc>
          <w:tcPr>
            <w:tcW w:w="4660" w:type="dxa"/>
            <w:vAlign w:val="bottom"/>
            <w:gridSpan w:val="5"/>
          </w:tcPr>
          <w:p>
            <w:pPr>
              <w:spacing w:after="0"/>
              <w:rPr>
                <w:sz w:val="20"/>
                <w:szCs w:val="20"/>
                <w:color w:val="auto"/>
              </w:rPr>
            </w:pPr>
            <w:r>
              <w:rPr>
                <w:rFonts w:ascii="Arial" w:cs="Arial" w:eastAsia="Arial" w:hAnsi="Arial"/>
                <w:sz w:val="17"/>
                <w:szCs w:val="17"/>
                <w:color w:val="auto"/>
              </w:rPr>
              <w:t>Lincoff, A. Michael, M.D.</w:t>
            </w:r>
          </w:p>
        </w:tc>
        <w:tc>
          <w:tcPr>
            <w:tcW w:w="6760" w:type="dxa"/>
            <w:vAlign w:val="bottom"/>
          </w:tcPr>
          <w:p>
            <w:pPr>
              <w:ind w:left="1020"/>
              <w:spacing w:after="0"/>
              <w:rPr>
                <w:sz w:val="20"/>
                <w:szCs w:val="20"/>
                <w:color w:val="auto"/>
              </w:rPr>
            </w:pPr>
            <w:r>
              <w:rPr>
                <w:rFonts w:ascii="Arial" w:cs="Arial" w:eastAsia="Arial" w:hAnsi="Arial"/>
                <w:sz w:val="17"/>
                <w:szCs w:val="17"/>
                <w:color w:val="auto"/>
              </w:rPr>
              <w:t>ISMB Chairman</w:t>
            </w: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The Cleveland Clinic Foundation</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9500 Euclid Avenue - F25</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Cleveland, OH 44195</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Phone: 216.444.2367</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FAX: 216.636.0609</w:t>
            </w:r>
          </w:p>
        </w:tc>
        <w:tc>
          <w:tcPr>
            <w:tcW w:w="6760" w:type="dxa"/>
            <w:vAlign w:val="bottom"/>
          </w:tcPr>
          <w:p>
            <w:pPr>
              <w:spacing w:after="0"/>
              <w:rPr>
                <w:sz w:val="17"/>
                <w:szCs w:val="17"/>
                <w:color w:val="auto"/>
              </w:rPr>
            </w:pPr>
          </w:p>
        </w:tc>
      </w:tr>
      <w:tr>
        <w:trPr>
          <w:trHeight w:val="180"/>
        </w:trPr>
        <w:tc>
          <w:tcPr>
            <w:tcW w:w="112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93"/>
              </w:rPr>
              <w:t>lincofa@ccf.org</w:t>
            </w:r>
          </w:p>
        </w:tc>
        <w:tc>
          <w:tcPr>
            <w:tcW w:w="3540" w:type="dxa"/>
            <w:vAlign w:val="bottom"/>
            <w:gridSpan w:val="4"/>
          </w:tcPr>
          <w:p>
            <w:pPr>
              <w:spacing w:after="0"/>
              <w:rPr>
                <w:sz w:val="15"/>
                <w:szCs w:val="15"/>
                <w:color w:val="auto"/>
              </w:rPr>
            </w:pPr>
          </w:p>
        </w:tc>
        <w:tc>
          <w:tcPr>
            <w:tcW w:w="6760" w:type="dxa"/>
            <w:vAlign w:val="bottom"/>
          </w:tcPr>
          <w:p>
            <w:pPr>
              <w:spacing w:after="0"/>
              <w:rPr>
                <w:sz w:val="15"/>
                <w:szCs w:val="15"/>
                <w:color w:val="auto"/>
              </w:rPr>
            </w:pPr>
          </w:p>
        </w:tc>
      </w:tr>
      <w:tr>
        <w:trPr>
          <w:trHeight w:val="444"/>
        </w:trPr>
        <w:tc>
          <w:tcPr>
            <w:tcW w:w="4660" w:type="dxa"/>
            <w:vAlign w:val="bottom"/>
            <w:gridSpan w:val="5"/>
          </w:tcPr>
          <w:p>
            <w:pPr>
              <w:spacing w:after="0"/>
              <w:rPr>
                <w:sz w:val="20"/>
                <w:szCs w:val="20"/>
                <w:color w:val="auto"/>
              </w:rPr>
            </w:pPr>
            <w:r>
              <w:rPr>
                <w:rFonts w:ascii="Arial" w:cs="Arial" w:eastAsia="Arial" w:hAnsi="Arial"/>
                <w:sz w:val="17"/>
                <w:szCs w:val="17"/>
                <w:color w:val="auto"/>
              </w:rPr>
              <w:t>Philippe Gabriel Steg, M.D., F.A.C.C</w:t>
            </w:r>
          </w:p>
        </w:tc>
        <w:tc>
          <w:tcPr>
            <w:tcW w:w="6760" w:type="dxa"/>
            <w:vAlign w:val="bottom"/>
          </w:tcPr>
          <w:p>
            <w:pPr>
              <w:spacing w:after="0"/>
              <w:rPr>
                <w:sz w:val="24"/>
                <w:szCs w:val="24"/>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Hopital Bichat-Claude BernadService de Cardiologie</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46 Rue Henri Huchard</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75018 Paris</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FRANCE</w:t>
            </w:r>
          </w:p>
        </w:tc>
        <w:tc>
          <w:tcPr>
            <w:tcW w:w="6760" w:type="dxa"/>
            <w:vAlign w:val="bottom"/>
          </w:tcPr>
          <w:p>
            <w:pPr>
              <w:spacing w:after="0"/>
              <w:rPr>
                <w:sz w:val="17"/>
                <w:szCs w:val="17"/>
                <w:color w:val="auto"/>
              </w:rPr>
            </w:pPr>
          </w:p>
        </w:tc>
      </w:tr>
      <w:tr>
        <w:trPr>
          <w:trHeight w:val="180"/>
        </w:trPr>
        <w:tc>
          <w:tcPr>
            <w:tcW w:w="1740" w:type="dxa"/>
            <w:vAlign w:val="bottom"/>
            <w:tcBorders>
              <w:bottom w:val="single" w:sz="8" w:color="auto"/>
            </w:tcBorders>
            <w:gridSpan w:val="4"/>
          </w:tcPr>
          <w:p>
            <w:pPr>
              <w:spacing w:after="0" w:line="180" w:lineRule="exact"/>
              <w:rPr>
                <w:sz w:val="20"/>
                <w:szCs w:val="20"/>
                <w:color w:val="auto"/>
              </w:rPr>
            </w:pPr>
            <w:r>
              <w:rPr>
                <w:rFonts w:ascii="Arial" w:cs="Arial" w:eastAsia="Arial" w:hAnsi="Arial"/>
                <w:sz w:val="17"/>
                <w:szCs w:val="17"/>
                <w:color w:val="auto"/>
                <w:w w:val="90"/>
              </w:rPr>
              <w:t>gabriel.steg@bch.aphp.fr</w:t>
            </w:r>
          </w:p>
        </w:tc>
        <w:tc>
          <w:tcPr>
            <w:tcW w:w="2920" w:type="dxa"/>
            <w:vAlign w:val="bottom"/>
          </w:tcPr>
          <w:p>
            <w:pPr>
              <w:spacing w:after="0"/>
              <w:rPr>
                <w:sz w:val="15"/>
                <w:szCs w:val="15"/>
                <w:color w:val="auto"/>
              </w:rPr>
            </w:pPr>
          </w:p>
        </w:tc>
        <w:tc>
          <w:tcPr>
            <w:tcW w:w="6760" w:type="dxa"/>
            <w:vAlign w:val="bottom"/>
          </w:tcPr>
          <w:p>
            <w:pPr>
              <w:spacing w:after="0"/>
              <w:rPr>
                <w:sz w:val="15"/>
                <w:szCs w:val="15"/>
                <w:color w:val="auto"/>
              </w:rPr>
            </w:pPr>
          </w:p>
        </w:tc>
      </w:tr>
      <w:tr>
        <w:trPr>
          <w:trHeight w:val="444"/>
        </w:trPr>
        <w:tc>
          <w:tcPr>
            <w:tcW w:w="4660" w:type="dxa"/>
            <w:vAlign w:val="bottom"/>
            <w:gridSpan w:val="5"/>
          </w:tcPr>
          <w:p>
            <w:pPr>
              <w:spacing w:after="0"/>
              <w:rPr>
                <w:sz w:val="20"/>
                <w:szCs w:val="20"/>
                <w:color w:val="auto"/>
              </w:rPr>
            </w:pPr>
            <w:r>
              <w:rPr>
                <w:rFonts w:ascii="Arial" w:cs="Arial" w:eastAsia="Arial" w:hAnsi="Arial"/>
                <w:sz w:val="17"/>
                <w:szCs w:val="17"/>
                <w:color w:val="auto"/>
              </w:rPr>
              <w:t>Michael Marber BSc, MB.BS, PhD, FRCP</w:t>
            </w:r>
          </w:p>
        </w:tc>
        <w:tc>
          <w:tcPr>
            <w:tcW w:w="6760" w:type="dxa"/>
            <w:vAlign w:val="bottom"/>
          </w:tcPr>
          <w:p>
            <w:pPr>
              <w:spacing w:after="0"/>
              <w:rPr>
                <w:sz w:val="24"/>
                <w:szCs w:val="24"/>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Professor of Cardiology</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King's College London</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Honorary Consultant Cardiologist</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Guy’s &amp; St Thomas’ Hospitals</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The Rayne Institute, St Thomas' Hospital</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Lambeth Palace Rd, London SE1 7EH</w:t>
            </w:r>
          </w:p>
        </w:tc>
        <w:tc>
          <w:tcPr>
            <w:tcW w:w="6760" w:type="dxa"/>
            <w:vAlign w:val="bottom"/>
          </w:tcPr>
          <w:p>
            <w:pPr>
              <w:spacing w:after="0"/>
              <w:rPr>
                <w:sz w:val="17"/>
                <w:szCs w:val="17"/>
                <w:color w:val="auto"/>
              </w:rPr>
            </w:pPr>
          </w:p>
        </w:tc>
      </w:tr>
      <w:tr>
        <w:trPr>
          <w:trHeight w:val="180"/>
        </w:trPr>
        <w:tc>
          <w:tcPr>
            <w:tcW w:w="1660" w:type="dxa"/>
            <w:vAlign w:val="bottom"/>
            <w:tcBorders>
              <w:bottom w:val="single" w:sz="8" w:color="auto"/>
            </w:tcBorders>
            <w:gridSpan w:val="3"/>
          </w:tcPr>
          <w:p>
            <w:pPr>
              <w:spacing w:after="0" w:line="180" w:lineRule="exact"/>
              <w:rPr>
                <w:sz w:val="20"/>
                <w:szCs w:val="20"/>
                <w:color w:val="auto"/>
              </w:rPr>
            </w:pPr>
            <w:r>
              <w:rPr>
                <w:rFonts w:ascii="Arial" w:cs="Arial" w:eastAsia="Arial" w:hAnsi="Arial"/>
                <w:sz w:val="17"/>
                <w:szCs w:val="17"/>
                <w:color w:val="auto"/>
                <w:w w:val="92"/>
              </w:rPr>
              <w:t>mike.marber@kcl.ac.uk</w:t>
            </w:r>
          </w:p>
        </w:tc>
        <w:tc>
          <w:tcPr>
            <w:tcW w:w="3000" w:type="dxa"/>
            <w:vAlign w:val="bottom"/>
            <w:gridSpan w:val="2"/>
          </w:tcPr>
          <w:p>
            <w:pPr>
              <w:spacing w:after="0"/>
              <w:rPr>
                <w:sz w:val="15"/>
                <w:szCs w:val="15"/>
                <w:color w:val="auto"/>
              </w:rPr>
            </w:pPr>
          </w:p>
        </w:tc>
        <w:tc>
          <w:tcPr>
            <w:tcW w:w="6760" w:type="dxa"/>
            <w:vAlign w:val="bottom"/>
          </w:tcPr>
          <w:p>
            <w:pPr>
              <w:spacing w:after="0"/>
              <w:rPr>
                <w:sz w:val="15"/>
                <w:szCs w:val="15"/>
                <w:color w:val="auto"/>
              </w:rPr>
            </w:pPr>
          </w:p>
        </w:tc>
      </w:tr>
      <w:tr>
        <w:trPr>
          <w:trHeight w:val="444"/>
        </w:trPr>
        <w:tc>
          <w:tcPr>
            <w:tcW w:w="4660" w:type="dxa"/>
            <w:vAlign w:val="bottom"/>
            <w:gridSpan w:val="5"/>
          </w:tcPr>
          <w:p>
            <w:pPr>
              <w:spacing w:after="0"/>
              <w:rPr>
                <w:sz w:val="20"/>
                <w:szCs w:val="20"/>
                <w:color w:val="auto"/>
              </w:rPr>
            </w:pPr>
            <w:r>
              <w:rPr>
                <w:rFonts w:ascii="Arial" w:cs="Arial" w:eastAsia="Arial" w:hAnsi="Arial"/>
                <w:sz w:val="17"/>
                <w:szCs w:val="17"/>
                <w:color w:val="auto"/>
              </w:rPr>
              <w:t>Kerry Lee, Ph.D.</w:t>
            </w:r>
          </w:p>
        </w:tc>
        <w:tc>
          <w:tcPr>
            <w:tcW w:w="6760" w:type="dxa"/>
            <w:vAlign w:val="bottom"/>
          </w:tcPr>
          <w:p>
            <w:pPr>
              <w:spacing w:after="0"/>
              <w:rPr>
                <w:sz w:val="24"/>
                <w:szCs w:val="24"/>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Duke Clinical Research Institute</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2400 Pratt Street</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Room 0311 Terrace Level</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Durham, NC 27705</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Ph: 919-668-8725</w:t>
            </w:r>
          </w:p>
        </w:tc>
        <w:tc>
          <w:tcPr>
            <w:tcW w:w="6760" w:type="dxa"/>
            <w:vAlign w:val="bottom"/>
          </w:tcPr>
          <w:p>
            <w:pPr>
              <w:spacing w:after="0"/>
              <w:rPr>
                <w:sz w:val="17"/>
                <w:szCs w:val="17"/>
                <w:color w:val="auto"/>
              </w:rPr>
            </w:pPr>
          </w:p>
        </w:tc>
      </w:tr>
      <w:tr>
        <w:trPr>
          <w:trHeight w:val="206"/>
        </w:trPr>
        <w:tc>
          <w:tcPr>
            <w:tcW w:w="4660" w:type="dxa"/>
            <w:vAlign w:val="bottom"/>
            <w:gridSpan w:val="5"/>
          </w:tcPr>
          <w:p>
            <w:pPr>
              <w:spacing w:after="0"/>
              <w:rPr>
                <w:sz w:val="20"/>
                <w:szCs w:val="20"/>
                <w:color w:val="auto"/>
              </w:rPr>
            </w:pPr>
            <w:r>
              <w:rPr>
                <w:rFonts w:ascii="Arial" w:cs="Arial" w:eastAsia="Arial" w:hAnsi="Arial"/>
                <w:sz w:val="17"/>
                <w:szCs w:val="17"/>
                <w:color w:val="auto"/>
              </w:rPr>
              <w:t>Fx: 919-668-7055</w:t>
            </w:r>
          </w:p>
        </w:tc>
        <w:tc>
          <w:tcPr>
            <w:tcW w:w="6760" w:type="dxa"/>
            <w:vAlign w:val="bottom"/>
          </w:tcPr>
          <w:p>
            <w:pPr>
              <w:spacing w:after="0"/>
              <w:rPr>
                <w:sz w:val="17"/>
                <w:szCs w:val="17"/>
                <w:color w:val="auto"/>
              </w:rPr>
            </w:pPr>
          </w:p>
        </w:tc>
      </w:tr>
      <w:tr>
        <w:trPr>
          <w:trHeight w:val="180"/>
        </w:trPr>
        <w:tc>
          <w:tcPr>
            <w:tcW w:w="4660" w:type="dxa"/>
            <w:vAlign w:val="bottom"/>
            <w:gridSpan w:val="5"/>
          </w:tcPr>
          <w:p>
            <w:pPr>
              <w:spacing w:after="0" w:line="180" w:lineRule="exact"/>
              <w:rPr>
                <w:sz w:val="20"/>
                <w:szCs w:val="20"/>
                <w:color w:val="auto"/>
              </w:rPr>
            </w:pPr>
            <w:r>
              <w:rPr>
                <w:rFonts w:ascii="Arial" w:cs="Arial" w:eastAsia="Arial" w:hAnsi="Arial"/>
                <w:sz w:val="17"/>
                <w:szCs w:val="17"/>
                <w:color w:val="auto"/>
              </w:rPr>
              <w:t>kerry.lee@duke.edu</w:t>
            </w:r>
          </w:p>
        </w:tc>
        <w:tc>
          <w:tcPr>
            <w:tcW w:w="6760" w:type="dxa"/>
            <w:vAlign w:val="bottom"/>
          </w:tcPr>
          <w:p>
            <w:pPr>
              <w:spacing w:after="0"/>
              <w:rPr>
                <w:sz w:val="15"/>
                <w:szCs w:val="15"/>
                <w:color w:val="auto"/>
              </w:rPr>
            </w:pPr>
          </w:p>
        </w:tc>
      </w:tr>
      <w:tr>
        <w:trPr>
          <w:trHeight w:val="645"/>
        </w:trPr>
        <w:tc>
          <w:tcPr>
            <w:tcW w:w="112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223"/>
        </w:trPr>
        <w:tc>
          <w:tcPr>
            <w:tcW w:w="4040" w:type="dxa"/>
            <w:vAlign w:val="bottom"/>
          </w:tcPr>
          <w:p>
            <w:pPr>
              <w:spacing w:after="0"/>
              <w:rPr>
                <w:sz w:val="20"/>
                <w:szCs w:val="20"/>
                <w:color w:val="auto"/>
              </w:rPr>
            </w:pPr>
            <w:r>
              <w:rPr>
                <w:rFonts w:ascii="Arial" w:cs="Arial" w:eastAsia="Arial" w:hAnsi="Arial"/>
                <w:sz w:val="17"/>
                <w:szCs w:val="17"/>
                <w:b w:val="1"/>
                <w:bCs w:val="1"/>
                <w:color w:val="auto"/>
              </w:rPr>
              <w:t>Contact details BioLine and Averion</w:t>
            </w:r>
          </w:p>
        </w:tc>
        <w:tc>
          <w:tcPr>
            <w:tcW w:w="1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20"/>
        </w:trPr>
        <w:tc>
          <w:tcPr>
            <w:tcW w:w="4040" w:type="dxa"/>
            <w:vAlign w:val="bottom"/>
          </w:tcPr>
          <w:p>
            <w:pPr>
              <w:spacing w:after="0"/>
              <w:rPr>
                <w:sz w:val="20"/>
                <w:szCs w:val="20"/>
                <w:color w:val="auto"/>
              </w:rPr>
            </w:pPr>
            <w:r>
              <w:rPr>
                <w:rFonts w:ascii="Arial" w:cs="Arial" w:eastAsia="Arial" w:hAnsi="Arial"/>
                <w:sz w:val="17"/>
                <w:szCs w:val="17"/>
                <w:b w:val="1"/>
                <w:bCs w:val="1"/>
                <w:color w:val="auto"/>
              </w:rPr>
              <w:t>Project Manager</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Address: 2268 chemin de Sourdaine</w:t>
            </w:r>
          </w:p>
        </w:tc>
      </w:tr>
      <w:tr>
        <w:trPr>
          <w:trHeight w:val="206"/>
        </w:trPr>
        <w:tc>
          <w:tcPr>
            <w:tcW w:w="4040" w:type="dxa"/>
            <w:vAlign w:val="bottom"/>
          </w:tcPr>
          <w:p>
            <w:pPr>
              <w:spacing w:after="0"/>
              <w:rPr>
                <w:sz w:val="20"/>
                <w:szCs w:val="20"/>
                <w:color w:val="auto"/>
              </w:rPr>
            </w:pPr>
            <w:r>
              <w:rPr>
                <w:rFonts w:ascii="Arial" w:cs="Arial" w:eastAsia="Arial" w:hAnsi="Arial"/>
                <w:sz w:val="17"/>
                <w:szCs w:val="17"/>
                <w:b w:val="1"/>
                <w:bCs w:val="1"/>
                <w:color w:val="auto"/>
              </w:rPr>
              <w:t>Averion:</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F-84140 Montfavet</w:t>
            </w:r>
          </w:p>
        </w:tc>
      </w:tr>
      <w:tr>
        <w:trPr>
          <w:trHeight w:val="212"/>
        </w:trPr>
        <w:tc>
          <w:tcPr>
            <w:tcW w:w="4040" w:type="dxa"/>
            <w:vAlign w:val="bottom"/>
          </w:tcPr>
          <w:p>
            <w:pPr>
              <w:spacing w:after="0"/>
              <w:rPr>
                <w:sz w:val="20"/>
                <w:szCs w:val="20"/>
                <w:color w:val="auto"/>
              </w:rPr>
            </w:pPr>
            <w:r>
              <w:rPr>
                <w:rFonts w:ascii="Arial" w:cs="Arial" w:eastAsia="Arial" w:hAnsi="Arial"/>
                <w:sz w:val="17"/>
                <w:szCs w:val="17"/>
                <w:b w:val="1"/>
                <w:bCs w:val="1"/>
                <w:color w:val="auto"/>
              </w:rPr>
              <w:t>Frederic Liegeois, Msc</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Phone: +33 (0)490140997</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Mobile: +33 (0)681607626</w:t>
            </w:r>
          </w:p>
        </w:tc>
      </w:tr>
      <w:tr>
        <w:trPr>
          <w:trHeight w:val="217"/>
        </w:trPr>
        <w:tc>
          <w:tcPr>
            <w:tcW w:w="4040" w:type="dxa"/>
            <w:vAlign w:val="bottom"/>
          </w:tcPr>
          <w:p>
            <w:pPr>
              <w:spacing w:after="0"/>
              <w:rPr>
                <w:sz w:val="18"/>
                <w:szCs w:val="18"/>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Email: frederic.liegeois@averionintl.com</w:t>
            </w:r>
          </w:p>
        </w:tc>
      </w:tr>
      <w:tr>
        <w:trPr>
          <w:trHeight w:val="395"/>
        </w:trPr>
        <w:tc>
          <w:tcPr>
            <w:tcW w:w="4040" w:type="dxa"/>
            <w:vAlign w:val="bottom"/>
          </w:tcPr>
          <w:p>
            <w:pPr>
              <w:spacing w:after="0"/>
              <w:rPr>
                <w:sz w:val="20"/>
                <w:szCs w:val="20"/>
                <w:color w:val="auto"/>
              </w:rPr>
            </w:pPr>
            <w:r>
              <w:rPr>
                <w:rFonts w:ascii="Arial" w:cs="Arial" w:eastAsia="Arial" w:hAnsi="Arial"/>
                <w:sz w:val="17"/>
                <w:szCs w:val="17"/>
                <w:b w:val="1"/>
                <w:bCs w:val="1"/>
                <w:color w:val="auto"/>
              </w:rPr>
              <w:t>Senior Drug Development Manager</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Address: BioLine Innovations Jerusalem,</w:t>
            </w:r>
          </w:p>
        </w:tc>
      </w:tr>
      <w:tr>
        <w:trPr>
          <w:trHeight w:val="206"/>
        </w:trPr>
        <w:tc>
          <w:tcPr>
            <w:tcW w:w="4040" w:type="dxa"/>
            <w:vAlign w:val="bottom"/>
          </w:tcPr>
          <w:p>
            <w:pPr>
              <w:spacing w:after="0"/>
              <w:rPr>
                <w:sz w:val="20"/>
                <w:szCs w:val="20"/>
                <w:color w:val="auto"/>
              </w:rPr>
            </w:pPr>
            <w:r>
              <w:rPr>
                <w:rFonts w:ascii="Arial" w:cs="Arial" w:eastAsia="Arial" w:hAnsi="Arial"/>
                <w:sz w:val="17"/>
                <w:szCs w:val="17"/>
                <w:b w:val="1"/>
                <w:bCs w:val="1"/>
                <w:color w:val="auto"/>
              </w:rPr>
              <w:t>Bioline:</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19 Hartum St., POB 45158 Jerusalem,</w:t>
            </w:r>
          </w:p>
        </w:tc>
      </w:tr>
      <w:tr>
        <w:trPr>
          <w:trHeight w:val="212"/>
        </w:trPr>
        <w:tc>
          <w:tcPr>
            <w:tcW w:w="4040" w:type="dxa"/>
            <w:vAlign w:val="bottom"/>
          </w:tcPr>
          <w:p>
            <w:pPr>
              <w:spacing w:after="0"/>
              <w:rPr>
                <w:sz w:val="20"/>
                <w:szCs w:val="20"/>
                <w:color w:val="auto"/>
              </w:rPr>
            </w:pPr>
            <w:r>
              <w:rPr>
                <w:rFonts w:ascii="Arial" w:cs="Arial" w:eastAsia="Arial" w:hAnsi="Arial"/>
                <w:sz w:val="17"/>
                <w:szCs w:val="17"/>
                <w:b w:val="1"/>
                <w:bCs w:val="1"/>
                <w:color w:val="auto"/>
              </w:rPr>
              <w:t>Tuvia Shmuel, PhD</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Israel 91450</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Phone: +972-2-548-9100, ext. 124</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Fax: +972-2-548-9101</w:t>
            </w:r>
          </w:p>
        </w:tc>
      </w:tr>
      <w:tr>
        <w:trPr>
          <w:trHeight w:val="217"/>
        </w:trPr>
        <w:tc>
          <w:tcPr>
            <w:tcW w:w="4040" w:type="dxa"/>
            <w:vAlign w:val="bottom"/>
          </w:tcPr>
          <w:p>
            <w:pPr>
              <w:spacing w:after="0"/>
              <w:rPr>
                <w:sz w:val="18"/>
                <w:szCs w:val="18"/>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e-mail: shmuelt@biolinerx.com</w:t>
            </w:r>
          </w:p>
        </w:tc>
      </w:tr>
      <w:tr>
        <w:trPr>
          <w:trHeight w:val="395"/>
        </w:trPr>
        <w:tc>
          <w:tcPr>
            <w:tcW w:w="4040" w:type="dxa"/>
            <w:vAlign w:val="bottom"/>
          </w:tcPr>
          <w:p>
            <w:pPr>
              <w:spacing w:after="0"/>
              <w:rPr>
                <w:sz w:val="20"/>
                <w:szCs w:val="20"/>
                <w:color w:val="auto"/>
              </w:rPr>
            </w:pPr>
            <w:r>
              <w:rPr>
                <w:rFonts w:ascii="Arial" w:cs="Arial" w:eastAsia="Arial" w:hAnsi="Arial"/>
                <w:sz w:val="17"/>
                <w:szCs w:val="17"/>
                <w:b w:val="1"/>
                <w:bCs w:val="1"/>
                <w:color w:val="auto"/>
              </w:rPr>
              <w:t>ISMB Sponsor Representative</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Address: BioLine Innovations Jerusalem,</w:t>
            </w:r>
          </w:p>
        </w:tc>
      </w:tr>
      <w:tr>
        <w:trPr>
          <w:trHeight w:val="206"/>
        </w:trPr>
        <w:tc>
          <w:tcPr>
            <w:tcW w:w="4040" w:type="dxa"/>
            <w:vAlign w:val="bottom"/>
          </w:tcPr>
          <w:p>
            <w:pPr>
              <w:spacing w:after="0"/>
              <w:rPr>
                <w:sz w:val="20"/>
                <w:szCs w:val="20"/>
                <w:color w:val="auto"/>
              </w:rPr>
            </w:pPr>
            <w:r>
              <w:rPr>
                <w:rFonts w:ascii="Arial" w:cs="Arial" w:eastAsia="Arial" w:hAnsi="Arial"/>
                <w:sz w:val="17"/>
                <w:szCs w:val="17"/>
                <w:b w:val="1"/>
                <w:bCs w:val="1"/>
                <w:color w:val="auto"/>
              </w:rPr>
              <w:t>Bioline:</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19 Hartum St., POB 45158</w:t>
            </w:r>
          </w:p>
        </w:tc>
      </w:tr>
      <w:tr>
        <w:trPr>
          <w:trHeight w:val="212"/>
        </w:trPr>
        <w:tc>
          <w:tcPr>
            <w:tcW w:w="4040" w:type="dxa"/>
            <w:vAlign w:val="bottom"/>
          </w:tcPr>
          <w:p>
            <w:pPr>
              <w:spacing w:after="0"/>
              <w:rPr>
                <w:sz w:val="20"/>
                <w:szCs w:val="20"/>
                <w:color w:val="auto"/>
              </w:rPr>
            </w:pPr>
            <w:r>
              <w:rPr>
                <w:rFonts w:ascii="Arial" w:cs="Arial" w:eastAsia="Arial" w:hAnsi="Arial"/>
                <w:sz w:val="17"/>
                <w:szCs w:val="17"/>
                <w:b w:val="1"/>
                <w:bCs w:val="1"/>
                <w:color w:val="auto"/>
              </w:rPr>
              <w:t>Adina Porat</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Phone: +972-2-548-9100 ex. 135</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Mobile: +972-54-5594613</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Fax: +972-2-548-9101</w:t>
            </w:r>
          </w:p>
        </w:tc>
      </w:tr>
      <w:tr>
        <w:trPr>
          <w:trHeight w:val="217"/>
        </w:trPr>
        <w:tc>
          <w:tcPr>
            <w:tcW w:w="4040" w:type="dxa"/>
            <w:vAlign w:val="bottom"/>
          </w:tcPr>
          <w:p>
            <w:pPr>
              <w:spacing w:after="0"/>
              <w:rPr>
                <w:sz w:val="18"/>
                <w:szCs w:val="18"/>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E-Mail: adinap@biolinerx.com</w:t>
            </w:r>
          </w:p>
        </w:tc>
      </w:tr>
      <w:tr>
        <w:trPr>
          <w:trHeight w:val="395"/>
        </w:trPr>
        <w:tc>
          <w:tcPr>
            <w:tcW w:w="4040" w:type="dxa"/>
            <w:vAlign w:val="bottom"/>
          </w:tcPr>
          <w:p>
            <w:pPr>
              <w:spacing w:after="0"/>
              <w:rPr>
                <w:sz w:val="20"/>
                <w:szCs w:val="20"/>
                <w:color w:val="auto"/>
              </w:rPr>
            </w:pPr>
            <w:r>
              <w:rPr>
                <w:rFonts w:ascii="Arial" w:cs="Arial" w:eastAsia="Arial" w:hAnsi="Arial"/>
                <w:sz w:val="17"/>
                <w:szCs w:val="17"/>
                <w:b w:val="1"/>
                <w:bCs w:val="1"/>
                <w:color w:val="auto"/>
              </w:rPr>
              <w:t>Clinical Operations Manager</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Address: BioLine Innovations Jerusalem,</w:t>
            </w:r>
          </w:p>
        </w:tc>
      </w:tr>
      <w:tr>
        <w:trPr>
          <w:trHeight w:val="206"/>
        </w:trPr>
        <w:tc>
          <w:tcPr>
            <w:tcW w:w="4040" w:type="dxa"/>
            <w:vAlign w:val="bottom"/>
          </w:tcPr>
          <w:p>
            <w:pPr>
              <w:spacing w:after="0"/>
              <w:rPr>
                <w:sz w:val="20"/>
                <w:szCs w:val="20"/>
                <w:color w:val="auto"/>
              </w:rPr>
            </w:pPr>
            <w:r>
              <w:rPr>
                <w:rFonts w:ascii="Arial" w:cs="Arial" w:eastAsia="Arial" w:hAnsi="Arial"/>
                <w:sz w:val="17"/>
                <w:szCs w:val="17"/>
                <w:b w:val="1"/>
                <w:bCs w:val="1"/>
                <w:color w:val="auto"/>
              </w:rPr>
              <w:t>Bioline:</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19 Hartum St., POB 45158</w:t>
            </w:r>
          </w:p>
        </w:tc>
      </w:tr>
      <w:tr>
        <w:trPr>
          <w:trHeight w:val="212"/>
        </w:trPr>
        <w:tc>
          <w:tcPr>
            <w:tcW w:w="4040" w:type="dxa"/>
            <w:vAlign w:val="bottom"/>
          </w:tcPr>
          <w:p>
            <w:pPr>
              <w:spacing w:after="0"/>
              <w:rPr>
                <w:sz w:val="20"/>
                <w:szCs w:val="20"/>
                <w:color w:val="auto"/>
              </w:rPr>
            </w:pPr>
            <w:r>
              <w:rPr>
                <w:rFonts w:ascii="Arial" w:cs="Arial" w:eastAsia="Arial" w:hAnsi="Arial"/>
                <w:sz w:val="17"/>
                <w:szCs w:val="17"/>
                <w:b w:val="1"/>
                <w:bCs w:val="1"/>
                <w:color w:val="auto"/>
              </w:rPr>
              <w:t>Moti Gal</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Telephone: +972-2-548-9100 ex. 147</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Mobile: +972-54-5933127</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Fax: +972-2-548-9101</w:t>
            </w:r>
          </w:p>
        </w:tc>
      </w:tr>
      <w:tr>
        <w:trPr>
          <w:trHeight w:val="217"/>
        </w:trPr>
        <w:tc>
          <w:tcPr>
            <w:tcW w:w="4040" w:type="dxa"/>
            <w:vAlign w:val="bottom"/>
          </w:tcPr>
          <w:p>
            <w:pPr>
              <w:spacing w:after="0"/>
              <w:rPr>
                <w:sz w:val="18"/>
                <w:szCs w:val="18"/>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E-Mail: motig@biolinerx.com</w:t>
            </w:r>
          </w:p>
        </w:tc>
      </w:tr>
      <w:tr>
        <w:trPr>
          <w:trHeight w:val="401"/>
        </w:trPr>
        <w:tc>
          <w:tcPr>
            <w:tcW w:w="4040" w:type="dxa"/>
            <w:vAlign w:val="bottom"/>
          </w:tcPr>
          <w:p>
            <w:pPr>
              <w:spacing w:after="0"/>
              <w:rPr>
                <w:sz w:val="20"/>
                <w:szCs w:val="20"/>
                <w:color w:val="auto"/>
              </w:rPr>
            </w:pPr>
            <w:r>
              <w:rPr>
                <w:rFonts w:ascii="Arial" w:cs="Arial" w:eastAsia="Arial" w:hAnsi="Arial"/>
                <w:sz w:val="17"/>
                <w:szCs w:val="17"/>
                <w:b w:val="1"/>
                <w:bCs w:val="1"/>
                <w:color w:val="auto"/>
              </w:rPr>
              <w:t>ISMB Coordinator</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Medical Monitor, Europe</w:t>
            </w:r>
          </w:p>
        </w:tc>
      </w:tr>
      <w:tr>
        <w:trPr>
          <w:trHeight w:val="206"/>
        </w:trPr>
        <w:tc>
          <w:tcPr>
            <w:tcW w:w="4040" w:type="dxa"/>
            <w:vAlign w:val="bottom"/>
          </w:tcPr>
          <w:p>
            <w:pPr>
              <w:spacing w:after="0"/>
              <w:rPr>
                <w:sz w:val="20"/>
                <w:szCs w:val="20"/>
                <w:color w:val="auto"/>
              </w:rPr>
            </w:pPr>
            <w:r>
              <w:rPr>
                <w:rFonts w:ascii="Arial" w:cs="Arial" w:eastAsia="Arial" w:hAnsi="Arial"/>
                <w:sz w:val="17"/>
                <w:szCs w:val="17"/>
                <w:color w:val="auto"/>
              </w:rPr>
              <w:t>Venn Life Sciences AG</w:t>
            </w: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Andrea Kempf-Müller, MD</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Venn Life Sciences AG</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Elisabethenstrasse 23/3</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4051 Basel, Switzerland</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400"/>
              <w:spacing w:after="0"/>
              <w:rPr>
                <w:sz w:val="20"/>
                <w:szCs w:val="20"/>
                <w:color w:val="auto"/>
              </w:rPr>
            </w:pPr>
            <w:r>
              <w:rPr>
                <w:rFonts w:ascii="Arial" w:cs="Arial" w:eastAsia="Arial" w:hAnsi="Arial"/>
                <w:sz w:val="17"/>
                <w:szCs w:val="17"/>
                <w:color w:val="auto"/>
              </w:rPr>
              <w:t>Tel: +41 61 201 11 83</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Mobile: + 41 79 348 54 59</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Fax: +41 61 273 42 50</w:t>
            </w:r>
          </w:p>
        </w:tc>
      </w:tr>
      <w:tr>
        <w:trPr>
          <w:trHeight w:val="180"/>
        </w:trPr>
        <w:tc>
          <w:tcPr>
            <w:tcW w:w="4040" w:type="dxa"/>
            <w:vAlign w:val="bottom"/>
          </w:tcPr>
          <w:p>
            <w:pPr>
              <w:spacing w:after="0"/>
              <w:rPr>
                <w:sz w:val="15"/>
                <w:szCs w:val="15"/>
                <w:color w:val="auto"/>
              </w:rPr>
            </w:pPr>
          </w:p>
        </w:tc>
        <w:tc>
          <w:tcPr>
            <w:tcW w:w="7380" w:type="dxa"/>
            <w:vAlign w:val="bottom"/>
            <w:gridSpan w:val="4"/>
          </w:tcPr>
          <w:p>
            <w:pPr>
              <w:ind w:left="1360"/>
              <w:spacing w:after="0" w:line="180" w:lineRule="exact"/>
              <w:rPr>
                <w:sz w:val="20"/>
                <w:szCs w:val="20"/>
                <w:color w:val="auto"/>
              </w:rPr>
            </w:pPr>
            <w:r>
              <w:rPr>
                <w:rFonts w:ascii="Arial" w:cs="Arial" w:eastAsia="Arial" w:hAnsi="Arial"/>
                <w:sz w:val="17"/>
                <w:szCs w:val="17"/>
                <w:color w:val="auto"/>
              </w:rPr>
              <w:t>Email: andrea.kempf-mueller@vlsworldwide.com</w:t>
            </w:r>
          </w:p>
        </w:tc>
      </w:tr>
      <w:tr>
        <w:trPr>
          <w:trHeight w:val="20"/>
        </w:trPr>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18"/>
        </w:trPr>
        <w:tc>
          <w:tcPr>
            <w:tcW w:w="4040" w:type="dxa"/>
            <w:vAlign w:val="bottom"/>
          </w:tcPr>
          <w:p>
            <w:pPr>
              <w:spacing w:after="0"/>
              <w:rPr>
                <w:sz w:val="24"/>
                <w:szCs w:val="24"/>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Medical Monitor, US (only for ISMB contact)</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400"/>
              <w:spacing w:after="0"/>
              <w:rPr>
                <w:sz w:val="20"/>
                <w:szCs w:val="20"/>
                <w:color w:val="auto"/>
              </w:rPr>
            </w:pPr>
            <w:r>
              <w:rPr>
                <w:rFonts w:ascii="Arial" w:cs="Arial" w:eastAsia="Arial" w:hAnsi="Arial"/>
                <w:sz w:val="17"/>
                <w:szCs w:val="17"/>
                <w:color w:val="auto"/>
              </w:rPr>
              <w:t>Sanjay Machado, MD</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Venn Life Sciences</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7355 Trans-Canada Suite 200</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St-Laurent, QC, Canada</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H4T-1T3</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Tel: (541) 315-2992 117</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Mobile: (514) 946-7678</w:t>
            </w:r>
          </w:p>
        </w:tc>
      </w:tr>
      <w:tr>
        <w:trPr>
          <w:trHeight w:val="206"/>
        </w:trPr>
        <w:tc>
          <w:tcPr>
            <w:tcW w:w="4040" w:type="dxa"/>
            <w:vAlign w:val="bottom"/>
          </w:tcPr>
          <w:p>
            <w:pPr>
              <w:spacing w:after="0"/>
              <w:rPr>
                <w:sz w:val="17"/>
                <w:szCs w:val="17"/>
                <w:color w:val="auto"/>
              </w:rPr>
            </w:pPr>
          </w:p>
        </w:tc>
        <w:tc>
          <w:tcPr>
            <w:tcW w:w="7380" w:type="dxa"/>
            <w:vAlign w:val="bottom"/>
            <w:gridSpan w:val="4"/>
          </w:tcPr>
          <w:p>
            <w:pPr>
              <w:ind w:left="1360"/>
              <w:spacing w:after="0"/>
              <w:rPr>
                <w:sz w:val="20"/>
                <w:szCs w:val="20"/>
                <w:color w:val="auto"/>
              </w:rPr>
            </w:pPr>
            <w:r>
              <w:rPr>
                <w:rFonts w:ascii="Arial" w:cs="Arial" w:eastAsia="Arial" w:hAnsi="Arial"/>
                <w:sz w:val="17"/>
                <w:szCs w:val="17"/>
                <w:color w:val="auto"/>
              </w:rPr>
              <w:t>Fax: (514) 315-0995</w:t>
            </w:r>
          </w:p>
        </w:tc>
      </w:tr>
      <w:tr>
        <w:trPr>
          <w:trHeight w:val="180"/>
        </w:trPr>
        <w:tc>
          <w:tcPr>
            <w:tcW w:w="4040" w:type="dxa"/>
            <w:vAlign w:val="bottom"/>
          </w:tcPr>
          <w:p>
            <w:pPr>
              <w:spacing w:after="0"/>
              <w:rPr>
                <w:sz w:val="15"/>
                <w:szCs w:val="15"/>
                <w:color w:val="auto"/>
              </w:rPr>
            </w:pPr>
          </w:p>
        </w:tc>
        <w:tc>
          <w:tcPr>
            <w:tcW w:w="7380" w:type="dxa"/>
            <w:vAlign w:val="bottom"/>
            <w:gridSpan w:val="4"/>
          </w:tcPr>
          <w:p>
            <w:pPr>
              <w:ind w:left="1360"/>
              <w:spacing w:after="0" w:line="180" w:lineRule="exact"/>
              <w:rPr>
                <w:sz w:val="20"/>
                <w:szCs w:val="20"/>
                <w:color w:val="auto"/>
              </w:rPr>
            </w:pPr>
            <w:r>
              <w:rPr>
                <w:rFonts w:ascii="Arial" w:cs="Arial" w:eastAsia="Arial" w:hAnsi="Arial"/>
                <w:sz w:val="17"/>
                <w:szCs w:val="17"/>
                <w:color w:val="auto"/>
              </w:rPr>
              <w:t>Email: sanjaym@vlscanada.com</w:t>
            </w:r>
          </w:p>
        </w:tc>
      </w:tr>
      <w:tr>
        <w:trPr>
          <w:trHeight w:val="645"/>
        </w:trPr>
        <w:tc>
          <w:tcPr>
            <w:tcW w:w="40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740" w:type="dxa"/>
            <w:vAlign w:val="bottom"/>
            <w:tcBorders>
              <w:top w:val="single" w:sz="8" w:color="auto"/>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48" w:name="page549"/>
    <w:bookmarkEnd w:id="548"/>
    <w:p>
      <w:pPr>
        <w:ind w:left="460" w:hanging="457"/>
        <w:spacing w:after="0"/>
        <w:tabs>
          <w:tab w:leader="none" w:pos="460" w:val="left"/>
        </w:tabs>
        <w:numPr>
          <w:ilvl w:val="0"/>
          <w:numId w:val="457"/>
        </w:numPr>
        <w:rPr>
          <w:rFonts w:ascii="Arial" w:cs="Arial" w:eastAsia="Arial" w:hAnsi="Arial"/>
          <w:sz w:val="17"/>
          <w:szCs w:val="17"/>
          <w:b w:val="1"/>
          <w:bCs w:val="1"/>
          <w:color w:val="auto"/>
        </w:rPr>
      </w:pPr>
      <w:r>
        <w:rPr>
          <w:rFonts w:ascii="Arial" w:cs="Arial" w:eastAsia="Arial" w:hAnsi="Arial"/>
          <w:sz w:val="17"/>
          <w:szCs w:val="17"/>
          <w:b w:val="1"/>
          <w:bCs w:val="1"/>
          <w:color w:val="auto"/>
        </w:rPr>
        <w:t>PROTOCOL BL-1040</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Phase I, multi-center, open label study designed to assess the safety and feasibility of the injectable BL-1040 implant to provide scaffolding to infarcted myocardial tissue.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Venn Life Sciences AG has been contracted by Bioline Innovations Jerusalem to provide services as the Contract Research Organization (CRO) for the trial.</w:t>
      </w:r>
    </w:p>
    <w:p>
      <w:pPr>
        <w:spacing w:after="0" w:line="247" w:lineRule="exact"/>
        <w:rPr>
          <w:sz w:val="20"/>
          <w:szCs w:val="20"/>
          <w:color w:val="auto"/>
        </w:rPr>
      </w:pPr>
    </w:p>
    <w:p>
      <w:pPr>
        <w:ind w:left="460" w:hanging="457"/>
        <w:spacing w:after="0"/>
        <w:tabs>
          <w:tab w:leader="none" w:pos="460" w:val="left"/>
        </w:tabs>
        <w:numPr>
          <w:ilvl w:val="0"/>
          <w:numId w:val="458"/>
        </w:numPr>
        <w:rPr>
          <w:rFonts w:ascii="Arial" w:cs="Arial" w:eastAsia="Arial" w:hAnsi="Arial"/>
          <w:sz w:val="17"/>
          <w:szCs w:val="17"/>
          <w:b w:val="1"/>
          <w:bCs w:val="1"/>
          <w:color w:val="auto"/>
        </w:rPr>
      </w:pPr>
      <w:r>
        <w:rPr>
          <w:rFonts w:ascii="Arial" w:cs="Arial" w:eastAsia="Arial" w:hAnsi="Arial"/>
          <w:sz w:val="17"/>
          <w:szCs w:val="17"/>
          <w:b w:val="1"/>
          <w:bCs w:val="1"/>
          <w:color w:val="auto"/>
        </w:rPr>
        <w:t>SCOPE OF THE ISMB CHARTER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International Independent Safety Monitoring Board (ISMB) was formed to monitor the safety of patients participating in this trial on an ongoing basis.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ISMB will evaluate quality, accuracy and timeliness of data flow and assure confidentiality of data.</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ISMB will develop stopping rules for the termination of the study prior to the initiation.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 will forward the charter to Regulatory Authorities, and/or Ethics Committees as necessary.</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objective of the ISMB Charter is to outline the specific purposes and functions of the ISMB. In addition, it describes the procedures for data abstraction and data delivery conventions to and from the ISMB members for review purposes.</w:t>
      </w:r>
    </w:p>
    <w:p>
      <w:pPr>
        <w:spacing w:after="0" w:line="184" w:lineRule="exact"/>
        <w:rPr>
          <w:sz w:val="20"/>
          <w:szCs w:val="20"/>
          <w:color w:val="auto"/>
        </w:rPr>
      </w:pPr>
    </w:p>
    <w:p>
      <w:pPr>
        <w:ind w:left="460" w:hanging="457"/>
        <w:spacing w:after="0"/>
        <w:tabs>
          <w:tab w:leader="none" w:pos="460" w:val="left"/>
        </w:tabs>
        <w:numPr>
          <w:ilvl w:val="0"/>
          <w:numId w:val="459"/>
        </w:numPr>
        <w:rPr>
          <w:rFonts w:ascii="Arial" w:cs="Arial" w:eastAsia="Arial" w:hAnsi="Arial"/>
          <w:sz w:val="17"/>
          <w:szCs w:val="17"/>
          <w:b w:val="1"/>
          <w:bCs w:val="1"/>
          <w:color w:val="auto"/>
        </w:rPr>
      </w:pPr>
      <w:r>
        <w:rPr>
          <w:rFonts w:ascii="Arial" w:cs="Arial" w:eastAsia="Arial" w:hAnsi="Arial"/>
          <w:sz w:val="17"/>
          <w:szCs w:val="17"/>
          <w:b w:val="1"/>
          <w:bCs w:val="1"/>
          <w:color w:val="auto"/>
        </w:rPr>
        <w:t>COMPOSITION OF THE ISMB</w:t>
      </w:r>
    </w:p>
    <w:p>
      <w:pPr>
        <w:spacing w:after="0" w:line="2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ISMB is composed of three members, three voting members including the Chairman. In addition a bio-statistician will consult the ISMB however will not attend as a voting member. The members are independent physicians in the field of cardiology and a bio-statistician experienced in evaluating safety data from cardiology clinical studies. Prof. Lincoff will serve as Chairman of the ISMB. All ISMB members have been approved by the sponsor, Bioline Innovations Jerusalem.</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By signing the ISMB Charter, voting ISMB members verify that they do not have a vested interest in the outcome of the study, nor do they have a financial conflict of interest. ISMB members are not employees of Bioline Innovations Jerusalem have outside employment and will not be involved in patient recruitment or as investigators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49" w:name="page550"/>
    <w:bookmarkEnd w:id="549"/>
    <w:p>
      <w:pPr>
        <w:jc w:val="both"/>
        <w:spacing w:after="0" w:line="265" w:lineRule="auto"/>
        <w:rPr>
          <w:sz w:val="20"/>
          <w:szCs w:val="20"/>
          <w:color w:val="auto"/>
        </w:rPr>
      </w:pPr>
      <w:r>
        <w:rPr>
          <w:rFonts w:ascii="Arial" w:cs="Arial" w:eastAsia="Arial" w:hAnsi="Arial"/>
          <w:sz w:val="17"/>
          <w:szCs w:val="17"/>
          <w:color w:val="auto"/>
        </w:rPr>
        <w:t>The ISMB members are expected to serve until the study is completed. Should a member resign, the reason and effective date of resignation must be submitted in writing to Bioline Innovations Jerusalem and the ISMB Chairman. A replacement member will be sought by Bioline Innovations Jerusalem in consultation with the ISMB Chairman.</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Except for the initial meeting of the ISMB where the background data on BL-1040 and the study design will be discussed by Bioline Innovations Jerusalem’s’ representatives, Bioline Innovations Jerusalem will not participate in the ISMB meetings unless requested by the ISMB.</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ISMB Administration</w:t>
      </w:r>
    </w:p>
    <w:p>
      <w:pPr>
        <w:spacing w:after="0" w:line="21"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From Venn Life Sciences AG, the ISMB Coordinator will arrange for the provision of the data and narratives required by the ISMB. Bioline Innovations Jerusalem will provide administrative, logistical and coordinating services to the ISMB.</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ISMB Contacts &amp; Consultants</w:t>
      </w:r>
    </w:p>
    <w:p>
      <w:pPr>
        <w:spacing w:after="0" w:line="21" w:lineRule="exact"/>
        <w:rPr>
          <w:sz w:val="20"/>
          <w:szCs w:val="20"/>
          <w:color w:val="auto"/>
        </w:rPr>
      </w:pPr>
    </w:p>
    <w:p>
      <w:pPr>
        <w:ind w:right="640"/>
        <w:spacing w:after="0" w:line="332" w:lineRule="auto"/>
        <w:rPr>
          <w:sz w:val="20"/>
          <w:szCs w:val="20"/>
          <w:color w:val="auto"/>
        </w:rPr>
      </w:pPr>
      <w:r>
        <w:rPr>
          <w:rFonts w:ascii="Arial" w:cs="Arial" w:eastAsia="Arial" w:hAnsi="Arial"/>
          <w:sz w:val="15"/>
          <w:szCs w:val="15"/>
          <w:color w:val="auto"/>
        </w:rPr>
        <w:t>The Chairman will be the representative of the ISMB who will be responsible for timely official communications between the ISMB and Bioline Innovations Jerusalem. The Chairman will provide leadership and oversee that the direction of ISMB meeting operations are in accordance with the ISMB charter.</w:t>
      </w:r>
    </w:p>
    <w:p>
      <w:pPr>
        <w:spacing w:after="0" w:line="15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From the sponsor, Bioline Innovations Jerusalem, an identified representative will serve as the primary contact person for the ISMB. The sponsor primary contact is named on the ISMB charter. This individual is not considered to be a member of the ISMB and will only attend open and final sessions of ISMB Data Review Meetings.</w:t>
      </w:r>
    </w:p>
    <w:p>
      <w:pPr>
        <w:spacing w:after="0" w:line="20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Venn Life Sciences AG, the ISMB Coordinator will serve as the primary contact person for any questions the ISMB members have regarding the contents of the ISMB Data Reports. This individual is not considered to be a member of the ISMB and will only attend open and final sessions of ISMB Data Review Meetings. Additional individuals may also be invited to attend the open and final sessions of the ISMB Data Review meetings, as deemed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257415" cy="209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0" w:name="page551"/>
    <w:bookmarkEnd w:id="550"/>
    <w:p>
      <w:pPr>
        <w:ind w:right="120"/>
        <w:spacing w:after="0" w:line="265" w:lineRule="auto"/>
        <w:rPr>
          <w:sz w:val="20"/>
          <w:szCs w:val="20"/>
          <w:color w:val="auto"/>
        </w:rPr>
      </w:pPr>
      <w:r>
        <w:rPr>
          <w:rFonts w:ascii="Arial" w:cs="Arial" w:eastAsia="Arial" w:hAnsi="Arial"/>
          <w:sz w:val="17"/>
          <w:szCs w:val="17"/>
          <w:color w:val="auto"/>
        </w:rPr>
        <w:t xml:space="preserve">The ISMB Chairman will ensure that ISMB contacts are </w:t>
      </w:r>
      <w:r>
        <w:rPr>
          <w:rFonts w:ascii="Arial" w:cs="Arial" w:eastAsia="Arial" w:hAnsi="Arial"/>
          <w:sz w:val="17"/>
          <w:szCs w:val="17"/>
          <w:b w:val="1"/>
          <w:bCs w:val="1"/>
          <w:i w:val="1"/>
          <w:iCs w:val="1"/>
          <w:color w:val="auto"/>
        </w:rPr>
        <w:t>not</w:t>
      </w:r>
      <w:r>
        <w:rPr>
          <w:rFonts w:ascii="Arial" w:cs="Arial" w:eastAsia="Arial" w:hAnsi="Arial"/>
          <w:sz w:val="17"/>
          <w:szCs w:val="17"/>
          <w:color w:val="auto"/>
        </w:rPr>
        <w:t xml:space="preserve"> exposed to the ISMB review of the data until the ISMB has arrived at a conclusion. ISMB contacts may </w:t>
      </w:r>
      <w:r>
        <w:rPr>
          <w:rFonts w:ascii="Arial" w:cs="Arial" w:eastAsia="Arial" w:hAnsi="Arial"/>
          <w:sz w:val="17"/>
          <w:szCs w:val="17"/>
          <w:b w:val="1"/>
          <w:bCs w:val="1"/>
          <w:i w:val="1"/>
          <w:iCs w:val="1"/>
          <w:color w:val="auto"/>
        </w:rPr>
        <w:t xml:space="preserve">not </w:t>
      </w:r>
      <w:r>
        <w:rPr>
          <w:rFonts w:ascii="Arial" w:cs="Arial" w:eastAsia="Arial" w:hAnsi="Arial"/>
          <w:sz w:val="17"/>
          <w:szCs w:val="17"/>
          <w:color w:val="auto"/>
        </w:rPr>
        <w:t>be present during closed sessions, when the ISMB Data Report is reviewed, ISMB deliberations are made, ISMB recommendations are discussed and/or ISMB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voting procedures are conducted.</w:t>
      </w:r>
    </w:p>
    <w:p>
      <w:pPr>
        <w:spacing w:after="0" w:line="195" w:lineRule="exact"/>
        <w:rPr>
          <w:sz w:val="20"/>
          <w:szCs w:val="20"/>
          <w:color w:val="auto"/>
        </w:rPr>
      </w:pPr>
    </w:p>
    <w:p>
      <w:pPr>
        <w:ind w:left="460" w:hanging="457"/>
        <w:spacing w:after="0"/>
        <w:tabs>
          <w:tab w:leader="none" w:pos="460" w:val="left"/>
        </w:tabs>
        <w:numPr>
          <w:ilvl w:val="0"/>
          <w:numId w:val="460"/>
        </w:numPr>
        <w:rPr>
          <w:rFonts w:ascii="Arial" w:cs="Arial" w:eastAsia="Arial" w:hAnsi="Arial"/>
          <w:sz w:val="17"/>
          <w:szCs w:val="17"/>
          <w:b w:val="1"/>
          <w:bCs w:val="1"/>
          <w:color w:val="auto"/>
        </w:rPr>
      </w:pPr>
      <w:r>
        <w:rPr>
          <w:rFonts w:ascii="Arial" w:cs="Arial" w:eastAsia="Arial" w:hAnsi="Arial"/>
          <w:sz w:val="17"/>
          <w:szCs w:val="17"/>
          <w:b w:val="1"/>
          <w:bCs w:val="1"/>
          <w:color w:val="auto"/>
        </w:rPr>
        <w:t>ISMB ROLE &amp; RESPONSIBILITIES</w:t>
      </w:r>
    </w:p>
    <w:p>
      <w:pPr>
        <w:spacing w:after="0" w:line="2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ISMB is an independent expert advisory group commissioned and charged with the responsibility of evaluating accumulating data at regular intervals and ensuring the safety of the subjects enrolled in the study by monitoring cumulative safety data collected in the clinical program and providing recommendations to Bioline Innovations Jerusalem based on review of this data. The ISMB will contribute to efficient conduct of the trial by providing a fast review of emerging findings from the study. This ISMB will consist of physicians with expertise in cardiovascular disease, particularly in the area of coronary artery disease and with experience monitoring safety of drugs and/or devices for cardiovascular applications, and will have no participation in the trial in any other capacity.</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reviews in subsets of patients will have the objective of searching for signals of clinically important adverse safety findings that may be indicative of risk to currently enrolled patients as well as increased risk for future patients. In these reviews, the ISMB will assume a conservative approach in assessing safety.</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Chairman will be directly responsible for reporting the outcome of all ISMB meetings and be the primary contact for any emergency meetings, as appropriately convened. He will be a voting member of the ISMB. The Chairman will also be responsible for the preparation of the report and/or recommendations to Bioline Innovations Jerusalem.</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three voting members of the ISMB (along with the Chairman) will be responsible for evaluating the safety data and making recommendations on the continuation of the study as set out in the protocol. They may also make other pertinent safety recommendations for the conduct of the study. They will be guided by the ISMB Biostatistician’s evaluation of the data,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1" w:name="page552"/>
    <w:bookmarkEnd w:id="551"/>
    <w:p>
      <w:pPr>
        <w:jc w:val="both"/>
        <w:spacing w:after="0" w:line="301" w:lineRule="auto"/>
        <w:rPr>
          <w:sz w:val="20"/>
          <w:szCs w:val="20"/>
          <w:color w:val="auto"/>
        </w:rPr>
      </w:pPr>
      <w:r>
        <w:rPr>
          <w:rFonts w:ascii="Arial" w:cs="Arial" w:eastAsia="Arial" w:hAnsi="Arial"/>
          <w:sz w:val="15"/>
          <w:szCs w:val="15"/>
          <w:color w:val="auto"/>
        </w:rPr>
        <w:t>The bio-statistician will be involved in conducting any analysis that the ISMB recommends. The Bio-statistician will be responsible for designing and maintaining the safety database that the ISMB will use for its analysis. This database may differ from the database by Venn Life Sciences AG and, as such, is meant only for the use of the ISMB. The database will be created in such a way that it is reproducible and can be audited, if necessary. If the ISMB is considering a recommendation of premature termination of the study, the bio-statistician can contact Venn Life Sciences AG for additional data and/or for the performance of confirmatory analysis. The Bio-statistician can also arrange for the necessary ISMB communications to be documented and stored and only to be released after study completion.</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ISMB will ensure that this study meets the highest standards of patient safety. In their analysis of the data from the patients, the ISMB will be focused on determining if there is a signal of clinically significant pattern of change in safety parameters that may lead to termination of study. This may require the ISMB to perform/request additional data/analyses prior to making a decision.</w:t>
      </w:r>
    </w:p>
    <w:p>
      <w:pPr>
        <w:spacing w:after="0" w:line="20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The operating procedures of the ISMB are based on and are in compliance with guidance and definitions of the International Conference on Harmonization and the Food and Drug Administration. The ISMB will conduct all of its operations under the ICH Good Clinical Practices (GCP).</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Specifically, the ISMB is authorized and charged to perform the following functions:</w:t>
      </w:r>
    </w:p>
    <w:p>
      <w:pPr>
        <w:spacing w:after="0" w:line="242" w:lineRule="exact"/>
        <w:rPr>
          <w:sz w:val="20"/>
          <w:szCs w:val="20"/>
          <w:color w:val="auto"/>
        </w:rPr>
      </w:pPr>
    </w:p>
    <w:p>
      <w:pPr>
        <w:ind w:left="600" w:hanging="301"/>
        <w:spacing w:after="0" w:line="259" w:lineRule="auto"/>
        <w:tabs>
          <w:tab w:leader="none" w:pos="60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review 30 day safety data patients from the first 2 sequentially enrolled patients to determine whether 3 additional patients may be enrolled; after reviewing the 30 day safety data from these 3 additional patients, will determine whether the rest of patients may be enrolled</w:t>
      </w:r>
    </w:p>
    <w:p>
      <w:pPr>
        <w:jc w:val="both"/>
        <w:ind w:left="600" w:hanging="301"/>
        <w:spacing w:after="0" w:line="268" w:lineRule="auto"/>
        <w:tabs>
          <w:tab w:leader="none" w:pos="60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within 30 days of enrolment of each successive group of 5 patients receiving the device, will review all Serious and Severe Adverse Events occurring to date and will recommend continuation, discontinuation, or modification of the procedure or protocol, based on a determination of whether the occurrence of serious, unexpected, or device-related adverse events (Sec. 7 in protocol) might outweigh the potential benefit achievable with the device</w:t>
      </w:r>
    </w:p>
    <w:p>
      <w:pPr>
        <w:spacing w:after="0" w:line="1" w:lineRule="exact"/>
        <w:rPr>
          <w:rFonts w:ascii="Arial" w:cs="Arial" w:eastAsia="Arial" w:hAnsi="Arial"/>
          <w:sz w:val="16"/>
          <w:szCs w:val="16"/>
          <w:color w:val="auto"/>
        </w:rPr>
      </w:pPr>
    </w:p>
    <w:p>
      <w:pPr>
        <w:ind w:left="600" w:hanging="301"/>
        <w:spacing w:after="0"/>
        <w:tabs>
          <w:tab w:leader="none" w:pos="60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review emerging findings in patients and identify potential safety concerns with BL-1040</w:t>
      </w:r>
    </w:p>
    <w:p>
      <w:pPr>
        <w:spacing w:after="0" w:line="10" w:lineRule="exact"/>
        <w:rPr>
          <w:rFonts w:ascii="Arial" w:cs="Arial" w:eastAsia="Arial" w:hAnsi="Arial"/>
          <w:sz w:val="17"/>
          <w:szCs w:val="17"/>
          <w:color w:val="auto"/>
        </w:rPr>
      </w:pPr>
    </w:p>
    <w:p>
      <w:pPr>
        <w:jc w:val="both"/>
        <w:ind w:left="600" w:hanging="301"/>
        <w:spacing w:after="0" w:line="255" w:lineRule="auto"/>
        <w:tabs>
          <w:tab w:leader="none" w:pos="60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will receive information, on an expedited basis, on all Serious and Severe Adverse Events, clinically significant laboratory values (as defined in the study safety plan), ECG abnormalities and vital signs that are associated with Serious and Severe Adverse Events, and data from patients who decided to withdraw from the study due to Serious and Severe Adverse Events. All Serious and Severe Adverse Events that occur in the catheter lab during the administration of BL-1040 or the hospitalization period after the procedure should be reviewed promptly by the ISMB. The ISMB will review this information and may decide to interrupt, alter, or terminate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57415" cy="209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2" w:name="page553"/>
    <w:bookmarkEnd w:id="552"/>
    <w:p>
      <w:pPr>
        <w:ind w:left="600" w:hanging="301"/>
        <w:spacing w:after="0" w:line="278" w:lineRule="auto"/>
        <w:tabs>
          <w:tab w:leader="none" w:pos="60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will adjudicate whether or not an event is unexpected, based on a pre-specified list of expected Serious and Severe Adverse Events as well as clinical judgment within the study population.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All ISMB members will review the safety data provided by the CRO. The members will reach their own individual decision on the relatedness and the potential hazard posed by the event. The ISMB will then collectively discuss the cases. In the event the majority opinion of the Board is that the events do not pose any significant risk then the ISMB will recommend continuing the trial as designed. However, if the Board decides that undue risk could accrue from continuation of the study as designed, the ISMB has the freedom to recommend appropriate changes to the study selection criteria, safety evaluations, etc. In addition, the CRO will provide datasets and listings capturing disposition, AEs, clinically significant Echocardiography, MRI, angiography, Holter, ECG vital signs/laboratory changes, once all patients complete study.</w:t>
      </w:r>
    </w:p>
    <w:p>
      <w:pPr>
        <w:spacing w:after="0" w:line="200" w:lineRule="exact"/>
        <w:rPr>
          <w:sz w:val="20"/>
          <w:szCs w:val="20"/>
          <w:color w:val="auto"/>
        </w:rPr>
      </w:pPr>
    </w:p>
    <w:p>
      <w:pPr>
        <w:spacing w:after="0" w:line="236" w:lineRule="exact"/>
        <w:rPr>
          <w:sz w:val="20"/>
          <w:szCs w:val="20"/>
          <w:color w:val="auto"/>
        </w:rPr>
      </w:pPr>
    </w:p>
    <w:p>
      <w:pPr>
        <w:ind w:left="460" w:hanging="457"/>
        <w:spacing w:after="0"/>
        <w:tabs>
          <w:tab w:leader="none" w:pos="460" w:val="left"/>
        </w:tabs>
        <w:numPr>
          <w:ilvl w:val="0"/>
          <w:numId w:val="463"/>
        </w:numPr>
        <w:rPr>
          <w:rFonts w:ascii="Arial" w:cs="Arial" w:eastAsia="Arial" w:hAnsi="Arial"/>
          <w:sz w:val="17"/>
          <w:szCs w:val="17"/>
          <w:b w:val="1"/>
          <w:bCs w:val="1"/>
          <w:color w:val="auto"/>
        </w:rPr>
      </w:pPr>
      <w:r>
        <w:rPr>
          <w:rFonts w:ascii="Arial" w:cs="Arial" w:eastAsia="Arial" w:hAnsi="Arial"/>
          <w:sz w:val="17"/>
          <w:szCs w:val="17"/>
          <w:b w:val="1"/>
          <w:bCs w:val="1"/>
          <w:color w:val="auto"/>
        </w:rPr>
        <w:t>VENN LIFE SCIENCES AG ROLE &amp; RESPONSIBILITIES</w:t>
      </w:r>
    </w:p>
    <w:p>
      <w:pPr>
        <w:spacing w:after="0" w:line="2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Venn Life Sciences AG will provide coordinating services for the study. The ISMB Coordinator will provide information, on an expedited basis, on all Serious and Severe Adverse Events, clinically significant laboratory values (as defined in the study safety plan, ECG abnormalities and vital signs that are associated with Serious and Severe Adverse Events as required, to the ISMB members. Venn Life Sciences AG will be charged with the following responsibilities:</w:t>
      </w:r>
    </w:p>
    <w:p>
      <w:pPr>
        <w:spacing w:after="0" w:line="189" w:lineRule="exact"/>
        <w:rPr>
          <w:sz w:val="20"/>
          <w:szCs w:val="20"/>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identify a specific individual to interface with the ISMB.</w:t>
      </w:r>
    </w:p>
    <w:p>
      <w:pPr>
        <w:spacing w:after="0" w:line="21" w:lineRule="exact"/>
        <w:rPr>
          <w:rFonts w:ascii="Arial" w:cs="Arial" w:eastAsia="Arial" w:hAnsi="Arial"/>
          <w:sz w:val="17"/>
          <w:szCs w:val="17"/>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provide all required information in advance of the meeting in a mutually agreeable format approved at the initial meeting of the ISMB.</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provide a standard safety narrative for all patients who withdraw from the study due to Serious or Severe Adverse Events.</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provide specific meeting issues in advance of the meeting.</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keep the ISMB Chairman informed of any serious safety issues as the study progresses</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inform each principal investigator of the ISMB recommendations, as required.</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notify Bioline Innovations Jerusalem of any issues related to the ISMB which might negatively influence the study.</w:t>
      </w:r>
    </w:p>
    <w:p>
      <w:pPr>
        <w:spacing w:after="0" w:line="225" w:lineRule="exact"/>
        <w:rPr>
          <w:sz w:val="20"/>
          <w:szCs w:val="20"/>
          <w:color w:val="auto"/>
        </w:rPr>
      </w:pPr>
    </w:p>
    <w:p>
      <w:pPr>
        <w:ind w:right="6080" w:firstLine="3"/>
        <w:spacing w:after="0" w:line="286" w:lineRule="auto"/>
        <w:tabs>
          <w:tab w:leader="none" w:pos="463" w:val="left"/>
        </w:tabs>
        <w:numPr>
          <w:ilvl w:val="0"/>
          <w:numId w:val="4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BIOLINE INNOVATIONS JERUSALEM’S RESPONSIBILITIES </w:t>
      </w:r>
      <w:r>
        <w:rPr>
          <w:rFonts w:ascii="Arial" w:cs="Arial" w:eastAsia="Arial" w:hAnsi="Arial"/>
          <w:sz w:val="17"/>
          <w:szCs w:val="17"/>
          <w:color w:val="auto"/>
        </w:rPr>
        <w:t>Bioline Innovations Jerusalem will be responsible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257415" cy="209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3" w:name="page554"/>
    <w:bookmarkEnd w:id="553"/>
    <w:p>
      <w:pPr>
        <w:ind w:left="320" w:hanging="317"/>
        <w:spacing w:after="0"/>
        <w:tabs>
          <w:tab w:leader="none" w:pos="3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To make any necessary changes to the protocol recommended by the ISMB and approved by Bioline Innovations Jerusalem.</w:t>
      </w:r>
    </w:p>
    <w:p>
      <w:pPr>
        <w:spacing w:after="0" w:line="21" w:lineRule="exact"/>
        <w:rPr>
          <w:rFonts w:ascii="Arial" w:cs="Arial" w:eastAsia="Arial" w:hAnsi="Arial"/>
          <w:sz w:val="17"/>
          <w:szCs w:val="17"/>
          <w:color w:val="auto"/>
        </w:rPr>
      </w:pPr>
    </w:p>
    <w:p>
      <w:pPr>
        <w:ind w:left="320" w:hanging="317"/>
        <w:spacing w:after="0"/>
        <w:tabs>
          <w:tab w:leader="none" w:pos="3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To ensure that the ISMB is operating as needed for the purpose of the study.</w:t>
      </w:r>
    </w:p>
    <w:p>
      <w:pPr>
        <w:spacing w:after="0" w:line="225" w:lineRule="exact"/>
        <w:rPr>
          <w:sz w:val="20"/>
          <w:szCs w:val="20"/>
          <w:color w:val="auto"/>
        </w:rPr>
      </w:pPr>
    </w:p>
    <w:p>
      <w:pPr>
        <w:ind w:left="460" w:hanging="457"/>
        <w:spacing w:after="0"/>
        <w:tabs>
          <w:tab w:leader="none" w:pos="460" w:val="left"/>
        </w:tabs>
        <w:numPr>
          <w:ilvl w:val="0"/>
          <w:numId w:val="467"/>
        </w:numPr>
        <w:rPr>
          <w:rFonts w:ascii="Arial" w:cs="Arial" w:eastAsia="Arial" w:hAnsi="Arial"/>
          <w:sz w:val="17"/>
          <w:szCs w:val="17"/>
          <w:b w:val="1"/>
          <w:bCs w:val="1"/>
          <w:color w:val="auto"/>
        </w:rPr>
      </w:pPr>
      <w:r>
        <w:rPr>
          <w:rFonts w:ascii="Arial" w:cs="Arial" w:eastAsia="Arial" w:hAnsi="Arial"/>
          <w:sz w:val="17"/>
          <w:szCs w:val="17"/>
          <w:b w:val="1"/>
          <w:bCs w:val="1"/>
          <w:color w:val="auto"/>
        </w:rPr>
        <w:t>ONGOING COMMUNICATIONS &amp; NOTIFICATIONS</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ISMB Chairman will receive relevant information regarding serious adverse events and Early Terminations on an ongoing basis. The ISMB Chairman will determine whether further distribution of this material to the remaining voting ISMB members is necessary.</w:t>
      </w:r>
    </w:p>
    <w:p>
      <w:pPr>
        <w:spacing w:after="0" w:line="195" w:lineRule="exact"/>
        <w:rPr>
          <w:sz w:val="20"/>
          <w:szCs w:val="20"/>
          <w:color w:val="auto"/>
        </w:rPr>
      </w:pPr>
    </w:p>
    <w:p>
      <w:pPr>
        <w:ind w:left="460" w:hanging="457"/>
        <w:spacing w:after="0"/>
        <w:tabs>
          <w:tab w:leader="none" w:pos="460" w:val="left"/>
        </w:tabs>
        <w:numPr>
          <w:ilvl w:val="0"/>
          <w:numId w:val="468"/>
        </w:numPr>
        <w:rPr>
          <w:rFonts w:ascii="Arial" w:cs="Arial" w:eastAsia="Arial" w:hAnsi="Arial"/>
          <w:sz w:val="17"/>
          <w:szCs w:val="17"/>
          <w:b w:val="1"/>
          <w:bCs w:val="1"/>
          <w:color w:val="auto"/>
        </w:rPr>
      </w:pPr>
      <w:r>
        <w:rPr>
          <w:rFonts w:ascii="Arial" w:cs="Arial" w:eastAsia="Arial" w:hAnsi="Arial"/>
          <w:sz w:val="17"/>
          <w:szCs w:val="17"/>
          <w:b w:val="1"/>
          <w:bCs w:val="1"/>
          <w:color w:val="auto"/>
        </w:rPr>
        <w:t>DATA REVIEW MEETINGS</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ISMB Data Review meetings will be held in person or through teleconferences based on the volume of data to be reviewed. The ISMB Coordinator will establish the agenda for each ISMB Data Review meeting, with input from Bioline Innovations Jerusalem and the ISMB Chairman.</w:t>
      </w: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It is expected that there will be one initiation and at least three scheduled ISMB Data Review meetings. The initiation meeting will be held via face-to-face format, while the Data Review Meetings may be held via teleconference.</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The first 2 patients will be sequentially enrolled into the study. After the 1st patient has completed Day 30 assessments, the Independent Safety Monitoring Board (ISMB, Sec. 4.3) will review the patient’s data through Day 30 (first ISMB meeting). The ISMB will then decide whether to give approval to enroll the 2nd patient. After the 2nd patient has completed Day 30 assessments, the ISMB will again review the data and provide approval for enrollment of the next 3 patients (2nd ISMB meeting). After all 3 patients have completed Day 30 assessments, the ISMB will review the data from these patients and provide approval for opening enrollment to the rest of the patients (3rd meeting)</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ISMB may also elect to hold ad hoc meetings outside of the scheduled dates, if deemed necessary. For instance, as the ISMB Chairman will receive information regarding reported serious adverse events on a regular basis, ad-hoc ISMB meetings may also be held on a triggered basis (e.g. in response to a high number of safety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4" w:name="page555"/>
    <w:bookmarkEnd w:id="554"/>
    <w:p>
      <w:pPr>
        <w:spacing w:after="0"/>
        <w:rPr>
          <w:sz w:val="20"/>
          <w:szCs w:val="20"/>
          <w:color w:val="auto"/>
        </w:rPr>
      </w:pPr>
      <w:r>
        <w:rPr>
          <w:rFonts w:ascii="Arial" w:cs="Arial" w:eastAsia="Arial" w:hAnsi="Arial"/>
          <w:sz w:val="17"/>
          <w:szCs w:val="17"/>
          <w:b w:val="1"/>
          <w:bCs w:val="1"/>
          <w:i w:val="1"/>
          <w:iCs w:val="1"/>
          <w:color w:val="auto"/>
        </w:rPr>
        <w:t>Voting</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Input must be obtained from all three ISMB members, for voting purposes. The ISMB will strive for a consensus opinion regarding the data reviewed. If ISMB consensus is not possible, a majority vote will be required, to determine the final ISMB recommendation. If the ISMB vote does not result in a clear majority, the ISMB Chairman will assemble and present majority and dissenting opinions for all recommendations considered. Meeting Minutes</w:t>
      </w:r>
    </w:p>
    <w:p>
      <w:pPr>
        <w:spacing w:after="0" w:line="200" w:lineRule="exact"/>
        <w:rPr>
          <w:sz w:val="20"/>
          <w:szCs w:val="20"/>
          <w:color w:val="auto"/>
        </w:rPr>
      </w:pP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ISMB Data Review meeting minutes will be divided by session and will reflect the attendance of voting ISMB members, the ISMB Coordinator, ISMB contacts and consultants and other individuals, as well as whether each individual attended in person or via teleconference.</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Since all details of ISMB deliberations must be kept strictly confidential among members of the ISMB, portions of the ISMB Data Review meeting minutes must remain confidential until the completion of the final study analysis.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ISMB Chairman will file all minutes from all sessions, centrally. Once the final study analysis is complete, the ISMB Chairman will forward the central file of all ISMB minutes for all sessions to Bioline Innovations Jerusalem for appropriate filing.</w:t>
      </w:r>
    </w:p>
    <w:p>
      <w:pPr>
        <w:spacing w:after="0" w:line="190" w:lineRule="exact"/>
        <w:rPr>
          <w:sz w:val="20"/>
          <w:szCs w:val="20"/>
          <w:color w:val="auto"/>
        </w:rPr>
      </w:pPr>
    </w:p>
    <w:p>
      <w:pPr>
        <w:ind w:left="460" w:hanging="457"/>
        <w:spacing w:after="0"/>
        <w:tabs>
          <w:tab w:leader="none" w:pos="460" w:val="left"/>
        </w:tabs>
        <w:numPr>
          <w:ilvl w:val="0"/>
          <w:numId w:val="4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RECORDS RETENTION</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ISMB Chairman should maintain a record of all ISMB minutes until the investigation of the study device is discontinued. After this period, the ISMB Chairman will forward to the sponsor all records to the sponsor to determine if further retention and/or archiving is necessary.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Data Source and Content</w:t>
      </w:r>
    </w:p>
    <w:p>
      <w:pPr>
        <w:spacing w:after="0" w:line="236" w:lineRule="exact"/>
        <w:rPr>
          <w:sz w:val="20"/>
          <w:szCs w:val="20"/>
          <w:color w:val="auto"/>
        </w:rPr>
      </w:pPr>
    </w:p>
    <w:p>
      <w:pPr>
        <w:ind w:left="460" w:hanging="457"/>
        <w:spacing w:after="0"/>
        <w:tabs>
          <w:tab w:leader="none" w:pos="460" w:val="left"/>
        </w:tabs>
        <w:numPr>
          <w:ilvl w:val="0"/>
          <w:numId w:val="470"/>
        </w:numPr>
        <w:rPr>
          <w:rFonts w:ascii="Arial" w:cs="Arial" w:eastAsia="Arial" w:hAnsi="Arial"/>
          <w:sz w:val="17"/>
          <w:szCs w:val="17"/>
          <w:b w:val="1"/>
          <w:bCs w:val="1"/>
          <w:color w:val="auto"/>
        </w:rPr>
      </w:pPr>
      <w:r>
        <w:rPr>
          <w:rFonts w:ascii="Arial" w:cs="Arial" w:eastAsia="Arial" w:hAnsi="Arial"/>
          <w:sz w:val="17"/>
          <w:szCs w:val="17"/>
          <w:b w:val="1"/>
          <w:bCs w:val="1"/>
          <w:color w:val="auto"/>
        </w:rPr>
        <w:t>ISMB COMMUNICATION OF FINAL CONCLUSIONS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ISMB Chairman will contact Bioline Innovations Jerusalem within two working days after an ISMB meeting (via facsimile or telephone) to notify them of recommendations forthcoming from that meeting. Bioline Innovations Jerusalem will act upon these recommendations as appropriate, i.e., the final decision will rest with Bioline Innovations Jerusalem. Bioline Innovations Jerusalem’s VP of Medical Affairs or designee will notify the project team and the CRO of the ISMB recommendations.</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Bioline Innovations Jerusalem’s VP of Medical Affairs will also write a memo to the files documenting the recommendations of the ISMB and convey to all investigators the decision to continue/discontinue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5" w:name="page556"/>
    <w:bookmarkEnd w:id="555"/>
    <w:p>
      <w:pPr>
        <w:ind w:left="460" w:hanging="457"/>
        <w:spacing w:after="0"/>
        <w:tabs>
          <w:tab w:leader="none" w:pos="460" w:val="left"/>
        </w:tabs>
        <w:numPr>
          <w:ilvl w:val="0"/>
          <w:numId w:val="471"/>
        </w:numPr>
        <w:rPr>
          <w:rFonts w:ascii="Arial" w:cs="Arial" w:eastAsia="Arial" w:hAnsi="Arial"/>
          <w:sz w:val="17"/>
          <w:szCs w:val="17"/>
          <w:b w:val="1"/>
          <w:bCs w:val="1"/>
          <w:color w:val="auto"/>
        </w:rPr>
      </w:pPr>
      <w:r>
        <w:rPr>
          <w:rFonts w:ascii="Arial" w:cs="Arial" w:eastAsia="Arial" w:hAnsi="Arial"/>
          <w:sz w:val="17"/>
          <w:szCs w:val="17"/>
          <w:b w:val="1"/>
          <w:bCs w:val="1"/>
          <w:color w:val="auto"/>
        </w:rPr>
        <w:t>IMPLEMENTATION OF THE ISMB RECOMMENDATIONS</w:t>
      </w:r>
    </w:p>
    <w:p>
      <w:pPr>
        <w:spacing w:after="0" w:line="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decision to implement the recommendations of the ISMB will be made by Bioline Innovations Jerusalem. Bioline Innovations Jerusalem will notify the ISMB of the actual action taken, in response to all recommendations.</w:t>
      </w: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If the ISMB recommends early study termination or protocol modification and such action is not accepted or implemented, Bioline Innovations Jerusalem will address this decision with the ISMB in writing.</w:t>
      </w:r>
    </w:p>
    <w:p>
      <w:pPr>
        <w:spacing w:after="0" w:line="184" w:lineRule="exact"/>
        <w:rPr>
          <w:sz w:val="20"/>
          <w:szCs w:val="20"/>
          <w:color w:val="auto"/>
        </w:rPr>
      </w:pPr>
    </w:p>
    <w:p>
      <w:pPr>
        <w:ind w:left="460" w:hanging="457"/>
        <w:spacing w:after="0"/>
        <w:tabs>
          <w:tab w:leader="none" w:pos="460" w:val="left"/>
        </w:tabs>
        <w:numPr>
          <w:ilvl w:val="0"/>
          <w:numId w:val="472"/>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p>
    <w:p>
      <w:pPr>
        <w:spacing w:after="0" w:line="27"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The ISMB will maintain a strictly confidential relationship to the study data. The ISMB will only reveal specific details and information associated with ISMB data review to appropriate parties, as specified by this ISMB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57415" cy="209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56" w:name="page557"/>
    <w:bookmarkEnd w:id="556"/>
    <w:p>
      <w:pPr>
        <w:jc w:val="center"/>
        <w:ind w:right="-1200"/>
        <w:spacing w:after="0"/>
        <w:rPr>
          <w:sz w:val="20"/>
          <w:szCs w:val="20"/>
          <w:color w:val="auto"/>
        </w:rPr>
      </w:pPr>
      <w:r>
        <w:rPr>
          <w:rFonts w:ascii="Arial" w:cs="Arial" w:eastAsia="Arial" w:hAnsi="Arial"/>
          <w:sz w:val="17"/>
          <w:szCs w:val="17"/>
          <w:u w:val="single" w:color="auto"/>
          <w:color w:val="auto"/>
        </w:rPr>
        <w:t>SCHEDULE 2.3</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EXISTING PRODUCT AGREEMENTS</w:t>
      </w:r>
    </w:p>
    <w:p>
      <w:pPr>
        <w:spacing w:after="0" w:line="236" w:lineRule="exact"/>
        <w:rPr>
          <w:sz w:val="20"/>
          <w:szCs w:val="20"/>
          <w:color w:val="auto"/>
        </w:rPr>
      </w:pPr>
    </w:p>
    <w:p>
      <w:pPr>
        <w:ind w:left="5260"/>
        <w:spacing w:after="0"/>
        <w:rPr>
          <w:sz w:val="20"/>
          <w:szCs w:val="20"/>
          <w:color w:val="auto"/>
        </w:rPr>
      </w:pPr>
      <w:r>
        <w:rPr>
          <w:rFonts w:ascii="Arial" w:cs="Arial" w:eastAsia="Arial" w:hAnsi="Arial"/>
          <w:sz w:val="41"/>
          <w:szCs w:val="41"/>
          <w:u w:val="single" w:color="auto"/>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7257415" cy="209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557" w:name="page558"/>
    <w:bookmarkEnd w:id="557"/>
    <w:p>
      <w:pPr>
        <w:jc w:val="center"/>
        <w:spacing w:after="0"/>
        <w:rPr>
          <w:sz w:val="20"/>
          <w:szCs w:val="20"/>
          <w:color w:val="auto"/>
        </w:rPr>
      </w:pPr>
      <w:r>
        <w:rPr>
          <w:rFonts w:ascii="Arial" w:cs="Arial" w:eastAsia="Arial" w:hAnsi="Arial"/>
          <w:sz w:val="17"/>
          <w:szCs w:val="17"/>
          <w:u w:val="single" w:color="auto"/>
          <w:color w:val="auto"/>
        </w:rPr>
        <w:t>SCHEDULE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INITIAL DEVELOPMENT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Project Boston Clinical Development Plan</w:t>
      </w:r>
    </w:p>
    <w:p>
      <w:pPr>
        <w:spacing w:after="0" w:line="242"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Objective</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This product is a unique concept, and will require a unique and sophisticated development plan to satisfy all stakeholders.</w:t>
      </w:r>
    </w:p>
    <w:p>
      <w:pPr>
        <w:spacing w:after="0" w:line="242" w:lineRule="exact"/>
        <w:rPr>
          <w:sz w:val="20"/>
          <w:szCs w:val="20"/>
          <w:color w:val="auto"/>
        </w:rPr>
      </w:pPr>
    </w:p>
    <w:p>
      <w:pPr>
        <w:ind w:right="120" w:firstLine="772"/>
        <w:spacing w:after="0" w:line="278" w:lineRule="auto"/>
        <w:rPr>
          <w:sz w:val="20"/>
          <w:szCs w:val="20"/>
          <w:color w:val="auto"/>
        </w:rPr>
      </w:pPr>
      <w:r>
        <w:rPr>
          <w:rFonts w:ascii="Arial" w:cs="Arial" w:eastAsia="Arial" w:hAnsi="Arial"/>
          <w:sz w:val="17"/>
          <w:szCs w:val="17"/>
          <w:color w:val="auto"/>
        </w:rPr>
        <w:t>This product has been given a regulatory designation as a device (rather than drug). The objective of this development plan is to leverage that designation for a rapid and efficient regulatory approval, while providing adequate evidence for safety within the intended patient population.</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Strategy</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strategy is to complete a minimal additional amount of preclinical safety in parallel with the clinical development program. [***]</w:t>
      </w:r>
    </w:p>
    <w:p>
      <w:pPr>
        <w:spacing w:after="0" w:line="242" w:lineRule="exact"/>
        <w:rPr>
          <w:sz w:val="20"/>
          <w:szCs w:val="20"/>
          <w:color w:val="auto"/>
        </w:rPr>
      </w:pPr>
    </w:p>
    <w:p>
      <w:pPr>
        <w:ind w:firstLine="772"/>
        <w:spacing w:after="0" w:line="257" w:lineRule="auto"/>
        <w:rPr>
          <w:sz w:val="20"/>
          <w:szCs w:val="20"/>
          <w:color w:val="auto"/>
        </w:rPr>
      </w:pPr>
      <w:r>
        <w:rPr>
          <w:rFonts w:ascii="Arial" w:cs="Arial" w:eastAsia="Arial" w:hAnsi="Arial"/>
          <w:sz w:val="17"/>
          <w:szCs w:val="17"/>
          <w:color w:val="auto"/>
        </w:rPr>
        <w:t>The filing will be based on a [***] note that the current phase 2 study has no control group, and can give only general information about safety and tolerability, and no real information on efficacy in humans. For this reason the [***] will be designed with a ‘vanguard’ cohort of approximately [***] patients. Once the vanguard has completed 6 months of follow up, and interim analysis will be performed, assessing the study for 1) safety, 2) efficacy or futility and 3) performance of the endpoint. Specific, detailed and comprehensive criteria will be established to allow for stopping or continuation, or adjustments in sample size or inclusion criteria. The rules for the interim analysis will be agreed with regulatory authorities in advance of any unblinding, and appropriate adjustments will be made for type 1 error.</w:t>
      </w:r>
    </w:p>
    <w:p>
      <w:pPr>
        <w:spacing w:after="0" w:line="21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Following the interim analysis the number of participating centers will be increased to speed enrollment, and the study will continue to completion.</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Endpoint and sample size</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will define [***], and then power the study to show at least a [***] with BL-1040 compared to placebo. This difference is clinically meaningful.</w:t>
      </w:r>
    </w:p>
    <w:p>
      <w:pPr>
        <w:spacing w:after="0" w:line="253" w:lineRule="exact"/>
        <w:rPr>
          <w:sz w:val="20"/>
          <w:szCs w:val="20"/>
          <w:color w:val="auto"/>
        </w:rPr>
      </w:pPr>
    </w:p>
    <w:p>
      <w:pPr>
        <w:ind w:firstLine="772"/>
        <w:spacing w:after="0" w:line="278" w:lineRule="auto"/>
        <w:rPr>
          <w:sz w:val="20"/>
          <w:szCs w:val="20"/>
          <w:color w:val="auto"/>
        </w:rPr>
      </w:pPr>
      <w:r>
        <w:rPr>
          <w:rFonts w:ascii="Arial" w:cs="Arial" w:eastAsia="Arial" w:hAnsi="Arial"/>
          <w:sz w:val="17"/>
          <w:szCs w:val="17"/>
          <w:color w:val="auto"/>
        </w:rPr>
        <w:t>To give maximum power we want to define an endpoint that has a [***] after treatment, which would be reduced to [***]. We will design a [***] that ensures an event rate that is [***] in the control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147002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8" w:name="page559"/>
    <w:bookmarkEnd w:id="558"/>
    <w:p>
      <w:pPr>
        <w:ind w:right="640"/>
        <w:spacing w:after="0" w:line="278" w:lineRule="auto"/>
        <w:rPr>
          <w:sz w:val="20"/>
          <w:szCs w:val="20"/>
          <w:color w:val="auto"/>
        </w:rPr>
      </w:pPr>
      <w:r>
        <w:rPr>
          <w:rFonts w:ascii="Arial" w:cs="Arial" w:eastAsia="Arial" w:hAnsi="Arial"/>
          <w:sz w:val="17"/>
          <w:szCs w:val="17"/>
          <w:color w:val="auto"/>
        </w:rPr>
        <w:t xml:space="preserve">Failure could include [***] Any </w:t>
      </w:r>
      <w:r>
        <w:rPr>
          <w:rFonts w:ascii="Arial" w:cs="Arial" w:eastAsia="Arial" w:hAnsi="Arial"/>
          <w:sz w:val="17"/>
          <w:szCs w:val="17"/>
          <w:u w:val="single" w:color="auto"/>
          <w:color w:val="auto"/>
        </w:rPr>
        <w:t>one</w:t>
      </w:r>
      <w:r>
        <w:rPr>
          <w:rFonts w:ascii="Arial" w:cs="Arial" w:eastAsia="Arial" w:hAnsi="Arial"/>
          <w:sz w:val="17"/>
          <w:szCs w:val="17"/>
          <w:color w:val="auto"/>
        </w:rPr>
        <w:t xml:space="preserve"> of these events and the patient is [***]’; </w:t>
      </w:r>
      <w:r>
        <w:rPr>
          <w:rFonts w:ascii="Arial" w:cs="Arial" w:eastAsia="Arial" w:hAnsi="Arial"/>
          <w:sz w:val="17"/>
          <w:szCs w:val="17"/>
          <w:u w:val="single" w:color="auto"/>
          <w:color w:val="auto"/>
        </w:rPr>
        <w:t>none</w:t>
      </w:r>
      <w:r>
        <w:rPr>
          <w:rFonts w:ascii="Arial" w:cs="Arial" w:eastAsia="Arial" w:hAnsi="Arial"/>
          <w:sz w:val="17"/>
          <w:szCs w:val="17"/>
          <w:color w:val="auto"/>
        </w:rPr>
        <w:t xml:space="preserve"> of these events and the patient is considered [***]. It is possible that other clinically relevant events may be added to the composite.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Next we will estimate how often each of these events will happen. [***]</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2760" w:type="dxa"/>
            <w:vAlign w:val="bottom"/>
            <w:tcBorders>
              <w:top w:val="single" w:sz="8" w:color="auto"/>
              <w:left w:val="single" w:sz="8" w:color="auto"/>
              <w:right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320" w:type="dxa"/>
            <w:vAlign w:val="bottom"/>
            <w:tcBorders>
              <w:top w:val="single" w:sz="8" w:color="auto"/>
              <w:right w:val="single" w:sz="8" w:color="auto"/>
            </w:tcBorders>
          </w:tcPr>
          <w:p>
            <w:pPr>
              <w:jc w:val="center"/>
              <w:ind w:right="554"/>
              <w:spacing w:after="0"/>
              <w:rPr>
                <w:sz w:val="20"/>
                <w:szCs w:val="20"/>
                <w:color w:val="auto"/>
              </w:rPr>
            </w:pPr>
            <w:r>
              <w:rPr>
                <w:rFonts w:ascii="Arial" w:cs="Arial" w:eastAsia="Arial" w:hAnsi="Arial"/>
                <w:sz w:val="17"/>
                <w:szCs w:val="17"/>
                <w:b w:val="1"/>
                <w:bCs w:val="1"/>
                <w:color w:val="auto"/>
                <w:w w:val="89"/>
              </w:rPr>
              <w:t>Sample size per arm</w:t>
            </w:r>
          </w:p>
        </w:tc>
        <w:tc>
          <w:tcPr>
            <w:tcW w:w="1340" w:type="dxa"/>
            <w:vAlign w:val="bottom"/>
            <w:tcBorders>
              <w:top w:val="single" w:sz="8" w:color="auto"/>
              <w:right w:val="single" w:sz="8" w:color="auto"/>
            </w:tcBorders>
          </w:tcPr>
          <w:p>
            <w:pPr>
              <w:spacing w:after="0"/>
              <w:rPr>
                <w:sz w:val="18"/>
                <w:szCs w:val="18"/>
                <w:color w:val="auto"/>
              </w:rPr>
            </w:pPr>
          </w:p>
        </w:tc>
      </w:tr>
      <w:tr>
        <w:trPr>
          <w:trHeight w:val="206"/>
        </w:trPr>
        <w:tc>
          <w:tcPr>
            <w:tcW w:w="2760" w:type="dxa"/>
            <w:vAlign w:val="bottom"/>
            <w:tcBorders>
              <w:left w:val="single" w:sz="8" w:color="auto"/>
              <w:right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Control Group</w:t>
            </w:r>
          </w:p>
        </w:tc>
        <w:tc>
          <w:tcPr>
            <w:tcW w:w="600" w:type="dxa"/>
            <w:vAlign w:val="bottom"/>
          </w:tcPr>
          <w:p>
            <w:pPr>
              <w:spacing w:after="0"/>
              <w:rPr>
                <w:sz w:val="17"/>
                <w:szCs w:val="17"/>
                <w:color w:val="auto"/>
              </w:rPr>
            </w:pPr>
          </w:p>
        </w:tc>
        <w:tc>
          <w:tcPr>
            <w:tcW w:w="2100" w:type="dxa"/>
            <w:vAlign w:val="bottom"/>
            <w:tcBorders>
              <w:right w:val="single" w:sz="8" w:color="auto"/>
            </w:tcBorders>
          </w:tcPr>
          <w:p>
            <w:pPr>
              <w:jc w:val="center"/>
              <w:ind w:right="554"/>
              <w:spacing w:after="0"/>
              <w:rPr>
                <w:sz w:val="20"/>
                <w:szCs w:val="20"/>
                <w:color w:val="auto"/>
              </w:rPr>
            </w:pPr>
            <w:r>
              <w:rPr>
                <w:rFonts w:ascii="Arial" w:cs="Arial" w:eastAsia="Arial" w:hAnsi="Arial"/>
                <w:sz w:val="17"/>
                <w:szCs w:val="17"/>
                <w:b w:val="1"/>
                <w:bCs w:val="1"/>
                <w:color w:val="auto"/>
                <w:w w:val="94"/>
              </w:rPr>
              <w:t>Treatment Group</w:t>
            </w:r>
          </w:p>
        </w:tc>
        <w:tc>
          <w:tcPr>
            <w:tcW w:w="580" w:type="dxa"/>
            <w:vAlign w:val="bottom"/>
          </w:tcPr>
          <w:p>
            <w:pPr>
              <w:spacing w:after="0"/>
              <w:rPr>
                <w:sz w:val="17"/>
                <w:szCs w:val="17"/>
                <w:color w:val="auto"/>
              </w:rPr>
            </w:pPr>
          </w:p>
        </w:tc>
        <w:tc>
          <w:tcPr>
            <w:tcW w:w="2320" w:type="dxa"/>
            <w:vAlign w:val="bottom"/>
            <w:tcBorders>
              <w:right w:val="single" w:sz="8" w:color="auto"/>
            </w:tcBorders>
          </w:tcPr>
          <w:p>
            <w:pPr>
              <w:jc w:val="center"/>
              <w:ind w:right="594"/>
              <w:spacing w:after="0"/>
              <w:rPr>
                <w:sz w:val="20"/>
                <w:szCs w:val="20"/>
                <w:color w:val="auto"/>
              </w:rPr>
            </w:pPr>
            <w:r>
              <w:rPr>
                <w:rFonts w:ascii="Arial" w:cs="Arial" w:eastAsia="Arial" w:hAnsi="Arial"/>
                <w:sz w:val="17"/>
                <w:szCs w:val="17"/>
                <w:b w:val="1"/>
                <w:bCs w:val="1"/>
                <w:color w:val="auto"/>
                <w:w w:val="92"/>
              </w:rPr>
              <w:t>90% power and type</w:t>
            </w:r>
          </w:p>
        </w:tc>
        <w:tc>
          <w:tcPr>
            <w:tcW w:w="1340" w:type="dxa"/>
            <w:vAlign w:val="bottom"/>
            <w:tcBorders>
              <w:right w:val="single" w:sz="8" w:color="auto"/>
            </w:tcBorders>
          </w:tcPr>
          <w:p>
            <w:pPr>
              <w:spacing w:after="0"/>
              <w:rPr>
                <w:sz w:val="17"/>
                <w:szCs w:val="17"/>
                <w:color w:val="auto"/>
              </w:rPr>
            </w:pPr>
          </w:p>
        </w:tc>
      </w:tr>
      <w:tr>
        <w:trPr>
          <w:trHeight w:val="247"/>
        </w:trPr>
        <w:tc>
          <w:tcPr>
            <w:tcW w:w="2760" w:type="dxa"/>
            <w:vAlign w:val="bottom"/>
            <w:tcBorders>
              <w:left w:val="single" w:sz="8" w:color="auto"/>
              <w:bottom w:val="single" w:sz="8" w:color="auto"/>
              <w:right w:val="single" w:sz="8" w:color="auto"/>
            </w:tcBorders>
          </w:tcPr>
          <w:p>
            <w:pPr>
              <w:jc w:val="right"/>
              <w:ind w:right="894"/>
              <w:spacing w:after="0"/>
              <w:rPr>
                <w:sz w:val="20"/>
                <w:szCs w:val="20"/>
                <w:color w:val="auto"/>
              </w:rPr>
            </w:pPr>
            <w:r>
              <w:rPr>
                <w:rFonts w:ascii="Arial" w:cs="Arial" w:eastAsia="Arial" w:hAnsi="Arial"/>
                <w:sz w:val="17"/>
                <w:szCs w:val="17"/>
                <w:b w:val="1"/>
                <w:bCs w:val="1"/>
                <w:color w:val="auto"/>
              </w:rPr>
              <w:t>Event Rate</w:t>
            </w:r>
          </w:p>
        </w:tc>
        <w:tc>
          <w:tcPr>
            <w:tcW w:w="60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jc w:val="center"/>
              <w:ind w:right="554"/>
              <w:spacing w:after="0"/>
              <w:rPr>
                <w:sz w:val="20"/>
                <w:szCs w:val="20"/>
                <w:color w:val="auto"/>
              </w:rPr>
            </w:pPr>
            <w:r>
              <w:rPr>
                <w:rFonts w:ascii="Arial" w:cs="Arial" w:eastAsia="Arial" w:hAnsi="Arial"/>
                <w:sz w:val="17"/>
                <w:szCs w:val="17"/>
                <w:b w:val="1"/>
                <w:bCs w:val="1"/>
                <w:color w:val="auto"/>
                <w:w w:val="93"/>
              </w:rPr>
              <w:t>Event Rate</w:t>
            </w:r>
          </w:p>
        </w:tc>
        <w:tc>
          <w:tcPr>
            <w:tcW w:w="580" w:type="dxa"/>
            <w:vAlign w:val="bottom"/>
            <w:tcBorders>
              <w:bottom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jc w:val="center"/>
              <w:ind w:right="554"/>
              <w:spacing w:after="0"/>
              <w:rPr>
                <w:sz w:val="20"/>
                <w:szCs w:val="20"/>
                <w:color w:val="auto"/>
              </w:rPr>
            </w:pPr>
            <w:r>
              <w:rPr>
                <w:rFonts w:ascii="Arial" w:cs="Arial" w:eastAsia="Arial" w:hAnsi="Arial"/>
                <w:sz w:val="17"/>
                <w:szCs w:val="17"/>
                <w:b w:val="1"/>
                <w:bCs w:val="1"/>
                <w:color w:val="auto"/>
                <w:w w:val="98"/>
              </w:rPr>
              <w:t>1 error &lt; 5%</w:t>
            </w:r>
          </w:p>
        </w:tc>
        <w:tc>
          <w:tcPr>
            <w:tcW w:w="134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Total</w:t>
            </w:r>
          </w:p>
        </w:tc>
      </w:tr>
      <w:tr>
        <w:trPr>
          <w:trHeight w:val="194"/>
        </w:trPr>
        <w:tc>
          <w:tcPr>
            <w:tcW w:w="2760" w:type="dxa"/>
            <w:vAlign w:val="bottom"/>
            <w:tcBorders>
              <w:left w:val="single" w:sz="8" w:color="auto"/>
              <w:bottom w:val="single" w:sz="8" w:color="auto"/>
              <w:right w:val="single" w:sz="8" w:color="auto"/>
            </w:tcBorders>
          </w:tcPr>
          <w:p>
            <w:pPr>
              <w:jc w:val="right"/>
              <w:ind w:right="2274"/>
              <w:spacing w:after="0" w:line="189"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734"/>
              <w:spacing w:after="0" w:line="189" w:lineRule="exact"/>
              <w:rPr>
                <w:sz w:val="20"/>
                <w:szCs w:val="20"/>
                <w:color w:val="auto"/>
              </w:rPr>
            </w:pPr>
            <w:r>
              <w:rPr>
                <w:rFonts w:ascii="Arial" w:cs="Arial" w:eastAsia="Arial" w:hAnsi="Arial"/>
                <w:sz w:val="17"/>
                <w:szCs w:val="17"/>
                <w:color w:val="auto"/>
              </w:rPr>
              <w:t>[***]</w:t>
            </w:r>
          </w:p>
        </w:tc>
      </w:tr>
      <w:tr>
        <w:trPr>
          <w:trHeight w:val="212"/>
        </w:trPr>
        <w:tc>
          <w:tcPr>
            <w:tcW w:w="2760" w:type="dxa"/>
            <w:vAlign w:val="bottom"/>
            <w:tcBorders>
              <w:left w:val="single" w:sz="8" w:color="auto"/>
              <w:bottom w:val="single" w:sz="8" w:color="auto"/>
              <w:right w:val="single" w:sz="8" w:color="auto"/>
            </w:tcBorders>
          </w:tcPr>
          <w:p>
            <w:pPr>
              <w:jc w:val="right"/>
              <w:ind w:right="227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r>
      <w:tr>
        <w:trPr>
          <w:trHeight w:val="212"/>
        </w:trPr>
        <w:tc>
          <w:tcPr>
            <w:tcW w:w="2760" w:type="dxa"/>
            <w:vAlign w:val="bottom"/>
            <w:tcBorders>
              <w:left w:val="single" w:sz="8" w:color="auto"/>
              <w:bottom w:val="single" w:sz="8" w:color="auto"/>
              <w:right w:val="single" w:sz="8" w:color="auto"/>
            </w:tcBorders>
          </w:tcPr>
          <w:p>
            <w:pPr>
              <w:jc w:val="right"/>
              <w:ind w:right="227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r>
    </w:tbl>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not required under device approval regulations, approximately [***] patients would be desirable for a safety database. If we assume that the placebo event rate will be approximately [***], we would estimate the sample size of the pivotal study to be approximately [***] patients, including the [***] patients in the vanguard cohort.</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1380" w:type="dxa"/>
            <w:vAlign w:val="bottom"/>
            <w:gridSpan w:val="2"/>
          </w:tcPr>
          <w:p>
            <w:pPr>
              <w:jc w:val="right"/>
              <w:ind w:right="694"/>
              <w:spacing w:after="0"/>
              <w:rPr>
                <w:sz w:val="20"/>
                <w:szCs w:val="20"/>
                <w:color w:val="auto"/>
              </w:rPr>
            </w:pPr>
            <w:r>
              <w:rPr>
                <w:rFonts w:ascii="Arial" w:cs="Arial" w:eastAsia="Arial" w:hAnsi="Arial"/>
                <w:sz w:val="17"/>
                <w:szCs w:val="17"/>
                <w:b w:val="1"/>
                <w:bCs w:val="1"/>
                <w:color w:val="auto"/>
                <w:w w:val="98"/>
              </w:rPr>
              <w:t>Budget</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6"/>
        </w:trPr>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194"/>
        </w:trPr>
        <w:tc>
          <w:tcPr>
            <w:tcW w:w="70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ind w:right="254"/>
              <w:spacing w:after="0" w:line="189" w:lineRule="exact"/>
              <w:rPr>
                <w:sz w:val="20"/>
                <w:szCs w:val="20"/>
                <w:color w:val="auto"/>
              </w:rPr>
            </w:pPr>
            <w:r>
              <w:rPr>
                <w:rFonts w:ascii="Arial" w:cs="Arial" w:eastAsia="Arial" w:hAnsi="Arial"/>
                <w:sz w:val="17"/>
                <w:szCs w:val="17"/>
                <w:b w:val="1"/>
                <w:bCs w:val="1"/>
                <w:color w:val="auto"/>
              </w:rPr>
              <w:t>2009</w:t>
            </w:r>
          </w:p>
        </w:tc>
        <w:tc>
          <w:tcPr>
            <w:tcW w:w="980" w:type="dxa"/>
            <w:vAlign w:val="bottom"/>
            <w:tcBorders>
              <w:bottom w:val="single" w:sz="8" w:color="auto"/>
              <w:right w:val="single" w:sz="8" w:color="auto"/>
            </w:tcBorders>
          </w:tcPr>
          <w:p>
            <w:pPr>
              <w:jc w:val="right"/>
              <w:ind w:right="254"/>
              <w:spacing w:after="0" w:line="189" w:lineRule="exact"/>
              <w:rPr>
                <w:sz w:val="20"/>
                <w:szCs w:val="20"/>
                <w:color w:val="auto"/>
              </w:rPr>
            </w:pPr>
            <w:r>
              <w:rPr>
                <w:rFonts w:ascii="Arial" w:cs="Arial" w:eastAsia="Arial" w:hAnsi="Arial"/>
                <w:sz w:val="17"/>
                <w:szCs w:val="17"/>
                <w:b w:val="1"/>
                <w:bCs w:val="1"/>
                <w:color w:val="auto"/>
              </w:rPr>
              <w:t>2010</w:t>
            </w:r>
          </w:p>
        </w:tc>
        <w:tc>
          <w:tcPr>
            <w:tcW w:w="960" w:type="dxa"/>
            <w:vAlign w:val="bottom"/>
            <w:tcBorders>
              <w:bottom w:val="single" w:sz="8" w:color="auto"/>
              <w:right w:val="single" w:sz="8" w:color="auto"/>
            </w:tcBorders>
          </w:tcPr>
          <w:p>
            <w:pPr>
              <w:jc w:val="right"/>
              <w:ind w:right="234"/>
              <w:spacing w:after="0" w:line="189" w:lineRule="exact"/>
              <w:rPr>
                <w:sz w:val="20"/>
                <w:szCs w:val="20"/>
                <w:color w:val="auto"/>
              </w:rPr>
            </w:pPr>
            <w:r>
              <w:rPr>
                <w:rFonts w:ascii="Arial" w:cs="Arial" w:eastAsia="Arial" w:hAnsi="Arial"/>
                <w:sz w:val="17"/>
                <w:szCs w:val="17"/>
                <w:b w:val="1"/>
                <w:bCs w:val="1"/>
                <w:color w:val="auto"/>
              </w:rPr>
              <w:t>2011</w:t>
            </w:r>
          </w:p>
        </w:tc>
        <w:tc>
          <w:tcPr>
            <w:tcW w:w="880" w:type="dxa"/>
            <w:vAlign w:val="bottom"/>
            <w:tcBorders>
              <w:bottom w:val="single" w:sz="8" w:color="auto"/>
              <w:right w:val="single" w:sz="8" w:color="auto"/>
            </w:tcBorders>
          </w:tcPr>
          <w:p>
            <w:pPr>
              <w:jc w:val="right"/>
              <w:ind w:right="194"/>
              <w:spacing w:after="0" w:line="189" w:lineRule="exact"/>
              <w:rPr>
                <w:sz w:val="20"/>
                <w:szCs w:val="20"/>
                <w:color w:val="auto"/>
              </w:rPr>
            </w:pPr>
            <w:r>
              <w:rPr>
                <w:rFonts w:ascii="Arial" w:cs="Arial" w:eastAsia="Arial" w:hAnsi="Arial"/>
                <w:sz w:val="17"/>
                <w:szCs w:val="17"/>
                <w:b w:val="1"/>
                <w:bCs w:val="1"/>
                <w:color w:val="auto"/>
              </w:rPr>
              <w:t>2012</w:t>
            </w:r>
          </w:p>
        </w:tc>
        <w:tc>
          <w:tcPr>
            <w:tcW w:w="880" w:type="dxa"/>
            <w:vAlign w:val="bottom"/>
            <w:tcBorders>
              <w:bottom w:val="single" w:sz="8" w:color="auto"/>
              <w:right w:val="single" w:sz="8" w:color="auto"/>
            </w:tcBorders>
          </w:tcPr>
          <w:p>
            <w:pPr>
              <w:jc w:val="right"/>
              <w:ind w:right="194"/>
              <w:spacing w:after="0" w:line="189" w:lineRule="exact"/>
              <w:rPr>
                <w:sz w:val="20"/>
                <w:szCs w:val="20"/>
                <w:color w:val="auto"/>
              </w:rPr>
            </w:pPr>
            <w:r>
              <w:rPr>
                <w:rFonts w:ascii="Arial" w:cs="Arial" w:eastAsia="Arial" w:hAnsi="Arial"/>
                <w:sz w:val="17"/>
                <w:szCs w:val="17"/>
                <w:b w:val="1"/>
                <w:bCs w:val="1"/>
                <w:color w:val="auto"/>
              </w:rPr>
              <w:t>2013</w:t>
            </w:r>
          </w:p>
        </w:tc>
        <w:tc>
          <w:tcPr>
            <w:tcW w:w="960" w:type="dxa"/>
            <w:vAlign w:val="bottom"/>
            <w:tcBorders>
              <w:bottom w:val="single" w:sz="8" w:color="auto"/>
              <w:right w:val="single" w:sz="8" w:color="auto"/>
            </w:tcBorders>
          </w:tcPr>
          <w:p>
            <w:pPr>
              <w:jc w:val="right"/>
              <w:ind w:right="234"/>
              <w:spacing w:after="0" w:line="189" w:lineRule="exact"/>
              <w:rPr>
                <w:sz w:val="20"/>
                <w:szCs w:val="20"/>
                <w:color w:val="auto"/>
              </w:rPr>
            </w:pPr>
            <w:r>
              <w:rPr>
                <w:rFonts w:ascii="Arial" w:cs="Arial" w:eastAsia="Arial" w:hAnsi="Arial"/>
                <w:sz w:val="17"/>
                <w:szCs w:val="17"/>
                <w:b w:val="1"/>
                <w:bCs w:val="1"/>
                <w:color w:val="auto"/>
              </w:rPr>
              <w:t>2014</w:t>
            </w:r>
          </w:p>
        </w:tc>
        <w:tc>
          <w:tcPr>
            <w:tcW w:w="960" w:type="dxa"/>
            <w:vAlign w:val="bottom"/>
            <w:tcBorders>
              <w:bottom w:val="single" w:sz="8" w:color="auto"/>
              <w:right w:val="single" w:sz="8" w:color="auto"/>
            </w:tcBorders>
          </w:tcPr>
          <w:p>
            <w:pPr>
              <w:jc w:val="right"/>
              <w:ind w:right="234"/>
              <w:spacing w:after="0" w:line="189" w:lineRule="exact"/>
              <w:rPr>
                <w:sz w:val="20"/>
                <w:szCs w:val="20"/>
                <w:color w:val="auto"/>
              </w:rPr>
            </w:pPr>
            <w:r>
              <w:rPr>
                <w:rFonts w:ascii="Arial" w:cs="Arial" w:eastAsia="Arial" w:hAnsi="Arial"/>
                <w:sz w:val="17"/>
                <w:szCs w:val="17"/>
                <w:b w:val="1"/>
                <w:bCs w:val="1"/>
                <w:color w:val="auto"/>
              </w:rPr>
              <w:t>2015</w:t>
            </w:r>
          </w:p>
        </w:tc>
        <w:tc>
          <w:tcPr>
            <w:tcW w:w="980" w:type="dxa"/>
            <w:vAlign w:val="bottom"/>
            <w:tcBorders>
              <w:bottom w:val="single" w:sz="8" w:color="auto"/>
              <w:right w:val="single" w:sz="8" w:color="auto"/>
            </w:tcBorders>
          </w:tcPr>
          <w:p>
            <w:pPr>
              <w:jc w:val="right"/>
              <w:ind w:right="254"/>
              <w:spacing w:after="0" w:line="189" w:lineRule="exact"/>
              <w:rPr>
                <w:sz w:val="20"/>
                <w:szCs w:val="20"/>
                <w:color w:val="auto"/>
              </w:rPr>
            </w:pPr>
            <w:r>
              <w:rPr>
                <w:rFonts w:ascii="Arial" w:cs="Arial" w:eastAsia="Arial" w:hAnsi="Arial"/>
                <w:sz w:val="17"/>
                <w:szCs w:val="17"/>
                <w:b w:val="1"/>
                <w:bCs w:val="1"/>
                <w:color w:val="auto"/>
              </w:rPr>
              <w:t>2016</w:t>
            </w:r>
          </w:p>
        </w:tc>
        <w:tc>
          <w:tcPr>
            <w:tcW w:w="1040" w:type="dxa"/>
            <w:vAlign w:val="bottom"/>
            <w:tcBorders>
              <w:bottom w:val="single" w:sz="8" w:color="auto"/>
              <w:right w:val="single" w:sz="8" w:color="auto"/>
            </w:tcBorders>
          </w:tcPr>
          <w:p>
            <w:pPr>
              <w:jc w:val="right"/>
              <w:ind w:right="174"/>
              <w:spacing w:after="0" w:line="189" w:lineRule="exact"/>
              <w:rPr>
                <w:sz w:val="20"/>
                <w:szCs w:val="20"/>
                <w:color w:val="auto"/>
              </w:rPr>
            </w:pPr>
            <w:r>
              <w:rPr>
                <w:rFonts w:ascii="Arial" w:cs="Arial" w:eastAsia="Arial" w:hAnsi="Arial"/>
                <w:sz w:val="17"/>
                <w:szCs w:val="17"/>
                <w:b w:val="1"/>
                <w:bCs w:val="1"/>
                <w:color w:val="auto"/>
              </w:rPr>
              <w:t>TOTAL</w:t>
            </w:r>
          </w:p>
        </w:tc>
      </w:tr>
      <w:tr>
        <w:trPr>
          <w:trHeight w:val="212"/>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12"/>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12"/>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r>
      <w:tr>
        <w:trPr>
          <w:trHeight w:val="212"/>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right w:val="single" w:sz="8" w:color="auto"/>
            </w:tcBorders>
          </w:tcPr>
          <w:p>
            <w:pPr>
              <w:spacing w:after="0"/>
              <w:rPr>
                <w:sz w:val="18"/>
                <w:szCs w:val="18"/>
                <w:color w:val="auto"/>
              </w:rPr>
            </w:pPr>
          </w:p>
        </w:tc>
      </w:tr>
      <w:tr>
        <w:trPr>
          <w:trHeight w:val="212"/>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right w:val="single" w:sz="8" w:color="auto"/>
            </w:tcBorders>
          </w:tcPr>
          <w:p>
            <w:pPr>
              <w:spacing w:after="0"/>
              <w:rPr>
                <w:sz w:val="18"/>
                <w:szCs w:val="18"/>
                <w:color w:val="auto"/>
              </w:rPr>
            </w:pPr>
          </w:p>
        </w:tc>
      </w:tr>
      <w:tr>
        <w:trPr>
          <w:trHeight w:val="212"/>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4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right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Phase III Study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Budget will assume [***] of [***] patients, with a primary endpoint at [***], major adverse cardiac outcomes at [***], and a safety follow up annually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147002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59" w:name="page560"/>
    <w:bookmarkEnd w:id="559"/>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20"/>
                <w:szCs w:val="20"/>
                <w:color w:val="auto"/>
              </w:rPr>
            </w:pPr>
            <w:r>
              <w:rPr>
                <w:rFonts w:ascii="Arial" w:cs="Arial" w:eastAsia="Arial" w:hAnsi="Arial"/>
                <w:sz w:val="17"/>
                <w:szCs w:val="17"/>
                <w:b w:val="1"/>
                <w:bCs w:val="1"/>
                <w:color w:val="auto"/>
              </w:rPr>
              <w:t>Clinical:</w:t>
            </w:r>
          </w:p>
        </w:tc>
        <w:tc>
          <w:tcPr>
            <w:tcW w:w="1580" w:type="dxa"/>
            <w:vAlign w:val="bottom"/>
          </w:tcPr>
          <w:p>
            <w:pPr>
              <w:spacing w:after="0"/>
              <w:rPr>
                <w:sz w:val="19"/>
                <w:szCs w:val="19"/>
                <w:color w:val="auto"/>
              </w:rPr>
            </w:pPr>
          </w:p>
        </w:tc>
        <w:tc>
          <w:tcPr>
            <w:tcW w:w="5860" w:type="dxa"/>
            <w:vAlign w:val="bottom"/>
          </w:tcPr>
          <w:p>
            <w:pPr>
              <w:spacing w:after="0"/>
              <w:rPr>
                <w:sz w:val="19"/>
                <w:szCs w:val="19"/>
                <w:color w:val="auto"/>
              </w:rPr>
            </w:pPr>
          </w:p>
        </w:tc>
      </w:tr>
      <w:tr>
        <w:trPr>
          <w:trHeight w:val="412"/>
        </w:trPr>
        <w:tc>
          <w:tcPr>
            <w:tcW w:w="1700" w:type="dxa"/>
            <w:vAlign w:val="bottom"/>
          </w:tcPr>
          <w:p>
            <w:pPr>
              <w:spacing w:after="0"/>
              <w:rPr>
                <w:sz w:val="20"/>
                <w:szCs w:val="20"/>
                <w:color w:val="auto"/>
              </w:rPr>
            </w:pPr>
            <w:r>
              <w:rPr>
                <w:rFonts w:ascii="Arial" w:cs="Arial" w:eastAsia="Arial" w:hAnsi="Arial"/>
                <w:sz w:val="17"/>
                <w:szCs w:val="17"/>
                <w:color w:val="auto"/>
              </w:rPr>
              <w:t>Monitoring:</w:t>
            </w:r>
          </w:p>
        </w:tc>
        <w:tc>
          <w:tcPr>
            <w:tcW w:w="1580" w:type="dxa"/>
            <w:vAlign w:val="bottom"/>
          </w:tcPr>
          <w:p>
            <w:pPr>
              <w:spacing w:after="0"/>
              <w:rPr>
                <w:sz w:val="24"/>
                <w:szCs w:val="24"/>
                <w:color w:val="auto"/>
              </w:rPr>
            </w:pPr>
          </w:p>
        </w:tc>
        <w:tc>
          <w:tcPr>
            <w:tcW w:w="5860" w:type="dxa"/>
            <w:vAlign w:val="bottom"/>
          </w:tcPr>
          <w:p>
            <w:pPr>
              <w:jc w:val="right"/>
              <w:ind w:right="2654"/>
              <w:spacing w:after="0"/>
              <w:rPr>
                <w:sz w:val="20"/>
                <w:szCs w:val="20"/>
                <w:color w:val="auto"/>
              </w:rPr>
            </w:pPr>
            <w:r>
              <w:rPr>
                <w:rFonts w:ascii="Arial" w:cs="Arial" w:eastAsia="Arial" w:hAnsi="Arial"/>
                <w:sz w:val="17"/>
                <w:szCs w:val="17"/>
                <w:color w:val="auto"/>
              </w:rPr>
              <w:t>[***]</w:t>
            </w:r>
          </w:p>
        </w:tc>
      </w:tr>
      <w:tr>
        <w:trPr>
          <w:trHeight w:val="232"/>
        </w:trPr>
        <w:tc>
          <w:tcPr>
            <w:tcW w:w="1700" w:type="dxa"/>
            <w:vAlign w:val="bottom"/>
          </w:tcPr>
          <w:p>
            <w:pPr>
              <w:spacing w:after="0"/>
              <w:rPr>
                <w:sz w:val="20"/>
                <w:szCs w:val="20"/>
                <w:color w:val="auto"/>
              </w:rPr>
            </w:pPr>
            <w:r>
              <w:rPr>
                <w:rFonts w:ascii="Arial" w:cs="Arial" w:eastAsia="Arial" w:hAnsi="Arial"/>
                <w:sz w:val="17"/>
                <w:szCs w:val="17"/>
                <w:color w:val="auto"/>
              </w:rPr>
              <w:t>Per Patient total:</w:t>
            </w:r>
          </w:p>
        </w:tc>
        <w:tc>
          <w:tcPr>
            <w:tcW w:w="1580" w:type="dxa"/>
            <w:vAlign w:val="bottom"/>
          </w:tcPr>
          <w:p>
            <w:pPr>
              <w:jc w:val="right"/>
              <w:ind w:right="554"/>
              <w:spacing w:after="0"/>
              <w:rPr>
                <w:sz w:val="20"/>
                <w:szCs w:val="20"/>
                <w:color w:val="auto"/>
              </w:rPr>
            </w:pPr>
            <w:r>
              <w:rPr>
                <w:rFonts w:ascii="Arial" w:cs="Arial" w:eastAsia="Arial" w:hAnsi="Arial"/>
                <w:sz w:val="17"/>
                <w:szCs w:val="17"/>
                <w:color w:val="auto"/>
              </w:rPr>
              <w:t>[***]</w:t>
            </w:r>
          </w:p>
        </w:tc>
        <w:tc>
          <w:tcPr>
            <w:tcW w:w="5860" w:type="dxa"/>
            <w:vAlign w:val="bottom"/>
          </w:tcPr>
          <w:p>
            <w:pPr>
              <w:jc w:val="right"/>
              <w:ind w:right="2654"/>
              <w:spacing w:after="0"/>
              <w:rPr>
                <w:sz w:val="20"/>
                <w:szCs w:val="20"/>
                <w:color w:val="auto"/>
              </w:rPr>
            </w:pPr>
            <w:r>
              <w:rPr>
                <w:rFonts w:ascii="Arial" w:cs="Arial" w:eastAsia="Arial" w:hAnsi="Arial"/>
                <w:sz w:val="17"/>
                <w:szCs w:val="17"/>
                <w:color w:val="auto"/>
              </w:rPr>
              <w:t>[***]</w:t>
            </w:r>
          </w:p>
        </w:tc>
      </w:tr>
      <w:tr>
        <w:trPr>
          <w:trHeight w:val="412"/>
        </w:trPr>
        <w:tc>
          <w:tcPr>
            <w:tcW w:w="1700" w:type="dxa"/>
            <w:vAlign w:val="bottom"/>
          </w:tcPr>
          <w:p>
            <w:pPr>
              <w:spacing w:after="0"/>
              <w:rPr>
                <w:sz w:val="20"/>
                <w:szCs w:val="20"/>
                <w:color w:val="auto"/>
              </w:rPr>
            </w:pPr>
            <w:r>
              <w:rPr>
                <w:rFonts w:ascii="Arial" w:cs="Arial" w:eastAsia="Arial" w:hAnsi="Arial"/>
                <w:sz w:val="17"/>
                <w:szCs w:val="17"/>
                <w:b w:val="1"/>
                <w:bCs w:val="1"/>
                <w:color w:val="auto"/>
              </w:rPr>
              <w:t>Pre Clinical</w:t>
            </w:r>
          </w:p>
        </w:tc>
        <w:tc>
          <w:tcPr>
            <w:tcW w:w="1580" w:type="dxa"/>
            <w:vAlign w:val="bottom"/>
          </w:tcPr>
          <w:p>
            <w:pPr>
              <w:jc w:val="right"/>
              <w:ind w:right="554"/>
              <w:spacing w:after="0"/>
              <w:rPr>
                <w:sz w:val="20"/>
                <w:szCs w:val="20"/>
                <w:color w:val="auto"/>
              </w:rPr>
            </w:pPr>
            <w:r>
              <w:rPr>
                <w:rFonts w:ascii="Arial" w:cs="Arial" w:eastAsia="Arial" w:hAnsi="Arial"/>
                <w:sz w:val="17"/>
                <w:szCs w:val="17"/>
                <w:color w:val="auto"/>
              </w:rPr>
              <w:t>[***]</w:t>
            </w:r>
          </w:p>
        </w:tc>
        <w:tc>
          <w:tcPr>
            <w:tcW w:w="5860" w:type="dxa"/>
            <w:vAlign w:val="bottom"/>
          </w:tcPr>
          <w:p>
            <w:pPr>
              <w:jc w:val="right"/>
              <w:ind w:right="4774"/>
              <w:spacing w:after="0"/>
              <w:rPr>
                <w:sz w:val="20"/>
                <w:szCs w:val="20"/>
                <w:color w:val="auto"/>
              </w:rPr>
            </w:pPr>
            <w:r>
              <w:rPr>
                <w:rFonts w:ascii="Arial" w:cs="Arial" w:eastAsia="Arial" w:hAnsi="Arial"/>
                <w:sz w:val="17"/>
                <w:szCs w:val="17"/>
                <w:color w:val="auto"/>
              </w:rPr>
              <w:t>[***]</w:t>
            </w:r>
          </w:p>
        </w:tc>
      </w:tr>
      <w:tr>
        <w:trPr>
          <w:trHeight w:val="213"/>
        </w:trPr>
        <w:tc>
          <w:tcPr>
            <w:tcW w:w="1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r>
      <w:tr>
        <w:trPr>
          <w:trHeight w:val="410"/>
        </w:trPr>
        <w:tc>
          <w:tcPr>
            <w:tcW w:w="1700" w:type="dxa"/>
            <w:vAlign w:val="bottom"/>
          </w:tcPr>
          <w:p>
            <w:pPr>
              <w:spacing w:after="0"/>
              <w:rPr>
                <w:sz w:val="20"/>
                <w:szCs w:val="20"/>
                <w:color w:val="auto"/>
              </w:rPr>
            </w:pPr>
            <w:r>
              <w:rPr>
                <w:rFonts w:ascii="Arial" w:cs="Arial" w:eastAsia="Arial" w:hAnsi="Arial"/>
                <w:sz w:val="17"/>
                <w:szCs w:val="17"/>
                <w:color w:val="auto"/>
              </w:rPr>
              <w:t>Total</w:t>
            </w:r>
          </w:p>
        </w:tc>
        <w:tc>
          <w:tcPr>
            <w:tcW w:w="1580" w:type="dxa"/>
            <w:vAlign w:val="bottom"/>
          </w:tcPr>
          <w:p>
            <w:pPr>
              <w:spacing w:after="0"/>
              <w:rPr>
                <w:sz w:val="24"/>
                <w:szCs w:val="24"/>
                <w:color w:val="auto"/>
              </w:rPr>
            </w:pPr>
          </w:p>
        </w:tc>
        <w:tc>
          <w:tcPr>
            <w:tcW w:w="5860" w:type="dxa"/>
            <w:vAlign w:val="bottom"/>
          </w:tcPr>
          <w:p>
            <w:pPr>
              <w:jc w:val="right"/>
              <w:ind w:right="1034"/>
              <w:spacing w:after="0"/>
              <w:rPr>
                <w:sz w:val="20"/>
                <w:szCs w:val="20"/>
                <w:color w:val="auto"/>
              </w:rPr>
            </w:pPr>
            <w:r>
              <w:rPr>
                <w:rFonts w:ascii="Arial" w:cs="Arial" w:eastAsia="Arial" w:hAnsi="Arial"/>
                <w:sz w:val="17"/>
                <w:szCs w:val="17"/>
                <w:color w:val="auto"/>
              </w:rPr>
              <w:t>[***]</w:t>
            </w:r>
          </w:p>
        </w:tc>
      </w:tr>
    </w:tbl>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Given that 15-20% of the total clinical costs are committed before the first patient is enrolled, we estimate that </w:t>
      </w:r>
      <w:r>
        <w:rPr>
          <w:rFonts w:ascii="Arial" w:cs="Arial" w:eastAsia="Arial" w:hAnsi="Arial"/>
          <w:sz w:val="17"/>
          <w:szCs w:val="17"/>
          <w:u w:val="single" w:color="auto"/>
          <w:color w:val="auto"/>
        </w:rPr>
        <w:t>cost to decision point is approximately</w:t>
      </w:r>
      <w:r>
        <w:rPr>
          <w:rFonts w:ascii="Arial" w:cs="Arial" w:eastAsia="Arial" w:hAnsi="Arial"/>
          <w:sz w:val="17"/>
          <w:szCs w:val="17"/>
          <w:color w:val="auto"/>
        </w:rPr>
        <w:t xml:space="preserve"> [***]. It may be possible to reduce cost to the decision point by [***], trading off for time-to-launch. This alternative scenario has not been modeled.</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8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Cost by Year ($M)</w:t>
            </w:r>
          </w:p>
        </w:tc>
        <w:tc>
          <w:tcPr>
            <w:tcW w:w="18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r>
      <w:tr>
        <w:trPr>
          <w:trHeight w:val="212"/>
        </w:trPr>
        <w:tc>
          <w:tcPr>
            <w:tcW w:w="1880" w:type="dxa"/>
            <w:vAlign w:val="bottom"/>
            <w:tcBorders>
              <w:left w:val="single" w:sz="8" w:color="auto"/>
              <w:bottom w:val="single" w:sz="8" w:color="auto"/>
              <w:right w:val="single" w:sz="8" w:color="auto"/>
            </w:tcBorders>
            <w:gridSpan w:val="3"/>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860" w:type="dxa"/>
            <w:vAlign w:val="bottom"/>
            <w:tcBorders>
              <w:bottom w:val="single" w:sz="8" w:color="auto"/>
              <w:right w:val="single" w:sz="8" w:color="auto"/>
            </w:tcBorders>
          </w:tcPr>
          <w:p>
            <w:pPr>
              <w:jc w:val="right"/>
              <w:ind w:right="674"/>
              <w:spacing w:after="0" w:line="189" w:lineRule="exact"/>
              <w:rPr>
                <w:sz w:val="20"/>
                <w:szCs w:val="20"/>
                <w:color w:val="auto"/>
              </w:rPr>
            </w:pPr>
            <w:r>
              <w:rPr>
                <w:rFonts w:ascii="Arial" w:cs="Arial" w:eastAsia="Arial" w:hAnsi="Arial"/>
                <w:sz w:val="17"/>
                <w:szCs w:val="17"/>
                <w:color w:val="auto"/>
              </w:rPr>
              <w:t>[***]</w:t>
            </w:r>
          </w:p>
        </w:tc>
        <w:tc>
          <w:tcPr>
            <w:tcW w:w="1720" w:type="dxa"/>
            <w:vAlign w:val="bottom"/>
            <w:tcBorders>
              <w:bottom w:val="single" w:sz="8" w:color="auto"/>
              <w:right w:val="single" w:sz="8" w:color="auto"/>
            </w:tcBorders>
          </w:tcPr>
          <w:p>
            <w:pPr>
              <w:jc w:val="right"/>
              <w:ind w:right="594"/>
              <w:spacing w:after="0" w:line="189"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auto"/>
              <w:right w:val="single" w:sz="8" w:color="auto"/>
            </w:tcBorders>
          </w:tcPr>
          <w:p>
            <w:pPr>
              <w:jc w:val="right"/>
              <w:ind w:right="614"/>
              <w:spacing w:after="0" w:line="189" w:lineRule="exact"/>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jc w:val="right"/>
              <w:ind w:right="674"/>
              <w:spacing w:after="0" w:line="189" w:lineRule="exact"/>
              <w:rPr>
                <w:sz w:val="20"/>
                <w:szCs w:val="20"/>
                <w:color w:val="auto"/>
              </w:rPr>
            </w:pPr>
            <w:r>
              <w:rPr>
                <w:rFonts w:ascii="Arial" w:cs="Arial" w:eastAsia="Arial" w:hAnsi="Arial"/>
                <w:sz w:val="17"/>
                <w:szCs w:val="17"/>
                <w:color w:val="auto"/>
              </w:rPr>
              <w:t>[***]</w:t>
            </w:r>
          </w:p>
        </w:tc>
        <w:tc>
          <w:tcPr>
            <w:tcW w:w="1800" w:type="dxa"/>
            <w:vAlign w:val="bottom"/>
            <w:tcBorders>
              <w:bottom w:val="single" w:sz="8" w:color="auto"/>
              <w:right w:val="single" w:sz="8" w:color="auto"/>
            </w:tcBorders>
          </w:tcPr>
          <w:p>
            <w:pPr>
              <w:jc w:val="right"/>
              <w:ind w:right="634"/>
              <w:spacing w:after="0" w:line="189" w:lineRule="exact"/>
              <w:rPr>
                <w:sz w:val="20"/>
                <w:szCs w:val="20"/>
                <w:color w:val="auto"/>
              </w:rPr>
            </w:pPr>
            <w:r>
              <w:rPr>
                <w:rFonts w:ascii="Arial" w:cs="Arial" w:eastAsia="Arial" w:hAnsi="Arial"/>
                <w:sz w:val="17"/>
                <w:szCs w:val="17"/>
                <w:color w:val="auto"/>
              </w:rPr>
              <w:t>[***]</w:t>
            </w:r>
          </w:p>
        </w:tc>
      </w:tr>
      <w:tr>
        <w:trPr>
          <w:trHeight w:val="194"/>
        </w:trPr>
        <w:tc>
          <w:tcPr>
            <w:tcW w:w="1880" w:type="dxa"/>
            <w:vAlign w:val="bottom"/>
            <w:tcBorders>
              <w:left w:val="single" w:sz="8" w:color="auto"/>
              <w:bottom w:val="single" w:sz="8" w:color="auto"/>
              <w:right w:val="single" w:sz="8" w:color="auto"/>
            </w:tcBorders>
            <w:gridSpan w:val="3"/>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860" w:type="dxa"/>
            <w:vAlign w:val="bottom"/>
            <w:tcBorders>
              <w:bottom w:val="single" w:sz="8" w:color="auto"/>
              <w:right w:val="single" w:sz="8" w:color="auto"/>
            </w:tcBorders>
          </w:tcPr>
          <w:p>
            <w:pPr>
              <w:jc w:val="right"/>
              <w:ind w:right="674"/>
              <w:spacing w:after="0" w:line="189" w:lineRule="exact"/>
              <w:rPr>
                <w:sz w:val="20"/>
                <w:szCs w:val="20"/>
                <w:color w:val="auto"/>
              </w:rPr>
            </w:pPr>
            <w:r>
              <w:rPr>
                <w:rFonts w:ascii="Arial" w:cs="Arial" w:eastAsia="Arial" w:hAnsi="Arial"/>
                <w:sz w:val="17"/>
                <w:szCs w:val="17"/>
                <w:color w:val="auto"/>
              </w:rPr>
              <w:t>[***]</w:t>
            </w:r>
          </w:p>
        </w:tc>
        <w:tc>
          <w:tcPr>
            <w:tcW w:w="1720" w:type="dxa"/>
            <w:vAlign w:val="bottom"/>
            <w:tcBorders>
              <w:bottom w:val="single" w:sz="8" w:color="auto"/>
              <w:right w:val="single" w:sz="8" w:color="auto"/>
            </w:tcBorders>
          </w:tcPr>
          <w:p>
            <w:pPr>
              <w:jc w:val="right"/>
              <w:ind w:right="594"/>
              <w:spacing w:after="0" w:line="189"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auto"/>
              <w:right w:val="single" w:sz="8" w:color="auto"/>
            </w:tcBorders>
          </w:tcPr>
          <w:p>
            <w:pPr>
              <w:jc w:val="right"/>
              <w:ind w:right="614"/>
              <w:spacing w:after="0" w:line="189" w:lineRule="exact"/>
              <w:rPr>
                <w:sz w:val="20"/>
                <w:szCs w:val="20"/>
                <w:color w:val="auto"/>
              </w:rPr>
            </w:pPr>
            <w:r>
              <w:rPr>
                <w:rFonts w:ascii="Arial" w:cs="Arial" w:eastAsia="Arial" w:hAnsi="Arial"/>
                <w:sz w:val="17"/>
                <w:szCs w:val="17"/>
                <w:color w:val="auto"/>
              </w:rPr>
              <w:t>[***]</w:t>
            </w:r>
          </w:p>
        </w:tc>
        <w:tc>
          <w:tcPr>
            <w:tcW w:w="1840" w:type="dxa"/>
            <w:vAlign w:val="bottom"/>
            <w:tcBorders>
              <w:bottom w:val="single" w:sz="8" w:color="auto"/>
              <w:right w:val="single" w:sz="8" w:color="auto"/>
            </w:tcBorders>
          </w:tcPr>
          <w:p>
            <w:pPr>
              <w:jc w:val="right"/>
              <w:ind w:right="674"/>
              <w:spacing w:after="0" w:line="189" w:lineRule="exact"/>
              <w:rPr>
                <w:sz w:val="20"/>
                <w:szCs w:val="20"/>
                <w:color w:val="auto"/>
              </w:rPr>
            </w:pPr>
            <w:r>
              <w:rPr>
                <w:rFonts w:ascii="Arial" w:cs="Arial" w:eastAsia="Arial" w:hAnsi="Arial"/>
                <w:sz w:val="17"/>
                <w:szCs w:val="17"/>
                <w:color w:val="auto"/>
              </w:rPr>
              <w:t>[***]</w:t>
            </w:r>
          </w:p>
        </w:tc>
        <w:tc>
          <w:tcPr>
            <w:tcW w:w="1800" w:type="dxa"/>
            <w:vAlign w:val="bottom"/>
            <w:tcBorders>
              <w:bottom w:val="single" w:sz="8" w:color="auto"/>
              <w:right w:val="single" w:sz="8" w:color="auto"/>
            </w:tcBorders>
          </w:tcPr>
          <w:p>
            <w:pPr>
              <w:jc w:val="right"/>
              <w:ind w:right="634"/>
              <w:spacing w:after="0" w:line="189" w:lineRule="exact"/>
              <w:rPr>
                <w:sz w:val="20"/>
                <w:szCs w:val="20"/>
                <w:color w:val="auto"/>
              </w:rPr>
            </w:pPr>
            <w:r>
              <w:rPr>
                <w:rFonts w:ascii="Arial" w:cs="Arial" w:eastAsia="Arial" w:hAnsi="Arial"/>
                <w:sz w:val="17"/>
                <w:szCs w:val="17"/>
                <w:color w:val="auto"/>
              </w:rPr>
              <w:t>[***]</w:t>
            </w:r>
          </w:p>
        </w:tc>
      </w:tr>
      <w:tr>
        <w:trPr>
          <w:trHeight w:val="399"/>
        </w:trPr>
        <w:tc>
          <w:tcPr>
            <w:tcW w:w="1880" w:type="dxa"/>
            <w:vAlign w:val="bottom"/>
            <w:gridSpan w:val="3"/>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Study</w:t>
            </w: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4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Budget will assume a [***] (including ethnicity) of [***] patients. Study will start in [***] and end [***].</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by Year ($M)</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140" w:type="dxa"/>
            <w:vAlign w:val="bottom"/>
            <w:tcBorders>
              <w:top w:val="single" w:sz="8" w:color="auto"/>
              <w:left w:val="single" w:sz="8" w:color="auto"/>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right w:val="single" w:sz="8" w:color="auto"/>
            </w:tcBorders>
          </w:tcPr>
          <w:p>
            <w:pPr>
              <w:spacing w:after="0"/>
              <w:rPr>
                <w:sz w:val="20"/>
                <w:szCs w:val="20"/>
                <w:color w:val="auto"/>
              </w:rPr>
            </w:pPr>
          </w:p>
        </w:tc>
        <w:tc>
          <w:tcPr>
            <w:tcW w:w="1640" w:type="dxa"/>
            <w:vAlign w:val="bottom"/>
            <w:tcBorders>
              <w:top w:val="single" w:sz="8" w:color="auto"/>
              <w:bottom w:val="single" w:sz="8" w:color="auto"/>
              <w:right w:val="single" w:sz="8" w:color="auto"/>
            </w:tcBorders>
          </w:tcPr>
          <w:p>
            <w:pPr>
              <w:jc w:val="right"/>
              <w:ind w:right="1034"/>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right w:val="single" w:sz="8" w:color="auto"/>
            </w:tcBorders>
          </w:tcPr>
          <w:p>
            <w:pPr>
              <w:jc w:val="right"/>
              <w:ind w:right="1014"/>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bottom w:val="single" w:sz="8" w:color="auto"/>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right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right w:val="single" w:sz="8" w:color="auto"/>
            </w:tcBorders>
          </w:tcPr>
          <w:p>
            <w:pPr>
              <w:spacing w:after="0"/>
              <w:rPr>
                <w:sz w:val="20"/>
                <w:szCs w:val="20"/>
                <w:color w:val="auto"/>
              </w:rPr>
            </w:pPr>
          </w:p>
        </w:tc>
        <w:tc>
          <w:tcPr>
            <w:tcW w:w="1340" w:type="dxa"/>
            <w:vAlign w:val="bottom"/>
            <w:tcBorders>
              <w:top w:val="single" w:sz="8" w:color="auto"/>
              <w:bottom w:val="single" w:sz="8" w:color="auto"/>
              <w:right w:val="single" w:sz="8" w:color="auto"/>
            </w:tcBorders>
            <w:gridSpan w:val="2"/>
          </w:tcPr>
          <w:p>
            <w:pPr>
              <w:jc w:val="right"/>
              <w:ind w:right="840"/>
              <w:spacing w:after="0"/>
              <w:rPr>
                <w:sz w:val="20"/>
                <w:szCs w:val="20"/>
                <w:color w:val="auto"/>
              </w:rPr>
            </w:pPr>
            <w:r>
              <w:rPr>
                <w:rFonts w:ascii="Arial" w:cs="Arial" w:eastAsia="Arial" w:hAnsi="Arial"/>
                <w:sz w:val="17"/>
                <w:szCs w:val="17"/>
                <w:color w:val="auto"/>
              </w:rPr>
              <w:t>[***]</w:t>
            </w:r>
          </w:p>
        </w:tc>
      </w:tr>
      <w:tr>
        <w:trPr>
          <w:trHeight w:val="194"/>
        </w:trPr>
        <w:tc>
          <w:tcPr>
            <w:tcW w:w="1140" w:type="dxa"/>
            <w:vAlign w:val="bottom"/>
            <w:tcBorders>
              <w:left w:val="single" w:sz="8" w:color="auto"/>
              <w:bottom w:val="single" w:sz="8" w:color="auto"/>
            </w:tcBorders>
          </w:tcPr>
          <w:p>
            <w:pPr>
              <w:ind w:left="180"/>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right"/>
              <w:ind w:right="1034"/>
              <w:spacing w:after="0" w:line="189" w:lineRule="exact"/>
              <w:rPr>
                <w:sz w:val="20"/>
                <w:szCs w:val="20"/>
                <w:color w:val="auto"/>
              </w:rPr>
            </w:pPr>
            <w:r>
              <w:rPr>
                <w:rFonts w:ascii="Arial" w:cs="Arial" w:eastAsia="Arial" w:hAnsi="Arial"/>
                <w:sz w:val="17"/>
                <w:szCs w:val="17"/>
                <w:color w:val="auto"/>
              </w:rPr>
              <w:t>[***]</w:t>
            </w:r>
          </w:p>
        </w:tc>
        <w:tc>
          <w:tcPr>
            <w:tcW w:w="1620" w:type="dxa"/>
            <w:vAlign w:val="bottom"/>
            <w:tcBorders>
              <w:bottom w:val="single" w:sz="8" w:color="auto"/>
              <w:right w:val="single" w:sz="8" w:color="auto"/>
            </w:tcBorders>
          </w:tcPr>
          <w:p>
            <w:pPr>
              <w:jc w:val="right"/>
              <w:ind w:right="1014"/>
              <w:spacing w:after="0" w:line="189"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734"/>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line="189"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gridSpan w:val="2"/>
          </w:tcPr>
          <w:p>
            <w:pPr>
              <w:jc w:val="right"/>
              <w:ind w:right="840"/>
              <w:spacing w:after="0" w:line="189" w:lineRule="exact"/>
              <w:rPr>
                <w:sz w:val="20"/>
                <w:szCs w:val="20"/>
                <w:color w:val="auto"/>
              </w:rPr>
            </w:pPr>
            <w:r>
              <w:rPr>
                <w:rFonts w:ascii="Arial" w:cs="Arial" w:eastAsia="Arial" w:hAnsi="Arial"/>
                <w:sz w:val="17"/>
                <w:szCs w:val="17"/>
                <w:color w:val="auto"/>
              </w:rPr>
              <w:t>[***]</w:t>
            </w:r>
          </w:p>
        </w:tc>
      </w:tr>
      <w:tr>
        <w:trPr>
          <w:trHeight w:val="436"/>
        </w:trPr>
        <w:tc>
          <w:tcPr>
            <w:tcW w:w="1560" w:type="dxa"/>
            <w:vAlign w:val="bottom"/>
            <w:gridSpan w:val="2"/>
          </w:tcPr>
          <w:p>
            <w:pPr>
              <w:ind w:left="780"/>
              <w:spacing w:after="0"/>
              <w:rPr>
                <w:sz w:val="20"/>
                <w:szCs w:val="20"/>
                <w:color w:val="auto"/>
              </w:rPr>
            </w:pPr>
            <w:r>
              <w:rPr>
                <w:rFonts w:ascii="Arial" w:cs="Arial" w:eastAsia="Arial" w:hAnsi="Arial"/>
                <w:sz w:val="17"/>
                <w:szCs w:val="17"/>
                <w:b w:val="1"/>
                <w:bCs w:val="1"/>
                <w:color w:val="auto"/>
              </w:rPr>
              <w:t>Timeline</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0"/>
        </w:trPr>
        <w:tc>
          <w:tcPr>
            <w:tcW w:w="1560" w:type="dxa"/>
            <w:vAlign w:val="bottom"/>
            <w:gridSpan w:val="2"/>
          </w:tcPr>
          <w:p>
            <w:pPr>
              <w:spacing w:after="0"/>
              <w:rPr>
                <w:sz w:val="20"/>
                <w:szCs w:val="20"/>
                <w:color w:val="auto"/>
              </w:rPr>
            </w:pPr>
            <w:r>
              <w:rPr>
                <w:rFonts w:ascii="Arial" w:cs="Arial" w:eastAsia="Arial" w:hAnsi="Arial"/>
                <w:sz w:val="17"/>
                <w:szCs w:val="17"/>
                <w:b w:val="1"/>
                <w:bCs w:val="1"/>
                <w:color w:val="auto"/>
              </w:rPr>
              <w:t>Phase III Study</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1140" w:type="dxa"/>
            <w:vAlign w:val="bottom"/>
            <w:tcBorders>
              <w:top w:val="single" w:sz="8" w:color="auto"/>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Pr>
          <w:p>
            <w:pPr>
              <w:spacing w:after="0"/>
              <w:rPr>
                <w:sz w:val="22"/>
                <w:szCs w:val="22"/>
                <w:color w:val="auto"/>
              </w:rPr>
            </w:pPr>
          </w:p>
        </w:tc>
      </w:tr>
      <w:tr>
        <w:trPr>
          <w:trHeight w:val="187"/>
        </w:trPr>
        <w:tc>
          <w:tcPr>
            <w:tcW w:w="1140" w:type="dxa"/>
            <w:vAlign w:val="bottom"/>
            <w:tcBorders>
              <w:lef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260" w:type="dxa"/>
            <w:vAlign w:val="bottom"/>
            <w:gridSpan w:val="2"/>
          </w:tcPr>
          <w:p>
            <w:pPr>
              <w:jc w:val="right"/>
              <w:ind w:right="1234"/>
              <w:spacing w:after="0" w:line="188" w:lineRule="exact"/>
              <w:rPr>
                <w:sz w:val="20"/>
                <w:szCs w:val="20"/>
                <w:color w:val="auto"/>
              </w:rPr>
            </w:pPr>
            <w:r>
              <w:rPr>
                <w:rFonts w:ascii="Arial" w:cs="Arial" w:eastAsia="Arial" w:hAnsi="Arial"/>
                <w:sz w:val="17"/>
                <w:szCs w:val="17"/>
                <w:b w:val="1"/>
                <w:bCs w:val="1"/>
                <w:color w:val="auto"/>
              </w:rPr>
              <w:t>Enrollment</w:t>
            </w:r>
          </w:p>
        </w:tc>
        <w:tc>
          <w:tcPr>
            <w:tcW w:w="13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47"/>
        </w:trPr>
        <w:tc>
          <w:tcPr>
            <w:tcW w:w="1140" w:type="dxa"/>
            <w:vAlign w:val="bottom"/>
            <w:tcBorders>
              <w:left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rPr>
              <w:t>w/ [***]per site per month</w:t>
            </w:r>
          </w:p>
        </w:tc>
        <w:tc>
          <w:tcPr>
            <w:tcW w:w="134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Part 1</w:t>
            </w:r>
          </w:p>
        </w:tc>
        <w:tc>
          <w:tcPr>
            <w:tcW w:w="4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Part 2</w:t>
            </w:r>
          </w:p>
        </w:tc>
        <w:tc>
          <w:tcPr>
            <w:tcW w:w="1120" w:type="dxa"/>
            <w:vAlign w:val="bottom"/>
          </w:tcPr>
          <w:p>
            <w:pPr>
              <w:spacing w:after="0"/>
              <w:rPr>
                <w:sz w:val="21"/>
                <w:szCs w:val="21"/>
                <w:color w:val="auto"/>
              </w:rPr>
            </w:pPr>
          </w:p>
        </w:tc>
      </w:tr>
      <w:tr>
        <w:trPr>
          <w:trHeight w:val="194"/>
        </w:trPr>
        <w:tc>
          <w:tcPr>
            <w:tcW w:w="1560" w:type="dxa"/>
            <w:vAlign w:val="bottom"/>
            <w:tcBorders>
              <w:left w:val="single" w:sz="8" w:color="auto"/>
              <w:bottom w:val="single" w:sz="8" w:color="auto"/>
            </w:tcBorders>
            <w:gridSpan w:val="2"/>
          </w:tcPr>
          <w:p>
            <w:pPr>
              <w:ind w:left="20"/>
              <w:spacing w:after="0" w:line="189" w:lineRule="exact"/>
              <w:rPr>
                <w:sz w:val="20"/>
                <w:szCs w:val="20"/>
                <w:color w:val="auto"/>
              </w:rPr>
            </w:pPr>
            <w:r>
              <w:rPr>
                <w:rFonts w:ascii="Arial" w:cs="Arial" w:eastAsia="Arial" w:hAnsi="Arial"/>
                <w:sz w:val="17"/>
                <w:szCs w:val="17"/>
                <w:color w:val="auto"/>
              </w:rPr>
              <w:t>Total Enrollment</w:t>
            </w:r>
          </w:p>
        </w:tc>
        <w:tc>
          <w:tcPr>
            <w:tcW w:w="16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714"/>
              <w:spacing w:after="0" w:line="189"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4"/>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15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7"/>
                <w:szCs w:val="17"/>
                <w:color w:val="auto"/>
              </w:rPr>
              <w:t>Active Sites</w:t>
            </w:r>
          </w:p>
        </w:tc>
        <w:tc>
          <w:tcPr>
            <w:tcW w:w="16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7"/>
                <w:szCs w:val="17"/>
                <w:color w:val="auto"/>
              </w:rPr>
              <w:t>Enrollment/Site/Month (on average)</w:t>
            </w: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7"/>
                <w:szCs w:val="17"/>
                <w:color w:val="auto"/>
              </w:rPr>
              <w:t>Monthly Study Enrollment</w:t>
            </w: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7"/>
                <w:szCs w:val="17"/>
                <w:color w:val="auto"/>
              </w:rPr>
              <w:t>Time to Enroll Patient per Part (months)</w:t>
            </w: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7"/>
                <w:szCs w:val="17"/>
                <w:color w:val="auto"/>
              </w:rPr>
              <w:t>TOTAL ENROLLMENT TIME (months)</w:t>
            </w: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147002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60" w:name="page561"/>
    <w:bookmarkEnd w:id="560"/>
    <w:tbl>
      <w:tblPr>
        <w:tblLayout w:type="fixed"/>
        <w:tblInd w:w="10" w:type="dxa"/>
        <w:tblCellMar>
          <w:top w:w="0" w:type="dxa"/>
          <w:left w:w="0" w:type="dxa"/>
          <w:bottom w:w="0" w:type="dxa"/>
          <w:right w:w="0" w:type="dxa"/>
        </w:tblCellMar>
      </w:tblPr>
      <w:tr>
        <w:trPr>
          <w:trHeight w:val="254"/>
        </w:trPr>
        <w:tc>
          <w:tcPr>
            <w:tcW w:w="4600" w:type="dxa"/>
            <w:vAlign w:val="bottom"/>
            <w:tcBorders>
              <w:top w:val="single" w:sz="8" w:color="auto"/>
              <w:left w:val="single" w:sz="8" w:color="auto"/>
              <w:bottom w:val="single" w:sz="8" w:color="auto"/>
              <w:right w:val="single" w:sz="8" w:color="auto"/>
            </w:tcBorders>
          </w:tcPr>
          <w:p>
            <w:pPr>
              <w:ind w:left="1920"/>
              <w:spacing w:after="0"/>
              <w:rPr>
                <w:sz w:val="20"/>
                <w:szCs w:val="20"/>
                <w:color w:val="auto"/>
              </w:rPr>
            </w:pPr>
            <w:r>
              <w:rPr>
                <w:rFonts w:ascii="Arial" w:cs="Arial" w:eastAsia="Arial" w:hAnsi="Arial"/>
                <w:sz w:val="17"/>
                <w:szCs w:val="17"/>
                <w:b w:val="1"/>
                <w:bCs w:val="1"/>
                <w:color w:val="auto"/>
              </w:rPr>
              <w:t>Trial Task</w:t>
            </w:r>
          </w:p>
        </w:tc>
        <w:tc>
          <w:tcPr>
            <w:tcW w:w="4540" w:type="dxa"/>
            <w:vAlign w:val="bottom"/>
            <w:tcBorders>
              <w:top w:val="single" w:sz="8" w:color="auto"/>
              <w:bottom w:val="single" w:sz="8" w:color="auto"/>
              <w:right w:val="single" w:sz="8" w:color="auto"/>
            </w:tcBorders>
          </w:tcPr>
          <w:p>
            <w:pPr>
              <w:jc w:val="right"/>
              <w:ind w:right="1854"/>
              <w:spacing w:after="0"/>
              <w:rPr>
                <w:sz w:val="20"/>
                <w:szCs w:val="20"/>
                <w:color w:val="auto"/>
              </w:rPr>
            </w:pPr>
            <w:r>
              <w:rPr>
                <w:rFonts w:ascii="Arial" w:cs="Arial" w:eastAsia="Arial" w:hAnsi="Arial"/>
                <w:sz w:val="17"/>
                <w:szCs w:val="17"/>
                <w:b w:val="1"/>
                <w:bCs w:val="1"/>
                <w:color w:val="auto"/>
              </w:rPr>
              <w:t>End Date</w:t>
            </w:r>
          </w:p>
        </w:tc>
      </w:tr>
      <w:tr>
        <w:trPr>
          <w:trHeight w:val="194"/>
        </w:trPr>
        <w:tc>
          <w:tcPr>
            <w:tcW w:w="460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Initiate Project</w:t>
            </w:r>
          </w:p>
        </w:tc>
        <w:tc>
          <w:tcPr>
            <w:tcW w:w="4540" w:type="dxa"/>
            <w:vAlign w:val="bottom"/>
            <w:tcBorders>
              <w:bottom w:val="single" w:sz="8" w:color="auto"/>
              <w:right w:val="single" w:sz="8" w:color="auto"/>
            </w:tcBorders>
          </w:tcPr>
          <w:p>
            <w:pPr>
              <w:jc w:val="right"/>
              <w:ind w:right="3934"/>
              <w:spacing w:after="0" w:line="189" w:lineRule="exact"/>
              <w:rPr>
                <w:sz w:val="20"/>
                <w:szCs w:val="20"/>
                <w:color w:val="auto"/>
              </w:rPr>
            </w:pPr>
            <w:r>
              <w:rPr>
                <w:rFonts w:ascii="Arial" w:cs="Arial" w:eastAsia="Arial" w:hAnsi="Arial"/>
                <w:sz w:val="17"/>
                <w:szCs w:val="17"/>
                <w:color w:val="auto"/>
              </w:rPr>
              <w:t>[***]</w:t>
            </w:r>
          </w:p>
        </w:tc>
      </w:tr>
      <w:tr>
        <w:trPr>
          <w:trHeight w:val="212"/>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FPI</w:t>
            </w:r>
          </w:p>
        </w:tc>
        <w:tc>
          <w:tcPr>
            <w:tcW w:w="4540" w:type="dxa"/>
            <w:vAlign w:val="bottom"/>
            <w:tcBorders>
              <w:bottom w:val="single" w:sz="8" w:color="auto"/>
              <w:right w:val="single" w:sz="8" w:color="auto"/>
            </w:tcBorders>
          </w:tcPr>
          <w:p>
            <w:pPr>
              <w:jc w:val="right"/>
              <w:ind w:right="3934"/>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540" w:type="dxa"/>
            <w:vAlign w:val="bottom"/>
            <w:tcBorders>
              <w:bottom w:val="single" w:sz="8" w:color="auto"/>
              <w:right w:val="single" w:sz="8" w:color="auto"/>
            </w:tcBorders>
          </w:tcPr>
          <w:p>
            <w:pPr>
              <w:jc w:val="right"/>
              <w:ind w:right="3934"/>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LPI</w:t>
            </w:r>
          </w:p>
        </w:tc>
        <w:tc>
          <w:tcPr>
            <w:tcW w:w="4540" w:type="dxa"/>
            <w:vAlign w:val="bottom"/>
            <w:tcBorders>
              <w:bottom w:val="single" w:sz="8" w:color="auto"/>
              <w:right w:val="single" w:sz="8" w:color="auto"/>
            </w:tcBorders>
          </w:tcPr>
          <w:p>
            <w:pPr>
              <w:jc w:val="right"/>
              <w:ind w:right="3934"/>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DB Lock</w:t>
            </w:r>
          </w:p>
        </w:tc>
        <w:tc>
          <w:tcPr>
            <w:tcW w:w="4540" w:type="dxa"/>
            <w:vAlign w:val="bottom"/>
            <w:tcBorders>
              <w:bottom w:val="single" w:sz="8" w:color="auto"/>
              <w:right w:val="single" w:sz="8" w:color="auto"/>
            </w:tcBorders>
          </w:tcPr>
          <w:p>
            <w:pPr>
              <w:jc w:val="right"/>
              <w:ind w:right="3934"/>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CSR</w:t>
            </w:r>
          </w:p>
        </w:tc>
        <w:tc>
          <w:tcPr>
            <w:tcW w:w="4540" w:type="dxa"/>
            <w:vAlign w:val="bottom"/>
            <w:tcBorders>
              <w:bottom w:val="single" w:sz="8" w:color="auto"/>
              <w:right w:val="single" w:sz="8" w:color="auto"/>
            </w:tcBorders>
          </w:tcPr>
          <w:p>
            <w:pPr>
              <w:jc w:val="right"/>
              <w:ind w:right="3934"/>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Submit PMA</w:t>
            </w:r>
          </w:p>
        </w:tc>
        <w:tc>
          <w:tcPr>
            <w:tcW w:w="4540" w:type="dxa"/>
            <w:vAlign w:val="bottom"/>
            <w:tcBorders>
              <w:bottom w:val="single" w:sz="8" w:color="auto"/>
              <w:right w:val="single" w:sz="8" w:color="auto"/>
            </w:tcBorders>
          </w:tcPr>
          <w:p>
            <w:pPr>
              <w:jc w:val="right"/>
              <w:ind w:right="3934"/>
              <w:spacing w:after="0"/>
              <w:rPr>
                <w:sz w:val="20"/>
                <w:szCs w:val="20"/>
                <w:color w:val="auto"/>
              </w:rPr>
            </w:pPr>
            <w:r>
              <w:rPr>
                <w:rFonts w:ascii="Arial" w:cs="Arial" w:eastAsia="Arial" w:hAnsi="Arial"/>
                <w:sz w:val="17"/>
                <w:szCs w:val="17"/>
                <w:color w:val="auto"/>
              </w:rPr>
              <w:t>[***]</w:t>
            </w:r>
          </w:p>
        </w:tc>
      </w:tr>
      <w:tr>
        <w:trPr>
          <w:trHeight w:val="436"/>
        </w:trPr>
        <w:tc>
          <w:tcPr>
            <w:tcW w:w="4600" w:type="dxa"/>
            <w:vAlign w:val="bottom"/>
          </w:tcPr>
          <w:p>
            <w:pPr>
              <w:ind w:left="780"/>
              <w:spacing w:after="0"/>
              <w:rPr>
                <w:sz w:val="20"/>
                <w:szCs w:val="20"/>
                <w:color w:val="auto"/>
              </w:rPr>
            </w:pPr>
            <w:r>
              <w:rPr>
                <w:rFonts w:ascii="Arial" w:cs="Arial" w:eastAsia="Arial" w:hAnsi="Arial"/>
                <w:sz w:val="17"/>
                <w:szCs w:val="17"/>
                <w:b w:val="1"/>
                <w:bCs w:val="1"/>
                <w:color w:val="auto"/>
              </w:rPr>
              <w:t>Probability of success</w:t>
            </w:r>
          </w:p>
        </w:tc>
        <w:tc>
          <w:tcPr>
            <w:tcW w:w="4540" w:type="dxa"/>
            <w:vAlign w:val="bottom"/>
          </w:tcPr>
          <w:p>
            <w:pPr>
              <w:spacing w:after="0"/>
              <w:rPr>
                <w:sz w:val="24"/>
                <w:szCs w:val="24"/>
                <w:color w:val="auto"/>
              </w:rPr>
            </w:pPr>
          </w:p>
        </w:tc>
      </w:tr>
    </w:tbl>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Based on the available preclinical data it is not possible to come to a firm estimate of POS at this time. However, there is evidence of efficacy in preclinical models, and a consensus among experts that the mechanism is plausible. Given the existing data on the prior use of this class of compounds in humans, the likelihood of adequate safety and tolerability seems higher than would otherwise be possible at this stage, and given the device designation, the probability of clinical and regulatory success is likewise higher than it might otherwise be. Assuming the likelihood of adequate safety at [***] and the likelihood of adequate efficacy at [***], the overall POS to filing is in the range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147002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492" w:right="339" w:bottom="1440" w:gutter="0" w:footer="0" w:header="0"/>
        </w:sectPr>
      </w:pPr>
    </w:p>
    <w:bookmarkStart w:id="561" w:name="page562"/>
    <w:bookmarkEnd w:id="561"/>
    <w:p>
      <w:pPr>
        <w:jc w:val="center"/>
        <w:ind w:right="-139"/>
        <w:spacing w:after="0"/>
        <w:rPr>
          <w:sz w:val="20"/>
          <w:szCs w:val="20"/>
          <w:color w:val="auto"/>
        </w:rPr>
      </w:pPr>
      <w:r>
        <w:rPr>
          <w:rFonts w:ascii="Arial" w:cs="Arial" w:eastAsia="Arial" w:hAnsi="Arial"/>
          <w:sz w:val="17"/>
          <w:szCs w:val="17"/>
          <w:u w:val="single" w:color="auto"/>
          <w:color w:val="auto"/>
        </w:rPr>
        <w:t>SCHEDULE 3.7</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PRELIMINARY COMMERCIALIZATION PLAN</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Preface:</w:t>
      </w:r>
    </w:p>
    <w:p>
      <w:pPr>
        <w:spacing w:after="0" w:line="242" w:lineRule="exact"/>
        <w:rPr>
          <w:sz w:val="20"/>
          <w:szCs w:val="20"/>
          <w:color w:val="auto"/>
        </w:rPr>
      </w:pPr>
    </w:p>
    <w:p>
      <w:pPr>
        <w:ind w:left="320"/>
        <w:spacing w:after="0" w:line="293" w:lineRule="auto"/>
        <w:rPr>
          <w:sz w:val="20"/>
          <w:szCs w:val="20"/>
          <w:color w:val="auto"/>
        </w:rPr>
      </w:pPr>
      <w:r>
        <w:rPr>
          <w:rFonts w:ascii="Arial" w:cs="Arial" w:eastAsia="Arial" w:hAnsi="Arial"/>
          <w:sz w:val="16"/>
          <w:szCs w:val="16"/>
          <w:b w:val="1"/>
          <w:bCs w:val="1"/>
          <w:color w:val="auto"/>
        </w:rPr>
        <w:t>This document is prepared for the management of BioLineRx as a basis for discussion only, and is intended to be indicative of Ikaria’s current intent with respect to global commercialization of BL-1040. Actual launch plans will continue to evolve over time, in accordance with the evolution of market dynamics, the global environment for cardiovascular drugs and devices, and the emerging product profile of BL-1040.</w:t>
      </w:r>
    </w:p>
    <w:p>
      <w:pPr>
        <w:spacing w:after="0" w:line="166" w:lineRule="exact"/>
        <w:rPr>
          <w:sz w:val="20"/>
          <w:szCs w:val="20"/>
          <w:color w:val="auto"/>
        </w:rPr>
      </w:pPr>
    </w:p>
    <w:p>
      <w:pPr>
        <w:ind w:left="920" w:hanging="608"/>
        <w:spacing w:after="0"/>
        <w:tabs>
          <w:tab w:leader="none" w:pos="920" w:val="left"/>
        </w:tabs>
        <w:numPr>
          <w:ilvl w:val="0"/>
          <w:numId w:val="473"/>
        </w:numPr>
        <w:rPr>
          <w:rFonts w:ascii="Arial" w:cs="Arial" w:eastAsia="Arial" w:hAnsi="Arial"/>
          <w:sz w:val="21"/>
          <w:szCs w:val="21"/>
          <w:b w:val="1"/>
          <w:bCs w:val="1"/>
          <w:color w:val="auto"/>
        </w:rPr>
      </w:pPr>
      <w:r>
        <w:rPr>
          <w:rFonts w:ascii="Arial" w:cs="Arial" w:eastAsia="Arial" w:hAnsi="Arial"/>
          <w:sz w:val="21"/>
          <w:szCs w:val="21"/>
          <w:b w:val="1"/>
          <w:bCs w:val="1"/>
          <w:color w:val="auto"/>
        </w:rPr>
        <w:t>Situation Analysis</w:t>
      </w:r>
    </w:p>
    <w:p>
      <w:pPr>
        <w:spacing w:after="0" w:line="230" w:lineRule="exact"/>
        <w:rPr>
          <w:rFonts w:ascii="Arial" w:cs="Arial" w:eastAsia="Arial" w:hAnsi="Arial"/>
          <w:sz w:val="21"/>
          <w:szCs w:val="21"/>
          <w:b w:val="1"/>
          <w:bCs w:val="1"/>
          <w:color w:val="auto"/>
        </w:rPr>
      </w:pPr>
    </w:p>
    <w:p>
      <w:pPr>
        <w:ind w:left="1240" w:hanging="311"/>
        <w:spacing w:after="0"/>
        <w:tabs>
          <w:tab w:leader="none" w:pos="1240" w:val="left"/>
        </w:tabs>
        <w:numPr>
          <w:ilvl w:val="1"/>
          <w:numId w:val="473"/>
        </w:numPr>
        <w:rPr>
          <w:rFonts w:ascii="Arial" w:cs="Arial" w:eastAsia="Arial" w:hAnsi="Arial"/>
          <w:sz w:val="17"/>
          <w:szCs w:val="17"/>
          <w:b w:val="1"/>
          <w:bCs w:val="1"/>
          <w:color w:val="auto"/>
        </w:rPr>
      </w:pPr>
      <w:r>
        <w:rPr>
          <w:rFonts w:ascii="Arial" w:cs="Arial" w:eastAsia="Arial" w:hAnsi="Arial"/>
          <w:sz w:val="17"/>
          <w:szCs w:val="17"/>
          <w:b w:val="1"/>
          <w:bCs w:val="1"/>
          <w:color w:val="auto"/>
        </w:rPr>
        <w:t>Unmet Medical Need</w:t>
      </w:r>
    </w:p>
    <w:p>
      <w:pPr>
        <w:spacing w:after="0" w:line="247" w:lineRule="exact"/>
        <w:rPr>
          <w:rFonts w:ascii="Arial" w:cs="Arial" w:eastAsia="Arial" w:hAnsi="Arial"/>
          <w:sz w:val="17"/>
          <w:szCs w:val="17"/>
          <w:b w:val="1"/>
          <w:bCs w:val="1"/>
          <w:color w:val="auto"/>
        </w:rPr>
      </w:pPr>
    </w:p>
    <w:p>
      <w:pPr>
        <w:ind w:left="1240" w:right="6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Each year cardiovascular disease (CVD) causes over 4.3 million deaths in Europe. CVD is estimated to cost the European Union (EU) economy €192 billion a year. The main forms of CVD are coronary heart disease (CHD) and stroke. Just under half of all deaths from CVD are from CHD. CV is also a large problem in Japan, and is emerging as a public health issue even in the developing countries.</w:t>
      </w:r>
    </w:p>
    <w:p>
      <w:pPr>
        <w:spacing w:after="0" w:line="184" w:lineRule="exact"/>
        <w:rPr>
          <w:rFonts w:ascii="Arial" w:cs="Arial" w:eastAsia="Arial" w:hAnsi="Arial"/>
          <w:sz w:val="17"/>
          <w:szCs w:val="17"/>
          <w:b w:val="1"/>
          <w:bCs w:val="1"/>
          <w:color w:val="auto"/>
        </w:rPr>
      </w:pPr>
    </w:p>
    <w:p>
      <w:pPr>
        <w:ind w:left="1240" w:right="4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Each year smoking kills over 1.2 million people in Europe (450,000 from CVD)). Dietary patterns across Europe are playing an increasing role in CVD. Levels of physical inactivity are high in many European countries and levels of obesity are increasing across Europe in both adults and children. Over 48 million adults in Europe have diabetes and the prevalence is increasing.</w:t>
      </w:r>
    </w:p>
    <w:p>
      <w:pPr>
        <w:spacing w:after="0" w:line="201" w:lineRule="exact"/>
        <w:rPr>
          <w:rFonts w:ascii="Arial" w:cs="Arial" w:eastAsia="Arial" w:hAnsi="Arial"/>
          <w:sz w:val="17"/>
          <w:szCs w:val="17"/>
          <w:b w:val="1"/>
          <w:bCs w:val="1"/>
          <w:color w:val="auto"/>
        </w:rPr>
      </w:pPr>
    </w:p>
    <w:p>
      <w:pPr>
        <w:ind w:left="1240"/>
        <w:spacing w:after="0"/>
        <w:rPr>
          <w:rFonts w:ascii="Arial" w:cs="Arial" w:eastAsia="Arial" w:hAnsi="Arial"/>
          <w:sz w:val="17"/>
          <w:szCs w:val="17"/>
          <w:b w:val="1"/>
          <w:bCs w:val="1"/>
          <w:color w:val="auto"/>
        </w:rPr>
      </w:pPr>
      <w:r>
        <w:rPr>
          <w:rFonts w:ascii="Arial" w:cs="Arial" w:eastAsia="Arial" w:hAnsi="Arial"/>
          <w:sz w:val="17"/>
          <w:szCs w:val="17"/>
          <w:color w:val="auto"/>
        </w:rPr>
        <w:t>Estimates for population and cardiovascular statistics are presented in Table 1</w:t>
      </w:r>
    </w:p>
    <w:p>
      <w:pPr>
        <w:spacing w:after="0" w:line="235" w:lineRule="exact"/>
        <w:rPr>
          <w:rFonts w:ascii="Arial" w:cs="Arial" w:eastAsia="Arial" w:hAnsi="Arial"/>
          <w:sz w:val="17"/>
          <w:szCs w:val="17"/>
          <w:b w:val="1"/>
          <w:bCs w:val="1"/>
          <w:color w:val="auto"/>
        </w:rPr>
      </w:pPr>
    </w:p>
    <w:p>
      <w:pPr>
        <w:ind w:left="12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Table 1</w:t>
      </w:r>
    </w:p>
    <w:p>
      <w:pPr>
        <w:spacing w:after="0" w:line="27" w:lineRule="exact"/>
        <w:rPr>
          <w:sz w:val="20"/>
          <w:szCs w:val="20"/>
          <w:color w:val="auto"/>
        </w:rPr>
      </w:pPr>
    </w:p>
    <w:tbl>
      <w:tblPr>
        <w:tblLayout w:type="fixed"/>
        <w:tblInd w:w="1250" w:type="dxa"/>
        <w:tblCellMar>
          <w:top w:w="0" w:type="dxa"/>
          <w:left w:w="0" w:type="dxa"/>
          <w:bottom w:w="0" w:type="dxa"/>
          <w:right w:w="0" w:type="dxa"/>
        </w:tblCellMar>
      </w:tblPr>
      <w:tr>
        <w:trPr>
          <w:trHeight w:val="195"/>
        </w:trPr>
        <w:tc>
          <w:tcPr>
            <w:tcW w:w="1700" w:type="dxa"/>
            <w:vAlign w:val="bottom"/>
            <w:tcBorders>
              <w:top w:val="single" w:sz="8" w:color="auto"/>
              <w:left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89"/>
              </w:rPr>
              <w:t>Est.</w:t>
            </w:r>
          </w:p>
        </w:tc>
        <w:tc>
          <w:tcPr>
            <w:tcW w:w="176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r>
      <w:tr>
        <w:trPr>
          <w:trHeight w:val="206"/>
        </w:trPr>
        <w:tc>
          <w:tcPr>
            <w:tcW w:w="170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3"/>
              </w:rPr>
              <w:t>Annual</w:t>
            </w:r>
          </w:p>
        </w:tc>
        <w:tc>
          <w:tcPr>
            <w:tcW w:w="17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06"/>
        </w:trPr>
        <w:tc>
          <w:tcPr>
            <w:tcW w:w="170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1"/>
              </w:rPr>
              <w:t>non-fatal</w:t>
            </w:r>
          </w:p>
        </w:tc>
        <w:tc>
          <w:tcPr>
            <w:tcW w:w="17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r>
      <w:tr>
        <w:trPr>
          <w:trHeight w:val="206"/>
        </w:trPr>
        <w:tc>
          <w:tcPr>
            <w:tcW w:w="170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ind w:left="300"/>
              <w:spacing w:after="0"/>
              <w:rPr>
                <w:sz w:val="20"/>
                <w:szCs w:val="20"/>
                <w:color w:val="auto"/>
              </w:rPr>
            </w:pPr>
            <w:r>
              <w:rPr>
                <w:rFonts w:ascii="Arial" w:cs="Arial" w:eastAsia="Arial" w:hAnsi="Arial"/>
                <w:sz w:val="17"/>
                <w:szCs w:val="17"/>
                <w:b w:val="1"/>
                <w:bCs w:val="1"/>
                <w:color w:val="auto"/>
              </w:rPr>
              <w:t>Population</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rPr>
              <w:t>Ml</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5"/>
              </w:rPr>
              <w:t>Interventional</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Annual PCI</w:t>
            </w:r>
          </w:p>
        </w:tc>
      </w:tr>
      <w:tr>
        <w:trPr>
          <w:trHeight w:val="230"/>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Country</w:t>
            </w:r>
          </w:p>
        </w:tc>
        <w:tc>
          <w:tcPr>
            <w:tcW w:w="152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3"/>
              </w:rPr>
              <w:t>(000,000)</w:t>
            </w:r>
          </w:p>
        </w:tc>
        <w:tc>
          <w:tcPr>
            <w:tcW w:w="11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5"/>
              </w:rPr>
              <w:t>(000)</w:t>
            </w:r>
          </w:p>
        </w:tc>
        <w:tc>
          <w:tcPr>
            <w:tcW w:w="17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0"/>
              </w:rPr>
              <w:t>Cardiologist</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Procedures</w:t>
            </w:r>
          </w:p>
        </w:tc>
      </w:tr>
      <w:tr>
        <w:trPr>
          <w:trHeight w:val="193"/>
        </w:trPr>
        <w:tc>
          <w:tcPr>
            <w:tcW w:w="1700" w:type="dxa"/>
            <w:vAlign w:val="bottom"/>
            <w:tcBorders>
              <w:left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line="194" w:lineRule="exact"/>
              <w:rPr>
                <w:sz w:val="20"/>
                <w:szCs w:val="20"/>
                <w:color w:val="auto"/>
              </w:rPr>
            </w:pPr>
            <w:r>
              <w:rPr>
                <w:rFonts w:ascii="Arial" w:cs="Arial" w:eastAsia="Arial" w:hAnsi="Arial"/>
                <w:sz w:val="17"/>
                <w:szCs w:val="17"/>
                <w:color w:val="auto"/>
                <w:w w:val="90"/>
              </w:rPr>
              <w:t>10.4</w:t>
            </w:r>
          </w:p>
        </w:tc>
        <w:tc>
          <w:tcPr>
            <w:tcW w:w="1160" w:type="dxa"/>
            <w:vAlign w:val="bottom"/>
            <w:tcBorders>
              <w:right w:val="single" w:sz="8" w:color="auto"/>
            </w:tcBorders>
          </w:tcPr>
          <w:p>
            <w:pPr>
              <w:jc w:val="center"/>
              <w:ind w:right="14"/>
              <w:spacing w:after="0" w:line="194" w:lineRule="exact"/>
              <w:rPr>
                <w:sz w:val="20"/>
                <w:szCs w:val="20"/>
                <w:color w:val="auto"/>
              </w:rPr>
            </w:pPr>
            <w:r>
              <w:rPr>
                <w:rFonts w:ascii="Arial" w:cs="Arial" w:eastAsia="Arial" w:hAnsi="Arial"/>
                <w:sz w:val="17"/>
                <w:szCs w:val="17"/>
                <w:color w:val="auto"/>
                <w:w w:val="90"/>
              </w:rPr>
              <w:t>34.7</w:t>
            </w:r>
          </w:p>
        </w:tc>
        <w:tc>
          <w:tcPr>
            <w:tcW w:w="1760" w:type="dxa"/>
            <w:vAlign w:val="bottom"/>
            <w:tcBorders>
              <w:right w:val="single" w:sz="8" w:color="auto"/>
            </w:tcBorders>
          </w:tcPr>
          <w:p>
            <w:pPr>
              <w:jc w:val="center"/>
              <w:ind w:right="14"/>
              <w:spacing w:after="0" w:line="194" w:lineRule="exact"/>
              <w:rPr>
                <w:sz w:val="20"/>
                <w:szCs w:val="20"/>
                <w:color w:val="auto"/>
              </w:rPr>
            </w:pPr>
            <w:r>
              <w:rPr>
                <w:rFonts w:ascii="Arial" w:cs="Arial" w:eastAsia="Arial" w:hAnsi="Arial"/>
                <w:sz w:val="17"/>
                <w:szCs w:val="17"/>
                <w:color w:val="auto"/>
                <w:w w:val="91"/>
              </w:rPr>
              <w:t>230</w:t>
            </w:r>
          </w:p>
        </w:tc>
        <w:tc>
          <w:tcPr>
            <w:tcW w:w="15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84"/>
              </w:rPr>
              <w:t>28</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2"/>
              </w:rPr>
              <w:t>5.5</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18.3</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4"/>
              </w:rPr>
              <w:t>85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15</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2"/>
              </w:rPr>
              <w:t>5.3</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17.7</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4"/>
              </w:rPr>
              <w:t>80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14</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64.4</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214.7</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1,772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172</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82.3</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274.3</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1,500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219</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16.7</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55.7</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1"/>
              </w:rPr>
              <w:t>266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45</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2"/>
              </w:rPr>
              <w:t>0.3</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2"/>
              </w:rPr>
              <w:t>1.0</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4"/>
              </w:rPr>
              <w:t>14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58.1</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193.7</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1,879</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155</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40.5</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135.0</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1"/>
              </w:rPr>
              <w:t>730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108</w:t>
            </w:r>
          </w:p>
        </w:tc>
      </w:tr>
      <w:tr>
        <w:trPr>
          <w:trHeight w:val="206"/>
        </w:trPr>
        <w:tc>
          <w:tcPr>
            <w:tcW w:w="1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2"/>
              </w:rPr>
              <w:t>7.6</w:t>
            </w:r>
          </w:p>
        </w:tc>
        <w:tc>
          <w:tcPr>
            <w:tcW w:w="11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25.3</w:t>
            </w:r>
          </w:p>
        </w:tc>
        <w:tc>
          <w:tcPr>
            <w:tcW w:w="1760" w:type="dxa"/>
            <w:vAlign w:val="bottom"/>
            <w:tcBorders>
              <w:right w:val="single" w:sz="8" w:color="auto"/>
            </w:tcBorders>
          </w:tcPr>
          <w:p>
            <w:pPr>
              <w:jc w:val="center"/>
              <w:ind w:right="14"/>
              <w:spacing w:after="0"/>
              <w:rPr>
                <w:sz w:val="20"/>
                <w:szCs w:val="20"/>
                <w:color w:val="auto"/>
              </w:rPr>
            </w:pPr>
            <w:r>
              <w:rPr>
                <w:rFonts w:ascii="Arial" w:cs="Arial" w:eastAsia="Arial" w:hAnsi="Arial"/>
                <w:sz w:val="17"/>
                <w:szCs w:val="17"/>
                <w:color w:val="auto"/>
                <w:w w:val="91"/>
              </w:rPr>
              <w:t>124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20</w:t>
            </w:r>
          </w:p>
        </w:tc>
      </w:tr>
      <w:tr>
        <w:trPr>
          <w:trHeight w:val="224"/>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color w:val="auto"/>
                <w:w w:val="90"/>
              </w:rPr>
              <w:t>61.1</w:t>
            </w:r>
          </w:p>
        </w:tc>
        <w:tc>
          <w:tcPr>
            <w:tcW w:w="11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203.7</w:t>
            </w:r>
          </w:p>
        </w:tc>
        <w:tc>
          <w:tcPr>
            <w:tcW w:w="17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color w:val="auto"/>
                <w:w w:val="89"/>
              </w:rPr>
              <w:t>1,000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163</w:t>
            </w:r>
          </w:p>
        </w:tc>
      </w:tr>
      <w:tr>
        <w:trPr>
          <w:trHeight w:val="212"/>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Total Europe</w:t>
            </w:r>
          </w:p>
        </w:tc>
        <w:tc>
          <w:tcPr>
            <w:tcW w:w="15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352.2</w:t>
            </w:r>
          </w:p>
        </w:tc>
        <w:tc>
          <w:tcPr>
            <w:tcW w:w="11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8"/>
              </w:rPr>
              <w:t>1,174.0</w:t>
            </w:r>
          </w:p>
        </w:tc>
        <w:tc>
          <w:tcPr>
            <w:tcW w:w="17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7,682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939</w:t>
            </w:r>
          </w:p>
        </w:tc>
      </w:tr>
      <w:tr>
        <w:trPr>
          <w:trHeight w:val="193"/>
        </w:trPr>
        <w:tc>
          <w:tcPr>
            <w:tcW w:w="1700" w:type="dxa"/>
            <w:vAlign w:val="bottom"/>
            <w:tcBorders>
              <w:left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color w:val="auto"/>
              </w:rPr>
              <w:t>[***]</w:t>
            </w:r>
          </w:p>
        </w:tc>
        <w:tc>
          <w:tcPr>
            <w:tcW w:w="1520" w:type="dxa"/>
            <w:vAlign w:val="bottom"/>
            <w:tcBorders>
              <w:right w:val="single" w:sz="8" w:color="auto"/>
            </w:tcBorders>
          </w:tcPr>
          <w:p>
            <w:pPr>
              <w:jc w:val="center"/>
              <w:ind w:right="14"/>
              <w:spacing w:after="0" w:line="194" w:lineRule="exact"/>
              <w:rPr>
                <w:sz w:val="20"/>
                <w:szCs w:val="20"/>
                <w:color w:val="auto"/>
              </w:rPr>
            </w:pPr>
            <w:r>
              <w:rPr>
                <w:rFonts w:ascii="Arial" w:cs="Arial" w:eastAsia="Arial" w:hAnsi="Arial"/>
                <w:sz w:val="17"/>
                <w:szCs w:val="17"/>
                <w:color w:val="auto"/>
                <w:w w:val="89"/>
              </w:rPr>
              <w:t>127.0</w:t>
            </w:r>
          </w:p>
        </w:tc>
        <w:tc>
          <w:tcPr>
            <w:tcW w:w="1160" w:type="dxa"/>
            <w:vAlign w:val="bottom"/>
            <w:tcBorders>
              <w:right w:val="single" w:sz="8" w:color="auto"/>
            </w:tcBorders>
          </w:tcPr>
          <w:p>
            <w:pPr>
              <w:jc w:val="center"/>
              <w:ind w:right="14"/>
              <w:spacing w:after="0" w:line="194" w:lineRule="exact"/>
              <w:rPr>
                <w:sz w:val="20"/>
                <w:szCs w:val="20"/>
                <w:color w:val="auto"/>
              </w:rPr>
            </w:pPr>
            <w:r>
              <w:rPr>
                <w:rFonts w:ascii="Arial" w:cs="Arial" w:eastAsia="Arial" w:hAnsi="Arial"/>
                <w:sz w:val="17"/>
                <w:szCs w:val="17"/>
                <w:color w:val="auto"/>
                <w:w w:val="89"/>
              </w:rPr>
              <w:t>423.3</w:t>
            </w:r>
          </w:p>
        </w:tc>
        <w:tc>
          <w:tcPr>
            <w:tcW w:w="1760" w:type="dxa"/>
            <w:vAlign w:val="bottom"/>
            <w:tcBorders>
              <w:right w:val="single" w:sz="8" w:color="auto"/>
            </w:tcBorders>
          </w:tcPr>
          <w:p>
            <w:pPr>
              <w:jc w:val="center"/>
              <w:ind w:right="14"/>
              <w:spacing w:after="0" w:line="194" w:lineRule="exact"/>
              <w:rPr>
                <w:sz w:val="20"/>
                <w:szCs w:val="20"/>
                <w:color w:val="auto"/>
              </w:rPr>
            </w:pPr>
            <w:r>
              <w:rPr>
                <w:rFonts w:ascii="Arial" w:cs="Arial" w:eastAsia="Arial" w:hAnsi="Arial"/>
                <w:sz w:val="17"/>
                <w:szCs w:val="17"/>
                <w:color w:val="auto"/>
                <w:w w:val="89"/>
              </w:rPr>
              <w:t>2,500</w:t>
            </w:r>
          </w:p>
        </w:tc>
        <w:tc>
          <w:tcPr>
            <w:tcW w:w="15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84"/>
              </w:rPr>
              <w:t>339</w:t>
            </w:r>
          </w:p>
        </w:tc>
      </w:tr>
      <w:tr>
        <w:trPr>
          <w:trHeight w:val="224"/>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7"/>
                <w:szCs w:val="17"/>
                <w:color w:val="auto"/>
                <w:w w:val="84"/>
              </w:rPr>
              <w:t>21</w:t>
            </w:r>
          </w:p>
        </w:tc>
        <w:tc>
          <w:tcPr>
            <w:tcW w:w="11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color w:val="auto"/>
                <w:w w:val="94"/>
              </w:rPr>
              <w:t>70</w:t>
            </w:r>
          </w:p>
        </w:tc>
        <w:tc>
          <w:tcPr>
            <w:tcW w:w="17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color w:val="auto"/>
                <w:w w:val="91"/>
              </w:rPr>
              <w:t>373</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56</w:t>
            </w:r>
          </w:p>
        </w:tc>
      </w:tr>
      <w:tr>
        <w:trPr>
          <w:trHeight w:val="212"/>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Grand Total</w:t>
            </w:r>
          </w:p>
        </w:tc>
        <w:tc>
          <w:tcPr>
            <w:tcW w:w="15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479.2</w:t>
            </w:r>
          </w:p>
        </w:tc>
        <w:tc>
          <w:tcPr>
            <w:tcW w:w="11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8"/>
              </w:rPr>
              <w:t>1,597.3</w:t>
            </w:r>
          </w:p>
        </w:tc>
        <w:tc>
          <w:tcPr>
            <w:tcW w:w="176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8"/>
              </w:rPr>
              <w:t>10,182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1,278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147002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500" w:right="379" w:bottom="1440" w:gutter="0" w:footer="0" w:header="0"/>
        </w:sectPr>
      </w:pPr>
    </w:p>
    <w:bookmarkStart w:id="562" w:name="page563"/>
    <w:bookmarkEnd w:id="562"/>
    <w:p>
      <w:pPr>
        <w:ind w:left="1237" w:hanging="311"/>
        <w:spacing w:after="0"/>
        <w:tabs>
          <w:tab w:leader="none" w:pos="1237" w:val="left"/>
        </w:tabs>
        <w:numPr>
          <w:ilvl w:val="1"/>
          <w:numId w:val="474"/>
        </w:numPr>
        <w:rPr>
          <w:rFonts w:ascii="Arial" w:cs="Arial" w:eastAsia="Arial" w:hAnsi="Arial"/>
          <w:sz w:val="17"/>
          <w:szCs w:val="17"/>
          <w:b w:val="1"/>
          <w:bCs w:val="1"/>
          <w:color w:val="auto"/>
        </w:rPr>
      </w:pPr>
      <w:r>
        <w:rPr>
          <w:rFonts w:ascii="Arial" w:cs="Arial" w:eastAsia="Arial" w:hAnsi="Arial"/>
          <w:sz w:val="17"/>
          <w:szCs w:val="17"/>
          <w:b w:val="1"/>
          <w:bCs w:val="1"/>
          <w:color w:val="auto"/>
        </w:rPr>
        <w:t>Product</w:t>
      </w:r>
    </w:p>
    <w:p>
      <w:pPr>
        <w:spacing w:after="0" w:line="247" w:lineRule="exact"/>
        <w:rPr>
          <w:rFonts w:ascii="Arial" w:cs="Arial" w:eastAsia="Arial" w:hAnsi="Arial"/>
          <w:sz w:val="17"/>
          <w:szCs w:val="17"/>
          <w:b w:val="1"/>
          <w:bCs w:val="1"/>
          <w:color w:val="auto"/>
        </w:rPr>
      </w:pPr>
    </w:p>
    <w:p>
      <w:pPr>
        <w:ind w:left="1237"/>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BL-1040, a novel, injectable, biodegradable polymer designed to be used in conjunction with Percutaneous coronary intervention (PCI) to provide mechanical scaffolding and reduce the risk of structural remodeling and heart failure in post-myocardial infarction (post-MI) patients, is currently in development and could be on the market as early as [***] If successful, BL-1040 could be a breakthrough in the management of patients with cardiovascular disease and could represent a large commercial opportunity for Ikaria and BioLineRx.</w:t>
      </w:r>
    </w:p>
    <w:p>
      <w:pPr>
        <w:spacing w:after="0" w:line="198" w:lineRule="exact"/>
        <w:rPr>
          <w:rFonts w:ascii="Arial" w:cs="Arial" w:eastAsia="Arial" w:hAnsi="Arial"/>
          <w:sz w:val="17"/>
          <w:szCs w:val="17"/>
          <w:b w:val="1"/>
          <w:bCs w:val="1"/>
          <w:color w:val="auto"/>
        </w:rPr>
      </w:pPr>
    </w:p>
    <w:p>
      <w:pPr>
        <w:ind w:left="1237" w:hanging="311"/>
        <w:spacing w:after="0"/>
        <w:tabs>
          <w:tab w:leader="none" w:pos="1237" w:val="left"/>
        </w:tabs>
        <w:numPr>
          <w:ilvl w:val="1"/>
          <w:numId w:val="474"/>
        </w:numPr>
        <w:rPr>
          <w:rFonts w:ascii="Arial" w:cs="Arial" w:eastAsia="Arial" w:hAnsi="Arial"/>
          <w:sz w:val="17"/>
          <w:szCs w:val="17"/>
          <w:b w:val="1"/>
          <w:bCs w:val="1"/>
          <w:color w:val="auto"/>
        </w:rPr>
      </w:pPr>
      <w:r>
        <w:rPr>
          <w:rFonts w:ascii="Arial" w:cs="Arial" w:eastAsia="Arial" w:hAnsi="Arial"/>
          <w:sz w:val="17"/>
          <w:szCs w:val="17"/>
          <w:b w:val="1"/>
          <w:bCs w:val="1"/>
          <w:color w:val="auto"/>
        </w:rPr>
        <w:t>Assessment of current level of CV practice</w:t>
      </w:r>
    </w:p>
    <w:p>
      <w:pPr>
        <w:spacing w:after="0" w:line="247" w:lineRule="exact"/>
        <w:rPr>
          <w:rFonts w:ascii="Arial" w:cs="Arial" w:eastAsia="Arial" w:hAnsi="Arial"/>
          <w:sz w:val="17"/>
          <w:szCs w:val="17"/>
          <w:b w:val="1"/>
          <w:bCs w:val="1"/>
          <w:color w:val="auto"/>
        </w:rPr>
      </w:pPr>
    </w:p>
    <w:p>
      <w:pPr>
        <w:ind w:left="1237" w:right="26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There is significant variability around the medical management of CHD across Europe. Theses groupings give a high level overview of the most common interventions:</w:t>
      </w:r>
    </w:p>
    <w:p>
      <w:pPr>
        <w:spacing w:after="0" w:line="190" w:lineRule="exact"/>
        <w:rPr>
          <w:rFonts w:ascii="Arial" w:cs="Arial" w:eastAsia="Arial" w:hAnsi="Arial"/>
          <w:sz w:val="17"/>
          <w:szCs w:val="17"/>
          <w:b w:val="1"/>
          <w:bCs w:val="1"/>
          <w:color w:val="auto"/>
        </w:rPr>
      </w:pPr>
    </w:p>
    <w:p>
      <w:pPr>
        <w:ind w:left="1237"/>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Hospital admissions</w:t>
      </w:r>
    </w:p>
    <w:p>
      <w:pPr>
        <w:spacing w:after="0" w:line="241" w:lineRule="exact"/>
        <w:rPr>
          <w:rFonts w:ascii="Arial" w:cs="Arial" w:eastAsia="Arial" w:hAnsi="Arial"/>
          <w:sz w:val="17"/>
          <w:szCs w:val="17"/>
          <w:b w:val="1"/>
          <w:bCs w:val="1"/>
          <w:color w:val="auto"/>
        </w:rPr>
      </w:pPr>
    </w:p>
    <w:p>
      <w:pPr>
        <w:ind w:left="1237" w:right="14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Rates of admission for CVD vary considerably across Europe. In general, higher admission rates are found in Eastern European and Scandinavian countries. Similar geographical trends are seen for CHD.</w:t>
      </w:r>
    </w:p>
    <w:p>
      <w:pPr>
        <w:spacing w:after="0" w:line="190" w:lineRule="exact"/>
        <w:rPr>
          <w:rFonts w:ascii="Arial" w:cs="Arial" w:eastAsia="Arial" w:hAnsi="Arial"/>
          <w:sz w:val="17"/>
          <w:szCs w:val="17"/>
          <w:b w:val="1"/>
          <w:bCs w:val="1"/>
          <w:color w:val="auto"/>
        </w:rPr>
      </w:pPr>
    </w:p>
    <w:p>
      <w:pPr>
        <w:ind w:left="1237"/>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Coronary revascularization and other procedures for CVD</w:t>
      </w:r>
    </w:p>
    <w:p>
      <w:pPr>
        <w:spacing w:after="0" w:line="241" w:lineRule="exact"/>
        <w:rPr>
          <w:rFonts w:ascii="Arial" w:cs="Arial" w:eastAsia="Arial" w:hAnsi="Arial"/>
          <w:sz w:val="17"/>
          <w:szCs w:val="17"/>
          <w:b w:val="1"/>
          <w:bCs w:val="1"/>
          <w:color w:val="auto"/>
        </w:rPr>
      </w:pPr>
    </w:p>
    <w:p>
      <w:pPr>
        <w:ind w:left="1237" w:right="12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While rates of revascularization vary widely across Europe, all countries have seen rates increase significantly since the 1990s. For example, since 1990 rates of PCI have increased fifteen-fold in Italy and twelve-fold in Finland. We expect that advances in medical technique and continued development of medical infrastructure around the world will drive continued growth in the coronary revascularization market.</w:t>
      </w:r>
    </w:p>
    <w:p>
      <w:pPr>
        <w:spacing w:after="0" w:line="184" w:lineRule="exact"/>
        <w:rPr>
          <w:rFonts w:ascii="Arial" w:cs="Arial" w:eastAsia="Arial" w:hAnsi="Arial"/>
          <w:sz w:val="17"/>
          <w:szCs w:val="17"/>
          <w:b w:val="1"/>
          <w:bCs w:val="1"/>
          <w:color w:val="auto"/>
        </w:rPr>
      </w:pPr>
    </w:p>
    <w:p>
      <w:pPr>
        <w:ind w:left="1237"/>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Drugs</w:t>
      </w:r>
    </w:p>
    <w:p>
      <w:pPr>
        <w:spacing w:after="0" w:line="241" w:lineRule="exact"/>
        <w:rPr>
          <w:rFonts w:ascii="Arial" w:cs="Arial" w:eastAsia="Arial" w:hAnsi="Arial"/>
          <w:sz w:val="17"/>
          <w:szCs w:val="17"/>
          <w:b w:val="1"/>
          <w:bCs w:val="1"/>
          <w:color w:val="auto"/>
        </w:rPr>
      </w:pPr>
    </w:p>
    <w:p>
      <w:pPr>
        <w:jc w:val="both"/>
        <w:ind w:left="1237" w:right="22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use of drugs for secondary prevention in CHD patients varies considerably across populations, except in the case of anti-platelet drugs. Over 80% of patients took this form of drug (mostly aspirin). The use of beta blockers, lipid-lowering drugs and ACE inhibitors varies throughout the EU.</w:t>
      </w:r>
    </w:p>
    <w:p>
      <w:pPr>
        <w:spacing w:after="0" w:line="195" w:lineRule="exact"/>
        <w:rPr>
          <w:rFonts w:ascii="Arial" w:cs="Arial" w:eastAsia="Arial" w:hAnsi="Arial"/>
          <w:sz w:val="17"/>
          <w:szCs w:val="17"/>
          <w:b w:val="1"/>
          <w:bCs w:val="1"/>
          <w:color w:val="auto"/>
        </w:rPr>
      </w:pPr>
    </w:p>
    <w:p>
      <w:pPr>
        <w:ind w:left="1237" w:hanging="311"/>
        <w:spacing w:after="0"/>
        <w:tabs>
          <w:tab w:leader="none" w:pos="1237" w:val="left"/>
        </w:tabs>
        <w:numPr>
          <w:ilvl w:val="1"/>
          <w:numId w:val="474"/>
        </w:numPr>
        <w:rPr>
          <w:rFonts w:ascii="Arial" w:cs="Arial" w:eastAsia="Arial" w:hAnsi="Arial"/>
          <w:sz w:val="17"/>
          <w:szCs w:val="17"/>
          <w:b w:val="1"/>
          <w:bCs w:val="1"/>
          <w:color w:val="auto"/>
        </w:rPr>
      </w:pPr>
      <w:r>
        <w:rPr>
          <w:rFonts w:ascii="Arial" w:cs="Arial" w:eastAsia="Arial" w:hAnsi="Arial"/>
          <w:sz w:val="17"/>
          <w:szCs w:val="17"/>
          <w:b w:val="1"/>
          <w:bCs w:val="1"/>
          <w:color w:val="auto"/>
        </w:rPr>
        <w:t>Pricing and reimbursement environment</w:t>
      </w:r>
    </w:p>
    <w:p>
      <w:pPr>
        <w:spacing w:after="0" w:line="247" w:lineRule="exact"/>
        <w:rPr>
          <w:rFonts w:ascii="Arial" w:cs="Arial" w:eastAsia="Arial" w:hAnsi="Arial"/>
          <w:sz w:val="17"/>
          <w:szCs w:val="17"/>
          <w:b w:val="1"/>
          <w:bCs w:val="1"/>
          <w:color w:val="auto"/>
        </w:rPr>
      </w:pPr>
    </w:p>
    <w:p>
      <w:pPr>
        <w:ind w:left="1237" w:right="1780"/>
        <w:spacing w:after="0" w:line="536" w:lineRule="auto"/>
        <w:rPr>
          <w:rFonts w:ascii="Arial" w:cs="Arial" w:eastAsia="Arial" w:hAnsi="Arial"/>
          <w:sz w:val="17"/>
          <w:szCs w:val="17"/>
          <w:b w:val="1"/>
          <w:bCs w:val="1"/>
          <w:color w:val="auto"/>
        </w:rPr>
      </w:pPr>
      <w:r>
        <w:rPr>
          <w:rFonts w:ascii="Arial" w:cs="Arial" w:eastAsia="Arial" w:hAnsi="Arial"/>
          <w:sz w:val="17"/>
          <w:szCs w:val="17"/>
          <w:color w:val="auto"/>
        </w:rPr>
        <w:t xml:space="preserve">The global market for cardiovascular drugs and devices is highly variable in terms of pricing and reimbursement climates. </w:t>
      </w:r>
      <w:r>
        <w:rPr>
          <w:rFonts w:ascii="Arial" w:cs="Arial" w:eastAsia="Arial" w:hAnsi="Arial"/>
          <w:sz w:val="17"/>
          <w:szCs w:val="17"/>
          <w:u w:val="single" w:color="auto"/>
          <w:color w:val="auto"/>
        </w:rPr>
        <w:t>Pricing</w:t>
      </w:r>
    </w:p>
    <w:p>
      <w:pPr>
        <w:spacing w:after="0" w:line="1" w:lineRule="exact"/>
        <w:rPr>
          <w:rFonts w:ascii="Arial" w:cs="Arial" w:eastAsia="Arial" w:hAnsi="Arial"/>
          <w:sz w:val="17"/>
          <w:szCs w:val="17"/>
          <w:b w:val="1"/>
          <w:bCs w:val="1"/>
          <w:color w:val="auto"/>
        </w:rPr>
      </w:pPr>
    </w:p>
    <w:p>
      <w:pPr>
        <w:ind w:left="1237" w:right="12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Pricing in the developed markets of western Europe tends to be similar to U.S. pricing, although prices can vary significantly by market, with Northern European markets having higher prices than southern European markets. By contrast, pricing in less developed markets (Eastern Europe, Latin America and the Far East) is highly variable, and will require careful study to ensure an appropriate price is selected in order to maximize penetration and profitability. A clear target product profile will be critical to assessment of pricing strategy in all markets.</w:t>
      </w:r>
    </w:p>
    <w:p>
      <w:pPr>
        <w:spacing w:after="0" w:line="190" w:lineRule="exact"/>
        <w:rPr>
          <w:rFonts w:ascii="Arial" w:cs="Arial" w:eastAsia="Arial" w:hAnsi="Arial"/>
          <w:sz w:val="17"/>
          <w:szCs w:val="17"/>
          <w:b w:val="1"/>
          <w:bCs w:val="1"/>
          <w:color w:val="auto"/>
        </w:rPr>
      </w:pPr>
    </w:p>
    <w:p>
      <w:pPr>
        <w:ind w:left="1237" w:right="1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Reference pricing is common practice in Europe, so timing of local launches must be carefully coordinated to ensure optimized pricing across the territory.</w:t>
      </w:r>
    </w:p>
    <w:p>
      <w:pPr>
        <w:spacing w:after="0" w:line="200" w:lineRule="exact"/>
        <w:rPr>
          <w:rFonts w:ascii="Arial" w:cs="Arial" w:eastAsia="Arial" w:hAnsi="Arial"/>
          <w:sz w:val="17"/>
          <w:szCs w:val="17"/>
          <w:b w:val="1"/>
          <w:bCs w:val="1"/>
          <w:color w:val="auto"/>
        </w:rPr>
      </w:pPr>
    </w:p>
    <w:p>
      <w:pPr>
        <w:spacing w:after="0" w:line="202" w:lineRule="exact"/>
        <w:rPr>
          <w:rFonts w:ascii="Arial" w:cs="Arial" w:eastAsia="Arial" w:hAnsi="Arial"/>
          <w:sz w:val="17"/>
          <w:szCs w:val="17"/>
          <w:b w:val="1"/>
          <w:bCs w:val="1"/>
          <w:color w:val="auto"/>
        </w:rPr>
      </w:pPr>
    </w:p>
    <w:p>
      <w:pPr>
        <w:ind w:left="417" w:hanging="417"/>
        <w:spacing w:after="0"/>
        <w:tabs>
          <w:tab w:leader="none" w:pos="417" w:val="left"/>
        </w:tabs>
        <w:numPr>
          <w:ilvl w:val="0"/>
          <w:numId w:val="474"/>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147002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7257415" cy="209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97"/>
          </w:cols>
          <w:pgMar w:left="243" w:top="494" w:right="259" w:bottom="1440" w:gutter="0" w:footer="0" w:header="0"/>
        </w:sectPr>
      </w:pPr>
    </w:p>
    <w:bookmarkStart w:id="563" w:name="page564"/>
    <w:bookmarkEnd w:id="563"/>
    <w:p>
      <w:pPr>
        <w:ind w:left="1237"/>
        <w:spacing w:after="0"/>
        <w:rPr>
          <w:sz w:val="20"/>
          <w:szCs w:val="20"/>
          <w:color w:val="auto"/>
        </w:rPr>
      </w:pPr>
      <w:r>
        <w:rPr>
          <w:rFonts w:ascii="Arial" w:cs="Arial" w:eastAsia="Arial" w:hAnsi="Arial"/>
          <w:sz w:val="17"/>
          <w:szCs w:val="17"/>
          <w:b w:val="1"/>
          <w:bCs w:val="1"/>
          <w:color w:val="auto"/>
        </w:rPr>
        <w:t>[***]</w:t>
      </w:r>
    </w:p>
    <w:p>
      <w:pPr>
        <w:spacing w:after="0" w:line="242" w:lineRule="exact"/>
        <w:rPr>
          <w:sz w:val="20"/>
          <w:szCs w:val="20"/>
          <w:color w:val="auto"/>
        </w:rPr>
      </w:pPr>
    </w:p>
    <w:p>
      <w:pPr>
        <w:ind w:left="1237"/>
        <w:spacing w:after="0"/>
        <w:rPr>
          <w:sz w:val="20"/>
          <w:szCs w:val="20"/>
          <w:color w:val="auto"/>
        </w:rPr>
      </w:pPr>
      <w:r>
        <w:rPr>
          <w:rFonts w:ascii="Arial" w:cs="Arial" w:eastAsia="Arial" w:hAnsi="Arial"/>
          <w:sz w:val="17"/>
          <w:szCs w:val="17"/>
          <w:b w:val="1"/>
          <w:bCs w:val="1"/>
          <w:color w:val="auto"/>
        </w:rPr>
        <w:t>[***].</w:t>
      </w:r>
    </w:p>
    <w:p>
      <w:pPr>
        <w:spacing w:after="0" w:line="248" w:lineRule="exact"/>
        <w:rPr>
          <w:sz w:val="20"/>
          <w:szCs w:val="20"/>
          <w:color w:val="auto"/>
        </w:rPr>
      </w:pPr>
    </w:p>
    <w:p>
      <w:pPr>
        <w:ind w:left="1237"/>
        <w:spacing w:after="0"/>
        <w:rPr>
          <w:sz w:val="20"/>
          <w:szCs w:val="20"/>
          <w:color w:val="auto"/>
        </w:rPr>
      </w:pPr>
      <w:r>
        <w:rPr>
          <w:rFonts w:ascii="Arial" w:cs="Arial" w:eastAsia="Arial" w:hAnsi="Arial"/>
          <w:sz w:val="17"/>
          <w:szCs w:val="17"/>
          <w:u w:val="single" w:color="auto"/>
          <w:color w:val="auto"/>
        </w:rPr>
        <w:t>Reimbursement</w:t>
      </w:r>
    </w:p>
    <w:p>
      <w:pPr>
        <w:spacing w:after="0" w:line="242" w:lineRule="exact"/>
        <w:rPr>
          <w:sz w:val="20"/>
          <w:szCs w:val="20"/>
          <w:color w:val="auto"/>
        </w:rPr>
      </w:pPr>
    </w:p>
    <w:p>
      <w:pPr>
        <w:ind w:left="1237"/>
        <w:spacing w:after="0"/>
        <w:rPr>
          <w:sz w:val="20"/>
          <w:szCs w:val="20"/>
          <w:color w:val="auto"/>
        </w:rPr>
      </w:pPr>
      <w:r>
        <w:rPr>
          <w:rFonts w:ascii="Arial" w:cs="Arial" w:eastAsia="Arial" w:hAnsi="Arial"/>
          <w:sz w:val="17"/>
          <w:szCs w:val="17"/>
          <w:color w:val="auto"/>
        </w:rPr>
        <w:t>With the exception of regulatory approval, reimbursement will be the single most important driver of commercial success.</w:t>
      </w:r>
    </w:p>
    <w:p>
      <w:pPr>
        <w:spacing w:after="0" w:line="242" w:lineRule="exact"/>
        <w:rPr>
          <w:sz w:val="20"/>
          <w:szCs w:val="20"/>
          <w:color w:val="auto"/>
        </w:rPr>
      </w:pPr>
    </w:p>
    <w:p>
      <w:pPr>
        <w:ind w:left="1237"/>
        <w:spacing w:after="0" w:line="257" w:lineRule="auto"/>
        <w:rPr>
          <w:sz w:val="20"/>
          <w:szCs w:val="20"/>
          <w:color w:val="auto"/>
        </w:rPr>
      </w:pPr>
      <w:r>
        <w:rPr>
          <w:rFonts w:ascii="Arial" w:cs="Arial" w:eastAsia="Arial" w:hAnsi="Arial"/>
          <w:sz w:val="17"/>
          <w:szCs w:val="17"/>
          <w:color w:val="auto"/>
        </w:rPr>
        <w:t>The process by which products gain reimbursement can vary greatly from country to country, and may take a considerable amount of time. A recent study by IMS suggested that it was common for newly approved drugs to take between one and three years to gain widespread reimbursement coverage in the top 16 EU markets. Because most European countries operate centralized, government-financed health systems, it is not typical for patients to pay for treatments privately. In many countries where there is virtually no habit of citizens paying for their own healthcare, initiating selling activity without reimbursement would be virtually impossible, while inhabitants of some other countries may have no problem paying for healthcare out of their own disposable income.</w:t>
      </w:r>
    </w:p>
    <w:p>
      <w:pPr>
        <w:spacing w:after="0" w:line="210" w:lineRule="exact"/>
        <w:rPr>
          <w:sz w:val="20"/>
          <w:szCs w:val="20"/>
          <w:color w:val="auto"/>
        </w:rPr>
      </w:pPr>
    </w:p>
    <w:p>
      <w:pPr>
        <w:jc w:val="both"/>
        <w:ind w:left="1237" w:right="160"/>
        <w:spacing w:after="0" w:line="265" w:lineRule="auto"/>
        <w:rPr>
          <w:sz w:val="20"/>
          <w:szCs w:val="20"/>
          <w:color w:val="auto"/>
        </w:rPr>
      </w:pPr>
      <w:r>
        <w:rPr>
          <w:rFonts w:ascii="Arial" w:cs="Arial" w:eastAsia="Arial" w:hAnsi="Arial"/>
          <w:sz w:val="17"/>
          <w:szCs w:val="17"/>
          <w:color w:val="auto"/>
        </w:rPr>
        <w:t>Expected timing of reimbursement will, therefore, be a major driver of the timetable for building out sales infrastructure, and commencing selling activities. Ikaria will conduct extensive research between deal closing and launch to ensure that reimbursement conditions are clearly understood and that plans are in place to ensure broad and favorable access to major commercial markets.</w:t>
      </w:r>
    </w:p>
    <w:p>
      <w:pPr>
        <w:spacing w:after="0" w:line="187" w:lineRule="exact"/>
        <w:rPr>
          <w:sz w:val="20"/>
          <w:szCs w:val="20"/>
          <w:color w:val="auto"/>
        </w:rPr>
      </w:pPr>
    </w:p>
    <w:p>
      <w:pPr>
        <w:ind w:left="917" w:hanging="608"/>
        <w:spacing w:after="0"/>
        <w:tabs>
          <w:tab w:leader="none" w:pos="917" w:val="left"/>
        </w:tabs>
        <w:numPr>
          <w:ilvl w:val="0"/>
          <w:numId w:val="475"/>
        </w:numPr>
        <w:rPr>
          <w:rFonts w:ascii="Arial" w:cs="Arial" w:eastAsia="Arial" w:hAnsi="Arial"/>
          <w:sz w:val="17"/>
          <w:szCs w:val="17"/>
          <w:color w:val="auto"/>
        </w:rPr>
      </w:pPr>
      <w:r>
        <w:rPr>
          <w:rFonts w:ascii="Arial" w:cs="Arial" w:eastAsia="Arial" w:hAnsi="Arial"/>
          <w:sz w:val="21"/>
          <w:szCs w:val="21"/>
          <w:b w:val="1"/>
          <w:bCs w:val="1"/>
          <w:color w:val="auto"/>
        </w:rPr>
        <w:t>Commercialization Plan</w:t>
      </w:r>
    </w:p>
    <w:p>
      <w:pPr>
        <w:spacing w:after="0" w:line="236" w:lineRule="exact"/>
        <w:rPr>
          <w:sz w:val="20"/>
          <w:szCs w:val="20"/>
          <w:color w:val="auto"/>
        </w:rPr>
      </w:pPr>
    </w:p>
    <w:p>
      <w:pPr>
        <w:ind w:left="1237"/>
        <w:spacing w:after="0"/>
        <w:rPr>
          <w:sz w:val="20"/>
          <w:szCs w:val="20"/>
          <w:color w:val="auto"/>
        </w:rPr>
      </w:pPr>
      <w:r>
        <w:rPr>
          <w:rFonts w:ascii="Arial" w:cs="Arial" w:eastAsia="Arial" w:hAnsi="Arial"/>
          <w:sz w:val="17"/>
          <w:szCs w:val="17"/>
          <w:u w:val="single" w:color="auto"/>
          <w:color w:val="auto"/>
        </w:rPr>
        <w:t>Product Positioning Strategy</w:t>
      </w:r>
    </w:p>
    <w:p>
      <w:pPr>
        <w:spacing w:after="0" w:line="242" w:lineRule="exact"/>
        <w:rPr>
          <w:sz w:val="20"/>
          <w:szCs w:val="20"/>
          <w:color w:val="auto"/>
        </w:rPr>
      </w:pPr>
    </w:p>
    <w:p>
      <w:pPr>
        <w:ind w:left="1237" w:right="480"/>
        <w:spacing w:after="0" w:line="278" w:lineRule="auto"/>
        <w:rPr>
          <w:sz w:val="20"/>
          <w:szCs w:val="20"/>
          <w:color w:val="auto"/>
        </w:rPr>
      </w:pPr>
      <w:r>
        <w:rPr>
          <w:rFonts w:ascii="Arial" w:cs="Arial" w:eastAsia="Arial" w:hAnsi="Arial"/>
          <w:sz w:val="17"/>
          <w:szCs w:val="17"/>
          <w:color w:val="auto"/>
        </w:rPr>
        <w:t>Given the current expectations of the product profile, we aspire to – and expect that – BL-1040 will be positioned as the de facto standard for prevention of post-MI remodeling.</w:t>
      </w:r>
    </w:p>
    <w:p>
      <w:pPr>
        <w:spacing w:after="0" w:line="190" w:lineRule="exact"/>
        <w:rPr>
          <w:sz w:val="20"/>
          <w:szCs w:val="20"/>
          <w:color w:val="auto"/>
        </w:rPr>
      </w:pPr>
    </w:p>
    <w:p>
      <w:pPr>
        <w:ind w:left="1237" w:right="40"/>
        <w:spacing w:after="0" w:line="265" w:lineRule="auto"/>
        <w:rPr>
          <w:sz w:val="20"/>
          <w:szCs w:val="20"/>
          <w:color w:val="auto"/>
        </w:rPr>
      </w:pPr>
      <w:r>
        <w:rPr>
          <w:rFonts w:ascii="Arial" w:cs="Arial" w:eastAsia="Arial" w:hAnsi="Arial"/>
          <w:sz w:val="17"/>
          <w:szCs w:val="17"/>
          <w:color w:val="auto"/>
        </w:rPr>
        <w:t>While this depends on the specific results of the clinical trials, the market conditions, including competitive scenario, and prevailing clinical practice standards, the goal will be to make BL-1040 use prevalent across a range of patient sub-groups that are at risk for remodeling. Specifically, the following patient groups will be addressed in the marketing plan:</w:t>
      </w:r>
    </w:p>
    <w:p>
      <w:pPr>
        <w:spacing w:after="0" w:line="201" w:lineRule="exact"/>
        <w:rPr>
          <w:sz w:val="20"/>
          <w:szCs w:val="20"/>
          <w:color w:val="auto"/>
        </w:rPr>
      </w:pPr>
    </w:p>
    <w:p>
      <w:pPr>
        <w:ind w:left="1857" w:hanging="314"/>
        <w:spacing w:after="0"/>
        <w:tabs>
          <w:tab w:leader="none" w:pos="1857" w:val="left"/>
        </w:tabs>
        <w:numPr>
          <w:ilvl w:val="1"/>
          <w:numId w:val="476"/>
        </w:numPr>
        <w:rPr>
          <w:rFonts w:ascii="Arial" w:cs="Arial" w:eastAsia="Arial" w:hAnsi="Arial"/>
          <w:sz w:val="17"/>
          <w:szCs w:val="17"/>
          <w:color w:val="auto"/>
        </w:rPr>
      </w:pPr>
      <w:r>
        <w:rPr>
          <w:rFonts w:ascii="Arial" w:cs="Arial" w:eastAsia="Arial" w:hAnsi="Arial"/>
          <w:sz w:val="17"/>
          <w:szCs w:val="17"/>
          <w:u w:val="single" w:color="auto"/>
          <w:color w:val="auto"/>
        </w:rPr>
        <w:t>High-risk STEMI</w:t>
      </w:r>
      <w:r>
        <w:rPr>
          <w:rFonts w:ascii="Arial" w:cs="Arial" w:eastAsia="Arial" w:hAnsi="Arial"/>
          <w:sz w:val="17"/>
          <w:szCs w:val="17"/>
          <w:color w:val="auto"/>
        </w:rPr>
        <w:t xml:space="preserve"> (includes patients with large myocardial Infarctions (MIs), anterior wall MIs and long lead time to PCI): [***]</w:t>
      </w:r>
    </w:p>
    <w:p>
      <w:pPr>
        <w:spacing w:after="0" w:line="235" w:lineRule="exact"/>
        <w:rPr>
          <w:rFonts w:ascii="Arial" w:cs="Arial" w:eastAsia="Arial" w:hAnsi="Arial"/>
          <w:sz w:val="17"/>
          <w:szCs w:val="17"/>
          <w:color w:val="auto"/>
        </w:rPr>
      </w:pPr>
    </w:p>
    <w:p>
      <w:pPr>
        <w:ind w:left="1857" w:hanging="314"/>
        <w:spacing w:after="0"/>
        <w:tabs>
          <w:tab w:leader="none" w:pos="1857" w:val="left"/>
        </w:tabs>
        <w:numPr>
          <w:ilvl w:val="1"/>
          <w:numId w:val="476"/>
        </w:numPr>
        <w:rPr>
          <w:rFonts w:ascii="Arial" w:cs="Arial" w:eastAsia="Arial" w:hAnsi="Arial"/>
          <w:sz w:val="17"/>
          <w:szCs w:val="17"/>
          <w:color w:val="auto"/>
        </w:rPr>
      </w:pPr>
      <w:r>
        <w:rPr>
          <w:rFonts w:ascii="Arial" w:cs="Arial" w:eastAsia="Arial" w:hAnsi="Arial"/>
          <w:sz w:val="17"/>
          <w:szCs w:val="17"/>
          <w:u w:val="single" w:color="auto"/>
          <w:color w:val="auto"/>
        </w:rPr>
        <w:t>Other STEMI</w:t>
      </w:r>
      <w:r>
        <w:rPr>
          <w:rFonts w:ascii="Arial" w:cs="Arial" w:eastAsia="Arial" w:hAnsi="Arial"/>
          <w:sz w:val="17"/>
          <w:szCs w:val="17"/>
          <w:color w:val="auto"/>
        </w:rPr>
        <w:t xml:space="preserve"> (includes all STEMI patients not considered of the highest risk): </w:t>
      </w:r>
      <w:r>
        <w:rPr>
          <w:rFonts w:ascii="Arial" w:cs="Arial" w:eastAsia="Arial" w:hAnsi="Arial"/>
          <w:sz w:val="17"/>
          <w:szCs w:val="17"/>
          <w:b w:val="1"/>
          <w:bCs w:val="1"/>
          <w:color w:val="auto"/>
        </w:rPr>
        <w:t>[***]</w:t>
      </w: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417" w:hanging="417"/>
        <w:spacing w:after="0"/>
        <w:tabs>
          <w:tab w:leader="none" w:pos="417" w:val="left"/>
        </w:tabs>
        <w:numPr>
          <w:ilvl w:val="0"/>
          <w:numId w:val="476"/>
        </w:numPr>
        <w:rPr>
          <w:rFonts w:ascii="Arial" w:cs="Arial" w:eastAsia="Arial" w:hAnsi="Arial"/>
          <w:sz w:val="17"/>
          <w:szCs w:val="17"/>
          <w:b w:val="1"/>
          <w:bCs w:val="1"/>
          <w:color w:val="auto"/>
        </w:rPr>
      </w:pPr>
      <w:r>
        <w:rPr>
          <w:rFonts w:ascii="Arial" w:cs="Arial" w:eastAsia="Arial" w:hAnsi="Arial"/>
          <w:sz w:val="17"/>
          <w:szCs w:val="17"/>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147002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7257415" cy="209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97"/>
          </w:cols>
          <w:pgMar w:left="243" w:top="493" w:right="259" w:bottom="1440" w:gutter="0" w:footer="0" w:header="0"/>
        </w:sectPr>
      </w:pPr>
    </w:p>
    <w:bookmarkStart w:id="564" w:name="page565"/>
    <w:bookmarkEnd w:id="564"/>
    <w:p>
      <w:pPr>
        <w:ind w:left="1817" w:hanging="274"/>
        <w:spacing w:after="0"/>
        <w:tabs>
          <w:tab w:leader="none" w:pos="1817" w:val="left"/>
        </w:tabs>
        <w:numPr>
          <w:ilvl w:val="0"/>
          <w:numId w:val="477"/>
        </w:numPr>
        <w:rPr>
          <w:rFonts w:ascii="Arial" w:cs="Arial" w:eastAsia="Arial" w:hAnsi="Arial"/>
          <w:sz w:val="17"/>
          <w:szCs w:val="17"/>
          <w:color w:val="auto"/>
        </w:rPr>
      </w:pP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1817" w:hanging="274"/>
        <w:spacing w:after="0"/>
        <w:tabs>
          <w:tab w:leader="none" w:pos="1817" w:val="left"/>
        </w:tabs>
        <w:numPr>
          <w:ilvl w:val="0"/>
          <w:numId w:val="477"/>
        </w:numPr>
        <w:rPr>
          <w:rFonts w:ascii="Arial" w:cs="Arial" w:eastAsia="Arial" w:hAnsi="Arial"/>
          <w:sz w:val="17"/>
          <w:szCs w:val="17"/>
          <w:color w:val="auto"/>
        </w:rPr>
      </w:pPr>
      <w:r>
        <w:rPr>
          <w:rFonts w:ascii="Arial" w:cs="Arial" w:eastAsia="Arial" w:hAnsi="Arial"/>
          <w:sz w:val="17"/>
          <w:szCs w:val="17"/>
          <w:u w:val="single" w:color="auto"/>
          <w:color w:val="auto"/>
        </w:rPr>
        <w:t>NSTEMI</w:t>
      </w:r>
      <w:r>
        <w:rPr>
          <w:rFonts w:ascii="Arial" w:cs="Arial" w:eastAsia="Arial" w:hAnsi="Arial"/>
          <w:sz w:val="17"/>
          <w:szCs w:val="17"/>
          <w:color w:val="auto"/>
        </w:rPr>
        <w:t xml:space="preserve"> [***]</w:t>
      </w:r>
    </w:p>
    <w:p>
      <w:pPr>
        <w:spacing w:after="0" w:line="242" w:lineRule="exact"/>
        <w:rPr>
          <w:sz w:val="20"/>
          <w:szCs w:val="20"/>
          <w:color w:val="auto"/>
        </w:rPr>
      </w:pPr>
    </w:p>
    <w:p>
      <w:pPr>
        <w:ind w:left="1237" w:right="40"/>
        <w:spacing w:after="0" w:line="261" w:lineRule="auto"/>
        <w:rPr>
          <w:sz w:val="20"/>
          <w:szCs w:val="20"/>
          <w:color w:val="auto"/>
        </w:rPr>
      </w:pPr>
      <w:r>
        <w:rPr>
          <w:rFonts w:ascii="Arial" w:cs="Arial" w:eastAsia="Arial" w:hAnsi="Arial"/>
          <w:sz w:val="17"/>
          <w:szCs w:val="17"/>
          <w:color w:val="auto"/>
        </w:rPr>
        <w:t>In addition to the market development efforts listed above, the focus of marketing strategy will be on creating broad awareness of the significant long-term effects of remodeling as well as discussing the risks of myocardial damage and resulting negative consequences for all patients with MIs. In Europe, this will also require resetting of the current paradigm of treating non-primary PCI patients with medical therapy alone, and illustrating the benefits of treatment with a mechanical scaffolding device such as BL-1040.</w:t>
      </w:r>
    </w:p>
    <w:p>
      <w:pPr>
        <w:spacing w:after="0" w:line="204" w:lineRule="exact"/>
        <w:rPr>
          <w:sz w:val="20"/>
          <w:szCs w:val="20"/>
          <w:color w:val="auto"/>
        </w:rPr>
      </w:pPr>
    </w:p>
    <w:p>
      <w:pPr>
        <w:ind w:left="1237"/>
        <w:spacing w:after="0"/>
        <w:rPr>
          <w:sz w:val="20"/>
          <w:szCs w:val="20"/>
          <w:color w:val="auto"/>
        </w:rPr>
      </w:pPr>
      <w:r>
        <w:rPr>
          <w:rFonts w:ascii="Arial" w:cs="Arial" w:eastAsia="Arial" w:hAnsi="Arial"/>
          <w:sz w:val="17"/>
          <w:szCs w:val="17"/>
          <w:u w:val="single" w:color="auto"/>
          <w:color w:val="auto"/>
        </w:rPr>
        <w:t>Organization Size and Structure</w:t>
      </w:r>
    </w:p>
    <w:p>
      <w:pPr>
        <w:spacing w:after="0" w:line="242" w:lineRule="exact"/>
        <w:rPr>
          <w:sz w:val="20"/>
          <w:szCs w:val="20"/>
          <w:color w:val="auto"/>
        </w:rPr>
      </w:pPr>
    </w:p>
    <w:p>
      <w:pPr>
        <w:ind w:left="1237" w:right="80"/>
        <w:spacing w:after="0" w:line="265" w:lineRule="auto"/>
        <w:rPr>
          <w:sz w:val="20"/>
          <w:szCs w:val="20"/>
          <w:color w:val="auto"/>
        </w:rPr>
      </w:pPr>
      <w:r>
        <w:rPr>
          <w:rFonts w:ascii="Arial" w:cs="Arial" w:eastAsia="Arial" w:hAnsi="Arial"/>
          <w:sz w:val="17"/>
          <w:szCs w:val="17"/>
          <w:color w:val="auto"/>
        </w:rPr>
        <w:t>As an experienced critical care company, Ikaria is committed to providing doctors and other medical professionals with a high level of customer service. Operating in a highly specialized, life-or-death environment Ikaria strives to match our customers own urgency and commitment to patient care.</w:t>
      </w:r>
    </w:p>
    <w:p>
      <w:pPr>
        <w:spacing w:after="0" w:line="201" w:lineRule="exact"/>
        <w:rPr>
          <w:sz w:val="20"/>
          <w:szCs w:val="20"/>
          <w:color w:val="auto"/>
        </w:rPr>
      </w:pPr>
    </w:p>
    <w:p>
      <w:pPr>
        <w:ind w:left="1237"/>
        <w:spacing w:after="0" w:line="277" w:lineRule="auto"/>
        <w:rPr>
          <w:sz w:val="20"/>
          <w:szCs w:val="20"/>
          <w:color w:val="auto"/>
        </w:rPr>
      </w:pPr>
      <w:r>
        <w:rPr>
          <w:rFonts w:ascii="Arial" w:cs="Arial" w:eastAsia="Arial" w:hAnsi="Arial"/>
          <w:sz w:val="16"/>
          <w:szCs w:val="16"/>
          <w:color w:val="auto"/>
        </w:rPr>
        <w:t>To be successful in the area of post-MI care we anticipate creating an organization capable of delivering both the commercial and medical support desired by our target customer base. Ikaria intends to establish itself as the leader in critical care globally, and will use BL-1040 as the platform on which to establish its international presence. As such, we intend to build a robust but flexible organization with all the competencies necessary to achieve leadership of the field. Although BL-1040 will likely be Ikaria’s first global product, we anticipate that our own internal pipeline candidates IK-1001 and Covox will not be far behind. The infrastructure envisioned by Ikaria and described in this document will therefore be sufficient to successfully commercialize all of Ikaria’s present and future pipeline compounds.</w:t>
      </w:r>
    </w:p>
    <w:p>
      <w:pPr>
        <w:spacing w:after="0" w:line="192" w:lineRule="exact"/>
        <w:rPr>
          <w:sz w:val="20"/>
          <w:szCs w:val="20"/>
          <w:color w:val="auto"/>
        </w:rPr>
      </w:pPr>
    </w:p>
    <w:p>
      <w:pPr>
        <w:jc w:val="both"/>
        <w:ind w:left="1237" w:right="320"/>
        <w:spacing w:after="0" w:line="261" w:lineRule="auto"/>
        <w:rPr>
          <w:sz w:val="20"/>
          <w:szCs w:val="20"/>
          <w:color w:val="auto"/>
        </w:rPr>
      </w:pPr>
      <w:r>
        <w:rPr>
          <w:rFonts w:ascii="Arial" w:cs="Arial" w:eastAsia="Arial" w:hAnsi="Arial"/>
          <w:sz w:val="17"/>
          <w:szCs w:val="17"/>
          <w:color w:val="auto"/>
        </w:rPr>
        <w:t>Ikaria proposed to use a “hub and spoke” approach to commercializing BL-1040 in Europe—the “hub” being a European headquarters and the “spokes” representing local operating companies (LOCs) in major markets. The headquarters will provide overall strategic leadership and will spearhead European product development and commercial strategy, while local operating companies will be responsible for selling activity and local tactic implementation.</w:t>
      </w:r>
    </w:p>
    <w:p>
      <w:pPr>
        <w:spacing w:after="0" w:line="204" w:lineRule="exact"/>
        <w:rPr>
          <w:sz w:val="20"/>
          <w:szCs w:val="20"/>
          <w:color w:val="auto"/>
        </w:rPr>
      </w:pPr>
    </w:p>
    <w:p>
      <w:pPr>
        <w:ind w:left="1237" w:right="80"/>
        <w:spacing w:after="0" w:line="261" w:lineRule="auto"/>
        <w:rPr>
          <w:sz w:val="20"/>
          <w:szCs w:val="20"/>
          <w:color w:val="auto"/>
        </w:rPr>
      </w:pPr>
      <w:r>
        <w:rPr>
          <w:rFonts w:ascii="Arial" w:cs="Arial" w:eastAsia="Arial" w:hAnsi="Arial"/>
          <w:sz w:val="17"/>
          <w:szCs w:val="17"/>
          <w:color w:val="auto"/>
        </w:rPr>
        <w:t>In addition to strategic marketing and leadership support, the European headquarters will be responsible for financial management and reporting of regional results, management of European regulatory affairs functions, development of a European clinical development program, development of effective key opinion leadership, development of compelling health economic data and development of HR strategies to maintain a strong and vibrant European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47002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97" w:hanging="497"/>
        <w:spacing w:after="0"/>
        <w:tabs>
          <w:tab w:leader="none" w:pos="497" w:val="left"/>
        </w:tabs>
        <w:numPr>
          <w:ilvl w:val="0"/>
          <w:numId w:val="478"/>
        </w:numPr>
        <w:rPr>
          <w:rFonts w:ascii="Arial" w:cs="Arial" w:eastAsia="Arial" w:hAnsi="Arial"/>
          <w:sz w:val="21"/>
          <w:szCs w:val="21"/>
          <w:b w:val="1"/>
          <w:bCs w:val="1"/>
          <w:color w:val="auto"/>
        </w:rPr>
      </w:pPr>
      <w:r>
        <w:rPr>
          <w:rFonts w:ascii="Arial" w:cs="Arial" w:eastAsia="Arial" w:hAnsi="Arial"/>
          <w:sz w:val="17"/>
          <w:szCs w:val="17"/>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7415" cy="209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97"/>
          </w:cols>
          <w:pgMar w:left="243" w:top="499" w:right="259" w:bottom="1440" w:gutter="0" w:footer="0" w:header="0"/>
        </w:sectPr>
      </w:pPr>
    </w:p>
    <w:bookmarkStart w:id="565" w:name="page566"/>
    <w:bookmarkEnd w:id="565"/>
    <w:p>
      <w:pPr>
        <w:ind w:left="1237"/>
        <w:spacing w:after="0" w:line="257" w:lineRule="auto"/>
        <w:rPr>
          <w:sz w:val="20"/>
          <w:szCs w:val="20"/>
          <w:color w:val="auto"/>
        </w:rPr>
      </w:pPr>
      <w:r>
        <w:rPr>
          <w:rFonts w:ascii="Arial" w:cs="Arial" w:eastAsia="Arial" w:hAnsi="Arial"/>
          <w:sz w:val="17"/>
          <w:szCs w:val="17"/>
          <w:color w:val="auto"/>
        </w:rPr>
        <w:t>The primary role of LOCs is to provide the necessary local sales and marketing efforts necessary to achieve financial objectives for BL-1040. In addition to the necessary commercial infrastructure, the local operating companies would also be staffed with the support functions essential to commercial success. This would include a small local finance team, medical affairs, regulatory affairs and human resource functions. The role of the local support staff is to implement strategic initiatives conceived at headquarters level, and support local initiatives as necessary. The medical affairs staff will be particularly important in supporting marketing in disseminating the full medical information on BL-1040 and the clinical specialists will also lead the training of physicians in using this product appropriately.</w:t>
      </w:r>
    </w:p>
    <w:p>
      <w:pPr>
        <w:spacing w:after="0" w:line="210" w:lineRule="exact"/>
        <w:rPr>
          <w:sz w:val="20"/>
          <w:szCs w:val="20"/>
          <w:color w:val="auto"/>
        </w:rPr>
      </w:pPr>
    </w:p>
    <w:p>
      <w:pPr>
        <w:ind w:left="1237"/>
        <w:spacing w:after="0" w:line="261" w:lineRule="auto"/>
        <w:rPr>
          <w:sz w:val="20"/>
          <w:szCs w:val="20"/>
          <w:color w:val="auto"/>
        </w:rPr>
      </w:pPr>
      <w:r>
        <w:rPr>
          <w:rFonts w:ascii="Arial" w:cs="Arial" w:eastAsia="Arial" w:hAnsi="Arial"/>
          <w:sz w:val="17"/>
          <w:szCs w:val="17"/>
          <w:color w:val="auto"/>
        </w:rPr>
        <w:t>The LOC staffing level will be determined as a function of country population, disease prevalence and target doctor population. Sales Representatives will be recruited from companies with a depth of experience in cardiovascular drug and device sales to ensure we gain rapid access to the necessary prescriber base. Representatives will be compensated through a blend of base salary and sales incentive bonus, according to Ikaria’s existing sales force incentive plan. (See Table 2)</w:t>
      </w:r>
    </w:p>
    <w:p>
      <w:pPr>
        <w:spacing w:after="0" w:line="198" w:lineRule="exact"/>
        <w:rPr>
          <w:sz w:val="20"/>
          <w:szCs w:val="20"/>
          <w:color w:val="auto"/>
        </w:rPr>
      </w:pPr>
    </w:p>
    <w:p>
      <w:pPr>
        <w:ind w:left="1237"/>
        <w:spacing w:after="0"/>
        <w:rPr>
          <w:sz w:val="20"/>
          <w:szCs w:val="20"/>
          <w:color w:val="auto"/>
        </w:rPr>
      </w:pPr>
      <w:r>
        <w:rPr>
          <w:rFonts w:ascii="Arial" w:cs="Arial" w:eastAsia="Arial" w:hAnsi="Arial"/>
          <w:sz w:val="17"/>
          <w:szCs w:val="17"/>
          <w:b w:val="1"/>
          <w:bCs w:val="1"/>
          <w:color w:val="auto"/>
        </w:rPr>
        <w:t>Table 2</w:t>
      </w:r>
    </w:p>
    <w:p>
      <w:pPr>
        <w:spacing w:after="0" w:line="27" w:lineRule="exact"/>
        <w:rPr>
          <w:sz w:val="20"/>
          <w:szCs w:val="20"/>
          <w:color w:val="auto"/>
        </w:rPr>
      </w:pPr>
    </w:p>
    <w:tbl>
      <w:tblPr>
        <w:tblLayout w:type="fixed"/>
        <w:tblInd w:w="1247" w:type="dxa"/>
        <w:tblCellMar>
          <w:top w:w="0" w:type="dxa"/>
          <w:left w:w="0" w:type="dxa"/>
          <w:bottom w:w="0" w:type="dxa"/>
          <w:right w:w="0" w:type="dxa"/>
        </w:tblCellMar>
      </w:tblPr>
      <w:tr>
        <w:trPr>
          <w:trHeight w:val="182"/>
        </w:trPr>
        <w:tc>
          <w:tcPr>
            <w:tcW w:w="1580" w:type="dxa"/>
            <w:vAlign w:val="bottom"/>
            <w:tcBorders>
              <w:top w:val="single" w:sz="8" w:color="auto"/>
              <w:left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jc w:val="center"/>
              <w:spacing w:after="0" w:line="182" w:lineRule="exact"/>
              <w:rPr>
                <w:sz w:val="20"/>
                <w:szCs w:val="20"/>
                <w:color w:val="auto"/>
              </w:rPr>
            </w:pPr>
            <w:r>
              <w:rPr>
                <w:rFonts w:ascii="Arial" w:cs="Arial" w:eastAsia="Arial" w:hAnsi="Arial"/>
                <w:sz w:val="17"/>
                <w:szCs w:val="17"/>
                <w:b w:val="1"/>
                <w:bCs w:val="1"/>
                <w:color w:val="auto"/>
                <w:w w:val="89"/>
              </w:rPr>
              <w:t>Est.</w:t>
            </w:r>
          </w:p>
        </w:tc>
        <w:tc>
          <w:tcPr>
            <w:tcW w:w="1660" w:type="dxa"/>
            <w:vAlign w:val="bottom"/>
            <w:tcBorders>
              <w:top w:val="single" w:sz="8" w:color="auto"/>
              <w:right w:val="single" w:sz="8" w:color="auto"/>
            </w:tcBorders>
          </w:tcPr>
          <w:p>
            <w:pPr>
              <w:spacing w:after="0"/>
              <w:rPr>
                <w:sz w:val="15"/>
                <w:szCs w:val="15"/>
                <w:color w:val="auto"/>
              </w:rPr>
            </w:pPr>
          </w:p>
        </w:tc>
        <w:tc>
          <w:tcPr>
            <w:tcW w:w="1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Annual</w:t>
            </w:r>
          </w:p>
        </w:tc>
        <w:tc>
          <w:tcPr>
            <w:tcW w:w="16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non-fatal</w:t>
            </w:r>
          </w:p>
        </w:tc>
        <w:tc>
          <w:tcPr>
            <w:tcW w:w="166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ind w:left="320"/>
              <w:spacing w:after="0"/>
              <w:rPr>
                <w:sz w:val="20"/>
                <w:szCs w:val="20"/>
                <w:color w:val="auto"/>
              </w:rPr>
            </w:pPr>
            <w:r>
              <w:rPr>
                <w:rFonts w:ascii="Arial" w:cs="Arial" w:eastAsia="Arial" w:hAnsi="Arial"/>
                <w:sz w:val="17"/>
                <w:szCs w:val="17"/>
                <w:b w:val="1"/>
                <w:bCs w:val="1"/>
                <w:color w:val="auto"/>
              </w:rPr>
              <w:t>Population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Ml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Interventional</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Annual PCI</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b w:val="1"/>
                <w:bCs w:val="1"/>
                <w:color w:val="auto"/>
              </w:rPr>
              <w:t>Sales</w:t>
            </w:r>
          </w:p>
        </w:tc>
      </w:tr>
      <w:tr>
        <w:trPr>
          <w:trHeight w:val="230"/>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Country</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(000,000)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(000)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Cardiologist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Procedures (000)</w:t>
            </w: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b w:val="1"/>
                <w:bCs w:val="1"/>
                <w:color w:val="auto"/>
              </w:rPr>
              <w:t>Reps</w:t>
            </w:r>
          </w:p>
        </w:tc>
      </w:tr>
      <w:tr>
        <w:trPr>
          <w:trHeight w:val="193"/>
        </w:trPr>
        <w:tc>
          <w:tcPr>
            <w:tcW w:w="1580" w:type="dxa"/>
            <w:vAlign w:val="bottom"/>
            <w:tcBorders>
              <w:left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0"/>
              </w:rPr>
              <w:t>10.4</w:t>
            </w:r>
          </w:p>
        </w:tc>
        <w:tc>
          <w:tcPr>
            <w:tcW w:w="14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0"/>
              </w:rPr>
              <w:t>34.7</w:t>
            </w:r>
          </w:p>
        </w:tc>
        <w:tc>
          <w:tcPr>
            <w:tcW w:w="16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1"/>
              </w:rPr>
              <w:t>230</w:t>
            </w:r>
          </w:p>
        </w:tc>
        <w:tc>
          <w:tcPr>
            <w:tcW w:w="18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4"/>
              </w:rPr>
              <w:t>28</w:t>
            </w:r>
          </w:p>
        </w:tc>
        <w:tc>
          <w:tcPr>
            <w:tcW w:w="840" w:type="dxa"/>
            <w:vAlign w:val="bottom"/>
            <w:tcBorders>
              <w:right w:val="single" w:sz="8" w:color="auto"/>
            </w:tcBorders>
          </w:tcPr>
          <w:p>
            <w:pPr>
              <w:ind w:left="260"/>
              <w:spacing w:after="0" w:line="194" w:lineRule="exact"/>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5.5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18.3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85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15</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5.3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17.7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80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64.4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214.7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1,772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172</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82.3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274.3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1,500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219</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16.7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55.7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266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45</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0.3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1.0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14</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58.1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193.7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1,879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155</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40.5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135.0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730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108</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7.6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0"/>
              </w:rPr>
              <w:t>25.3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124</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4"/>
              </w:rPr>
              <w:t>20</w:t>
            </w:r>
          </w:p>
        </w:tc>
        <w:tc>
          <w:tcPr>
            <w:tcW w:w="84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24"/>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61.1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203.7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1,000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163</w:t>
            </w: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12"/>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Total Europe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352.2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1,174.0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7,682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939</w:t>
            </w: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193"/>
        </w:trPr>
        <w:tc>
          <w:tcPr>
            <w:tcW w:w="1580" w:type="dxa"/>
            <w:vAlign w:val="bottom"/>
            <w:tcBorders>
              <w:left w:val="single" w:sz="8" w:color="auto"/>
              <w:right w:val="single" w:sz="8" w:color="auto"/>
            </w:tcBorders>
          </w:tcPr>
          <w:p>
            <w:pPr>
              <w:ind w:left="20"/>
              <w:spacing w:after="0" w:line="194" w:lineRule="exact"/>
              <w:rPr>
                <w:sz w:val="20"/>
                <w:szCs w:val="20"/>
                <w:color w:val="auto"/>
              </w:rPr>
            </w:pPr>
            <w:r>
              <w:rPr>
                <w:rFonts w:ascii="Arial" w:cs="Arial" w:eastAsia="Arial" w:hAnsi="Arial"/>
                <w:sz w:val="17"/>
                <w:szCs w:val="17"/>
                <w:color w:val="auto"/>
              </w:rPr>
              <w:t>[***]</w:t>
            </w:r>
          </w:p>
        </w:tc>
        <w:tc>
          <w:tcPr>
            <w:tcW w:w="13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3"/>
              </w:rPr>
              <w:t>127.0</w:t>
            </w:r>
          </w:p>
        </w:tc>
        <w:tc>
          <w:tcPr>
            <w:tcW w:w="14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89"/>
              </w:rPr>
              <w:t>423.3</w:t>
            </w:r>
          </w:p>
        </w:tc>
        <w:tc>
          <w:tcPr>
            <w:tcW w:w="16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89"/>
              </w:rPr>
              <w:t>2,500</w:t>
            </w:r>
          </w:p>
        </w:tc>
        <w:tc>
          <w:tcPr>
            <w:tcW w:w="18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7"/>
                <w:szCs w:val="17"/>
                <w:color w:val="auto"/>
                <w:w w:val="91"/>
              </w:rPr>
              <w:t>339</w:t>
            </w:r>
          </w:p>
        </w:tc>
        <w:tc>
          <w:tcPr>
            <w:tcW w:w="840" w:type="dxa"/>
            <w:vAlign w:val="bottom"/>
            <w:tcBorders>
              <w:right w:val="single" w:sz="8" w:color="auto"/>
            </w:tcBorders>
          </w:tcPr>
          <w:p>
            <w:pPr>
              <w:ind w:left="260"/>
              <w:spacing w:after="0" w:line="194" w:lineRule="exact"/>
              <w:rPr>
                <w:sz w:val="20"/>
                <w:szCs w:val="20"/>
                <w:color w:val="auto"/>
              </w:rPr>
            </w:pPr>
            <w:r>
              <w:rPr>
                <w:rFonts w:ascii="Arial" w:cs="Arial" w:eastAsia="Arial" w:hAnsi="Arial"/>
                <w:sz w:val="17"/>
                <w:szCs w:val="17"/>
                <w:color w:val="auto"/>
              </w:rPr>
              <w:t>[***]</w:t>
            </w:r>
          </w:p>
        </w:tc>
      </w:tr>
      <w:tr>
        <w:trPr>
          <w:trHeight w:val="224"/>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21.0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70.0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373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56</w:t>
            </w: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206"/>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Grand Total</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479.2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1,597.3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10,182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1,278</w:t>
            </w:r>
          </w:p>
        </w:tc>
        <w:tc>
          <w:tcPr>
            <w:tcW w:w="8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w:t>
            </w:r>
          </w:p>
        </w:tc>
      </w:tr>
    </w:tbl>
    <w:p>
      <w:pPr>
        <w:spacing w:after="0" w:line="219" w:lineRule="exact"/>
        <w:rPr>
          <w:sz w:val="20"/>
          <w:szCs w:val="20"/>
          <w:color w:val="auto"/>
        </w:rPr>
      </w:pPr>
    </w:p>
    <w:p>
      <w:pPr>
        <w:ind w:left="917"/>
        <w:spacing w:after="0"/>
        <w:rPr>
          <w:sz w:val="20"/>
          <w:szCs w:val="20"/>
          <w:color w:val="auto"/>
        </w:rPr>
      </w:pPr>
      <w:r>
        <w:rPr>
          <w:rFonts w:ascii="Arial" w:cs="Arial" w:eastAsia="Arial" w:hAnsi="Arial"/>
          <w:sz w:val="17"/>
          <w:szCs w:val="17"/>
          <w:color w:val="auto"/>
        </w:rPr>
        <w:t>NB: The number of sales reps anticipated to be needed in each market has been estimated as a function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147002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97" w:hanging="497"/>
        <w:spacing w:after="0"/>
        <w:tabs>
          <w:tab w:leader="none" w:pos="497" w:val="left"/>
        </w:tabs>
        <w:numPr>
          <w:ilvl w:val="0"/>
          <w:numId w:val="479"/>
        </w:numPr>
        <w:rPr>
          <w:rFonts w:ascii="Arial" w:cs="Arial" w:eastAsia="Arial" w:hAnsi="Arial"/>
          <w:sz w:val="21"/>
          <w:szCs w:val="21"/>
          <w:b w:val="1"/>
          <w:bCs w:val="1"/>
          <w:color w:val="auto"/>
        </w:rPr>
      </w:pPr>
      <w:r>
        <w:rPr>
          <w:rFonts w:ascii="Arial" w:cs="Arial" w:eastAsia="Arial" w:hAnsi="Arial"/>
          <w:sz w:val="17"/>
          <w:szCs w:val="17"/>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7415" cy="209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9" w:right="239" w:bottom="1440" w:gutter="0" w:footer="0" w:header="0"/>
        </w:sectPr>
      </w:pPr>
    </w:p>
    <w:bookmarkStart w:id="566" w:name="page567"/>
    <w:bookmarkEnd w:id="566"/>
    <w:p>
      <w:pPr>
        <w:spacing w:after="0"/>
        <w:rPr>
          <w:sz w:val="20"/>
          <w:szCs w:val="20"/>
          <w:color w:val="auto"/>
        </w:rPr>
      </w:pPr>
      <w:r>
        <w:rPr>
          <w:rFonts w:ascii="Arial" w:cs="Arial" w:eastAsia="Arial" w:hAnsi="Arial"/>
          <w:sz w:val="17"/>
          <w:szCs w:val="17"/>
          <w:b w:val="1"/>
          <w:bCs w:val="1"/>
          <w:color w:val="auto"/>
        </w:rPr>
        <w:t>Launch Timelines</w:t>
      </w:r>
    </w:p>
    <w:p>
      <w:pPr>
        <w:spacing w:after="0" w:line="248" w:lineRule="exact"/>
        <w:rPr>
          <w:sz w:val="20"/>
          <w:szCs w:val="20"/>
          <w:color w:val="auto"/>
        </w:rPr>
      </w:pPr>
    </w:p>
    <w:p>
      <w:pPr>
        <w:jc w:val="both"/>
        <w:ind w:right="240"/>
        <w:spacing w:after="0" w:line="265" w:lineRule="auto"/>
        <w:rPr>
          <w:sz w:val="20"/>
          <w:szCs w:val="20"/>
          <w:color w:val="auto"/>
        </w:rPr>
      </w:pPr>
      <w:r>
        <w:rPr>
          <w:rFonts w:ascii="Arial" w:cs="Arial" w:eastAsia="Arial" w:hAnsi="Arial"/>
          <w:sz w:val="17"/>
          <w:szCs w:val="17"/>
          <w:color w:val="auto"/>
        </w:rPr>
        <w:t>To maximize the value of BL-1040 Ikaria intends to be ready to launch at the earliest possible opportunity. As described above, a key driver of launch readiness in any given market will be the ability to access reimbursement for BL-1040. Without appropriate reimbursement in place, attempting to launch BL-1040 would be at best un-productive, and at worst, damaging to the long-term perception of the product.</w:t>
      </w:r>
    </w:p>
    <w:p>
      <w:pPr>
        <w:spacing w:after="0" w:line="20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Ikaria proposes to immediately undertake a battery of research and analysis to understand the market-specific reimbursement environments across major target markets. Results of this research would guide future launch plans, and help inform the timing of key investments in people and infrastructure.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Development of Ikaria’s ex-US presence will occur differently throughout the world:</w:t>
      </w:r>
    </w:p>
    <w:p>
      <w:pPr>
        <w:spacing w:after="0" w:line="242" w:lineRule="exact"/>
        <w:rPr>
          <w:sz w:val="20"/>
          <w:szCs w:val="20"/>
          <w:color w:val="auto"/>
        </w:rPr>
      </w:pPr>
    </w:p>
    <w:p>
      <w:pPr>
        <w:ind w:left="620" w:right="40" w:hanging="308"/>
        <w:spacing w:after="0" w:line="256" w:lineRule="auto"/>
        <w:tabs>
          <w:tab w:leader="none" w:pos="62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Ikaria already has management structures in place in Canada, Japan and Australia. These budding organizations would be expanded in the near term to allow essential market preparation activities to begin as soon as possible. As the product profile of BL-1040 becomes clearer, and the expectations for launch timing crystallize, this existing in-country leadership infrastructure will be expanded to include all the local sales and medical affairs capability necessary to a successful launch.</w:t>
      </w:r>
    </w:p>
    <w:p>
      <w:pPr>
        <w:jc w:val="both"/>
        <w:ind w:left="620" w:hanging="308"/>
        <w:spacing w:after="0" w:line="268" w:lineRule="auto"/>
        <w:tabs>
          <w:tab w:leader="none" w:pos="62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Establishment of a European Headquarters function would be a high priority. We anticipate filling key leadership positions as early as [***], so that high-level reimbursement, medical affairs and commercial strategic planning can commence. As a clearer view of the likely launch timeline for BL-1040 emerges, remaining HQ infrastructure will be built out to ensure a fully operational European headquarters well in advance of launch. In the event that a positive result emerges from the interim analysis and a decision is made to move up the commercial launch of the product, the development of the launch plans – including execution of reimbursement strategy and creation of marketing materials – will occur in parallel to the ramp up of the LOCs.</w:t>
      </w:r>
    </w:p>
    <w:p>
      <w:pPr>
        <w:spacing w:after="0" w:line="1" w:lineRule="exact"/>
        <w:rPr>
          <w:rFonts w:ascii="Arial" w:cs="Arial" w:eastAsia="Arial" w:hAnsi="Arial"/>
          <w:sz w:val="16"/>
          <w:szCs w:val="16"/>
          <w:color w:val="auto"/>
        </w:rPr>
      </w:pPr>
    </w:p>
    <w:p>
      <w:pPr>
        <w:ind w:left="620" w:hanging="308"/>
        <w:spacing w:after="0" w:line="209" w:lineRule="auto"/>
        <w:tabs>
          <w:tab w:leader="none" w:pos="62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Additional, 2</w:t>
      </w:r>
      <w:r>
        <w:rPr>
          <w:rFonts w:ascii="Arial" w:cs="Arial" w:eastAsia="Arial" w:hAnsi="Arial"/>
          <w:sz w:val="24"/>
          <w:szCs w:val="24"/>
          <w:color w:val="auto"/>
          <w:vertAlign w:val="superscript"/>
        </w:rPr>
        <w:t>nd</w:t>
      </w:r>
      <w:r>
        <w:rPr>
          <w:rFonts w:ascii="Arial" w:cs="Arial" w:eastAsia="Arial" w:hAnsi="Arial"/>
          <w:sz w:val="17"/>
          <w:szCs w:val="17"/>
          <w:color w:val="auto"/>
        </w:rPr>
        <w:t>-tier markets will be evaluated in parallel with [***] commercial infrastructure development. Ikaria believes that there will be great potential for BL-1040 in markets such as [***], but will need more time to evaluate the optimal way to maximize sales in those territories.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226695</wp:posOffset>
            </wp:positionV>
            <wp:extent cx="147002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00" w:hanging="497"/>
        <w:spacing w:after="0"/>
        <w:tabs>
          <w:tab w:leader="none" w:pos="500" w:val="left"/>
        </w:tabs>
        <w:numPr>
          <w:ilvl w:val="0"/>
          <w:numId w:val="481"/>
        </w:numPr>
        <w:rPr>
          <w:rFonts w:ascii="Arial" w:cs="Arial" w:eastAsia="Arial" w:hAnsi="Arial"/>
          <w:sz w:val="21"/>
          <w:szCs w:val="21"/>
          <w:b w:val="1"/>
          <w:bCs w:val="1"/>
          <w:color w:val="auto"/>
        </w:rPr>
      </w:pPr>
      <w:r>
        <w:rPr>
          <w:rFonts w:ascii="Arial" w:cs="Arial" w:eastAsia="Arial" w:hAnsi="Arial"/>
          <w:sz w:val="17"/>
          <w:szCs w:val="17"/>
          <w:b w:val="1"/>
          <w:bCs w:val="1"/>
          <w:color w:val="auto"/>
        </w:rPr>
        <w:t>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257415" cy="209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67" w:name="page568"/>
    <w:bookmarkEnd w:id="567"/>
    <w:p>
      <w:pPr>
        <w:spacing w:after="0"/>
        <w:rPr>
          <w:sz w:val="20"/>
          <w:szCs w:val="20"/>
          <w:color w:val="auto"/>
        </w:rPr>
      </w:pPr>
      <w:r>
        <w:rPr>
          <w:rFonts w:ascii="Arial" w:cs="Arial" w:eastAsia="Arial" w:hAnsi="Arial"/>
          <w:sz w:val="17"/>
          <w:szCs w:val="17"/>
          <w:b w:val="1"/>
          <w:bCs w:val="1"/>
          <w:color w:val="auto"/>
        </w:rPr>
        <w:t>Proposed European Structure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165735</wp:posOffset>
            </wp:positionV>
            <wp:extent cx="5309235" cy="24339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309235" cy="243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Resources</w:t>
      </w:r>
    </w:p>
    <w:p>
      <w:pPr>
        <w:spacing w:after="0" w:line="248"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Human Resources will oversee European benefits programs, ensure compliance with local employment law, promote employee development and succession planning, and all functions necessary to building a world-class critical care business in Europe. The European HQ team will work closely with LOC country managers to ensure local employee needs are met and compliance with local laws is maintained. Local in-country contractors may be employed to deliver HR services at the local level.</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Affairs</w:t>
      </w:r>
    </w:p>
    <w:p>
      <w:pPr>
        <w:spacing w:after="0" w:line="24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Appropriate reimbursement will be critical to the success of BL-1040. As described above, reimbursement can be highly variable across Europe. Development of a skilled government affairs capability within Ikaria Europe will be critical to our success, for BL-1040 as well as future Ikaria pipeline products.</w:t>
      </w:r>
    </w:p>
    <w:p>
      <w:pPr>
        <w:spacing w:after="0" w:line="166"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1</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Development</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European Commercial Development team is responsible for commercial strategy formulation across the European area, including both product and sales force strategy. The HQ marketing team will work closely with the Clinton, NJ-based marketing team to develop a cohesive global strategy suitable for implementation in European markets. The European team will have responsibility to ensure that brand strategies are implemented consistently across the area, and will perform market research to monitor performance and adjust strategy as appropriate. The team will also work in concert with country GMs and local marketing management to implement large-scale promotional and educations programs.</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European HQ team will also develop and implement European sales force strategies including development and maintenance of a customer relationship management system, sales skills training programs, and sales leadership development. The HQ team will work closely with LOC commercial management to ensure a top-class sales effort in each country.</w:t>
      </w:r>
    </w:p>
    <w:p>
      <w:pPr>
        <w:spacing w:after="0" w:line="201"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Medical Affairs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Development of a strong base of key opinion leaders will be critical to the success of BL-1040. Cardiology is a fast moving, highly technical field, and for Ikaria to be a credible player we will need to make a significant commitment to supporting the medical community through education, research support, etc. The European Medical Affairs team will take the lead in formulating strategy for the engagement of key opinion leaders in the formulation of brand development strategy, the development of brand champions and building high-level relationships between Ikaria and the medical community. The HQ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7415" cy="209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68" w:name="page569"/>
    <w:bookmarkEnd w:id="568"/>
    <w:p>
      <w:pPr>
        <w:spacing w:after="0"/>
        <w:rPr>
          <w:sz w:val="20"/>
          <w:szCs w:val="20"/>
          <w:color w:val="auto"/>
        </w:rPr>
      </w:pPr>
      <w:r>
        <w:rPr>
          <w:rFonts w:ascii="Arial" w:cs="Arial" w:eastAsia="Arial" w:hAnsi="Arial"/>
          <w:sz w:val="17"/>
          <w:szCs w:val="17"/>
          <w:color w:val="auto"/>
        </w:rPr>
        <w:t>Medical Affairs team will work closely with LOC Medical Affairs teams to align strategy across Europe and ensure a consistent medical approach.</w:t>
      </w:r>
    </w:p>
    <w:p>
      <w:pPr>
        <w:spacing w:after="0" w:line="242" w:lineRule="exact"/>
        <w:rPr>
          <w:sz w:val="20"/>
          <w:szCs w:val="20"/>
          <w:color w:val="auto"/>
        </w:rPr>
      </w:pPr>
    </w:p>
    <w:p>
      <w:pPr>
        <w:ind w:right="200"/>
        <w:spacing w:after="0" w:line="347" w:lineRule="auto"/>
        <w:rPr>
          <w:sz w:val="20"/>
          <w:szCs w:val="20"/>
          <w:color w:val="auto"/>
        </w:rPr>
      </w:pPr>
      <w:r>
        <w:rPr>
          <w:rFonts w:ascii="Arial" w:cs="Arial" w:eastAsia="Arial" w:hAnsi="Arial"/>
          <w:sz w:val="15"/>
          <w:szCs w:val="15"/>
          <w:color w:val="auto"/>
        </w:rPr>
        <w:t>The HQ Medical Affairs team will also be responsible for development of health outcome data to support cost-effectiveness arguments. The HQ team will work closely with LOC commercial teams to package health outcome data for effective presentation to in-country prescribers and reimbursement decision makers.</w:t>
      </w:r>
    </w:p>
    <w:p>
      <w:pPr>
        <w:spacing w:after="0" w:line="14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HQ Medical Affairs team will also take responsibility for developing responses to requests for medical information about Ikaria products. The team will work with LOC Commercial and Medical Affairs teams to ensure a high level of customer support and satisfaction.</w:t>
      </w:r>
    </w:p>
    <w:p>
      <w:pPr>
        <w:spacing w:after="0" w:line="190"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3</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Affairs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European Regulatory Affairs (RA) team will lead all regulatory efforts on behalf of Ikaria’s European operations. The HQ RA team will work closely with the Medical Affairs team to ensure development programs have maximal likelihood of success and that regulatory compliance is maintained at all times. The RA team will work in concert with in-country RA teams to execute on regulatory strategies and maintain product registrations with local authorities.</w:t>
      </w:r>
    </w:p>
    <w:p>
      <w:pPr>
        <w:spacing w:after="0" w:line="184"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European Finance team will support all local operating companies with financial reporting and planning functions as well as accounts payable and accounts receivable activities. The HQ team will consolidate European results and maintain a full European operating P&amp;L. The HQ team will perform most of the finance functions on behalf of the European Area, with LOCs having minimal local requirement for finance headcount.</w:t>
      </w:r>
    </w:p>
    <w:p>
      <w:pPr>
        <w:spacing w:after="0" w:line="201"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9</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w:t>
      </w:r>
    </w:p>
    <w:p>
      <w:pPr>
        <w:spacing w:after="0" w:line="246" w:lineRule="exact"/>
        <w:rPr>
          <w:sz w:val="20"/>
          <w:szCs w:val="20"/>
          <w:color w:val="auto"/>
        </w:rPr>
      </w:pPr>
    </w:p>
    <w:p>
      <w:pPr>
        <w:ind w:right="180"/>
        <w:spacing w:after="0" w:line="215" w:lineRule="auto"/>
        <w:rPr>
          <w:sz w:val="20"/>
          <w:szCs w:val="20"/>
          <w:color w:val="auto"/>
        </w:rPr>
      </w:pPr>
      <w:r>
        <w:rPr>
          <w:rFonts w:ascii="Arial" w:cs="Arial" w:eastAsia="Arial" w:hAnsi="Arial"/>
          <w:sz w:val="17"/>
          <w:szCs w:val="17"/>
          <w:color w:val="auto"/>
        </w:rPr>
        <w:t>Ikaria’s European IT requirements will be delivered by the European HQ team, with local support from 3</w:t>
      </w:r>
      <w:r>
        <w:rPr>
          <w:rFonts w:ascii="Arial" w:cs="Arial" w:eastAsia="Arial" w:hAnsi="Arial"/>
          <w:sz w:val="24"/>
          <w:szCs w:val="24"/>
          <w:color w:val="auto"/>
          <w:vertAlign w:val="superscript"/>
        </w:rPr>
        <w:t>rd</w:t>
      </w:r>
      <w:r>
        <w:rPr>
          <w:rFonts w:ascii="Arial" w:cs="Arial" w:eastAsia="Arial" w:hAnsi="Arial"/>
          <w:sz w:val="17"/>
          <w:szCs w:val="17"/>
          <w:color w:val="auto"/>
        </w:rPr>
        <w:t>-party contract services. The HQ team will liaise with Ikaria’s corporate headquarters IT function in Clinton, NJ to ensure reliable systems functionality and robust customer support.</w:t>
      </w:r>
    </w:p>
    <w:p>
      <w:pPr>
        <w:spacing w:after="0" w:line="222"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499" w:right="479" w:bottom="1440" w:gutter="0" w:footer="0" w:header="0"/>
        </w:sectPr>
      </w:pPr>
    </w:p>
    <w:bookmarkStart w:id="569" w:name="page570"/>
    <w:bookmarkEnd w:id="569"/>
    <w:p>
      <w:pPr>
        <w:spacing w:after="0"/>
        <w:rPr>
          <w:sz w:val="20"/>
          <w:szCs w:val="20"/>
          <w:color w:val="auto"/>
        </w:rPr>
      </w:pPr>
      <w:r>
        <w:rPr>
          <w:rFonts w:ascii="Arial" w:cs="Arial" w:eastAsia="Arial" w:hAnsi="Arial"/>
          <w:sz w:val="17"/>
          <w:szCs w:val="17"/>
          <w:b w:val="1"/>
          <w:bCs w:val="1"/>
          <w:color w:val="auto"/>
        </w:rPr>
        <w:t>Local Operating Country (LOC)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165100</wp:posOffset>
            </wp:positionV>
            <wp:extent cx="3324225" cy="192786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32422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Resources</w:t>
      </w:r>
    </w:p>
    <w:p>
      <w:pPr>
        <w:spacing w:after="0" w:line="246" w:lineRule="exact"/>
        <w:rPr>
          <w:sz w:val="20"/>
          <w:szCs w:val="20"/>
          <w:color w:val="auto"/>
        </w:rPr>
      </w:pPr>
    </w:p>
    <w:p>
      <w:pPr>
        <w:spacing w:after="0" w:line="215" w:lineRule="auto"/>
        <w:rPr>
          <w:sz w:val="20"/>
          <w:szCs w:val="20"/>
          <w:color w:val="auto"/>
        </w:rPr>
      </w:pPr>
      <w:r>
        <w:rPr>
          <w:rFonts w:ascii="Arial" w:cs="Arial" w:eastAsia="Arial" w:hAnsi="Arial"/>
          <w:sz w:val="17"/>
          <w:szCs w:val="17"/>
          <w:color w:val="auto"/>
        </w:rPr>
        <w:t>Human Resources support will be provided from HQ as described above. Specific local needs will be coordinated with HQ HR and delivered by local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party providers</w:t>
      </w:r>
    </w:p>
    <w:p>
      <w:pPr>
        <w:spacing w:after="0" w:line="222"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5"/>
          <w:szCs w:val="15"/>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Development</w:t>
      </w:r>
    </w:p>
    <w:p>
      <w:pPr>
        <w:spacing w:after="0" w:line="24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LOC Commercial Development team is responsible for implementation of commercial strategy at the local level. The marketing team is responsible for implementation of European product strategy and for directing local tactical marketing in support of BL</w:t>
      </w:r>
      <w:r>
        <w:rPr>
          <w:rFonts w:ascii="Arial" w:cs="Arial" w:eastAsia="Arial" w:hAnsi="Arial"/>
          <w:sz w:val="16"/>
          <w:szCs w:val="16"/>
          <w:b w:val="1"/>
          <w:bCs w:val="1"/>
          <w:color w:val="auto"/>
        </w:rPr>
        <w:t>-</w:t>
      </w:r>
      <w:r>
        <w:rPr>
          <w:rFonts w:ascii="Arial" w:cs="Arial" w:eastAsia="Arial" w:hAnsi="Arial"/>
          <w:sz w:val="16"/>
          <w:szCs w:val="16"/>
          <w:color w:val="auto"/>
        </w:rPr>
        <w:t>1040</w:t>
      </w:r>
      <w:r>
        <w:rPr>
          <w:rFonts w:ascii="Arial" w:cs="Arial" w:eastAsia="Arial" w:hAnsi="Arial"/>
          <w:sz w:val="16"/>
          <w:szCs w:val="16"/>
          <w:b w:val="1"/>
          <w:bCs w:val="1"/>
          <w:color w:val="auto"/>
        </w:rPr>
        <w:t>.</w:t>
      </w:r>
      <w:r>
        <w:rPr>
          <w:rFonts w:ascii="Arial" w:cs="Arial" w:eastAsia="Arial" w:hAnsi="Arial"/>
          <w:sz w:val="16"/>
          <w:szCs w:val="16"/>
          <w:color w:val="auto"/>
        </w:rPr>
        <w:t xml:space="preserve"> The LOC commercial director is also responsible for the development of a skilled critical care sales organization, including recruitment, training and management of reps and managers.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number of sales reps required to promote BL</w:t>
      </w:r>
      <w:r>
        <w:rPr>
          <w:rFonts w:ascii="Arial" w:cs="Arial" w:eastAsia="Arial" w:hAnsi="Arial"/>
          <w:sz w:val="17"/>
          <w:szCs w:val="17"/>
          <w:b w:val="1"/>
          <w:bCs w:val="1"/>
          <w:color w:val="auto"/>
        </w:rPr>
        <w:t>-</w:t>
      </w:r>
      <w:r>
        <w:rPr>
          <w:rFonts w:ascii="Arial" w:cs="Arial" w:eastAsia="Arial" w:hAnsi="Arial"/>
          <w:sz w:val="17"/>
          <w:szCs w:val="17"/>
          <w:color w:val="auto"/>
        </w:rPr>
        <w:t>1040 will vary from country to country according to the market opportunity, the number of prescribing doctors, and the incidence of PCI procedures. (See Appendix A)</w:t>
      </w:r>
    </w:p>
    <w:p>
      <w:pPr>
        <w:spacing w:after="0" w:line="183"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5"/>
          <w:szCs w:val="15"/>
          <w:color w:val="auto"/>
        </w:rPr>
        <w:t>Various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Medical Affairs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Maintenance of a strong relationships and robust medical affairs response capability will be essential for success at the local level. The LOC medical director will take responsibility for development of strong local relationships, coordination of company response to medical information requests. Clinical Specialists in each LOC will be responsible for training of physicians on use of product and for customer service.</w:t>
      </w:r>
    </w:p>
    <w:p>
      <w:pPr>
        <w:spacing w:after="0" w:line="201"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5"/>
          <w:szCs w:val="15"/>
          <w:color w:val="auto"/>
        </w:rPr>
        <w:t>1-2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Affairs (RA)</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LOC RA team will work together with HQ RA teams to execute on regulatory strategies and maintain product registrations with local authorities.</w:t>
      </w:r>
    </w:p>
    <w:p>
      <w:pPr>
        <w:spacing w:after="0" w:line="242"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6"/>
          <w:szCs w:val="16"/>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570" w:name="page571"/>
    <w:bookmarkEnd w:id="570"/>
    <w:p>
      <w:pPr>
        <w:spacing w:after="0"/>
        <w:rPr>
          <w:sz w:val="20"/>
          <w:szCs w:val="20"/>
          <w:color w:val="auto"/>
        </w:rPr>
      </w:pPr>
      <w:r>
        <w:rPr>
          <w:rFonts w:ascii="Arial" w:cs="Arial" w:eastAsia="Arial" w:hAnsi="Arial"/>
          <w:sz w:val="17"/>
          <w:szCs w:val="17"/>
          <w:b w:val="1"/>
          <w:bCs w:val="1"/>
          <w:color w:val="auto"/>
        </w:rPr>
        <w:t>Finance</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The HQ team will perform most of the finance functions on behalf of the European Area, with LOCs having minimal local requirement for finance headcount.</w:t>
      </w:r>
    </w:p>
    <w:p>
      <w:pPr>
        <w:spacing w:after="0" w:line="265"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5"/>
          <w:szCs w:val="15"/>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Ikaria’s European IT requirements will be delivered by the European HQ team, with local support from 3</w:t>
      </w:r>
      <w:r>
        <w:rPr>
          <w:rFonts w:ascii="Arial" w:cs="Arial" w:eastAsia="Arial" w:hAnsi="Arial"/>
          <w:sz w:val="24"/>
          <w:szCs w:val="24"/>
          <w:color w:val="auto"/>
          <w:vertAlign w:val="superscript"/>
        </w:rPr>
        <w:t>rd</w:t>
      </w:r>
      <w:r>
        <w:rPr>
          <w:rFonts w:ascii="Arial" w:cs="Arial" w:eastAsia="Arial" w:hAnsi="Arial"/>
          <w:sz w:val="17"/>
          <w:szCs w:val="17"/>
          <w:color w:val="auto"/>
        </w:rPr>
        <w:t>-party contract services.</w:t>
      </w:r>
    </w:p>
    <w:p>
      <w:pPr>
        <w:spacing w:after="0" w:line="163"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Anticipated headcount:</w:t>
      </w:r>
      <w:r>
        <w:rPr>
          <w:sz w:val="20"/>
          <w:szCs w:val="20"/>
          <w:color w:val="auto"/>
        </w:rPr>
        <w:tab/>
      </w: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80"/>
          </w:cols>
          <w:pgMar w:left="240" w:top="494" w:right="779" w:bottom="1440" w:gutter="0" w:footer="0" w:header="0"/>
        </w:sectPr>
      </w:pPr>
    </w:p>
    <w:bookmarkStart w:id="571" w:name="page572"/>
    <w:bookmarkEnd w:id="571"/>
    <w:p>
      <w:pPr>
        <w:jc w:val="center"/>
        <w:ind w:right="-1200"/>
        <w:spacing w:after="0"/>
        <w:rPr>
          <w:sz w:val="20"/>
          <w:szCs w:val="20"/>
          <w:color w:val="auto"/>
        </w:rPr>
      </w:pPr>
      <w:r>
        <w:rPr>
          <w:rFonts w:ascii="Arial" w:cs="Arial" w:eastAsia="Arial" w:hAnsi="Arial"/>
          <w:sz w:val="17"/>
          <w:szCs w:val="17"/>
          <w:u w:val="single" w:color="auto"/>
          <w:color w:val="auto"/>
        </w:rPr>
        <w:t>SCHEDULE 4.3(a)</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BIOLINERX WIRE TRANSFER INFORMATION</w:t>
      </w:r>
    </w:p>
    <w:p>
      <w:pPr>
        <w:spacing w:after="0" w:line="236" w:lineRule="exact"/>
        <w:rPr>
          <w:sz w:val="20"/>
          <w:szCs w:val="20"/>
          <w:color w:val="auto"/>
        </w:rPr>
      </w:pPr>
    </w:p>
    <w:p>
      <w:pPr>
        <w:ind w:left="5260"/>
        <w:spacing w:after="0"/>
        <w:rPr>
          <w:sz w:val="20"/>
          <w:szCs w:val="20"/>
          <w:color w:val="auto"/>
        </w:rPr>
      </w:pPr>
      <w:r>
        <w:rPr>
          <w:rFonts w:ascii="Arial" w:cs="Arial" w:eastAsia="Arial" w:hAnsi="Arial"/>
          <w:sz w:val="41"/>
          <w:szCs w:val="41"/>
          <w:u w:val="single" w:color="auto"/>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7257415" cy="209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0" w:right="1440" w:bottom="1440" w:gutter="0" w:footer="0" w:header="0"/>
        </w:sectPr>
      </w:pPr>
    </w:p>
    <w:bookmarkStart w:id="572" w:name="page573"/>
    <w:bookmarkEnd w:id="572"/>
    <w:p>
      <w:pPr>
        <w:jc w:val="center"/>
        <w:ind w:right="-59"/>
        <w:spacing w:after="0"/>
        <w:rPr>
          <w:sz w:val="20"/>
          <w:szCs w:val="20"/>
          <w:color w:val="auto"/>
        </w:rPr>
      </w:pPr>
      <w:r>
        <w:rPr>
          <w:rFonts w:ascii="Arial" w:cs="Arial" w:eastAsia="Arial" w:hAnsi="Arial"/>
          <w:sz w:val="17"/>
          <w:szCs w:val="17"/>
          <w:u w:val="single" w:color="auto"/>
          <w:color w:val="auto"/>
        </w:rPr>
        <w:t>EXHIBIT A</w:t>
      </w:r>
    </w:p>
    <w:p>
      <w:pPr>
        <w:spacing w:after="0" w:line="242" w:lineRule="exact"/>
        <w:rPr>
          <w:sz w:val="20"/>
          <w:szCs w:val="20"/>
          <w:color w:val="auto"/>
        </w:rPr>
      </w:pPr>
    </w:p>
    <w:p>
      <w:pPr>
        <w:ind w:left="4400"/>
        <w:spacing w:after="0"/>
        <w:rPr>
          <w:sz w:val="20"/>
          <w:szCs w:val="20"/>
          <w:color w:val="auto"/>
        </w:rPr>
      </w:pPr>
      <w:r>
        <w:rPr>
          <w:rFonts w:ascii="Arial" w:cs="Arial" w:eastAsia="Arial" w:hAnsi="Arial"/>
          <w:sz w:val="17"/>
          <w:szCs w:val="17"/>
          <w:u w:val="single" w:color="auto"/>
          <w:color w:val="auto"/>
        </w:rPr>
        <w:t>TECHNOLOGY EXCHANGE PLAN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Upon Ikaria’s request, the following will be provided by BioLineRx to Ikaria or its designee:</w:t>
      </w:r>
    </w:p>
    <w:p>
      <w:pPr>
        <w:spacing w:after="0" w:line="242" w:lineRule="exact"/>
        <w:rPr>
          <w:sz w:val="20"/>
          <w:szCs w:val="20"/>
          <w:color w:val="auto"/>
        </w:rPr>
      </w:pPr>
    </w:p>
    <w:p>
      <w:pPr>
        <w:ind w:left="620" w:hanging="617"/>
        <w:spacing w:after="0" w:line="265" w:lineRule="auto"/>
        <w:tabs>
          <w:tab w:leader="none" w:pos="62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All materials (original or copies as appropriate) in BioLineRx’s possession and Control relating to Product, including documentation relating to Development and all regulatory filings, clinical information, and data and other documents relating to the On-Going Phase I/II Trial and the Other On-Going Trials.</w:t>
      </w:r>
    </w:p>
    <w:p>
      <w:pPr>
        <w:spacing w:after="0" w:line="201" w:lineRule="exact"/>
        <w:rPr>
          <w:rFonts w:ascii="Arial" w:cs="Arial" w:eastAsia="Arial" w:hAnsi="Arial"/>
          <w:sz w:val="17"/>
          <w:szCs w:val="17"/>
          <w:color w:val="auto"/>
        </w:rPr>
      </w:pPr>
    </w:p>
    <w:p>
      <w:pPr>
        <w:ind w:left="620" w:right="40" w:hanging="617"/>
        <w:spacing w:after="0" w:line="347" w:lineRule="auto"/>
        <w:tabs>
          <w:tab w:leader="none" w:pos="620" w:val="left"/>
        </w:tabs>
        <w:numPr>
          <w:ilvl w:val="0"/>
          <w:numId w:val="482"/>
        </w:numPr>
        <w:rPr>
          <w:rFonts w:ascii="Arial" w:cs="Arial" w:eastAsia="Arial" w:hAnsi="Arial"/>
          <w:sz w:val="15"/>
          <w:szCs w:val="15"/>
          <w:color w:val="auto"/>
        </w:rPr>
      </w:pPr>
      <w:r>
        <w:rPr>
          <w:rFonts w:ascii="Arial" w:cs="Arial" w:eastAsia="Arial" w:hAnsi="Arial"/>
          <w:sz w:val="15"/>
          <w:szCs w:val="15"/>
          <w:color w:val="auto"/>
        </w:rPr>
        <w:t>Copies of all documents and available information in BioLineRx’s possession and Control necessary for Manufacturing of Product at the time of technology exchange. These documents will include information necessary to assist Ikaria or its designee in setting up Manufacturing operations for such things as:</w:t>
      </w:r>
    </w:p>
    <w:p>
      <w:pPr>
        <w:spacing w:after="0" w:line="144" w:lineRule="exact"/>
        <w:rPr>
          <w:rFonts w:ascii="Arial" w:cs="Arial" w:eastAsia="Arial" w:hAnsi="Arial"/>
          <w:sz w:val="15"/>
          <w:szCs w:val="15"/>
          <w:color w:val="auto"/>
        </w:rPr>
      </w:pPr>
    </w:p>
    <w:p>
      <w:pPr>
        <w:ind w:left="920" w:hanging="300"/>
        <w:spacing w:after="0"/>
        <w:tabs>
          <w:tab w:leader="none" w:pos="92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raw material test methods, specifications, qualification and justification for use</w:t>
      </w:r>
    </w:p>
    <w:p>
      <w:pPr>
        <w:spacing w:after="0" w:line="21" w:lineRule="exact"/>
        <w:rPr>
          <w:rFonts w:ascii="Arial" w:cs="Arial" w:eastAsia="Arial" w:hAnsi="Arial"/>
          <w:sz w:val="17"/>
          <w:szCs w:val="17"/>
          <w:color w:val="auto"/>
        </w:rPr>
      </w:pPr>
    </w:p>
    <w:p>
      <w:pPr>
        <w:ind w:left="920" w:hanging="300"/>
        <w:spacing w:after="0"/>
        <w:tabs>
          <w:tab w:leader="none" w:pos="92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raw material vendor lists with part numbers</w:t>
      </w:r>
    </w:p>
    <w:p>
      <w:pPr>
        <w:spacing w:after="0" w:line="10" w:lineRule="exact"/>
        <w:rPr>
          <w:rFonts w:ascii="Arial" w:cs="Arial" w:eastAsia="Arial" w:hAnsi="Arial"/>
          <w:sz w:val="17"/>
          <w:szCs w:val="17"/>
          <w:color w:val="auto"/>
        </w:rPr>
      </w:pPr>
    </w:p>
    <w:p>
      <w:pPr>
        <w:ind w:left="920" w:hanging="300"/>
        <w:spacing w:after="0"/>
        <w:tabs>
          <w:tab w:leader="none" w:pos="92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analytical methods stated purpose, development, qualification and validation reports</w:t>
      </w:r>
    </w:p>
    <w:p>
      <w:pPr>
        <w:spacing w:after="0" w:line="10" w:lineRule="exact"/>
        <w:rPr>
          <w:rFonts w:ascii="Arial" w:cs="Arial" w:eastAsia="Arial" w:hAnsi="Arial"/>
          <w:sz w:val="17"/>
          <w:szCs w:val="17"/>
          <w:color w:val="auto"/>
        </w:rPr>
      </w:pPr>
    </w:p>
    <w:p>
      <w:pPr>
        <w:ind w:left="920" w:hanging="300"/>
        <w:spacing w:after="0"/>
        <w:tabs>
          <w:tab w:leader="none" w:pos="92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process development reports, laboratory notebooks and associated electronically stored data</w:t>
      </w:r>
    </w:p>
    <w:p>
      <w:pPr>
        <w:spacing w:after="0" w:line="10" w:lineRule="exact"/>
        <w:rPr>
          <w:rFonts w:ascii="Arial" w:cs="Arial" w:eastAsia="Arial" w:hAnsi="Arial"/>
          <w:sz w:val="17"/>
          <w:szCs w:val="17"/>
          <w:color w:val="auto"/>
        </w:rPr>
      </w:pPr>
    </w:p>
    <w:p>
      <w:pPr>
        <w:ind w:left="920" w:hanging="300"/>
        <w:spacing w:after="0"/>
        <w:tabs>
          <w:tab w:leader="none" w:pos="920" w:val="left"/>
        </w:tabs>
        <w:numPr>
          <w:ilvl w:val="1"/>
          <w:numId w:val="482"/>
        </w:numPr>
        <w:rPr>
          <w:rFonts w:ascii="Arial" w:cs="Arial" w:eastAsia="Arial" w:hAnsi="Arial"/>
          <w:sz w:val="17"/>
          <w:szCs w:val="17"/>
          <w:color w:val="auto"/>
        </w:rPr>
      </w:pPr>
      <w:r>
        <w:rPr>
          <w:rFonts w:ascii="Arial" w:cs="Arial" w:eastAsia="Arial" w:hAnsi="Arial"/>
          <w:sz w:val="17"/>
          <w:szCs w:val="17"/>
          <w:color w:val="auto"/>
        </w:rPr>
        <w:t>Manufacturing summary including</w:t>
      </w:r>
    </w:p>
    <w:p>
      <w:pPr>
        <w:spacing w:after="0" w:line="10" w:lineRule="exact"/>
        <w:rPr>
          <w:sz w:val="20"/>
          <w:szCs w:val="20"/>
          <w:color w:val="auto"/>
        </w:rPr>
      </w:pPr>
    </w:p>
    <w:p>
      <w:pPr>
        <w:ind w:left="1540" w:right="20" w:hanging="302"/>
        <w:spacing w:after="0" w:line="268" w:lineRule="auto"/>
        <w:tabs>
          <w:tab w:leader="none" w:pos="154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detailed process description with process schematics, operating parameters and target ranges, flow charts outlining critical process controls and steps, cartoons, verbal description including abbreviations, process scale, yield, and standard process instructions</w:t>
      </w: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in-process controls/tests and acceptance criteria including stated purpose of in-process tests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master batch record(s)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filling/packaging process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aseptic and process development and validation documents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facility and equipment requirements and design documents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descriptions of process equipment, including suppliers, part numbers, and historic invoices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product test methods, specifications and justification of specifications</w:t>
      </w:r>
    </w:p>
    <w:p>
      <w:pPr>
        <w:spacing w:after="0" w:line="10" w:lineRule="exact"/>
        <w:rPr>
          <w:rFonts w:ascii="Arial" w:cs="Arial" w:eastAsia="Arial" w:hAnsi="Arial"/>
          <w:sz w:val="17"/>
          <w:szCs w:val="17"/>
          <w:color w:val="auto"/>
        </w:rPr>
      </w:pPr>
    </w:p>
    <w:p>
      <w:pPr>
        <w:ind w:left="1540" w:hanging="302"/>
        <w:spacing w:after="0"/>
        <w:tabs>
          <w:tab w:leader="none" w:pos="154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product stability, test methods and qualification/validation reports, stability reports, shelf life recommendations</w:t>
      </w:r>
    </w:p>
    <w:p>
      <w:pPr>
        <w:spacing w:after="0" w:line="231" w:lineRule="exact"/>
        <w:rPr>
          <w:sz w:val="20"/>
          <w:szCs w:val="20"/>
          <w:color w:val="auto"/>
        </w:rPr>
      </w:pPr>
    </w:p>
    <w:p>
      <w:pPr>
        <w:ind w:left="620" w:right="180"/>
        <w:spacing w:after="0" w:line="265" w:lineRule="auto"/>
        <w:rPr>
          <w:sz w:val="20"/>
          <w:szCs w:val="20"/>
          <w:color w:val="auto"/>
        </w:rPr>
      </w:pPr>
      <w:r>
        <w:rPr>
          <w:rFonts w:ascii="Arial" w:cs="Arial" w:eastAsia="Arial" w:hAnsi="Arial"/>
          <w:sz w:val="17"/>
          <w:szCs w:val="17"/>
          <w:color w:val="auto"/>
        </w:rPr>
        <w:t>As available and agreed upon by the JDC at the time of a technology exchange, BioLineRx will provide requested technical manufacturing or engineering advice to Ikaria or its designee. Ikaria will ensure designee has necessary expertise in place to exchange the documentation and expertise in an orderly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257415" cy="209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EXHIBIT B</w:t>
            </w:r>
          </w:p>
        </w:tc>
        <w:tc>
          <w:tcPr>
            <w:tcW w:w="1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17"/>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gridSpan w:val="5"/>
          </w:tcPr>
          <w:p>
            <w:pPr>
              <w:spacing w:after="0"/>
              <w:rPr>
                <w:sz w:val="20"/>
                <w:szCs w:val="20"/>
                <w:color w:val="auto"/>
              </w:rPr>
            </w:pPr>
            <w:r>
              <w:rPr>
                <w:rFonts w:ascii="Arial" w:cs="Arial" w:eastAsia="Arial" w:hAnsi="Arial"/>
                <w:sz w:val="17"/>
                <w:szCs w:val="17"/>
                <w:color w:val="auto"/>
              </w:rPr>
              <w:t>BIOLINERX PATENT RIGHTS</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4"/>
        </w:trPr>
        <w:tc>
          <w:tcPr>
            <w:tcW w:w="1260" w:type="dxa"/>
            <w:vAlign w:val="bottom"/>
          </w:tcPr>
          <w:p>
            <w:pPr>
              <w:spacing w:after="0"/>
              <w:rPr>
                <w:sz w:val="20"/>
                <w:szCs w:val="20"/>
                <w:color w:val="auto"/>
              </w:rPr>
            </w:pPr>
            <w:r>
              <w:rPr>
                <w:rFonts w:ascii="Arial" w:cs="Arial" w:eastAsia="Arial" w:hAnsi="Arial"/>
                <w:sz w:val="17"/>
                <w:szCs w:val="17"/>
                <w:color w:val="auto"/>
              </w:rPr>
              <w:t>Family 1</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0"/>
        </w:trPr>
        <w:tc>
          <w:tcPr>
            <w:tcW w:w="7220" w:type="dxa"/>
            <w:vAlign w:val="bottom"/>
            <w:gridSpan w:val="10"/>
          </w:tcPr>
          <w:p>
            <w:pPr>
              <w:spacing w:after="0"/>
              <w:rPr>
                <w:sz w:val="20"/>
                <w:szCs w:val="20"/>
                <w:color w:val="auto"/>
              </w:rPr>
            </w:pPr>
            <w:r>
              <w:rPr>
                <w:rFonts w:ascii="Arial" w:cs="Arial" w:eastAsia="Arial" w:hAnsi="Arial"/>
                <w:sz w:val="17"/>
                <w:szCs w:val="17"/>
                <w:b w:val="1"/>
                <w:bCs w:val="1"/>
                <w:color w:val="auto"/>
              </w:rPr>
              <w:t>INJECTABLE CROSS-LINKED POLYMER PREPARATIONS AND USES THEREOF</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1260" w:type="dxa"/>
            <w:vAlign w:val="bottom"/>
          </w:tcPr>
          <w:p>
            <w:pPr>
              <w:spacing w:after="0"/>
              <w:rPr>
                <w:sz w:val="20"/>
                <w:szCs w:val="20"/>
                <w:color w:val="auto"/>
              </w:rPr>
            </w:pPr>
            <w:r>
              <w:rPr>
                <w:rFonts w:ascii="Arial" w:cs="Arial" w:eastAsia="Arial" w:hAnsi="Arial"/>
                <w:sz w:val="17"/>
                <w:szCs w:val="17"/>
                <w:b w:val="1"/>
                <w:bCs w:val="1"/>
                <w:color w:val="auto"/>
              </w:rPr>
              <w:t>Country</w:t>
            </w:r>
          </w:p>
        </w:tc>
        <w:tc>
          <w:tcPr>
            <w:tcW w:w="24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Earliest Priority</w:t>
            </w:r>
          </w:p>
        </w:tc>
        <w:tc>
          <w:tcPr>
            <w:tcW w:w="1140" w:type="dxa"/>
            <w:vAlign w:val="bottom"/>
            <w:gridSpan w:val="2"/>
          </w:tcPr>
          <w:p>
            <w:pPr>
              <w:ind w:left="220"/>
              <w:spacing w:after="0"/>
              <w:rPr>
                <w:sz w:val="20"/>
                <w:szCs w:val="20"/>
                <w:color w:val="auto"/>
              </w:rPr>
            </w:pPr>
            <w:r>
              <w:rPr>
                <w:rFonts w:ascii="Arial" w:cs="Arial" w:eastAsia="Arial" w:hAnsi="Arial"/>
                <w:sz w:val="17"/>
                <w:szCs w:val="17"/>
                <w:b w:val="1"/>
                <w:bCs w:val="1"/>
                <w:color w:val="auto"/>
              </w:rPr>
              <w:t>Entry Date</w:t>
            </w:r>
          </w:p>
        </w:tc>
        <w:tc>
          <w:tcPr>
            <w:tcW w:w="460" w:type="dxa"/>
            <w:vAlign w:val="bottom"/>
          </w:tcPr>
          <w:p>
            <w:pPr>
              <w:spacing w:after="0"/>
              <w:rPr>
                <w:sz w:val="17"/>
                <w:szCs w:val="17"/>
                <w:color w:val="auto"/>
              </w:rPr>
            </w:pPr>
          </w:p>
        </w:tc>
        <w:tc>
          <w:tcPr>
            <w:tcW w:w="2180" w:type="dxa"/>
            <w:vAlign w:val="bottom"/>
            <w:gridSpan w:val="4"/>
          </w:tcPr>
          <w:p>
            <w:pPr>
              <w:ind w:left="240"/>
              <w:spacing w:after="0"/>
              <w:rPr>
                <w:sz w:val="20"/>
                <w:szCs w:val="20"/>
                <w:color w:val="auto"/>
              </w:rPr>
            </w:pPr>
            <w:r>
              <w:rPr>
                <w:rFonts w:ascii="Arial" w:cs="Arial" w:eastAsia="Arial" w:hAnsi="Arial"/>
                <w:sz w:val="17"/>
                <w:szCs w:val="17"/>
                <w:b w:val="1"/>
                <w:bCs w:val="1"/>
                <w:color w:val="auto"/>
              </w:rPr>
              <w:t>Filing Date</w:t>
            </w:r>
          </w:p>
        </w:tc>
        <w:tc>
          <w:tcPr>
            <w:tcW w:w="2180" w:type="dxa"/>
            <w:vAlign w:val="bottom"/>
            <w:gridSpan w:val="2"/>
          </w:tcPr>
          <w:p>
            <w:pPr>
              <w:ind w:left="240"/>
              <w:spacing w:after="0"/>
              <w:rPr>
                <w:sz w:val="20"/>
                <w:szCs w:val="20"/>
                <w:color w:val="auto"/>
              </w:rPr>
            </w:pPr>
            <w:r>
              <w:rPr>
                <w:rFonts w:ascii="Arial" w:cs="Arial" w:eastAsia="Arial" w:hAnsi="Arial"/>
                <w:sz w:val="17"/>
                <w:szCs w:val="17"/>
                <w:b w:val="1"/>
                <w:bCs w:val="1"/>
                <w:color w:val="auto"/>
              </w:rPr>
              <w:t>Issue Date</w:t>
            </w:r>
          </w:p>
        </w:tc>
        <w:tc>
          <w:tcPr>
            <w:tcW w:w="1000" w:type="dxa"/>
            <w:vAlign w:val="bottom"/>
            <w:gridSpan w:val="2"/>
          </w:tcPr>
          <w:p>
            <w:pPr>
              <w:ind w:left="220"/>
              <w:spacing w:after="0"/>
              <w:rPr>
                <w:sz w:val="20"/>
                <w:szCs w:val="20"/>
                <w:color w:val="auto"/>
              </w:rPr>
            </w:pPr>
            <w:r>
              <w:rPr>
                <w:rFonts w:ascii="Arial" w:cs="Arial" w:eastAsia="Arial" w:hAnsi="Arial"/>
                <w:sz w:val="17"/>
                <w:szCs w:val="17"/>
                <w:b w:val="1"/>
                <w:bCs w:val="1"/>
                <w:color w:val="auto"/>
              </w:rPr>
              <w:t>Status</w:t>
            </w:r>
          </w:p>
        </w:tc>
        <w:tc>
          <w:tcPr>
            <w:tcW w:w="2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Owner</w:t>
            </w:r>
          </w:p>
        </w:tc>
      </w:tr>
      <w:tr>
        <w:trPr>
          <w:trHeight w:val="223"/>
        </w:trPr>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gridSpan w:val="4"/>
          </w:tcPr>
          <w:p>
            <w:pPr>
              <w:ind w:left="240"/>
              <w:spacing w:after="0"/>
              <w:rPr>
                <w:sz w:val="20"/>
                <w:szCs w:val="20"/>
                <w:color w:val="auto"/>
              </w:rPr>
            </w:pPr>
            <w:r>
              <w:rPr>
                <w:rFonts w:ascii="Arial" w:cs="Arial" w:eastAsia="Arial" w:hAnsi="Arial"/>
                <w:sz w:val="17"/>
                <w:szCs w:val="17"/>
                <w:b w:val="1"/>
                <w:bCs w:val="1"/>
                <w:color w:val="auto"/>
              </w:rPr>
              <w:t>Application No.</w:t>
            </w:r>
          </w:p>
        </w:tc>
        <w:tc>
          <w:tcPr>
            <w:tcW w:w="2180" w:type="dxa"/>
            <w:vAlign w:val="bottom"/>
            <w:gridSpan w:val="2"/>
          </w:tcPr>
          <w:p>
            <w:pPr>
              <w:ind w:left="240"/>
              <w:spacing w:after="0"/>
              <w:rPr>
                <w:sz w:val="20"/>
                <w:szCs w:val="20"/>
                <w:color w:val="auto"/>
              </w:rPr>
            </w:pPr>
            <w:r>
              <w:rPr>
                <w:rFonts w:ascii="Arial" w:cs="Arial" w:eastAsia="Arial" w:hAnsi="Arial"/>
                <w:sz w:val="17"/>
                <w:szCs w:val="17"/>
                <w:b w:val="1"/>
                <w:bCs w:val="1"/>
                <w:color w:val="auto"/>
              </w:rPr>
              <w:t>Patent No.</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41"/>
          <w:szCs w:val="41"/>
          <w:u w:val="single" w:color="auto"/>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7257415" cy="209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20"/>
                <w:szCs w:val="20"/>
                <w:color w:val="auto"/>
              </w:rPr>
            </w:pPr>
            <w:r>
              <w:rPr>
                <w:rFonts w:ascii="Arial" w:cs="Arial" w:eastAsia="Arial" w:hAnsi="Arial"/>
                <w:sz w:val="17"/>
                <w:szCs w:val="17"/>
                <w:color w:val="auto"/>
              </w:rPr>
              <w:t>Family 2</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37"/>
        </w:trPr>
        <w:tc>
          <w:tcPr>
            <w:tcW w:w="5040" w:type="dxa"/>
            <w:vAlign w:val="bottom"/>
            <w:gridSpan w:val="5"/>
          </w:tcPr>
          <w:p>
            <w:pPr>
              <w:spacing w:after="0"/>
              <w:rPr>
                <w:sz w:val="20"/>
                <w:szCs w:val="20"/>
                <w:color w:val="auto"/>
              </w:rPr>
            </w:pPr>
            <w:r>
              <w:rPr>
                <w:rFonts w:ascii="Arial" w:cs="Arial" w:eastAsia="Arial" w:hAnsi="Arial"/>
                <w:sz w:val="17"/>
                <w:szCs w:val="17"/>
                <w:b w:val="1"/>
                <w:bCs w:val="1"/>
                <w:color w:val="auto"/>
              </w:rPr>
              <w:t>A METHOD OF TREATING MUSCLE TISSUES</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5"/>
        </w:trPr>
        <w:tc>
          <w:tcPr>
            <w:tcW w:w="1260" w:type="dxa"/>
            <w:vAlign w:val="bottom"/>
          </w:tcPr>
          <w:p>
            <w:pPr>
              <w:spacing w:after="0"/>
              <w:rPr>
                <w:sz w:val="20"/>
                <w:szCs w:val="20"/>
                <w:color w:val="auto"/>
              </w:rPr>
            </w:pPr>
            <w:r>
              <w:rPr>
                <w:rFonts w:ascii="Arial" w:cs="Arial" w:eastAsia="Arial" w:hAnsi="Arial"/>
                <w:sz w:val="17"/>
                <w:szCs w:val="17"/>
                <w:b w:val="1"/>
                <w:bCs w:val="1"/>
                <w:color w:val="auto"/>
              </w:rPr>
              <w:t>Country</w:t>
            </w:r>
          </w:p>
        </w:tc>
        <w:tc>
          <w:tcPr>
            <w:tcW w:w="24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Earliest</w:t>
            </w:r>
          </w:p>
        </w:tc>
        <w:tc>
          <w:tcPr>
            <w:tcW w:w="1600" w:type="dxa"/>
            <w:vAlign w:val="bottom"/>
            <w:gridSpan w:val="2"/>
          </w:tcPr>
          <w:p>
            <w:pPr>
              <w:ind w:left="220"/>
              <w:spacing w:after="0"/>
              <w:rPr>
                <w:sz w:val="20"/>
                <w:szCs w:val="20"/>
                <w:color w:val="auto"/>
              </w:rPr>
            </w:pPr>
            <w:r>
              <w:rPr>
                <w:rFonts w:ascii="Arial" w:cs="Arial" w:eastAsia="Arial" w:hAnsi="Arial"/>
                <w:sz w:val="17"/>
                <w:szCs w:val="17"/>
                <w:b w:val="1"/>
                <w:bCs w:val="1"/>
                <w:color w:val="auto"/>
              </w:rPr>
              <w:t>Entry</w:t>
            </w:r>
          </w:p>
        </w:tc>
        <w:tc>
          <w:tcPr>
            <w:tcW w:w="2180" w:type="dxa"/>
            <w:vAlign w:val="bottom"/>
            <w:gridSpan w:val="2"/>
          </w:tcPr>
          <w:p>
            <w:pPr>
              <w:ind w:left="240"/>
              <w:spacing w:after="0"/>
              <w:rPr>
                <w:sz w:val="20"/>
                <w:szCs w:val="20"/>
                <w:color w:val="auto"/>
              </w:rPr>
            </w:pPr>
            <w:r>
              <w:rPr>
                <w:rFonts w:ascii="Arial" w:cs="Arial" w:eastAsia="Arial" w:hAnsi="Arial"/>
                <w:sz w:val="17"/>
                <w:szCs w:val="17"/>
                <w:b w:val="1"/>
                <w:bCs w:val="1"/>
                <w:color w:val="auto"/>
              </w:rPr>
              <w:t>Filing Date</w:t>
            </w:r>
          </w:p>
        </w:tc>
        <w:tc>
          <w:tcPr>
            <w:tcW w:w="2180" w:type="dxa"/>
            <w:vAlign w:val="bottom"/>
            <w:gridSpan w:val="2"/>
          </w:tcPr>
          <w:p>
            <w:pPr>
              <w:ind w:left="240"/>
              <w:spacing w:after="0"/>
              <w:rPr>
                <w:sz w:val="20"/>
                <w:szCs w:val="20"/>
                <w:color w:val="auto"/>
              </w:rPr>
            </w:pPr>
            <w:r>
              <w:rPr>
                <w:rFonts w:ascii="Arial" w:cs="Arial" w:eastAsia="Arial" w:hAnsi="Arial"/>
                <w:sz w:val="17"/>
                <w:szCs w:val="17"/>
                <w:b w:val="1"/>
                <w:bCs w:val="1"/>
                <w:color w:val="auto"/>
              </w:rPr>
              <w:t>Issue Date</w:t>
            </w:r>
          </w:p>
        </w:tc>
        <w:tc>
          <w:tcPr>
            <w:tcW w:w="1000" w:type="dxa"/>
            <w:vAlign w:val="bottom"/>
            <w:gridSpan w:val="2"/>
          </w:tcPr>
          <w:p>
            <w:pPr>
              <w:ind w:left="220"/>
              <w:spacing w:after="0"/>
              <w:rPr>
                <w:sz w:val="20"/>
                <w:szCs w:val="20"/>
                <w:color w:val="auto"/>
              </w:rPr>
            </w:pPr>
            <w:r>
              <w:rPr>
                <w:rFonts w:ascii="Arial" w:cs="Arial" w:eastAsia="Arial" w:hAnsi="Arial"/>
                <w:sz w:val="17"/>
                <w:szCs w:val="17"/>
                <w:b w:val="1"/>
                <w:bCs w:val="1"/>
                <w:color w:val="auto"/>
              </w:rPr>
              <w:t>Status</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Owner</w:t>
            </w:r>
          </w:p>
        </w:tc>
      </w:tr>
      <w:tr>
        <w:trPr>
          <w:trHeight w:val="223"/>
        </w:trPr>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Priority</w:t>
            </w:r>
          </w:p>
        </w:tc>
        <w:tc>
          <w:tcPr>
            <w:tcW w:w="2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2180" w:type="dxa"/>
            <w:vAlign w:val="bottom"/>
            <w:gridSpan w:val="2"/>
          </w:tcPr>
          <w:p>
            <w:pPr>
              <w:ind w:left="240"/>
              <w:spacing w:after="0"/>
              <w:rPr>
                <w:sz w:val="20"/>
                <w:szCs w:val="20"/>
                <w:color w:val="auto"/>
              </w:rPr>
            </w:pPr>
            <w:r>
              <w:rPr>
                <w:rFonts w:ascii="Arial" w:cs="Arial" w:eastAsia="Arial" w:hAnsi="Arial"/>
                <w:sz w:val="17"/>
                <w:szCs w:val="17"/>
                <w:b w:val="1"/>
                <w:bCs w:val="1"/>
                <w:color w:val="auto"/>
              </w:rPr>
              <w:t>Application No.</w:t>
            </w:r>
          </w:p>
        </w:tc>
        <w:tc>
          <w:tcPr>
            <w:tcW w:w="2180" w:type="dxa"/>
            <w:vAlign w:val="bottom"/>
            <w:gridSpan w:val="2"/>
          </w:tcPr>
          <w:p>
            <w:pPr>
              <w:ind w:left="240"/>
              <w:spacing w:after="0"/>
              <w:rPr>
                <w:sz w:val="20"/>
                <w:szCs w:val="20"/>
                <w:color w:val="auto"/>
              </w:rPr>
            </w:pPr>
            <w:r>
              <w:rPr>
                <w:rFonts w:ascii="Arial" w:cs="Arial" w:eastAsia="Arial" w:hAnsi="Arial"/>
                <w:sz w:val="17"/>
                <w:szCs w:val="17"/>
                <w:b w:val="1"/>
                <w:bCs w:val="1"/>
                <w:color w:val="auto"/>
              </w:rPr>
              <w:t>Patent No.</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
        </w:trPr>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41"/>
          <w:szCs w:val="41"/>
          <w:u w:val="single" w:color="auto"/>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Redacted pursuant to a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7257415" cy="209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7"/>
          <w:szCs w:val="17"/>
          <w:color w:val="auto"/>
        </w:rPr>
        <w:t>EXHIBIT 4.18</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BioLineRx Ltd.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2003 Share Incentive Plan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compliance with Amendment No. 132 of the Israeli Tax Ordinance, 2002)</w:t>
      </w:r>
    </w:p>
    <w:p>
      <w:pPr>
        <w:spacing w:after="0" w:line="242" w:lineRule="exact"/>
        <w:rPr>
          <w:sz w:val="20"/>
          <w:szCs w:val="20"/>
          <w:color w:val="auto"/>
        </w:rPr>
      </w:pPr>
    </w:p>
    <w:p>
      <w:pPr>
        <w:ind w:left="620" w:hanging="617"/>
        <w:spacing w:after="0"/>
        <w:tabs>
          <w:tab w:leader="none" w:pos="620" w:val="left"/>
        </w:tabs>
        <w:numPr>
          <w:ilvl w:val="0"/>
          <w:numId w:val="484"/>
        </w:numPr>
        <w:rPr>
          <w:rFonts w:ascii="Arial" w:cs="Arial" w:eastAsia="Arial" w:hAnsi="Arial"/>
          <w:sz w:val="17"/>
          <w:szCs w:val="17"/>
          <w:color w:val="auto"/>
        </w:rPr>
      </w:pPr>
      <w:r>
        <w:rPr>
          <w:rFonts w:ascii="Arial" w:cs="Arial" w:eastAsia="Arial" w:hAnsi="Arial"/>
          <w:sz w:val="17"/>
          <w:szCs w:val="17"/>
          <w:b w:val="1"/>
          <w:bCs w:val="1"/>
          <w:u w:val="single" w:color="auto"/>
          <w:color w:val="auto"/>
        </w:rPr>
        <w:t>Name</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This plan, as amended from time to time, shall be known as the "BioLineRx Ltd. 2003 Share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620" w:hanging="617"/>
        <w:spacing w:after="0"/>
        <w:tabs>
          <w:tab w:leader="none" w:pos="620" w:val="left"/>
        </w:tabs>
        <w:numPr>
          <w:ilvl w:val="0"/>
          <w:numId w:val="484"/>
        </w:numPr>
        <w:rPr>
          <w:rFonts w:ascii="Arial" w:cs="Arial" w:eastAsia="Arial" w:hAnsi="Arial"/>
          <w:sz w:val="17"/>
          <w:szCs w:val="17"/>
          <w:color w:val="auto"/>
        </w:rPr>
      </w:pPr>
      <w:r>
        <w:rPr>
          <w:rFonts w:ascii="Arial" w:cs="Arial" w:eastAsia="Arial" w:hAnsi="Arial"/>
          <w:sz w:val="17"/>
          <w:szCs w:val="17"/>
          <w:b w:val="1"/>
          <w:bCs w:val="1"/>
          <w:u w:val="single" w:color="auto"/>
          <w:color w:val="auto"/>
        </w:rPr>
        <w:t>Purpose</w:t>
      </w:r>
    </w:p>
    <w:p>
      <w:pPr>
        <w:spacing w:after="0" w:line="27" w:lineRule="exact"/>
        <w:rPr>
          <w:rFonts w:ascii="Arial" w:cs="Arial" w:eastAsia="Arial" w:hAnsi="Arial"/>
          <w:sz w:val="17"/>
          <w:szCs w:val="17"/>
          <w:color w:val="auto"/>
        </w:rPr>
      </w:pPr>
    </w:p>
    <w:p>
      <w:pPr>
        <w:jc w:val="both"/>
        <w:ind w:left="620"/>
        <w:spacing w:after="0" w:line="255" w:lineRule="auto"/>
        <w:rPr>
          <w:rFonts w:ascii="Arial" w:cs="Arial" w:eastAsia="Arial" w:hAnsi="Arial"/>
          <w:sz w:val="17"/>
          <w:szCs w:val="17"/>
          <w:color w:val="auto"/>
        </w:rPr>
      </w:pPr>
      <w:r>
        <w:rPr>
          <w:rFonts w:ascii="Arial" w:cs="Arial" w:eastAsia="Arial" w:hAnsi="Arial"/>
          <w:sz w:val="17"/>
          <w:szCs w:val="17"/>
          <w:color w:val="auto"/>
        </w:rPr>
        <w:t>The purpose and intent of the Plan is to provide incentive: (i) to retain, in the employ of the Company and its Affiliates (as defined below), persons of training, experience and ability, (ii) to attract new employees, directors, consultants, service providers and other entities, the services of which shall be considered valuable to the Company by the Board of Directors of the Company, (iii) to encourage the sense of proprietorship of such persons, and (iv) to stimulate the active interest of such persons in the development and financial success of the Company by providing them with opportunities to purchase shares in the Company, pursuant to the Plan.</w:t>
      </w:r>
    </w:p>
    <w:p>
      <w:pPr>
        <w:spacing w:after="0" w:line="205" w:lineRule="exact"/>
        <w:rPr>
          <w:rFonts w:ascii="Arial" w:cs="Arial" w:eastAsia="Arial" w:hAnsi="Arial"/>
          <w:sz w:val="17"/>
          <w:szCs w:val="17"/>
          <w:color w:val="auto"/>
        </w:rPr>
      </w:pPr>
    </w:p>
    <w:p>
      <w:pPr>
        <w:ind w:left="620" w:hanging="617"/>
        <w:spacing w:after="0"/>
        <w:tabs>
          <w:tab w:leader="none" w:pos="620" w:val="left"/>
        </w:tabs>
        <w:numPr>
          <w:ilvl w:val="0"/>
          <w:numId w:val="484"/>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For purposes of the Plan and related documents, including the Incentive Agreement, the following definitions shall apply:</w:t>
      </w:r>
    </w:p>
    <w:p>
      <w:pPr>
        <w:spacing w:after="0" w:line="22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any “employing company” within the meaning of Section 102(a) of the Ordinance.</w:t>
      </w:r>
    </w:p>
    <w:p>
      <w:pPr>
        <w:spacing w:after="0" w:line="241" w:lineRule="exact"/>
        <w:rPr>
          <w:rFonts w:ascii="Arial" w:cs="Arial" w:eastAsia="Arial" w:hAnsi="Arial"/>
          <w:sz w:val="17"/>
          <w:szCs w:val="17"/>
          <w:color w:val="auto"/>
        </w:rPr>
      </w:pPr>
    </w:p>
    <w:p>
      <w:pPr>
        <w:ind w:left="1840" w:hanging="1235"/>
        <w:spacing w:after="0" w:line="286" w:lineRule="auto"/>
        <w:rPr>
          <w:rFonts w:ascii="Arial" w:cs="Arial" w:eastAsia="Arial" w:hAnsi="Arial"/>
          <w:sz w:val="17"/>
          <w:szCs w:val="17"/>
          <w:color w:val="auto"/>
        </w:rPr>
      </w:pPr>
      <w:r>
        <w:rPr>
          <w:rFonts w:ascii="Arial" w:cs="Arial" w:eastAsia="Arial" w:hAnsi="Arial"/>
          <w:sz w:val="17"/>
          <w:szCs w:val="17"/>
          <w:color w:val="auto"/>
        </w:rPr>
        <w:t>3.2."</w:t>
      </w:r>
      <w:r>
        <w:rPr>
          <w:rFonts w:ascii="Arial" w:cs="Arial" w:eastAsia="Arial" w:hAnsi="Arial"/>
          <w:sz w:val="17"/>
          <w:szCs w:val="17"/>
          <w:b w:val="1"/>
          <w:bCs w:val="1"/>
          <w:color w:val="auto"/>
        </w:rPr>
        <w:t>Approved 102 Option</w:t>
      </w:r>
      <w:r>
        <w:rPr>
          <w:rFonts w:ascii="Arial" w:cs="Arial" w:eastAsia="Arial" w:hAnsi="Arial"/>
          <w:sz w:val="17"/>
          <w:szCs w:val="17"/>
          <w:color w:val="auto"/>
        </w:rPr>
        <w:t>" means an Option granted pursuant to Section 102(b) of the Ordinance and held in trust by a Trustee (as defined in Section 7) for the benefit of Grantee.</w:t>
      </w:r>
    </w:p>
    <w:p>
      <w:pPr>
        <w:spacing w:after="0" w:line="177"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3.3.</w:t>
      </w:r>
      <w:r>
        <w:rPr>
          <w:rFonts w:ascii="Arial" w:cs="Arial" w:eastAsia="Arial" w:hAnsi="Arial"/>
          <w:sz w:val="15"/>
          <w:szCs w:val="15"/>
          <w:color w:val="auto"/>
        </w:rPr>
        <w:t>"</w:t>
      </w:r>
      <w:r>
        <w:rPr>
          <w:rFonts w:ascii="Arial" w:cs="Arial" w:eastAsia="Arial" w:hAnsi="Arial"/>
          <w:sz w:val="15"/>
          <w:szCs w:val="15"/>
          <w:b w:val="1"/>
          <w:bCs w:val="1"/>
          <w:color w:val="auto"/>
        </w:rPr>
        <w:t>Approved 102 Security</w:t>
      </w:r>
      <w:r>
        <w:rPr>
          <w:rFonts w:ascii="Arial" w:cs="Arial" w:eastAsia="Arial" w:hAnsi="Arial"/>
          <w:sz w:val="15"/>
          <w:szCs w:val="15"/>
          <w:color w:val="auto"/>
        </w:rPr>
        <w:t>" means an Approved 102 Option and/or an Approved 102 Share.</w:t>
      </w:r>
    </w:p>
    <w:p>
      <w:pPr>
        <w:spacing w:after="0" w:line="241" w:lineRule="exact"/>
        <w:rPr>
          <w:rFonts w:ascii="Arial" w:cs="Arial" w:eastAsia="Arial" w:hAnsi="Arial"/>
          <w:sz w:val="17"/>
          <w:szCs w:val="17"/>
          <w:color w:val="auto"/>
        </w:rPr>
      </w:pPr>
    </w:p>
    <w:p>
      <w:pPr>
        <w:ind w:left="1840" w:hanging="1235"/>
        <w:spacing w:after="0" w:line="286" w:lineRule="auto"/>
        <w:rPr>
          <w:rFonts w:ascii="Arial" w:cs="Arial" w:eastAsia="Arial" w:hAnsi="Arial"/>
          <w:sz w:val="17"/>
          <w:szCs w:val="17"/>
          <w:color w:val="auto"/>
        </w:rPr>
      </w:pPr>
      <w:r>
        <w:rPr>
          <w:rFonts w:ascii="Arial" w:cs="Arial" w:eastAsia="Arial" w:hAnsi="Arial"/>
          <w:sz w:val="17"/>
          <w:szCs w:val="17"/>
          <w:color w:val="auto"/>
        </w:rPr>
        <w:t>3.4."</w:t>
      </w:r>
      <w:r>
        <w:rPr>
          <w:rFonts w:ascii="Arial" w:cs="Arial" w:eastAsia="Arial" w:hAnsi="Arial"/>
          <w:sz w:val="17"/>
          <w:szCs w:val="17"/>
          <w:b w:val="1"/>
          <w:bCs w:val="1"/>
          <w:color w:val="auto"/>
        </w:rPr>
        <w:t>Approved 102 Share</w:t>
      </w:r>
      <w:r>
        <w:rPr>
          <w:rFonts w:ascii="Arial" w:cs="Arial" w:eastAsia="Arial" w:hAnsi="Arial"/>
          <w:sz w:val="17"/>
          <w:szCs w:val="17"/>
          <w:color w:val="auto"/>
        </w:rPr>
        <w:t>" means a Share issued pursuant to Section 102(b) of the Ordinance or a Share issued upon the exercise of an Approved 102 Option, and held in trust by a Trustee (as defined in Section 7) for the benefit of a Grantee.</w:t>
      </w:r>
    </w:p>
    <w:p>
      <w:pPr>
        <w:spacing w:after="0" w:line="177"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3.5.</w:t>
      </w:r>
      <w:r>
        <w:rPr>
          <w:rFonts w:ascii="Arial" w:cs="Arial" w:eastAsia="Arial" w:hAnsi="Arial"/>
          <w:sz w:val="15"/>
          <w:szCs w:val="15"/>
          <w:color w:val="auto"/>
        </w:rPr>
        <w:t>"</w:t>
      </w:r>
      <w:r>
        <w:rPr>
          <w:rFonts w:ascii="Arial" w:cs="Arial" w:eastAsia="Arial" w:hAnsi="Arial"/>
          <w:sz w:val="15"/>
          <w:szCs w:val="15"/>
          <w:b w:val="1"/>
          <w:bCs w:val="1"/>
          <w:color w:val="auto"/>
        </w:rPr>
        <w:t>Board</w:t>
      </w:r>
      <w:r>
        <w:rPr>
          <w:rFonts w:ascii="Arial" w:cs="Arial" w:eastAsia="Arial" w:hAnsi="Arial"/>
          <w:sz w:val="15"/>
          <w:szCs w:val="15"/>
          <w:color w:val="auto"/>
        </w:rPr>
        <w:t>" means the Board of Directors of the Company.</w:t>
      </w:r>
    </w:p>
    <w:p>
      <w:pPr>
        <w:spacing w:after="0" w:line="241"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3.6.</w:t>
      </w:r>
      <w:r>
        <w:rPr>
          <w:rFonts w:ascii="Arial" w:cs="Arial" w:eastAsia="Arial" w:hAnsi="Arial"/>
          <w:sz w:val="15"/>
          <w:szCs w:val="15"/>
          <w:color w:val="auto"/>
        </w:rPr>
        <w:t>"</w:t>
      </w:r>
      <w:r>
        <w:rPr>
          <w:rFonts w:ascii="Arial" w:cs="Arial" w:eastAsia="Arial" w:hAnsi="Arial"/>
          <w:sz w:val="15"/>
          <w:szCs w:val="15"/>
          <w:b w:val="1"/>
          <w:bCs w:val="1"/>
          <w:color w:val="auto"/>
        </w:rPr>
        <w:t>Capital Gain Security (CGS)</w:t>
      </w:r>
      <w:r>
        <w:rPr>
          <w:rFonts w:ascii="Arial" w:cs="Arial" w:eastAsia="Arial" w:hAnsi="Arial"/>
          <w:sz w:val="15"/>
          <w:szCs w:val="15"/>
          <w:color w:val="auto"/>
        </w:rPr>
        <w:t>" as defined in Section 6.4.</w:t>
      </w:r>
    </w:p>
    <w:p>
      <w:pPr>
        <w:spacing w:after="0" w:line="241" w:lineRule="exact"/>
        <w:rPr>
          <w:rFonts w:ascii="Arial" w:cs="Arial" w:eastAsia="Arial" w:hAnsi="Arial"/>
          <w:sz w:val="17"/>
          <w:szCs w:val="17"/>
          <w:color w:val="auto"/>
        </w:rPr>
      </w:pPr>
    </w:p>
    <w:p>
      <w:pPr>
        <w:jc w:val="right"/>
        <w:ind w:left="1840" w:hanging="1235"/>
        <w:spacing w:after="0" w:line="298" w:lineRule="auto"/>
        <w:rPr>
          <w:rFonts w:ascii="Arial" w:cs="Arial" w:eastAsia="Arial" w:hAnsi="Arial"/>
          <w:sz w:val="17"/>
          <w:szCs w:val="17"/>
          <w:color w:val="auto"/>
        </w:rPr>
      </w:pPr>
      <w:r>
        <w:rPr>
          <w:rFonts w:ascii="Arial" w:cs="Arial" w:eastAsia="Arial" w:hAnsi="Arial"/>
          <w:sz w:val="17"/>
          <w:szCs w:val="17"/>
          <w:color w:val="auto"/>
        </w:rPr>
        <w:t>3.7.</w:t>
      </w: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means (i) commitment of a serious breach of trust, including, but not limited to, theft, embezzlement, self-dealing; (ii) prohibited disclosure to unauthorized persons or entities of confidential or proprietary information of, or relating to, the Company and/or its Affiliates;</w:t>
      </w:r>
    </w:p>
    <w:p>
      <w:pPr>
        <w:ind w:left="2160" w:hanging="318"/>
        <w:spacing w:after="0"/>
        <w:tabs>
          <w:tab w:leader="none" w:pos="2160" w:val="left"/>
        </w:tabs>
        <w:numPr>
          <w:ilvl w:val="1"/>
          <w:numId w:val="484"/>
        </w:numPr>
        <w:rPr>
          <w:rFonts w:ascii="Arial" w:cs="Arial" w:eastAsia="Arial" w:hAnsi="Arial"/>
          <w:sz w:val="16"/>
          <w:szCs w:val="16"/>
          <w:color w:val="auto"/>
        </w:rPr>
      </w:pPr>
      <w:r>
        <w:rPr>
          <w:rFonts w:ascii="Arial" w:cs="Arial" w:eastAsia="Arial" w:hAnsi="Arial"/>
          <w:sz w:val="16"/>
          <w:szCs w:val="16"/>
          <w:color w:val="auto"/>
        </w:rPr>
        <w:t>the engaging by Grantee in any prohibited business or activities competitive to the business of the Company and/or its Affiliates; or</w:t>
      </w:r>
    </w:p>
    <w:p>
      <w:pPr>
        <w:spacing w:after="0" w:line="21" w:lineRule="exact"/>
        <w:rPr>
          <w:rFonts w:ascii="Arial" w:cs="Arial" w:eastAsia="Arial" w:hAnsi="Arial"/>
          <w:sz w:val="16"/>
          <w:szCs w:val="16"/>
          <w:color w:val="auto"/>
        </w:rPr>
      </w:pPr>
    </w:p>
    <w:p>
      <w:pPr>
        <w:ind w:left="1840" w:firstLine="2"/>
        <w:spacing w:after="0" w:line="265" w:lineRule="auto"/>
        <w:tabs>
          <w:tab w:leader="none" w:pos="2145" w:val="left"/>
        </w:tabs>
        <w:numPr>
          <w:ilvl w:val="1"/>
          <w:numId w:val="484"/>
        </w:numPr>
        <w:rPr>
          <w:rFonts w:ascii="Arial" w:cs="Arial" w:eastAsia="Arial" w:hAnsi="Arial"/>
          <w:sz w:val="17"/>
          <w:szCs w:val="17"/>
          <w:color w:val="auto"/>
        </w:rPr>
      </w:pPr>
      <w:r>
        <w:rPr>
          <w:rFonts w:ascii="Arial" w:cs="Arial" w:eastAsia="Arial" w:hAnsi="Arial"/>
          <w:sz w:val="17"/>
          <w:szCs w:val="17"/>
          <w:color w:val="auto"/>
        </w:rPr>
        <w:t>any other action or omission which may be defined as Cause "justifiable cause" or the like in the respective Grantee's employment, consulting or service agreement with the Company or an Affiliate, as applicable.</w:t>
      </w:r>
    </w:p>
    <w:p>
      <w:pPr>
        <w:spacing w:after="0" w:line="19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Chairman</w:t>
      </w:r>
      <w:r>
        <w:rPr>
          <w:rFonts w:ascii="Arial" w:cs="Arial" w:eastAsia="Arial" w:hAnsi="Arial"/>
          <w:sz w:val="15"/>
          <w:szCs w:val="15"/>
          <w:color w:val="auto"/>
        </w:rPr>
        <w:t>" means the chairman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76" w:name="page577"/>
    <w:bookmarkEnd w:id="576"/>
    <w:p>
      <w:pPr>
        <w:ind w:left="1240" w:hanging="1234"/>
        <w:spacing w:after="0" w:line="286" w:lineRule="auto"/>
        <w:tabs>
          <w:tab w:leader="none" w:pos="122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a share option / share incentive compensation committee appointed by the Board, as may be fixed from time to time by the Board.</w:t>
      </w:r>
    </w:p>
    <w:p>
      <w:pPr>
        <w:spacing w:after="0" w:line="17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Companies Law</w:t>
      </w:r>
      <w:r>
        <w:rPr>
          <w:rFonts w:ascii="Arial" w:cs="Arial" w:eastAsia="Arial" w:hAnsi="Arial"/>
          <w:sz w:val="15"/>
          <w:szCs w:val="15"/>
          <w:color w:val="auto"/>
        </w:rPr>
        <w:t>" means the Israeli Companies Law 5759-1999, as now in effect or as hereafter amended.</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BioLineRx Ltd.</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Controlling Shareholder</w:t>
      </w:r>
      <w:r>
        <w:rPr>
          <w:rFonts w:ascii="Arial" w:cs="Arial" w:eastAsia="Arial" w:hAnsi="Arial"/>
          <w:sz w:val="15"/>
          <w:szCs w:val="15"/>
          <w:color w:val="auto"/>
        </w:rPr>
        <w:t>" shall have the meaning ascribed to it in Section 32(9) of the Ordinance.</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Date of Grant</w:t>
      </w:r>
      <w:r>
        <w:rPr>
          <w:rFonts w:ascii="Arial" w:cs="Arial" w:eastAsia="Arial" w:hAnsi="Arial"/>
          <w:sz w:val="15"/>
          <w:szCs w:val="15"/>
          <w:color w:val="auto"/>
        </w:rPr>
        <w:t>" means, the date of grant of a Security, as determined by the Board and set forth in Grantee’s Incentive Agreement.</w:t>
      </w:r>
    </w:p>
    <w:p>
      <w:pPr>
        <w:spacing w:after="0" w:line="242" w:lineRule="exact"/>
        <w:rPr>
          <w:sz w:val="20"/>
          <w:szCs w:val="20"/>
          <w:color w:val="auto"/>
        </w:rPr>
      </w:pPr>
    </w:p>
    <w:p>
      <w:pPr>
        <w:ind w:left="1240" w:hanging="1234"/>
        <w:spacing w:after="0" w:line="286" w:lineRule="auto"/>
        <w:tabs>
          <w:tab w:leader="none" w:pos="122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means a person who is employed by the Company or its Affiliates, including an individual who is serving as a director or an office holder, but excluding Controlling Shareholder(s).</w:t>
      </w:r>
    </w:p>
    <w:p>
      <w:pPr>
        <w:spacing w:after="0" w:line="17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Exercise Price</w:t>
      </w:r>
      <w:r>
        <w:rPr>
          <w:rFonts w:ascii="Arial" w:cs="Arial" w:eastAsia="Arial" w:hAnsi="Arial"/>
          <w:sz w:val="15"/>
          <w:szCs w:val="15"/>
          <w:color w:val="auto"/>
        </w:rPr>
        <w:t>" means the price for each Share subject to an Option.</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Expiration Date</w:t>
      </w:r>
      <w:r>
        <w:rPr>
          <w:rFonts w:ascii="Arial" w:cs="Arial" w:eastAsia="Arial" w:hAnsi="Arial"/>
          <w:sz w:val="15"/>
          <w:szCs w:val="15"/>
          <w:color w:val="auto"/>
        </w:rPr>
        <w:t>" means the date upon which an Option shall expire, as set forth in Section 10.2.</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Fair Market Value</w:t>
      </w:r>
      <w:r>
        <w:rPr>
          <w:rFonts w:ascii="Arial" w:cs="Arial" w:eastAsia="Arial" w:hAnsi="Arial"/>
          <w:sz w:val="15"/>
          <w:szCs w:val="15"/>
          <w:color w:val="auto"/>
        </w:rPr>
        <w:t>" means as of any date, the value of a Share determined as follows:</w:t>
      </w:r>
    </w:p>
    <w:p>
      <w:pPr>
        <w:spacing w:after="0" w:line="248" w:lineRule="exact"/>
        <w:rPr>
          <w:sz w:val="20"/>
          <w:szCs w:val="20"/>
          <w:color w:val="auto"/>
        </w:rPr>
      </w:pPr>
    </w:p>
    <w:p>
      <w:pPr>
        <w:jc w:val="both"/>
        <w:ind w:left="1680" w:hanging="463"/>
        <w:spacing w:after="0" w:line="273" w:lineRule="auto"/>
        <w:tabs>
          <w:tab w:leader="none" w:pos="168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If the Shares are listed on any established stock exchange or a national market system, including without limitation the NASDAQ National Market system, or the NASDAQ SmallCap Market of the NASDAQ Stock Market, the Fair Market Value shall be the closing sales price for such Shares (or the closing bid, if no sales were reported), as quoted on such exchange or system for the last market trading day prior to time of determination, as reported in the Wall Street Journal, or such other source as the Board or the Committee deems reliable. Without derogating from the above,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the Fair Market Value of a Share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96" w:lineRule="exact"/>
        <w:rPr>
          <w:rFonts w:ascii="Arial" w:cs="Arial" w:eastAsia="Arial" w:hAnsi="Arial"/>
          <w:sz w:val="16"/>
          <w:szCs w:val="16"/>
          <w:color w:val="auto"/>
        </w:rPr>
      </w:pPr>
    </w:p>
    <w:p>
      <w:pPr>
        <w:jc w:val="both"/>
        <w:ind w:left="1680" w:hanging="463"/>
        <w:spacing w:after="0" w:line="265" w:lineRule="auto"/>
        <w:tabs>
          <w:tab w:leader="none" w:pos="16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If the Shares are regularly quoted by a recognized securities dealer but selling prices are not reported, the Fair Market Value shall be the mean between the high bid and low asked prices for the Shares on the last market trading day prior to the day of determination, or;</w:t>
      </w:r>
    </w:p>
    <w:p>
      <w:pPr>
        <w:spacing w:after="0" w:line="201" w:lineRule="exact"/>
        <w:rPr>
          <w:rFonts w:ascii="Arial" w:cs="Arial" w:eastAsia="Arial" w:hAnsi="Arial"/>
          <w:sz w:val="17"/>
          <w:szCs w:val="17"/>
          <w:color w:val="auto"/>
        </w:rPr>
      </w:pPr>
    </w:p>
    <w:p>
      <w:pPr>
        <w:ind w:left="1680" w:hanging="463"/>
        <w:spacing w:after="0" w:line="278" w:lineRule="auto"/>
        <w:tabs>
          <w:tab w:leader="none" w:pos="168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In the absence of an established market for the Shares, the Fair Market Value thereof shall be determined in good faith by the Board or the Committee.</w:t>
      </w:r>
    </w:p>
    <w:p>
      <w:pPr>
        <w:spacing w:after="0" w:line="18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Grantee</w:t>
      </w:r>
      <w:r>
        <w:rPr>
          <w:rFonts w:ascii="Arial" w:cs="Arial" w:eastAsia="Arial" w:hAnsi="Arial"/>
          <w:sz w:val="15"/>
          <w:szCs w:val="15"/>
          <w:color w:val="auto"/>
        </w:rPr>
        <w:t>" means a person who receives or holds a Security under the Plan.</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3.19.</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IPO</w:t>
      </w:r>
      <w:r>
        <w:rPr>
          <w:rFonts w:ascii="Arial" w:cs="Arial" w:eastAsia="Arial" w:hAnsi="Arial"/>
          <w:sz w:val="15"/>
          <w:szCs w:val="15"/>
          <w:color w:val="auto"/>
        </w:rPr>
        <w:t>" means the initial public offering of the Company’s shares.</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3.20.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Issuance Price</w:t>
      </w:r>
      <w:r>
        <w:rPr>
          <w:rFonts w:ascii="Arial" w:cs="Arial" w:eastAsia="Arial" w:hAnsi="Arial"/>
          <w:sz w:val="15"/>
          <w:szCs w:val="15"/>
          <w:color w:val="auto"/>
        </w:rPr>
        <w:t>" means the price for each share issued to a Grantee.</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Non-Employee</w:t>
      </w:r>
      <w:r>
        <w:rPr>
          <w:rFonts w:ascii="Arial" w:cs="Arial" w:eastAsia="Arial" w:hAnsi="Arial"/>
          <w:sz w:val="15"/>
          <w:szCs w:val="15"/>
          <w:color w:val="auto"/>
        </w:rPr>
        <w:t>" means a consultant, adviser, service provider, Controlling Shareholder or any other person who is not an Employee.</w:t>
      </w:r>
    </w:p>
    <w:p>
      <w:pPr>
        <w:spacing w:after="0" w:line="2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Ordinary Income Security (OIS)</w:t>
      </w:r>
      <w:r>
        <w:rPr>
          <w:rFonts w:ascii="Arial" w:cs="Arial" w:eastAsia="Arial" w:hAnsi="Arial"/>
          <w:sz w:val="15"/>
          <w:szCs w:val="15"/>
          <w:color w:val="auto"/>
        </w:rPr>
        <w:t>" as defined in Section 6.5.</w:t>
      </w:r>
    </w:p>
    <w:p>
      <w:pPr>
        <w:spacing w:after="0" w:line="38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77470</wp:posOffset>
            </wp:positionV>
            <wp:extent cx="7257415" cy="209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20"/>
          </w:cols>
          <w:pgMar w:left="840" w:top="494" w:right="239" w:bottom="1440" w:gutter="0" w:footer="0" w:header="0"/>
        </w:sectPr>
      </w:pPr>
    </w:p>
    <w:bookmarkStart w:id="577" w:name="page578"/>
    <w:bookmarkEnd w:id="577"/>
    <w:p>
      <w:pPr>
        <w:ind w:left="597"/>
        <w:spacing w:after="0"/>
        <w:tabs>
          <w:tab w:leader="none" w:pos="1817"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Option</w:t>
      </w:r>
      <w:r>
        <w:rPr>
          <w:rFonts w:ascii="Arial" w:cs="Arial" w:eastAsia="Arial" w:hAnsi="Arial"/>
          <w:sz w:val="15"/>
          <w:szCs w:val="15"/>
          <w:color w:val="auto"/>
        </w:rPr>
        <w:t>" means an option to purchase one or more Shares of the Company pursuant to the Plan.</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102 Option</w:t>
      </w:r>
      <w:r>
        <w:rPr>
          <w:rFonts w:ascii="Arial" w:cs="Arial" w:eastAsia="Arial" w:hAnsi="Arial"/>
          <w:sz w:val="15"/>
          <w:szCs w:val="15"/>
          <w:color w:val="auto"/>
        </w:rPr>
        <w:t>" means any Option granted pursuant to Section 102 of the Ordinance to any person who is an Employee.</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102 Security</w:t>
      </w:r>
      <w:r>
        <w:rPr>
          <w:rFonts w:ascii="Arial" w:cs="Arial" w:eastAsia="Arial" w:hAnsi="Arial"/>
          <w:sz w:val="15"/>
          <w:szCs w:val="15"/>
          <w:color w:val="auto"/>
        </w:rPr>
        <w:t>" means a 102 Option and/or a 102 Share.</w:t>
      </w:r>
    </w:p>
    <w:p>
      <w:pPr>
        <w:spacing w:after="0" w:line="242" w:lineRule="exact"/>
        <w:rPr>
          <w:sz w:val="20"/>
          <w:szCs w:val="20"/>
          <w:color w:val="auto"/>
        </w:rPr>
      </w:pPr>
    </w:p>
    <w:p>
      <w:pPr>
        <w:jc w:val="both"/>
        <w:ind w:left="1837" w:hanging="1234"/>
        <w:spacing w:after="0" w:line="286" w:lineRule="auto"/>
        <w:tabs>
          <w:tab w:leader="none" w:pos="1817" w:val="left"/>
        </w:tabs>
        <w:rPr>
          <w:sz w:val="20"/>
          <w:szCs w:val="20"/>
          <w:color w:val="auto"/>
        </w:rPr>
      </w:pPr>
      <w:r>
        <w:rPr>
          <w:rFonts w:ascii="Arial" w:cs="Arial" w:eastAsia="Arial" w:hAnsi="Arial"/>
          <w:sz w:val="17"/>
          <w:szCs w:val="17"/>
          <w:color w:val="auto"/>
        </w:rPr>
        <w:t>3.26.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102 Share</w:t>
      </w:r>
      <w:r>
        <w:rPr>
          <w:rFonts w:ascii="Arial" w:cs="Arial" w:eastAsia="Arial" w:hAnsi="Arial"/>
          <w:sz w:val="17"/>
          <w:szCs w:val="17"/>
          <w:color w:val="auto"/>
        </w:rPr>
        <w:t>" means a Share issued pursuant to Section 102 of the Ordinance or a Share issued upon the exercise of a 102 Option, to any person who is an Employee.</w:t>
      </w:r>
    </w:p>
    <w:p>
      <w:pPr>
        <w:spacing w:after="0" w:line="177"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3.27.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3(i) Option</w:t>
      </w:r>
      <w:r>
        <w:rPr>
          <w:rFonts w:ascii="Arial" w:cs="Arial" w:eastAsia="Arial" w:hAnsi="Arial"/>
          <w:sz w:val="15"/>
          <w:szCs w:val="15"/>
          <w:color w:val="auto"/>
        </w:rPr>
        <w:t>" means an Option granted pursuant to Section 3(i) of the Ordinance to any person who is a Non- Employee.</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3(i) Security</w:t>
      </w:r>
      <w:r>
        <w:rPr>
          <w:rFonts w:ascii="Arial" w:cs="Arial" w:eastAsia="Arial" w:hAnsi="Arial"/>
          <w:sz w:val="15"/>
          <w:szCs w:val="15"/>
          <w:color w:val="auto"/>
        </w:rPr>
        <w:t>" means a 3(i) Option and/or a 3(i) Share.</w:t>
      </w:r>
    </w:p>
    <w:p>
      <w:pPr>
        <w:spacing w:after="0" w:line="242" w:lineRule="exact"/>
        <w:rPr>
          <w:sz w:val="20"/>
          <w:szCs w:val="20"/>
          <w:color w:val="auto"/>
        </w:rPr>
      </w:pPr>
    </w:p>
    <w:p>
      <w:pPr>
        <w:jc w:val="both"/>
        <w:ind w:left="1837" w:hanging="1234"/>
        <w:spacing w:after="0" w:line="286" w:lineRule="auto"/>
        <w:tabs>
          <w:tab w:leader="none" w:pos="1817" w:val="left"/>
        </w:tabs>
        <w:rPr>
          <w:sz w:val="20"/>
          <w:szCs w:val="20"/>
          <w:color w:val="auto"/>
        </w:rPr>
      </w:pPr>
      <w:r>
        <w:rPr>
          <w:rFonts w:ascii="Arial" w:cs="Arial" w:eastAsia="Arial" w:hAnsi="Arial"/>
          <w:sz w:val="17"/>
          <w:szCs w:val="17"/>
          <w:color w:val="auto"/>
        </w:rPr>
        <w:t>3.29.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3(i) Share</w:t>
      </w:r>
      <w:r>
        <w:rPr>
          <w:rFonts w:ascii="Arial" w:cs="Arial" w:eastAsia="Arial" w:hAnsi="Arial"/>
          <w:sz w:val="17"/>
          <w:szCs w:val="17"/>
          <w:color w:val="auto"/>
        </w:rPr>
        <w:t>" means a Share issued pursuant to Section 3(i) of the Ordinance or a Share issued upon the exercise of a 3(i) Option, to any person who is an Non-Employee.</w:t>
      </w:r>
    </w:p>
    <w:p>
      <w:pPr>
        <w:spacing w:after="0" w:line="177" w:lineRule="exact"/>
        <w:rPr>
          <w:sz w:val="20"/>
          <w:szCs w:val="20"/>
          <w:color w:val="auto"/>
        </w:rPr>
      </w:pPr>
    </w:p>
    <w:p>
      <w:pPr>
        <w:jc w:val="both"/>
        <w:ind w:left="1837" w:hanging="1234"/>
        <w:spacing w:after="0" w:line="286" w:lineRule="auto"/>
        <w:tabs>
          <w:tab w:leader="none" w:pos="1817" w:val="left"/>
        </w:tabs>
        <w:rPr>
          <w:sz w:val="20"/>
          <w:szCs w:val="20"/>
          <w:color w:val="auto"/>
        </w:rPr>
      </w:pPr>
      <w:r>
        <w:rPr>
          <w:rFonts w:ascii="Arial" w:cs="Arial" w:eastAsia="Arial" w:hAnsi="Arial"/>
          <w:sz w:val="17"/>
          <w:szCs w:val="17"/>
          <w:color w:val="auto"/>
        </w:rPr>
        <w:t>3.30.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Incentive Agreement</w:t>
      </w:r>
      <w:r>
        <w:rPr>
          <w:rFonts w:ascii="Arial" w:cs="Arial" w:eastAsia="Arial" w:hAnsi="Arial"/>
          <w:sz w:val="17"/>
          <w:szCs w:val="17"/>
          <w:color w:val="auto"/>
        </w:rPr>
        <w:t>" means the share option agreement or share incentive agreement between the Company and a Grantee that sets out the terms and conditions of a Security.</w:t>
      </w:r>
    </w:p>
    <w:p>
      <w:pPr>
        <w:spacing w:after="0" w:line="177"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Ordinance</w:t>
      </w:r>
      <w:r>
        <w:rPr>
          <w:rFonts w:ascii="Arial" w:cs="Arial" w:eastAsia="Arial" w:hAnsi="Arial"/>
          <w:sz w:val="15"/>
          <w:szCs w:val="15"/>
          <w:color w:val="auto"/>
        </w:rPr>
        <w:t>" means the Israeli Income Tax Ordinance [New Version] 1961, as now in effect or as hereafter amended.</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Plan</w:t>
      </w:r>
      <w:r>
        <w:rPr>
          <w:rFonts w:ascii="Arial" w:cs="Arial" w:eastAsia="Arial" w:hAnsi="Arial"/>
          <w:sz w:val="15"/>
          <w:szCs w:val="15"/>
          <w:color w:val="auto"/>
        </w:rPr>
        <w:t>" means this BioLineRx Ltd. 2003 Share Incentive Plan.</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Section 102</w:t>
      </w:r>
      <w:r>
        <w:rPr>
          <w:rFonts w:ascii="Arial" w:cs="Arial" w:eastAsia="Arial" w:hAnsi="Arial"/>
          <w:sz w:val="15"/>
          <w:szCs w:val="15"/>
          <w:color w:val="auto"/>
        </w:rPr>
        <w:t>" means section 102 of the Ordinance as now in effect or as hereafter amended.</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Security</w:t>
      </w:r>
      <w:r>
        <w:rPr>
          <w:rFonts w:ascii="Arial" w:cs="Arial" w:eastAsia="Arial" w:hAnsi="Arial"/>
          <w:sz w:val="15"/>
          <w:szCs w:val="15"/>
          <w:color w:val="auto"/>
        </w:rPr>
        <w:t>" means an Option or a Share.</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Share</w:t>
      </w:r>
      <w:r>
        <w:rPr>
          <w:rFonts w:ascii="Arial" w:cs="Arial" w:eastAsia="Arial" w:hAnsi="Arial"/>
          <w:sz w:val="15"/>
          <w:szCs w:val="15"/>
          <w:color w:val="auto"/>
        </w:rPr>
        <w:t>" means an Ordinary Share, NIS 0.01 par value, of the Company.</w:t>
      </w:r>
    </w:p>
    <w:p>
      <w:pPr>
        <w:spacing w:after="0" w:line="242" w:lineRule="exact"/>
        <w:rPr>
          <w:sz w:val="20"/>
          <w:szCs w:val="20"/>
          <w:color w:val="auto"/>
        </w:rPr>
      </w:pPr>
    </w:p>
    <w:p>
      <w:pPr>
        <w:jc w:val="both"/>
        <w:ind w:left="1837" w:hanging="1234"/>
        <w:spacing w:after="0" w:line="269" w:lineRule="auto"/>
        <w:tabs>
          <w:tab w:leader="none" w:pos="1817" w:val="left"/>
        </w:tabs>
        <w:rPr>
          <w:sz w:val="20"/>
          <w:szCs w:val="20"/>
          <w:color w:val="auto"/>
        </w:rPr>
      </w:pPr>
      <w:r>
        <w:rPr>
          <w:rFonts w:ascii="Arial" w:cs="Arial" w:eastAsia="Arial" w:hAnsi="Arial"/>
          <w:sz w:val="17"/>
          <w:szCs w:val="17"/>
          <w:color w:val="auto"/>
        </w:rPr>
        <w:t>3.36.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Transaction</w:t>
      </w:r>
      <w:r>
        <w:rPr>
          <w:rFonts w:ascii="Arial" w:cs="Arial" w:eastAsia="Arial" w:hAnsi="Arial"/>
          <w:sz w:val="17"/>
          <w:szCs w:val="17"/>
          <w:color w:val="auto"/>
        </w:rPr>
        <w:t>" means (i) a merger, consolidation or reorganization of the Company with or into any other corporation, or (ii) the sale or transfer of all or substantially all of the outstanding shares of the Company, (iii) or the sale or transfer of all or substantially all of the assets of the Company.</w:t>
      </w:r>
    </w:p>
    <w:p>
      <w:pPr>
        <w:spacing w:after="0" w:line="19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Unapproved 102 Option</w:t>
      </w:r>
      <w:r>
        <w:rPr>
          <w:rFonts w:ascii="Arial" w:cs="Arial" w:eastAsia="Arial" w:hAnsi="Arial"/>
          <w:sz w:val="15"/>
          <w:szCs w:val="15"/>
          <w:color w:val="auto"/>
        </w:rPr>
        <w:t>" means an Option granted pursuant to Section 102(c) of the Ordinance.</w:t>
      </w:r>
    </w:p>
    <w:p>
      <w:pPr>
        <w:spacing w:after="0" w:line="242"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3.38.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Unapproved 102 Security</w:t>
      </w:r>
      <w:r>
        <w:rPr>
          <w:rFonts w:ascii="Arial" w:cs="Arial" w:eastAsia="Arial" w:hAnsi="Arial"/>
          <w:sz w:val="15"/>
          <w:szCs w:val="15"/>
          <w:color w:val="auto"/>
        </w:rPr>
        <w:t>" means an Unapproved 102 Option and/or an Unapproved 102 Share.</w:t>
      </w:r>
    </w:p>
    <w:p>
      <w:pPr>
        <w:spacing w:after="0" w:line="242" w:lineRule="exact"/>
        <w:rPr>
          <w:sz w:val="20"/>
          <w:szCs w:val="20"/>
          <w:color w:val="auto"/>
        </w:rPr>
      </w:pPr>
    </w:p>
    <w:p>
      <w:pPr>
        <w:jc w:val="both"/>
        <w:ind w:left="1837" w:hanging="1234"/>
        <w:spacing w:after="0" w:line="286" w:lineRule="auto"/>
        <w:tabs>
          <w:tab w:leader="none" w:pos="1817" w:val="left"/>
        </w:tabs>
        <w:rPr>
          <w:sz w:val="20"/>
          <w:szCs w:val="20"/>
          <w:color w:val="auto"/>
        </w:rPr>
      </w:pPr>
      <w:r>
        <w:rPr>
          <w:rFonts w:ascii="Arial" w:cs="Arial" w:eastAsia="Arial" w:hAnsi="Arial"/>
          <w:sz w:val="17"/>
          <w:szCs w:val="17"/>
          <w:color w:val="auto"/>
        </w:rPr>
        <w:t>3.39.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Unapproved 102 Share</w:t>
      </w:r>
      <w:r>
        <w:rPr>
          <w:rFonts w:ascii="Arial" w:cs="Arial" w:eastAsia="Arial" w:hAnsi="Arial"/>
          <w:sz w:val="17"/>
          <w:szCs w:val="17"/>
          <w:color w:val="auto"/>
        </w:rPr>
        <w:t>" means a Share issued pursuant to Section 102(c) of the Ordinance or a Share issued upon the exercise of an Unapproved 102 Option.</w:t>
      </w:r>
    </w:p>
    <w:p>
      <w:pPr>
        <w:spacing w:after="0" w:line="177" w:lineRule="exact"/>
        <w:rPr>
          <w:sz w:val="20"/>
          <w:szCs w:val="20"/>
          <w:color w:val="auto"/>
        </w:rPr>
      </w:pPr>
    </w:p>
    <w:p>
      <w:pPr>
        <w:jc w:val="both"/>
        <w:ind w:left="1837" w:hanging="1234"/>
        <w:spacing w:after="0" w:line="286" w:lineRule="auto"/>
        <w:tabs>
          <w:tab w:leader="none" w:pos="1817" w:val="left"/>
        </w:tabs>
        <w:rPr>
          <w:sz w:val="20"/>
          <w:szCs w:val="20"/>
          <w:color w:val="auto"/>
        </w:rPr>
      </w:pPr>
      <w:r>
        <w:rPr>
          <w:rFonts w:ascii="Arial" w:cs="Arial" w:eastAsia="Arial" w:hAnsi="Arial"/>
          <w:sz w:val="17"/>
          <w:szCs w:val="17"/>
          <w:color w:val="auto"/>
        </w:rPr>
        <w:t>3.40.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Vesting Dates</w:t>
      </w:r>
      <w:r>
        <w:rPr>
          <w:rFonts w:ascii="Arial" w:cs="Arial" w:eastAsia="Arial" w:hAnsi="Arial"/>
          <w:sz w:val="17"/>
          <w:szCs w:val="17"/>
          <w:color w:val="auto"/>
        </w:rPr>
        <w:t>" means, as determined by the Board or by the Committee, the date as of which Grantee shall be entitled to exercise the Options or part of the Options.</w:t>
      </w:r>
    </w:p>
    <w:p>
      <w:pPr>
        <w:spacing w:after="0" w:line="177" w:lineRule="exact"/>
        <w:rPr>
          <w:sz w:val="20"/>
          <w:szCs w:val="20"/>
          <w:color w:val="auto"/>
        </w:rPr>
      </w:pPr>
    </w:p>
    <w:p>
      <w:pPr>
        <w:ind w:left="617" w:hanging="617"/>
        <w:spacing w:after="0"/>
        <w:tabs>
          <w:tab w:leader="none" w:pos="617" w:val="left"/>
        </w:tabs>
        <w:numPr>
          <w:ilvl w:val="0"/>
          <w:numId w:val="486"/>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w:t>
      </w:r>
    </w:p>
    <w:p>
      <w:pPr>
        <w:spacing w:after="0" w:line="247" w:lineRule="exact"/>
        <w:rPr>
          <w:rFonts w:ascii="Arial" w:cs="Arial" w:eastAsia="Arial" w:hAnsi="Arial"/>
          <w:sz w:val="17"/>
          <w:szCs w:val="17"/>
          <w:color w:val="auto"/>
        </w:rPr>
      </w:pPr>
    </w:p>
    <w:p>
      <w:pPr>
        <w:ind w:left="1837" w:hanging="1235"/>
        <w:spacing w:after="0" w:line="265" w:lineRule="auto"/>
        <w:rPr>
          <w:rFonts w:ascii="Arial" w:cs="Arial" w:eastAsia="Arial" w:hAnsi="Arial"/>
          <w:sz w:val="17"/>
          <w:szCs w:val="17"/>
          <w:color w:val="auto"/>
        </w:rPr>
      </w:pPr>
      <w:r>
        <w:rPr>
          <w:rFonts w:ascii="Arial" w:cs="Arial" w:eastAsia="Arial" w:hAnsi="Arial"/>
          <w:sz w:val="17"/>
          <w:szCs w:val="17"/>
          <w:color w:val="auto"/>
        </w:rPr>
        <w:t>4.1.The Plan will be administered by the Board or by a Committee. If a Committee is not appointed, the term Committee, whenever used herein, shall mean the Board. The Board shall appoint the members of the Committee and may, from time to time, remove members from, or add members to, the Committee and shall fill vacancies in the Committee however caused.</w:t>
      </w:r>
    </w:p>
    <w:p>
      <w:pPr>
        <w:spacing w:after="0" w:line="342" w:lineRule="exact"/>
        <w:rPr>
          <w:rFonts w:ascii="Arial" w:cs="Arial" w:eastAsia="Arial" w:hAnsi="Arial"/>
          <w:sz w:val="17"/>
          <w:szCs w:val="17"/>
          <w:color w:val="auto"/>
        </w:rPr>
      </w:pPr>
    </w:p>
    <w:p>
      <w:pPr>
        <w:ind w:left="5677" w:hanging="109"/>
        <w:spacing w:after="0"/>
        <w:tabs>
          <w:tab w:leader="none" w:pos="5677" w:val="left"/>
        </w:tabs>
        <w:numPr>
          <w:ilvl w:val="1"/>
          <w:numId w:val="486"/>
        </w:numPr>
        <w:rPr>
          <w:rFonts w:ascii="Arial" w:cs="Arial" w:eastAsia="Arial" w:hAnsi="Arial"/>
          <w:sz w:val="17"/>
          <w:szCs w:val="17"/>
          <w:color w:val="auto"/>
        </w:rPr>
      </w:pPr>
      <w:r>
        <w:rPr>
          <w:rFonts w:ascii="Arial" w:cs="Arial" w:eastAsia="Arial" w:hAnsi="Arial"/>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578" w:name="page579"/>
    <w:bookmarkEnd w:id="578"/>
    <w:p>
      <w:pPr>
        <w:jc w:val="both"/>
        <w:ind w:left="1837" w:hanging="1234"/>
        <w:spacing w:after="0" w:line="259" w:lineRule="auto"/>
        <w:tabs>
          <w:tab w:leader="none" w:pos="1817"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Committee shall select one of its members as its Chairman and shall hold its meetings at such times and places as it shall determine. Actions taken by a majority of the members of the Committee, at a meeting at which a majority of its members is present, or acts reduced to or approved in writing by all members of the Committee, shall be the valid acts of the Committee. The Committee may appoint a Secretary, who shall keep records of its meetings and shall make such rules and regulations for the conduct of its business as it shall deem advisable.</w:t>
      </w:r>
    </w:p>
    <w:p>
      <w:pPr>
        <w:spacing w:after="0" w:line="206" w:lineRule="exact"/>
        <w:rPr>
          <w:sz w:val="20"/>
          <w:szCs w:val="20"/>
          <w:color w:val="auto"/>
        </w:rPr>
      </w:pPr>
    </w:p>
    <w:p>
      <w:pPr>
        <w:jc w:val="both"/>
        <w:ind w:left="1837" w:hanging="1234"/>
        <w:spacing w:after="0" w:line="277" w:lineRule="auto"/>
        <w:tabs>
          <w:tab w:leader="none" w:pos="1817"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Subject to the general terms and conditions of the Plan, the Committee shall have the full authority in its discretion, from time to time and at any time to: (i) designate Grantees to whom Securities shall be granted; (ii) determine the number of Shares to be covered by each Option; (iii) determine the time or times at which the same shall be granted; (iv) determine the Exercise Price of the Options and the Vesting Dates; (v) determine the Fair Market Value of the Shares; (vi) make an election as to the type of Approved 102 Securities; (vii) designate the type of Securities; (viii) determine any conditions on which the Options may be exercised and on which such Shares shall be paid for; and (ix) make all other determinations necessary or desirable for, or incidental to, the administration of the Plan.</w:t>
      </w:r>
    </w:p>
    <w:p>
      <w:pPr>
        <w:spacing w:after="0" w:line="192" w:lineRule="exact"/>
        <w:rPr>
          <w:sz w:val="20"/>
          <w:szCs w:val="20"/>
          <w:color w:val="auto"/>
        </w:rPr>
      </w:pPr>
    </w:p>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Notwithstanding the above, the Committee shall not be entitled to grant Options or issue Shares that are not underlying Options to Grantees, however, it will be authorized to issue Shares underlying Options which have been granted by the Board and duly exercised pursuant to the provisions herein in accordance with section 112(a)(5) of the Companies Law.</w:t>
      </w:r>
    </w:p>
    <w:p>
      <w:pPr>
        <w:spacing w:after="0" w:line="201" w:lineRule="exact"/>
        <w:rPr>
          <w:sz w:val="20"/>
          <w:szCs w:val="20"/>
          <w:color w:val="auto"/>
        </w:rPr>
      </w:pPr>
    </w:p>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The Committee may, from time to time, adopt such rules and regulations for carrying out the Plan as it may deem necessary. No member of the Board or of the Committee shall be liable for any act or determination made in good faith with respect to the Plan or any Security granted thereunder.</w:t>
      </w:r>
    </w:p>
    <w:p>
      <w:pPr>
        <w:spacing w:after="0" w:line="201" w:lineRule="exact"/>
        <w:rPr>
          <w:sz w:val="20"/>
          <w:szCs w:val="20"/>
          <w:color w:val="auto"/>
        </w:rPr>
      </w:pPr>
    </w:p>
    <w:p>
      <w:pPr>
        <w:jc w:val="both"/>
        <w:ind w:left="1837" w:hanging="1234"/>
        <w:spacing w:after="0" w:line="278" w:lineRule="auto"/>
        <w:tabs>
          <w:tab w:leader="none" w:pos="1817"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The interpretation and construction by the Committee of any provision of the Plan or of any Security thereunder shall be final and conclusive unless otherwise determined by the Board.</w:t>
      </w:r>
    </w:p>
    <w:p>
      <w:pPr>
        <w:spacing w:after="0" w:line="184" w:lineRule="exact"/>
        <w:rPr>
          <w:sz w:val="20"/>
          <w:szCs w:val="20"/>
          <w:color w:val="auto"/>
        </w:rPr>
      </w:pPr>
    </w:p>
    <w:p>
      <w:pPr>
        <w:ind w:left="617" w:hanging="617"/>
        <w:spacing w:after="0"/>
        <w:tabs>
          <w:tab w:leader="none" w:pos="617" w:val="left"/>
        </w:tabs>
        <w:numPr>
          <w:ilvl w:val="0"/>
          <w:numId w:val="487"/>
        </w:numPr>
        <w:rPr>
          <w:rFonts w:ascii="Arial" w:cs="Arial" w:eastAsia="Arial" w:hAnsi="Arial"/>
          <w:sz w:val="17"/>
          <w:szCs w:val="17"/>
          <w:color w:val="auto"/>
        </w:rPr>
      </w:pPr>
      <w:r>
        <w:rPr>
          <w:rFonts w:ascii="Arial" w:cs="Arial" w:eastAsia="Arial" w:hAnsi="Arial"/>
          <w:sz w:val="17"/>
          <w:szCs w:val="17"/>
          <w:b w:val="1"/>
          <w:bCs w:val="1"/>
          <w:u w:val="single" w:color="auto"/>
          <w:color w:val="auto"/>
        </w:rPr>
        <w:t>Eligible Grantees</w:t>
      </w:r>
    </w:p>
    <w:p>
      <w:pPr>
        <w:spacing w:after="0" w:line="247" w:lineRule="exact"/>
        <w:rPr>
          <w:rFonts w:ascii="Arial" w:cs="Arial" w:eastAsia="Arial" w:hAnsi="Arial"/>
          <w:sz w:val="17"/>
          <w:szCs w:val="17"/>
          <w:color w:val="auto"/>
        </w:rPr>
      </w:pPr>
    </w:p>
    <w:p>
      <w:pPr>
        <w:ind w:left="1837" w:hanging="1235"/>
        <w:spacing w:after="0" w:line="265" w:lineRule="auto"/>
        <w:rPr>
          <w:rFonts w:ascii="Arial" w:cs="Arial" w:eastAsia="Arial" w:hAnsi="Arial"/>
          <w:sz w:val="17"/>
          <w:szCs w:val="17"/>
          <w:color w:val="auto"/>
        </w:rPr>
      </w:pPr>
      <w:r>
        <w:rPr>
          <w:rFonts w:ascii="Arial" w:cs="Arial" w:eastAsia="Arial" w:hAnsi="Arial"/>
          <w:sz w:val="17"/>
          <w:szCs w:val="17"/>
          <w:color w:val="auto"/>
        </w:rPr>
        <w:t>5.1.The persons eligible for participation in the Plan as Grantees shall include any Employees and/or Non-Employees of the Company or of any Affiliate; provided, however, that (i) Employees may only be granted 102 Securties; (ii) Non-Employees may only be granted 3(i) Securities; and (iii) Controlling Shareholders may only be granted 3(i) Securities.</w:t>
      </w:r>
    </w:p>
    <w:p>
      <w:pPr>
        <w:spacing w:after="0" w:line="201"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5.2.The grant of a Security to a Grantee hereunder, shall neither entitle such Grantee to participate, nor disqualify her/him from participating, in any other grant of Securities pursuant to the Plan or any other Share incentive plan of the Company.</w:t>
      </w:r>
    </w:p>
    <w:p>
      <w:pPr>
        <w:spacing w:after="0" w:line="184" w:lineRule="exact"/>
        <w:rPr>
          <w:rFonts w:ascii="Arial" w:cs="Arial" w:eastAsia="Arial" w:hAnsi="Arial"/>
          <w:sz w:val="17"/>
          <w:szCs w:val="17"/>
          <w:color w:val="auto"/>
        </w:rPr>
      </w:pPr>
    </w:p>
    <w:p>
      <w:pPr>
        <w:ind w:left="617" w:hanging="617"/>
        <w:spacing w:after="0"/>
        <w:tabs>
          <w:tab w:leader="none" w:pos="617" w:val="left"/>
        </w:tabs>
        <w:numPr>
          <w:ilvl w:val="0"/>
          <w:numId w:val="487"/>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Securities Pursuant to Section 102</w:t>
      </w:r>
    </w:p>
    <w:p>
      <w:pPr>
        <w:spacing w:after="0" w:line="247"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6.1.The Company may designate Securities granted to Employees pursuant to Section 102 as Unapproved 102 Securities or as Approved 102 Securities.</w:t>
      </w:r>
    </w:p>
    <w:p>
      <w:pPr>
        <w:spacing w:after="0" w:line="190"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6.2.The grant of Approved 102 Securities may be made under the Plan only following its adoption by the Board as described in Section 18, and shall be conditioned upon the approval of the Plan by the Israeli Tax Authorities.</w:t>
      </w:r>
    </w:p>
    <w:p>
      <w:pPr>
        <w:spacing w:after="0" w:line="331" w:lineRule="exact"/>
        <w:rPr>
          <w:rFonts w:ascii="Arial" w:cs="Arial" w:eastAsia="Arial" w:hAnsi="Arial"/>
          <w:sz w:val="17"/>
          <w:szCs w:val="17"/>
          <w:color w:val="auto"/>
        </w:rPr>
      </w:pPr>
    </w:p>
    <w:p>
      <w:pPr>
        <w:ind w:left="5677" w:hanging="109"/>
        <w:spacing w:after="0"/>
        <w:tabs>
          <w:tab w:leader="none" w:pos="5677" w:val="left"/>
        </w:tabs>
        <w:numPr>
          <w:ilvl w:val="1"/>
          <w:numId w:val="487"/>
        </w:numPr>
        <w:rPr>
          <w:rFonts w:ascii="Arial" w:cs="Arial" w:eastAsia="Arial" w:hAnsi="Arial"/>
          <w:sz w:val="17"/>
          <w:szCs w:val="17"/>
          <w:color w:val="auto"/>
        </w:rPr>
      </w:pPr>
      <w:r>
        <w:rPr>
          <w:rFonts w:ascii="Arial" w:cs="Arial" w:eastAsia="Arial" w:hAnsi="Arial"/>
          <w:sz w:val="17"/>
          <w:szCs w:val="17"/>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1" w:right="239" w:bottom="1440" w:gutter="0" w:footer="0" w:header="0"/>
        </w:sectPr>
      </w:pPr>
    </w:p>
    <w:bookmarkStart w:id="579" w:name="page580"/>
    <w:bookmarkEnd w:id="579"/>
    <w:p>
      <w:pPr>
        <w:ind w:left="597"/>
        <w:spacing w:after="0"/>
        <w:tabs>
          <w:tab w:leader="none" w:pos="1817"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Approved 102 Securities may either be classified as Capital Gain Securities (“</w:t>
      </w:r>
      <w:r>
        <w:rPr>
          <w:rFonts w:ascii="Arial" w:cs="Arial" w:eastAsia="Arial" w:hAnsi="Arial"/>
          <w:sz w:val="15"/>
          <w:szCs w:val="15"/>
          <w:b w:val="1"/>
          <w:bCs w:val="1"/>
          <w:color w:val="auto"/>
        </w:rPr>
        <w:t>CGS</w:t>
      </w:r>
      <w:r>
        <w:rPr>
          <w:rFonts w:ascii="Arial" w:cs="Arial" w:eastAsia="Arial" w:hAnsi="Arial"/>
          <w:sz w:val="15"/>
          <w:szCs w:val="15"/>
          <w:color w:val="auto"/>
        </w:rPr>
        <w:t>”) or Ordinary Income Securities (“</w:t>
      </w:r>
      <w:r>
        <w:rPr>
          <w:rFonts w:ascii="Arial" w:cs="Arial" w:eastAsia="Arial" w:hAnsi="Arial"/>
          <w:sz w:val="15"/>
          <w:szCs w:val="15"/>
          <w:b w:val="1"/>
          <w:bCs w:val="1"/>
          <w:color w:val="auto"/>
        </w:rPr>
        <w:t>OIS</w:t>
      </w:r>
      <w:r>
        <w:rPr>
          <w:rFonts w:ascii="Arial" w:cs="Arial" w:eastAsia="Arial" w:hAnsi="Arial"/>
          <w:sz w:val="15"/>
          <w:szCs w:val="15"/>
          <w:color w:val="auto"/>
        </w:rPr>
        <w:t>”).</w:t>
      </w:r>
    </w:p>
    <w:p>
      <w:pPr>
        <w:spacing w:after="0" w:line="248" w:lineRule="exact"/>
        <w:rPr>
          <w:sz w:val="20"/>
          <w:szCs w:val="20"/>
          <w:color w:val="auto"/>
        </w:rPr>
      </w:pPr>
    </w:p>
    <w:p>
      <w:pPr>
        <w:ind w:left="1837" w:hanging="1234"/>
        <w:spacing w:after="0" w:line="278" w:lineRule="auto"/>
        <w:tabs>
          <w:tab w:leader="none" w:pos="1817"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 xml:space="preserve">Approved 102 Securities elected and designated by the Company to qualify under the capital gain tax treatment in accordance with the provisions of Section 102(b)(2) shall be referred to herein as </w:t>
      </w:r>
      <w:r>
        <w:rPr>
          <w:rFonts w:ascii="Arial" w:cs="Arial" w:eastAsia="Arial" w:hAnsi="Arial"/>
          <w:sz w:val="17"/>
          <w:szCs w:val="17"/>
          <w:b w:val="1"/>
          <w:bCs w:val="1"/>
          <w:color w:val="auto"/>
        </w:rPr>
        <w:t>CGS</w:t>
      </w:r>
      <w:r>
        <w:rPr>
          <w:rFonts w:ascii="Arial" w:cs="Arial" w:eastAsia="Arial" w:hAnsi="Arial"/>
          <w:sz w:val="17"/>
          <w:szCs w:val="17"/>
          <w:color w:val="auto"/>
        </w:rPr>
        <w:t>.</w:t>
      </w:r>
    </w:p>
    <w:p>
      <w:pPr>
        <w:spacing w:after="0" w:line="190" w:lineRule="exact"/>
        <w:rPr>
          <w:sz w:val="20"/>
          <w:szCs w:val="20"/>
          <w:color w:val="auto"/>
        </w:rPr>
      </w:pPr>
    </w:p>
    <w:p>
      <w:pPr>
        <w:ind w:left="1837" w:hanging="1234"/>
        <w:spacing w:after="0" w:line="278" w:lineRule="auto"/>
        <w:tabs>
          <w:tab w:leader="none" w:pos="1817"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 xml:space="preserve">Approved 102 Securities elected and designated by the Company to qualify under the ordinary income tax treatment in accordance with the provisions of Section 102(b)(1) shall be referred to herein as </w:t>
      </w:r>
      <w:r>
        <w:rPr>
          <w:rFonts w:ascii="Arial" w:cs="Arial" w:eastAsia="Arial" w:hAnsi="Arial"/>
          <w:sz w:val="17"/>
          <w:szCs w:val="17"/>
          <w:b w:val="1"/>
          <w:bCs w:val="1"/>
          <w:color w:val="auto"/>
        </w:rPr>
        <w:t>OIS</w:t>
      </w:r>
      <w:r>
        <w:rPr>
          <w:rFonts w:ascii="Arial" w:cs="Arial" w:eastAsia="Arial" w:hAnsi="Arial"/>
          <w:sz w:val="17"/>
          <w:szCs w:val="17"/>
          <w:color w:val="auto"/>
        </w:rPr>
        <w:t>.</w:t>
      </w:r>
    </w:p>
    <w:p>
      <w:pPr>
        <w:spacing w:after="0" w:line="184" w:lineRule="exact"/>
        <w:rPr>
          <w:sz w:val="20"/>
          <w:szCs w:val="20"/>
          <w:color w:val="auto"/>
        </w:rPr>
      </w:pPr>
    </w:p>
    <w:p>
      <w:pPr>
        <w:ind w:left="1837" w:hanging="1234"/>
        <w:spacing w:after="0" w:line="286" w:lineRule="auto"/>
        <w:tabs>
          <w:tab w:leader="none" w:pos="1817"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color w:val="auto"/>
        </w:rPr>
        <w:t>The Company’s election of the type of Approved 102 Securities as CGS or OIS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Israeli Tax Authorities before the Date of Grant of any Approved 102 Securities.</w:t>
      </w:r>
    </w:p>
    <w:p>
      <w:pPr>
        <w:spacing w:after="0" w:line="183" w:lineRule="exact"/>
        <w:rPr>
          <w:sz w:val="20"/>
          <w:szCs w:val="20"/>
          <w:color w:val="auto"/>
        </w:rPr>
      </w:pPr>
    </w:p>
    <w:p>
      <w:pPr>
        <w:jc w:val="both"/>
        <w:ind w:left="1857"/>
        <w:spacing w:after="0" w:line="279" w:lineRule="auto"/>
        <w:rPr>
          <w:sz w:val="20"/>
          <w:szCs w:val="20"/>
          <w:color w:val="auto"/>
        </w:rPr>
      </w:pPr>
      <w:r>
        <w:rPr>
          <w:rFonts w:ascii="Arial" w:cs="Arial" w:eastAsia="Arial" w:hAnsi="Arial"/>
          <w:sz w:val="16"/>
          <w:szCs w:val="16"/>
          <w:color w:val="auto"/>
        </w:rPr>
        <w:t xml:space="preserve">Such Election shall become effective beginning the first Date of Grant of an Approved 102 Security under the Plan and shall remain in effect until at least the end of the year following the year during which the Company first granted Approved 102 Securities. The Election shall obligate the Company to grant </w:t>
      </w:r>
      <w:r>
        <w:rPr>
          <w:rFonts w:ascii="Arial" w:cs="Arial" w:eastAsia="Arial" w:hAnsi="Arial"/>
          <w:sz w:val="16"/>
          <w:szCs w:val="16"/>
          <w:i w:val="1"/>
          <w:iCs w:val="1"/>
          <w:color w:val="auto"/>
        </w:rPr>
        <w:t>only</w:t>
      </w:r>
      <w:r>
        <w:rPr>
          <w:rFonts w:ascii="Arial" w:cs="Arial" w:eastAsia="Arial" w:hAnsi="Arial"/>
          <w:sz w:val="16"/>
          <w:szCs w:val="16"/>
          <w:color w:val="auto"/>
        </w:rPr>
        <w:t xml:space="preserve"> the type of Approved 102 Security it has elected, and shall apply to all Approved 102 Security granted during the period indicated herein, all in accordance with the provisions of Section 102(g) of the Ordinance. For the avoidance of doubt, such Election shall not prevent the Company from granting Unapproved 102 Securities simultaneously.</w:t>
      </w:r>
    </w:p>
    <w:p>
      <w:pPr>
        <w:spacing w:after="0" w:line="191" w:lineRule="exact"/>
        <w:rPr>
          <w:sz w:val="20"/>
          <w:szCs w:val="20"/>
          <w:color w:val="auto"/>
        </w:rPr>
      </w:pPr>
    </w:p>
    <w:p>
      <w:pPr>
        <w:ind w:left="597"/>
        <w:spacing w:after="0"/>
        <w:tabs>
          <w:tab w:leader="none" w:pos="1817"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5"/>
          <w:szCs w:val="15"/>
          <w:color w:val="auto"/>
        </w:rPr>
        <w:t>All Approved 102 Securities must be held in trust by a Trustee, as described in Section 7.</w:t>
      </w:r>
    </w:p>
    <w:p>
      <w:pPr>
        <w:spacing w:after="0" w:line="242" w:lineRule="exact"/>
        <w:rPr>
          <w:sz w:val="20"/>
          <w:szCs w:val="20"/>
          <w:color w:val="auto"/>
        </w:rPr>
      </w:pPr>
    </w:p>
    <w:p>
      <w:pPr>
        <w:jc w:val="both"/>
        <w:ind w:left="1837" w:hanging="1234"/>
        <w:spacing w:after="0" w:line="278" w:lineRule="auto"/>
        <w:tabs>
          <w:tab w:leader="none" w:pos="1817"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7"/>
          <w:szCs w:val="17"/>
          <w:color w:val="auto"/>
        </w:rPr>
        <w:t>For the avoidance of doubt, the designation of Unapproved 102 Securities and Approved 102 Securities shall be subject to the terms and conditions set forth in Section 102 of the Ordinance and the regulations promulgated thereunder.</w:t>
      </w:r>
    </w:p>
    <w:p>
      <w:pPr>
        <w:spacing w:after="0" w:line="190" w:lineRule="exact"/>
        <w:rPr>
          <w:sz w:val="20"/>
          <w:szCs w:val="20"/>
          <w:color w:val="auto"/>
        </w:rPr>
      </w:pPr>
    </w:p>
    <w:p>
      <w:pPr>
        <w:jc w:val="both"/>
        <w:ind w:left="1837" w:hanging="1234"/>
        <w:spacing w:after="0" w:line="259" w:lineRule="auto"/>
        <w:tabs>
          <w:tab w:leader="none" w:pos="1817" w:val="left"/>
        </w:tabs>
        <w:rPr>
          <w:sz w:val="20"/>
          <w:szCs w:val="20"/>
          <w:color w:val="auto"/>
        </w:rPr>
      </w:pPr>
      <w:r>
        <w:rPr>
          <w:rFonts w:ascii="Arial" w:cs="Arial" w:eastAsia="Arial" w:hAnsi="Arial"/>
          <w:sz w:val="17"/>
          <w:szCs w:val="17"/>
          <w:color w:val="auto"/>
        </w:rPr>
        <w:t>6.9.</w:t>
      </w:r>
      <w:r>
        <w:rPr>
          <w:sz w:val="20"/>
          <w:szCs w:val="20"/>
          <w:color w:val="auto"/>
        </w:rPr>
        <w:tab/>
      </w:r>
      <w:r>
        <w:rPr>
          <w:rFonts w:ascii="Arial" w:cs="Arial" w:eastAsia="Arial" w:hAnsi="Arial"/>
          <w:sz w:val="17"/>
          <w:szCs w:val="17"/>
          <w:color w:val="auto"/>
        </w:rPr>
        <w:t>With regards to Approved 102 Securities, the provisions of the Plan and/or the Incentive Agreement shall be subject to the provisions of Section 102 and the Tax Assessing Officer’s permit, and the said provisions and permit shall be deemed an integral part of the Plan and of the Incentive Agreement. Any provision of Section 102 and/or the said permit which is necessary in order to receive and/or to keep any tax benefit pursuant to Section 102, which is not expressly specified in the Plan or the Incentive Agreement, shall be considered binding upon the Company and the Grantees.</w:t>
      </w:r>
    </w:p>
    <w:p>
      <w:pPr>
        <w:spacing w:after="0" w:line="200" w:lineRule="exact"/>
        <w:rPr>
          <w:sz w:val="20"/>
          <w:szCs w:val="20"/>
          <w:color w:val="auto"/>
        </w:rPr>
      </w:pPr>
    </w:p>
    <w:p>
      <w:pPr>
        <w:ind w:left="617" w:hanging="617"/>
        <w:spacing w:after="0"/>
        <w:tabs>
          <w:tab w:leader="none" w:pos="617" w:val="left"/>
        </w:tabs>
        <w:numPr>
          <w:ilvl w:val="0"/>
          <w:numId w:val="488"/>
        </w:numPr>
        <w:rPr>
          <w:rFonts w:ascii="Arial" w:cs="Arial" w:eastAsia="Arial" w:hAnsi="Arial"/>
          <w:sz w:val="17"/>
          <w:szCs w:val="17"/>
          <w:color w:val="auto"/>
        </w:rPr>
      </w:pPr>
      <w:r>
        <w:rPr>
          <w:rFonts w:ascii="Arial" w:cs="Arial" w:eastAsia="Arial" w:hAnsi="Arial"/>
          <w:sz w:val="17"/>
          <w:szCs w:val="17"/>
          <w:b w:val="1"/>
          <w:bCs w:val="1"/>
          <w:u w:val="single" w:color="auto"/>
          <w:color w:val="auto"/>
        </w:rPr>
        <w:t>Trustee</w:t>
      </w:r>
    </w:p>
    <w:p>
      <w:pPr>
        <w:spacing w:after="0" w:line="247" w:lineRule="exact"/>
        <w:rPr>
          <w:rFonts w:ascii="Arial" w:cs="Arial" w:eastAsia="Arial" w:hAnsi="Arial"/>
          <w:sz w:val="17"/>
          <w:szCs w:val="17"/>
          <w:color w:val="auto"/>
        </w:rPr>
      </w:pPr>
    </w:p>
    <w:p>
      <w:pPr>
        <w:ind w:left="1837" w:hanging="1235"/>
        <w:spacing w:after="0" w:line="275" w:lineRule="auto"/>
        <w:rPr>
          <w:rFonts w:ascii="Arial" w:cs="Arial" w:eastAsia="Arial" w:hAnsi="Arial"/>
          <w:sz w:val="17"/>
          <w:szCs w:val="17"/>
          <w:color w:val="auto"/>
        </w:rPr>
      </w:pPr>
      <w:r>
        <w:rPr>
          <w:rFonts w:ascii="Arial" w:cs="Arial" w:eastAsia="Arial" w:hAnsi="Arial"/>
          <w:sz w:val="17"/>
          <w:szCs w:val="17"/>
          <w:color w:val="auto"/>
        </w:rPr>
        <w:t>7.1.</w:t>
      </w:r>
      <w:r>
        <w:rPr>
          <w:rFonts w:ascii="Arial" w:cs="Arial" w:eastAsia="Arial" w:hAnsi="Arial"/>
          <w:sz w:val="16"/>
          <w:szCs w:val="16"/>
          <w:color w:val="auto"/>
        </w:rPr>
        <w:t>Anything herein to the contrary notwithstanding, Approved 102 Securities granted under the Plan and/or other shares received subsequently following any realization of rights with respect to such Securities, including without limitation bonus shares, shall be granted by the Company to a trustee designated by the Board and approved by the Israeli Tax Authorities in accordance with the provisions of Section 102(a)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and held for the benefit of the Grantees for such period of time as required by Section 102 or any regulations, rules or orders or procedures promulgated thereunder (the "</w:t>
      </w:r>
      <w:r>
        <w:rPr>
          <w:rFonts w:ascii="Arial" w:cs="Arial" w:eastAsia="Arial" w:hAnsi="Arial"/>
          <w:sz w:val="16"/>
          <w:szCs w:val="16"/>
          <w:b w:val="1"/>
          <w:bCs w:val="1"/>
          <w:color w:val="auto"/>
        </w:rPr>
        <w:t>Holding Period</w:t>
      </w:r>
      <w:r>
        <w:rPr>
          <w:rFonts w:ascii="Arial" w:cs="Arial" w:eastAsia="Arial" w:hAnsi="Arial"/>
          <w:sz w:val="16"/>
          <w:szCs w:val="16"/>
          <w:color w:val="auto"/>
        </w:rPr>
        <w:t>"). In the event that the requirements for Approved 102 Securities are not met, then the Approved 102 Securities may be treated as Unapproved 102 Securities, all in accordance with the provisions of Section 102 and regulations promulgated thereunder.</w:t>
      </w:r>
    </w:p>
    <w:p>
      <w:pPr>
        <w:spacing w:after="0" w:line="196"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7.2.Notwithstanding anything to the contrary, the Trustee shall not release any Approved 102 Shares prior to the full payment of Grantee’s tax liabilities arising from Approved 102 Securities which were granted to Grantee.</w:t>
      </w:r>
    </w:p>
    <w:p>
      <w:pPr>
        <w:spacing w:after="0" w:line="331" w:lineRule="exact"/>
        <w:rPr>
          <w:rFonts w:ascii="Arial" w:cs="Arial" w:eastAsia="Arial" w:hAnsi="Arial"/>
          <w:sz w:val="17"/>
          <w:szCs w:val="17"/>
          <w:color w:val="auto"/>
        </w:rPr>
      </w:pPr>
    </w:p>
    <w:p>
      <w:pPr>
        <w:ind w:left="5677" w:hanging="109"/>
        <w:spacing w:after="0"/>
        <w:tabs>
          <w:tab w:leader="none" w:pos="5677" w:val="left"/>
        </w:tabs>
        <w:numPr>
          <w:ilvl w:val="1"/>
          <w:numId w:val="488"/>
        </w:numPr>
        <w:rPr>
          <w:rFonts w:ascii="Arial" w:cs="Arial" w:eastAsia="Arial" w:hAnsi="Arial"/>
          <w:sz w:val="17"/>
          <w:szCs w:val="17"/>
          <w:color w:val="auto"/>
        </w:rPr>
      </w:pPr>
      <w:r>
        <w:rPr>
          <w:rFonts w:ascii="Arial" w:cs="Arial" w:eastAsia="Arial" w:hAnsi="Arial"/>
          <w:sz w:val="17"/>
          <w:szCs w:val="17"/>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580" w:name="page581"/>
    <w:bookmarkEnd w:id="580"/>
    <w:p>
      <w:pPr>
        <w:jc w:val="both"/>
        <w:ind w:left="1837" w:hanging="1234"/>
        <w:spacing w:after="0" w:line="257" w:lineRule="auto"/>
        <w:tabs>
          <w:tab w:leader="none" w:pos="1817"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With respect to any Approved 102 Securities, subject to the provisions of Section 102 and any rules or regulation or orders or procedures promulgated thereunder, a Grantee shall not sell or release from trust any Approved 102 Share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Grantee.</w:t>
      </w:r>
    </w:p>
    <w:p>
      <w:pPr>
        <w:spacing w:after="0" w:line="210" w:lineRule="exact"/>
        <w:rPr>
          <w:sz w:val="20"/>
          <w:szCs w:val="20"/>
          <w:color w:val="auto"/>
        </w:rPr>
      </w:pPr>
    </w:p>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Upon receipt of Approved 102 Securities, Grantee will sign and undertaking to release the Trustee from any liability in respect of any action or decision duly taken and bona fide executed in relation with the Plan, or any Approved 102 Security granted to Grantee thereunder.</w:t>
      </w:r>
    </w:p>
    <w:p>
      <w:pPr>
        <w:spacing w:after="0" w:line="201" w:lineRule="exact"/>
        <w:rPr>
          <w:sz w:val="20"/>
          <w:szCs w:val="20"/>
          <w:color w:val="auto"/>
        </w:rPr>
      </w:pPr>
    </w:p>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For the avoidance of doubt, nothing contained herein shall prevent the Company from granting Unapproved 102 Securities and/or 3(i) Securities to a trustee designated by the Board, to be held for the benefit of Grantees, all in accordance with the terms and conditions specified by the Board.</w:t>
      </w:r>
    </w:p>
    <w:p>
      <w:pPr>
        <w:spacing w:after="0" w:line="195" w:lineRule="exact"/>
        <w:rPr>
          <w:sz w:val="20"/>
          <w:szCs w:val="20"/>
          <w:color w:val="auto"/>
        </w:rPr>
      </w:pPr>
    </w:p>
    <w:p>
      <w:pPr>
        <w:ind w:left="617" w:hanging="617"/>
        <w:spacing w:after="0"/>
        <w:tabs>
          <w:tab w:leader="none" w:pos="617" w:val="left"/>
        </w:tabs>
        <w:numPr>
          <w:ilvl w:val="0"/>
          <w:numId w:val="489"/>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Reserved Shares</w:t>
      </w:r>
    </w:p>
    <w:p>
      <w:pPr>
        <w:spacing w:after="0" w:line="27" w:lineRule="exact"/>
        <w:rPr>
          <w:rFonts w:ascii="Arial" w:cs="Arial" w:eastAsia="Arial" w:hAnsi="Arial"/>
          <w:sz w:val="17"/>
          <w:szCs w:val="17"/>
          <w:color w:val="auto"/>
        </w:rPr>
      </w:pPr>
    </w:p>
    <w:p>
      <w:pPr>
        <w:jc w:val="both"/>
        <w:ind w:left="617"/>
        <w:spacing w:after="0" w:line="275" w:lineRule="auto"/>
        <w:rPr>
          <w:rFonts w:ascii="Arial" w:cs="Arial" w:eastAsia="Arial" w:hAnsi="Arial"/>
          <w:sz w:val="17"/>
          <w:szCs w:val="17"/>
          <w:color w:val="auto"/>
        </w:rPr>
      </w:pPr>
      <w:r>
        <w:rPr>
          <w:rFonts w:ascii="Arial" w:cs="Arial" w:eastAsia="Arial" w:hAnsi="Arial"/>
          <w:sz w:val="16"/>
          <w:szCs w:val="16"/>
          <w:color w:val="auto"/>
        </w:rPr>
        <w:t>The Company has reserved 2,285,022 authorized but unissued Shares for purposes of the Plan and any other present or future share incentive plans of the Company, subject to adjustments as provided in Section 14 (such number is based on a contemplated 1:20 split of the share capital of the Company, by way of division of the share capital and/or issuance of bonus shares). All Shares under the Plan or under any other present or future share incentive plans, in respect of which the right of a Grantee hereunder or thereunder to hold or purchase the same shall, for any reason, terminate, expire or otherwise cease to exist, shall again be available for issuance and/or grant through Options under the Plan and such other share incentive plans.</w:t>
      </w:r>
    </w:p>
    <w:p>
      <w:pPr>
        <w:spacing w:after="0" w:line="189" w:lineRule="exact"/>
        <w:rPr>
          <w:rFonts w:ascii="Arial" w:cs="Arial" w:eastAsia="Arial" w:hAnsi="Arial"/>
          <w:sz w:val="17"/>
          <w:szCs w:val="17"/>
          <w:color w:val="auto"/>
        </w:rPr>
      </w:pPr>
    </w:p>
    <w:p>
      <w:pPr>
        <w:ind w:left="617" w:hanging="617"/>
        <w:spacing w:after="0"/>
        <w:tabs>
          <w:tab w:leader="none" w:pos="617" w:val="left"/>
        </w:tabs>
        <w:numPr>
          <w:ilvl w:val="0"/>
          <w:numId w:val="489"/>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Securities</w:t>
      </w:r>
    </w:p>
    <w:p>
      <w:pPr>
        <w:spacing w:after="0" w:line="27" w:lineRule="exact"/>
        <w:rPr>
          <w:rFonts w:ascii="Arial" w:cs="Arial" w:eastAsia="Arial" w:hAnsi="Arial"/>
          <w:sz w:val="17"/>
          <w:szCs w:val="17"/>
          <w:color w:val="auto"/>
        </w:rPr>
      </w:pPr>
    </w:p>
    <w:p>
      <w:pPr>
        <w:jc w:val="both"/>
        <w:ind w:left="617"/>
        <w:spacing w:after="0" w:line="255" w:lineRule="auto"/>
        <w:rPr>
          <w:rFonts w:ascii="Arial" w:cs="Arial" w:eastAsia="Arial" w:hAnsi="Arial"/>
          <w:sz w:val="17"/>
          <w:szCs w:val="17"/>
          <w:color w:val="auto"/>
        </w:rPr>
      </w:pPr>
      <w:r>
        <w:rPr>
          <w:rFonts w:ascii="Arial" w:cs="Arial" w:eastAsia="Arial" w:hAnsi="Arial"/>
          <w:sz w:val="17"/>
          <w:szCs w:val="17"/>
          <w:color w:val="auto"/>
        </w:rPr>
        <w:t>Each Security granted pursuant to the Plan shall be evidenced by a written Incentive Agreement between the Company and Grantee, in such form as the Board or the Committee shall from time to time approve. Each Incentive Agreement shall state, inter alia, the number of Shares covered thereby, the type of Security granted thereunder (whether a CGS, OIS, Unapproved 102 Security or a 3(i) Security), the dates when the Option may be exercised (if applicable), the Exercise Price (if applicable), and such other terms and conditions as the Committee at its discretion may prescribe, such as, without limitation, vesting or reverse vesting dates, provided that they are consistent with the Plan.</w:t>
      </w:r>
    </w:p>
    <w:p>
      <w:pPr>
        <w:spacing w:after="0" w:line="205" w:lineRule="exact"/>
        <w:rPr>
          <w:rFonts w:ascii="Arial" w:cs="Arial" w:eastAsia="Arial" w:hAnsi="Arial"/>
          <w:sz w:val="17"/>
          <w:szCs w:val="17"/>
          <w:color w:val="auto"/>
        </w:rPr>
      </w:pPr>
    </w:p>
    <w:p>
      <w:pPr>
        <w:ind w:left="617" w:hanging="617"/>
        <w:spacing w:after="0"/>
        <w:tabs>
          <w:tab w:leader="none" w:pos="617" w:val="left"/>
        </w:tabs>
        <w:numPr>
          <w:ilvl w:val="0"/>
          <w:numId w:val="489"/>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and Vesting of Securities</w:t>
      </w:r>
    </w:p>
    <w:p>
      <w:pPr>
        <w:spacing w:after="0" w:line="247" w:lineRule="exact"/>
        <w:rPr>
          <w:rFonts w:ascii="Arial" w:cs="Arial" w:eastAsia="Arial" w:hAnsi="Arial"/>
          <w:sz w:val="17"/>
          <w:szCs w:val="17"/>
          <w:color w:val="auto"/>
        </w:rPr>
      </w:pPr>
    </w:p>
    <w:p>
      <w:pPr>
        <w:ind w:left="1837" w:hanging="1235"/>
        <w:spacing w:after="0" w:line="257" w:lineRule="auto"/>
        <w:rPr>
          <w:rFonts w:ascii="Arial" w:cs="Arial" w:eastAsia="Arial" w:hAnsi="Arial"/>
          <w:sz w:val="17"/>
          <w:szCs w:val="17"/>
          <w:color w:val="auto"/>
        </w:rPr>
      </w:pPr>
      <w:r>
        <w:rPr>
          <w:rFonts w:ascii="Arial" w:cs="Arial" w:eastAsia="Arial" w:hAnsi="Arial"/>
          <w:sz w:val="17"/>
          <w:szCs w:val="17"/>
          <w:color w:val="auto"/>
        </w:rPr>
        <w:t>10.1.Subject to the provisions of this Plan, Options granted to a Grantee under the Plan shall vest and become exercisable following the vesting dates and for such number of Shares as set forth in such Grantee's Incentive Agreement, as determined by the Committee. As well, subject to the Plan, Shares issued to a Grantee shall be released from reverse vesting as set forth in the Grantee's Incentive Agreement, as determined by the Committee. A Security may be subject to such other terms and conditions on the time or times when it may be exercised or released from reverse vesting, as applicable, as the Committee may deem appropriate. The vesting or reverse vesting provisions of individual Securities may vary.</w:t>
      </w:r>
    </w:p>
    <w:p>
      <w:pPr>
        <w:spacing w:after="0" w:line="351" w:lineRule="exact"/>
        <w:rPr>
          <w:rFonts w:ascii="Arial" w:cs="Arial" w:eastAsia="Arial" w:hAnsi="Arial"/>
          <w:sz w:val="17"/>
          <w:szCs w:val="17"/>
          <w:color w:val="auto"/>
        </w:rPr>
      </w:pPr>
    </w:p>
    <w:p>
      <w:pPr>
        <w:ind w:left="5677" w:hanging="109"/>
        <w:spacing w:after="0"/>
        <w:tabs>
          <w:tab w:leader="none" w:pos="5677" w:val="left"/>
        </w:tabs>
        <w:numPr>
          <w:ilvl w:val="1"/>
          <w:numId w:val="489"/>
        </w:numPr>
        <w:rPr>
          <w:rFonts w:ascii="Arial" w:cs="Arial" w:eastAsia="Arial" w:hAnsi="Arial"/>
          <w:sz w:val="17"/>
          <w:szCs w:val="17"/>
          <w:color w:val="auto"/>
        </w:rPr>
      </w:pPr>
      <w:r>
        <w:rPr>
          <w:rFonts w:ascii="Arial" w:cs="Arial" w:eastAsia="Arial" w:hAnsi="Arial"/>
          <w:sz w:val="17"/>
          <w:szCs w:val="17"/>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9" w:right="239" w:bottom="1440" w:gutter="0" w:footer="0" w:header="0"/>
        </w:sectPr>
      </w:pPr>
    </w:p>
    <w:bookmarkStart w:id="581" w:name="page582"/>
    <w:bookmarkEnd w:id="581"/>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Options, to the extent not previously exercised, shall terminate forthwith upon the earlier of: (i) ten (10) years from the Date of Grant (unless otherwise specified in the Option Agreement); (ii) the expiration in accordance with Section 15; and (ii) the expiration of any extended period in any of the events set forth in section 13.</w:t>
      </w:r>
    </w:p>
    <w:p>
      <w:pPr>
        <w:spacing w:after="0" w:line="195" w:lineRule="exact"/>
        <w:rPr>
          <w:sz w:val="20"/>
          <w:szCs w:val="20"/>
          <w:color w:val="auto"/>
        </w:rPr>
      </w:pPr>
    </w:p>
    <w:p>
      <w:pPr>
        <w:ind w:left="617" w:hanging="617"/>
        <w:spacing w:after="0"/>
        <w:tabs>
          <w:tab w:leader="none" w:pos="617" w:val="left"/>
        </w:tabs>
        <w:numPr>
          <w:ilvl w:val="0"/>
          <w:numId w:val="490"/>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Price and Exercise Price</w:t>
      </w:r>
    </w:p>
    <w:p>
      <w:pPr>
        <w:spacing w:after="0" w:line="27" w:lineRule="exact"/>
        <w:rPr>
          <w:rFonts w:ascii="Arial" w:cs="Arial" w:eastAsia="Arial" w:hAnsi="Arial"/>
          <w:sz w:val="17"/>
          <w:szCs w:val="17"/>
          <w:color w:val="auto"/>
        </w:rPr>
      </w:pPr>
    </w:p>
    <w:p>
      <w:pPr>
        <w:jc w:val="both"/>
        <w:ind w:left="617"/>
        <w:spacing w:after="0" w:line="256" w:lineRule="auto"/>
        <w:rPr>
          <w:rFonts w:ascii="Arial" w:cs="Arial" w:eastAsia="Arial" w:hAnsi="Arial"/>
          <w:sz w:val="17"/>
          <w:szCs w:val="17"/>
          <w:color w:val="auto"/>
        </w:rPr>
      </w:pPr>
      <w:r>
        <w:rPr>
          <w:rFonts w:ascii="Arial" w:cs="Arial" w:eastAsia="Arial" w:hAnsi="Arial"/>
          <w:sz w:val="17"/>
          <w:szCs w:val="17"/>
          <w:color w:val="auto"/>
        </w:rPr>
        <w:t>The Issuance Price or Exercise Price per Share issued or covered by each Option, as applicable, shall be determined by the Committee in its sole and absolute discretion; provided, however, that such Issuance Price or Exercise Price shall not be less than the par value of the Shares issued or of the Shares into which such Option is exercisable, as applicable. Each Incentive Agreement will contain the Issuance Price or Exercise Price determined for each Grantee.</w:t>
      </w:r>
    </w:p>
    <w:p>
      <w:pPr>
        <w:spacing w:after="0" w:line="203" w:lineRule="exact"/>
        <w:rPr>
          <w:rFonts w:ascii="Arial" w:cs="Arial" w:eastAsia="Arial" w:hAnsi="Arial"/>
          <w:sz w:val="17"/>
          <w:szCs w:val="17"/>
          <w:color w:val="auto"/>
        </w:rPr>
      </w:pPr>
    </w:p>
    <w:p>
      <w:pPr>
        <w:ind w:left="617" w:hanging="617"/>
        <w:spacing w:after="0"/>
        <w:tabs>
          <w:tab w:leader="none" w:pos="617" w:val="left"/>
        </w:tabs>
        <w:numPr>
          <w:ilvl w:val="0"/>
          <w:numId w:val="490"/>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Options</w:t>
      </w:r>
    </w:p>
    <w:p>
      <w:pPr>
        <w:spacing w:after="0" w:line="247" w:lineRule="exact"/>
        <w:rPr>
          <w:rFonts w:ascii="Arial" w:cs="Arial" w:eastAsia="Arial" w:hAnsi="Arial"/>
          <w:sz w:val="17"/>
          <w:szCs w:val="17"/>
          <w:color w:val="auto"/>
        </w:rPr>
      </w:pPr>
    </w:p>
    <w:p>
      <w:pPr>
        <w:ind w:left="597"/>
        <w:spacing w:after="0"/>
        <w:rPr>
          <w:rFonts w:ascii="Arial" w:cs="Arial" w:eastAsia="Arial" w:hAnsi="Arial"/>
          <w:sz w:val="17"/>
          <w:szCs w:val="17"/>
          <w:color w:val="auto"/>
        </w:rPr>
      </w:pPr>
      <w:r>
        <w:rPr>
          <w:rFonts w:ascii="Arial" w:cs="Arial" w:eastAsia="Arial" w:hAnsi="Arial"/>
          <w:sz w:val="17"/>
          <w:szCs w:val="17"/>
          <w:color w:val="auto"/>
        </w:rPr>
        <w:t>12.1.</w:t>
      </w:r>
      <w:r>
        <w:rPr>
          <w:rFonts w:ascii="Arial" w:cs="Arial" w:eastAsia="Arial" w:hAnsi="Arial"/>
          <w:sz w:val="15"/>
          <w:szCs w:val="15"/>
          <w:color w:val="auto"/>
        </w:rPr>
        <w:t>Options shall be exercisable pursuant to the terms under which they were awarded and subject to the terms and conditions of the Plan.</w:t>
      </w:r>
    </w:p>
    <w:p>
      <w:pPr>
        <w:spacing w:after="0" w:line="235" w:lineRule="exact"/>
        <w:rPr>
          <w:rFonts w:ascii="Arial" w:cs="Arial" w:eastAsia="Arial" w:hAnsi="Arial"/>
          <w:sz w:val="17"/>
          <w:szCs w:val="17"/>
          <w:color w:val="auto"/>
        </w:rPr>
      </w:pPr>
    </w:p>
    <w:p>
      <w:pPr>
        <w:ind w:left="1837" w:hanging="1235"/>
        <w:spacing w:after="0" w:line="269" w:lineRule="auto"/>
        <w:rPr>
          <w:rFonts w:ascii="Arial" w:cs="Arial" w:eastAsia="Arial" w:hAnsi="Arial"/>
          <w:sz w:val="17"/>
          <w:szCs w:val="17"/>
          <w:color w:val="auto"/>
        </w:rPr>
      </w:pPr>
      <w:r>
        <w:rPr>
          <w:rFonts w:ascii="Arial" w:cs="Arial" w:eastAsia="Arial" w:hAnsi="Arial"/>
          <w:sz w:val="17"/>
          <w:szCs w:val="17"/>
          <w:color w:val="auto"/>
        </w:rPr>
        <w:t>12.2.The exercise of an Option shall be made by a written notice of exercise (the "</w:t>
      </w:r>
      <w:r>
        <w:rPr>
          <w:rFonts w:ascii="Arial" w:cs="Arial" w:eastAsia="Arial" w:hAnsi="Arial"/>
          <w:sz w:val="17"/>
          <w:szCs w:val="17"/>
          <w:b w:val="1"/>
          <w:bCs w:val="1"/>
          <w:color w:val="auto"/>
        </w:rPr>
        <w:t>Notice of Exercise</w:t>
      </w:r>
      <w:r>
        <w:rPr>
          <w:rFonts w:ascii="Arial" w:cs="Arial" w:eastAsia="Arial" w:hAnsi="Arial"/>
          <w:sz w:val="17"/>
          <w:szCs w:val="17"/>
          <w:color w:val="auto"/>
        </w:rPr>
        <w:t>") delivered by Grantee to the Company at its principal executive office, specifying the number of Shares to be purchased and accompanied by the payment of the Exercise Price, and containing such other terms and conditions as the Committee shall prescribe from time to time.</w:t>
      </w:r>
    </w:p>
    <w:p>
      <w:pPr>
        <w:spacing w:after="0" w:line="197" w:lineRule="exact"/>
        <w:rPr>
          <w:rFonts w:ascii="Arial" w:cs="Arial" w:eastAsia="Arial" w:hAnsi="Arial"/>
          <w:sz w:val="17"/>
          <w:szCs w:val="17"/>
          <w:color w:val="auto"/>
        </w:rPr>
      </w:pPr>
    </w:p>
    <w:p>
      <w:pPr>
        <w:ind w:left="1837" w:hanging="1235"/>
        <w:spacing w:after="0" w:line="279" w:lineRule="auto"/>
        <w:rPr>
          <w:rFonts w:ascii="Arial" w:cs="Arial" w:eastAsia="Arial" w:hAnsi="Arial"/>
          <w:sz w:val="17"/>
          <w:szCs w:val="17"/>
          <w:color w:val="auto"/>
        </w:rPr>
      </w:pPr>
      <w:r>
        <w:rPr>
          <w:rFonts w:ascii="Arial" w:cs="Arial" w:eastAsia="Arial" w:hAnsi="Arial"/>
          <w:sz w:val="17"/>
          <w:szCs w:val="17"/>
          <w:color w:val="auto"/>
        </w:rPr>
        <w:t>12.3.</w:t>
      </w:r>
      <w:r>
        <w:rPr>
          <w:rFonts w:ascii="Arial" w:cs="Arial" w:eastAsia="Arial" w:hAnsi="Arial"/>
          <w:sz w:val="16"/>
          <w:szCs w:val="16"/>
          <w:color w:val="auto"/>
        </w:rPr>
        <w:t>Anything herein to the contrary notwithstanding, but without derogating from the provisions of Section 13, if any Option has not been exercised and the Shares covered thereby not paid for until the Expiration Date, the Grantee’s right to such Option and his/her right to acquire the underlying Shares of such Option shall terminate, all interests and rights of the Grantee in and to the same shall ipso facto expire, and, in the event that in connection therewith any Approved 102 Options are still held by the Trustee as aforesaid, the trust with respect thereto shall ipso facto expire and all of such Approved 102 Options shall again be subject for grant as provided in Section 8.</w:t>
      </w:r>
    </w:p>
    <w:p>
      <w:pPr>
        <w:spacing w:after="0" w:line="191"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12.4.Each payment for Shares shall be in respect of a whole number of Shares, and shall be effected in cash or by a cashier's check payable to the order of the Company, or such other method of payment acceptable to the Company.</w:t>
      </w:r>
    </w:p>
    <w:p>
      <w:pPr>
        <w:spacing w:after="0" w:line="190" w:lineRule="exact"/>
        <w:rPr>
          <w:rFonts w:ascii="Arial" w:cs="Arial" w:eastAsia="Arial" w:hAnsi="Arial"/>
          <w:sz w:val="17"/>
          <w:szCs w:val="17"/>
          <w:color w:val="auto"/>
        </w:rPr>
      </w:pPr>
    </w:p>
    <w:p>
      <w:pPr>
        <w:ind w:left="1837" w:hanging="1235"/>
        <w:spacing w:after="0" w:line="279" w:lineRule="auto"/>
        <w:rPr>
          <w:rFonts w:ascii="Arial" w:cs="Arial" w:eastAsia="Arial" w:hAnsi="Arial"/>
          <w:sz w:val="17"/>
          <w:szCs w:val="17"/>
          <w:color w:val="auto"/>
        </w:rPr>
      </w:pPr>
      <w:r>
        <w:rPr>
          <w:rFonts w:ascii="Arial" w:cs="Arial" w:eastAsia="Arial" w:hAnsi="Arial"/>
          <w:sz w:val="17"/>
          <w:szCs w:val="17"/>
          <w:color w:val="auto"/>
        </w:rPr>
        <w:t>12.5.</w:t>
      </w:r>
      <w:r>
        <w:rPr>
          <w:rFonts w:ascii="Arial" w:cs="Arial" w:eastAsia="Arial" w:hAnsi="Arial"/>
          <w:sz w:val="16"/>
          <w:szCs w:val="16"/>
          <w:color w:val="auto"/>
        </w:rPr>
        <w:t>For the avoidance of doubt, Grantees shall not have any of the rights or privileges of shareholders of the Company in respect of any Shares purchasable upon the exercise of any Option, nor shall they be deemed to be a class of shareholders or creditors of the Company for purpose of the operation of sections 350 and 351 of the Companies Law or any successor to such section, until registration of Grantee as holder of such Shares in the Company’s register of shareholders upon exercise of the Option in accordance with the provisions of the Plan, but in case of Options and Shares held by the Trustee, subject to the provisions of Section 7.</w:t>
      </w:r>
    </w:p>
    <w:p>
      <w:pPr>
        <w:spacing w:after="0" w:line="185" w:lineRule="exact"/>
        <w:rPr>
          <w:rFonts w:ascii="Arial" w:cs="Arial" w:eastAsia="Arial" w:hAnsi="Arial"/>
          <w:sz w:val="17"/>
          <w:szCs w:val="17"/>
          <w:color w:val="auto"/>
        </w:rPr>
      </w:pPr>
    </w:p>
    <w:p>
      <w:pPr>
        <w:ind w:left="617" w:hanging="617"/>
        <w:spacing w:after="0"/>
        <w:tabs>
          <w:tab w:leader="none" w:pos="617" w:val="left"/>
        </w:tabs>
        <w:numPr>
          <w:ilvl w:val="0"/>
          <w:numId w:val="49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Engagement</w:t>
      </w:r>
    </w:p>
    <w:p>
      <w:pPr>
        <w:spacing w:after="0" w:line="247" w:lineRule="exact"/>
        <w:rPr>
          <w:rFonts w:ascii="Arial" w:cs="Arial" w:eastAsia="Arial" w:hAnsi="Arial"/>
          <w:sz w:val="17"/>
          <w:szCs w:val="17"/>
          <w:color w:val="auto"/>
        </w:rPr>
      </w:pPr>
    </w:p>
    <w:p>
      <w:pPr>
        <w:ind w:left="1837" w:hanging="1235"/>
        <w:spacing w:after="0" w:line="259" w:lineRule="auto"/>
        <w:rPr>
          <w:rFonts w:ascii="Arial" w:cs="Arial" w:eastAsia="Arial" w:hAnsi="Arial"/>
          <w:sz w:val="17"/>
          <w:szCs w:val="17"/>
          <w:color w:val="auto"/>
        </w:rPr>
      </w:pPr>
      <w:r>
        <w:rPr>
          <w:rFonts w:ascii="Arial" w:cs="Arial" w:eastAsia="Arial" w:hAnsi="Arial"/>
          <w:sz w:val="17"/>
          <w:szCs w:val="17"/>
          <w:color w:val="auto"/>
        </w:rPr>
        <w:t>13.1.Subject to the provisions of Section 13.2, unless otherwise provided in the Grantee’s Incentive Agreement, in the event that a Grantee ceases, for any reason, to be employed by or to provide services to the Company or an Affiliate, all Options granted to such Grantee will immediately expire upon such cessation. For the avoidance of doubt, unless expressly stated otherwise in the Grantee's Incentive Agreement, in case of such cessation of employment or service, the unvested portion of the Grantee's Option shall not continue to vest and shall immediately expire.</w:t>
      </w:r>
    </w:p>
    <w:p>
      <w:pPr>
        <w:spacing w:after="0" w:line="347" w:lineRule="exact"/>
        <w:rPr>
          <w:rFonts w:ascii="Arial" w:cs="Arial" w:eastAsia="Arial" w:hAnsi="Arial"/>
          <w:sz w:val="17"/>
          <w:szCs w:val="17"/>
          <w:color w:val="auto"/>
        </w:rPr>
      </w:pPr>
    </w:p>
    <w:p>
      <w:pPr>
        <w:ind w:left="5677" w:hanging="109"/>
        <w:spacing w:after="0"/>
        <w:tabs>
          <w:tab w:leader="none" w:pos="5677" w:val="left"/>
        </w:tabs>
        <w:numPr>
          <w:ilvl w:val="1"/>
          <w:numId w:val="490"/>
        </w:numPr>
        <w:rPr>
          <w:rFonts w:ascii="Arial" w:cs="Arial" w:eastAsia="Arial" w:hAnsi="Arial"/>
          <w:sz w:val="17"/>
          <w:szCs w:val="17"/>
          <w:color w:val="auto"/>
        </w:rPr>
      </w:pPr>
      <w:r>
        <w:rPr>
          <w:rFonts w:ascii="Arial" w:cs="Arial" w:eastAsia="Arial" w:hAnsi="Arial"/>
          <w:sz w:val="17"/>
          <w:szCs w:val="17"/>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582" w:name="page583"/>
    <w:bookmarkEnd w:id="582"/>
    <w:p>
      <w:pPr>
        <w:jc w:val="both"/>
        <w:ind w:left="1837" w:hanging="1234"/>
        <w:spacing w:after="0" w:line="317" w:lineRule="auto"/>
        <w:tabs>
          <w:tab w:leader="none" w:pos="1817"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Notwithstanding anything to the contrary hereinabove and unless otherwise determined in the Grantee's Incentive Agreement, an Option may be exercised after the date of cessation of Optionee's employment or service with the Company or any Affiliates during an additional period of time beyond the date of such cessation, but only with respect to its vested portion at the time of such termination, as follows:</w:t>
      </w:r>
    </w:p>
    <w:p>
      <w:pPr>
        <w:spacing w:after="0" w:line="165" w:lineRule="exact"/>
        <w:rPr>
          <w:sz w:val="20"/>
          <w:szCs w:val="20"/>
          <w:color w:val="auto"/>
        </w:rPr>
      </w:pPr>
    </w:p>
    <w:p>
      <w:pPr>
        <w:jc w:val="both"/>
        <w:ind w:left="3057" w:hanging="1234"/>
        <w:spacing w:after="0" w:line="257" w:lineRule="auto"/>
        <w:tabs>
          <w:tab w:leader="none" w:pos="3037" w:val="left"/>
        </w:tabs>
        <w:rPr>
          <w:sz w:val="20"/>
          <w:szCs w:val="20"/>
          <w:color w:val="auto"/>
        </w:rPr>
      </w:pPr>
      <w:r>
        <w:rPr>
          <w:rFonts w:ascii="Arial" w:cs="Arial" w:eastAsia="Arial" w:hAnsi="Arial"/>
          <w:sz w:val="17"/>
          <w:szCs w:val="17"/>
          <w:color w:val="auto"/>
        </w:rPr>
        <w:t>13.2.1.</w:t>
      </w:r>
      <w:r>
        <w:rPr>
          <w:sz w:val="20"/>
          <w:szCs w:val="20"/>
          <w:color w:val="auto"/>
        </w:rPr>
        <w:tab/>
      </w:r>
      <w:r>
        <w:rPr>
          <w:rFonts w:ascii="Arial" w:cs="Arial" w:eastAsia="Arial" w:hAnsi="Arial"/>
          <w:sz w:val="17"/>
          <w:szCs w:val="17"/>
          <w:color w:val="auto"/>
        </w:rPr>
        <w:t>If the Grantee’s termination of employment or service is due to such Grantee’s death or “Disability” (as hereinafter defined), then any of such Grantee’s vested Options (to the extent exercisable at the time of the Grantee’s termination of employment or service) shall be exercisable by the Grantee’s legal representative, estate of other person to whom the Grantee’s rights are transferred by will or by laws of descent of distribution for a period of twelve (12) months following such death or termination of employment or service due to “Disability” (but in no event after the expiration of the Option Term), and shall thereafter terminate.</w:t>
      </w:r>
    </w:p>
    <w:p>
      <w:pPr>
        <w:spacing w:after="0" w:line="204" w:lineRule="exact"/>
        <w:rPr>
          <w:sz w:val="20"/>
          <w:szCs w:val="20"/>
          <w:color w:val="auto"/>
        </w:rPr>
      </w:pPr>
    </w:p>
    <w:p>
      <w:pPr>
        <w:jc w:val="both"/>
        <w:ind w:left="3097"/>
        <w:spacing w:after="0" w:line="269" w:lineRule="auto"/>
        <w:rPr>
          <w:sz w:val="20"/>
          <w:szCs w:val="20"/>
          <w:color w:val="auto"/>
        </w:rPr>
      </w:pPr>
      <w:r>
        <w:rPr>
          <w:rFonts w:ascii="Arial" w:cs="Arial" w:eastAsia="Arial" w:hAnsi="Arial"/>
          <w:sz w:val="17"/>
          <w:szCs w:val="17"/>
          <w:color w:val="auto"/>
        </w:rPr>
        <w:t>For purposes hereof, “</w:t>
      </w:r>
      <w:r>
        <w:rPr>
          <w:rFonts w:ascii="Arial" w:cs="Arial" w:eastAsia="Arial" w:hAnsi="Arial"/>
          <w:sz w:val="17"/>
          <w:szCs w:val="17"/>
          <w:b w:val="1"/>
          <w:bCs w:val="1"/>
          <w:color w:val="auto"/>
        </w:rPr>
        <w:t>Disability</w:t>
      </w:r>
      <w:r>
        <w:rPr>
          <w:rFonts w:ascii="Arial" w:cs="Arial" w:eastAsia="Arial" w:hAnsi="Arial"/>
          <w:sz w:val="17"/>
          <w:szCs w:val="17"/>
          <w:color w:val="auto"/>
        </w:rPr>
        <w:t>” shall mean the inability, due to illness or injury, to engage in any gainful occupation for which the individual is suited by education, training or experience, which condition continues for at least six (6) consecutive months or an aggregate of six (6) months in any twelve (12)-month period.</w:t>
      </w:r>
    </w:p>
    <w:p>
      <w:pPr>
        <w:spacing w:after="0" w:line="198" w:lineRule="exact"/>
        <w:rPr>
          <w:sz w:val="20"/>
          <w:szCs w:val="20"/>
          <w:color w:val="auto"/>
        </w:rPr>
      </w:pPr>
    </w:p>
    <w:p>
      <w:pPr>
        <w:jc w:val="both"/>
        <w:ind w:left="3057" w:hanging="1234"/>
        <w:spacing w:after="0" w:line="275" w:lineRule="auto"/>
        <w:tabs>
          <w:tab w:leader="none" w:pos="3037" w:val="left"/>
        </w:tabs>
        <w:rPr>
          <w:sz w:val="20"/>
          <w:szCs w:val="20"/>
          <w:color w:val="auto"/>
        </w:rPr>
      </w:pPr>
      <w:r>
        <w:rPr>
          <w:rFonts w:ascii="Arial" w:cs="Arial" w:eastAsia="Arial" w:hAnsi="Arial"/>
          <w:sz w:val="17"/>
          <w:szCs w:val="17"/>
          <w:color w:val="auto"/>
        </w:rPr>
        <w:t>13.2.2.</w:t>
      </w:r>
      <w:r>
        <w:rPr>
          <w:sz w:val="20"/>
          <w:szCs w:val="20"/>
          <w:color w:val="auto"/>
        </w:rPr>
        <w:tab/>
      </w:r>
      <w:r>
        <w:rPr>
          <w:rFonts w:ascii="Arial" w:cs="Arial" w:eastAsia="Arial" w:hAnsi="Arial"/>
          <w:sz w:val="16"/>
          <w:szCs w:val="16"/>
          <w:color w:val="auto"/>
        </w:rPr>
        <w:t>If the Grantee’s termination of employment or service is for any reason other than for Cause, then any of such Grantee’s vested Options (to the extent exercisable at the time of the Grantee’s termination of employment or service) shall be exercisable for a period of ninety (90) days following such termination of employment or service, and shall thereafter terminate; provided, however, that if the Grantee dies within such ninety-day period, such Options shall be exercisable by the Grantee’s legal representative, estate or other person to whom the Grantee’s rights are transferred by will or by laws of descent of distribution for a period of twelve (12) months following the Grantee’s death (but in no event after the expiration of the Option Term), and shall thereafter terminate.</w:t>
      </w:r>
    </w:p>
    <w:p>
      <w:pPr>
        <w:spacing w:after="0" w:line="196" w:lineRule="exact"/>
        <w:rPr>
          <w:sz w:val="20"/>
          <w:szCs w:val="20"/>
          <w:color w:val="auto"/>
        </w:rPr>
      </w:pPr>
    </w:p>
    <w:p>
      <w:pPr>
        <w:jc w:val="both"/>
        <w:ind w:left="3057" w:hanging="1234"/>
        <w:spacing w:after="0" w:line="278" w:lineRule="auto"/>
        <w:tabs>
          <w:tab w:leader="none" w:pos="3037" w:val="left"/>
        </w:tabs>
        <w:rPr>
          <w:sz w:val="20"/>
          <w:szCs w:val="20"/>
          <w:color w:val="auto"/>
        </w:rPr>
      </w:pPr>
      <w:r>
        <w:rPr>
          <w:rFonts w:ascii="Arial" w:cs="Arial" w:eastAsia="Arial" w:hAnsi="Arial"/>
          <w:sz w:val="17"/>
          <w:szCs w:val="17"/>
          <w:color w:val="auto"/>
        </w:rPr>
        <w:t>13.2.3.</w:t>
      </w:r>
      <w:r>
        <w:rPr>
          <w:sz w:val="20"/>
          <w:szCs w:val="20"/>
          <w:color w:val="auto"/>
        </w:rPr>
        <w:tab/>
      </w:r>
      <w:r>
        <w:rPr>
          <w:rFonts w:ascii="Arial" w:cs="Arial" w:eastAsia="Arial" w:hAnsi="Arial"/>
          <w:sz w:val="17"/>
          <w:szCs w:val="17"/>
          <w:color w:val="auto"/>
        </w:rPr>
        <w:t>In the event of termination for Cause, any Option held by such Grantee (whether or not vested) shall terminate immediately and the Grantee shall have no further rights to purchase Shares pursuant to such Option.</w:t>
      </w:r>
    </w:p>
    <w:p>
      <w:pPr>
        <w:spacing w:after="0" w:line="190" w:lineRule="exact"/>
        <w:rPr>
          <w:sz w:val="20"/>
          <w:szCs w:val="20"/>
          <w:color w:val="auto"/>
        </w:rPr>
      </w:pPr>
    </w:p>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With respect to Unapproved 102 Securities, if the Grantee ceases to be employed by the Company or any Affiliate, the Grantee shall extend to the Company and/or its Affiliate a security or guarantee for the payment of tax due at the time of sale of Shares, all in accordance with the provisions of Section 102 and the rules, regulation or orders promulgated thereunder.</w:t>
      </w:r>
    </w:p>
    <w:p>
      <w:pPr>
        <w:spacing w:after="0" w:line="195" w:lineRule="exact"/>
        <w:rPr>
          <w:sz w:val="20"/>
          <w:szCs w:val="20"/>
          <w:color w:val="auto"/>
        </w:rPr>
      </w:pPr>
    </w:p>
    <w:p>
      <w:pPr>
        <w:ind w:left="617" w:hanging="617"/>
        <w:spacing w:after="0"/>
        <w:tabs>
          <w:tab w:leader="none" w:pos="617" w:val="left"/>
        </w:tabs>
        <w:numPr>
          <w:ilvl w:val="0"/>
          <w:numId w:val="491"/>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Upon Changes in Capitalization</w:t>
      </w:r>
    </w:p>
    <w:p>
      <w:pPr>
        <w:spacing w:after="0" w:line="27" w:lineRule="exact"/>
        <w:rPr>
          <w:rFonts w:ascii="Arial" w:cs="Arial" w:eastAsia="Arial" w:hAnsi="Arial"/>
          <w:sz w:val="17"/>
          <w:szCs w:val="17"/>
          <w:color w:val="auto"/>
        </w:rPr>
      </w:pPr>
    </w:p>
    <w:p>
      <w:pPr>
        <w:jc w:val="both"/>
        <w:ind w:left="617"/>
        <w:spacing w:after="0" w:line="255" w:lineRule="auto"/>
        <w:rPr>
          <w:rFonts w:ascii="Arial" w:cs="Arial" w:eastAsia="Arial" w:hAnsi="Arial"/>
          <w:sz w:val="17"/>
          <w:szCs w:val="17"/>
          <w:color w:val="auto"/>
        </w:rPr>
      </w:pPr>
      <w:r>
        <w:rPr>
          <w:rFonts w:ascii="Arial" w:cs="Arial" w:eastAsia="Arial" w:hAnsi="Arial"/>
          <w:sz w:val="17"/>
          <w:szCs w:val="17"/>
          <w:color w:val="auto"/>
        </w:rPr>
        <w:t>Subject to any required action by the shareholders of the Company, the number and type of Shares covered by each outstanding Option, and the number of Shares which have been authorized for issuance under the Plan but which have not been issued or as to which no Options have yet been granted or which have been returned to the Plan upon cancellation or expiration of an Option or otherwise, as well as the Exercise Price, shall be proportionately adjusted for any increase or decrease in the number of issued Shares resulting from a stock split, stock dividend, combination, exchange of shares or reclassification of the Shares, all only if such triggering event generally applies to all Shares.</w:t>
      </w:r>
    </w:p>
    <w:p>
      <w:pPr>
        <w:spacing w:after="0" w:line="352" w:lineRule="exact"/>
        <w:rPr>
          <w:rFonts w:ascii="Arial" w:cs="Arial" w:eastAsia="Arial" w:hAnsi="Arial"/>
          <w:sz w:val="17"/>
          <w:szCs w:val="17"/>
          <w:color w:val="auto"/>
        </w:rPr>
      </w:pPr>
    </w:p>
    <w:p>
      <w:pPr>
        <w:ind w:left="5677" w:hanging="109"/>
        <w:spacing w:after="0"/>
        <w:tabs>
          <w:tab w:leader="none" w:pos="5677" w:val="left"/>
        </w:tabs>
        <w:numPr>
          <w:ilvl w:val="1"/>
          <w:numId w:val="491"/>
        </w:numPr>
        <w:rPr>
          <w:rFonts w:ascii="Arial" w:cs="Arial" w:eastAsia="Arial" w:hAnsi="Arial"/>
          <w:sz w:val="17"/>
          <w:szCs w:val="17"/>
          <w:color w:val="auto"/>
        </w:rPr>
      </w:pPr>
      <w:r>
        <w:rPr>
          <w:rFonts w:ascii="Arial" w:cs="Arial" w:eastAsia="Arial" w:hAnsi="Arial"/>
          <w:sz w:val="17"/>
          <w:szCs w:val="17"/>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9" w:right="239" w:bottom="1440" w:gutter="0" w:footer="0" w:header="0"/>
        </w:sectPr>
      </w:pPr>
    </w:p>
    <w:bookmarkStart w:id="583" w:name="page584"/>
    <w:bookmarkEnd w:id="583"/>
    <w:p>
      <w:pPr>
        <w:jc w:val="both"/>
        <w:ind w:left="617"/>
        <w:spacing w:after="0" w:line="265" w:lineRule="auto"/>
        <w:rPr>
          <w:sz w:val="20"/>
          <w:szCs w:val="20"/>
          <w:color w:val="auto"/>
        </w:rPr>
      </w:pPr>
      <w:r>
        <w:rPr>
          <w:rFonts w:ascii="Arial" w:cs="Arial" w:eastAsia="Arial" w:hAnsi="Arial"/>
          <w:sz w:val="17"/>
          <w:szCs w:val="17"/>
          <w:color w:val="auto"/>
        </w:rPr>
        <w:t>Such adjustment shall be made by the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the Plan.</w:t>
      </w:r>
    </w:p>
    <w:p>
      <w:pPr>
        <w:spacing w:after="0" w:line="195" w:lineRule="exact"/>
        <w:rPr>
          <w:sz w:val="20"/>
          <w:szCs w:val="20"/>
          <w:color w:val="auto"/>
        </w:rPr>
      </w:pPr>
    </w:p>
    <w:p>
      <w:pPr>
        <w:ind w:left="617" w:hanging="617"/>
        <w:spacing w:after="0"/>
        <w:tabs>
          <w:tab w:leader="none" w:pos="617" w:val="left"/>
        </w:tabs>
        <w:numPr>
          <w:ilvl w:val="0"/>
          <w:numId w:val="492"/>
        </w:numPr>
        <w:rPr>
          <w:rFonts w:ascii="Arial" w:cs="Arial" w:eastAsia="Arial" w:hAnsi="Arial"/>
          <w:sz w:val="17"/>
          <w:szCs w:val="17"/>
          <w:color w:val="auto"/>
        </w:rPr>
      </w:pPr>
      <w:r>
        <w:rPr>
          <w:rFonts w:ascii="Arial" w:cs="Arial" w:eastAsia="Arial" w:hAnsi="Arial"/>
          <w:sz w:val="17"/>
          <w:szCs w:val="17"/>
          <w:b w:val="1"/>
          <w:bCs w:val="1"/>
          <w:u w:val="single" w:color="auto"/>
          <w:color w:val="auto"/>
        </w:rPr>
        <w:t>Consequences of a Transaction or Dissolution</w:t>
      </w:r>
    </w:p>
    <w:p>
      <w:pPr>
        <w:spacing w:after="0" w:line="241" w:lineRule="exact"/>
        <w:rPr>
          <w:rFonts w:ascii="Arial" w:cs="Arial" w:eastAsia="Arial" w:hAnsi="Arial"/>
          <w:sz w:val="17"/>
          <w:szCs w:val="17"/>
          <w:color w:val="auto"/>
        </w:rPr>
      </w:pPr>
    </w:p>
    <w:p>
      <w:pPr>
        <w:ind w:left="1837" w:hanging="1235"/>
        <w:spacing w:after="0" w:line="286" w:lineRule="auto"/>
        <w:rPr>
          <w:rFonts w:ascii="Arial" w:cs="Arial" w:eastAsia="Arial" w:hAnsi="Arial"/>
          <w:sz w:val="17"/>
          <w:szCs w:val="17"/>
          <w:color w:val="auto"/>
        </w:rPr>
      </w:pPr>
      <w:r>
        <w:rPr>
          <w:rFonts w:ascii="Arial" w:cs="Arial" w:eastAsia="Arial" w:hAnsi="Arial"/>
          <w:sz w:val="17"/>
          <w:szCs w:val="17"/>
          <w:color w:val="auto"/>
        </w:rPr>
        <w:t>15.1.Upon the occurrence of any kind of Transaction or voluntarily liquidation or dissolution of the Company ("</w:t>
      </w:r>
      <w:r>
        <w:rPr>
          <w:rFonts w:ascii="Arial" w:cs="Arial" w:eastAsia="Arial" w:hAnsi="Arial"/>
          <w:sz w:val="17"/>
          <w:szCs w:val="17"/>
          <w:b w:val="1"/>
          <w:bCs w:val="1"/>
          <w:color w:val="auto"/>
        </w:rPr>
        <w:t>Dissolution</w:t>
      </w:r>
      <w:r>
        <w:rPr>
          <w:rFonts w:ascii="Arial" w:cs="Arial" w:eastAsia="Arial" w:hAnsi="Arial"/>
          <w:sz w:val="17"/>
          <w:szCs w:val="17"/>
          <w:color w:val="auto"/>
        </w:rPr>
        <w:t>"), any unexercised vested Options and any unvested Options existing at that time shall be automatically terminated.</w:t>
      </w:r>
    </w:p>
    <w:p>
      <w:pPr>
        <w:spacing w:after="0" w:line="183" w:lineRule="exact"/>
        <w:rPr>
          <w:rFonts w:ascii="Arial" w:cs="Arial" w:eastAsia="Arial" w:hAnsi="Arial"/>
          <w:sz w:val="17"/>
          <w:szCs w:val="17"/>
          <w:color w:val="auto"/>
        </w:rPr>
      </w:pPr>
    </w:p>
    <w:p>
      <w:pPr>
        <w:ind w:left="1837" w:hanging="1235"/>
        <w:spacing w:after="0" w:line="292" w:lineRule="auto"/>
        <w:rPr>
          <w:rFonts w:ascii="Arial" w:cs="Arial" w:eastAsia="Arial" w:hAnsi="Arial"/>
          <w:sz w:val="17"/>
          <w:szCs w:val="17"/>
          <w:color w:val="auto"/>
        </w:rPr>
      </w:pPr>
      <w:r>
        <w:rPr>
          <w:rFonts w:ascii="Arial" w:cs="Arial" w:eastAsia="Arial" w:hAnsi="Arial"/>
          <w:sz w:val="17"/>
          <w:szCs w:val="17"/>
          <w:color w:val="auto"/>
        </w:rPr>
        <w:t>15.2.</w:t>
      </w:r>
      <w:r>
        <w:rPr>
          <w:rFonts w:ascii="Arial" w:cs="Arial" w:eastAsia="Arial" w:hAnsi="Arial"/>
          <w:sz w:val="15"/>
          <w:szCs w:val="15"/>
          <w:color w:val="auto"/>
        </w:rPr>
        <w:t>Notwithstanding the aforesaid, in case of a Transaction that involves sale, transfer or disposal of the securities of the Company, the Grantee’s Options then outstanding may be assumed or substituted for an appropriate number of shares of each class of shares or other securities and/or assets of the successor company in such Transaction (or a parent or subsidiary or another affiliate of such successor company) (the "</w:t>
      </w:r>
      <w:r>
        <w:rPr>
          <w:rFonts w:ascii="Arial" w:cs="Arial" w:eastAsia="Arial" w:hAnsi="Arial"/>
          <w:sz w:val="15"/>
          <w:szCs w:val="15"/>
          <w:b w:val="1"/>
          <w:bCs w:val="1"/>
          <w:color w:val="auto"/>
        </w:rPr>
        <w:t>Successor Company</w:t>
      </w:r>
      <w:r>
        <w:rPr>
          <w:rFonts w:ascii="Arial" w:cs="Arial" w:eastAsia="Arial" w:hAnsi="Arial"/>
          <w:sz w:val="15"/>
          <w:szCs w:val="15"/>
          <w:color w:val="auto"/>
        </w:rPr>
        <w:t>") as were distributed to the shareholders of the Company in respect of the Transaction. Furthermore, if the consideration received by the shareholders of the Company in respect of the Transaction was not solely common stock (or its equivalent) of the Successor Company, then the Committee may stipulate that the consideration to be received upon the exercise of Options shall be solely common stock (or its equivalent) of the Successor Company. As well, the Committee may stipulate that in lieu of any assumption of Options for shares or other securities of the Successor Company, such Options will be substituted for any other type of asset of the Successor Company as may be fair under the circumstances, including, but not limited to, cash amounts. In the case of such assumption and/or substitution of shares, appropriate adjustments shall be made to the Exercise Price of the Options to reflect such action, and all other terms and conditions of the Options, such as the vesting periods, shall remain in force.</w:t>
      </w:r>
    </w:p>
    <w:p>
      <w:pPr>
        <w:spacing w:after="0" w:line="186" w:lineRule="exact"/>
        <w:rPr>
          <w:rFonts w:ascii="Arial" w:cs="Arial" w:eastAsia="Arial" w:hAnsi="Arial"/>
          <w:sz w:val="17"/>
          <w:szCs w:val="17"/>
          <w:color w:val="auto"/>
        </w:rPr>
      </w:pPr>
    </w:p>
    <w:p>
      <w:pPr>
        <w:ind w:left="1837" w:hanging="1235"/>
        <w:spacing w:after="0" w:line="296" w:lineRule="auto"/>
        <w:rPr>
          <w:rFonts w:ascii="Arial" w:cs="Arial" w:eastAsia="Arial" w:hAnsi="Arial"/>
          <w:sz w:val="17"/>
          <w:szCs w:val="17"/>
          <w:color w:val="auto"/>
        </w:rPr>
      </w:pPr>
      <w:r>
        <w:rPr>
          <w:rFonts w:ascii="Arial" w:cs="Arial" w:eastAsia="Arial" w:hAnsi="Arial"/>
          <w:sz w:val="17"/>
          <w:szCs w:val="17"/>
          <w:color w:val="auto"/>
        </w:rPr>
        <w:t>15.3.</w:t>
      </w:r>
      <w:r>
        <w:rPr>
          <w:rFonts w:ascii="Arial" w:cs="Arial" w:eastAsia="Arial" w:hAnsi="Arial"/>
          <w:sz w:val="15"/>
          <w:szCs w:val="15"/>
          <w:color w:val="auto"/>
        </w:rPr>
        <w:t>The Company may notify all holders of vested but unexercised Options, at least 10 (ten) business days before the estimated day of closing of a Transaction or of Dissolution (as shall be determined by the Committee) of such expected event, and such holders shall be required to advise the Company within 7 (seven) days of such notice, whether they wish to exercise their vested Options, in accordance with the procedures set forth in this Plan (regardless of whether or not actual closing of the Transaction or the Dissolution occurs after more than such 7-day period). Such exercise may be contingent on actual closing of the Transaction or actual occurrence of the Dissolution. Upon the expiration of such 7-day period, no exercise of the Options shall be allowed unless specifically authorized by the Committee. With respect to a Transaction, the provisions of this Section 15.3 shall not apply in the event of an assumption or substitution under Section 15.2 apply.</w:t>
      </w:r>
    </w:p>
    <w:p>
      <w:pPr>
        <w:spacing w:after="0" w:line="177" w:lineRule="exact"/>
        <w:rPr>
          <w:rFonts w:ascii="Arial" w:cs="Arial" w:eastAsia="Arial" w:hAnsi="Arial"/>
          <w:sz w:val="17"/>
          <w:szCs w:val="17"/>
          <w:color w:val="auto"/>
        </w:rPr>
      </w:pPr>
    </w:p>
    <w:p>
      <w:pPr>
        <w:ind w:left="617" w:hanging="617"/>
        <w:spacing w:after="0"/>
        <w:tabs>
          <w:tab w:leader="none" w:pos="617" w:val="left"/>
        </w:tabs>
        <w:numPr>
          <w:ilvl w:val="0"/>
          <w:numId w:val="492"/>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 Restrictions</w:t>
      </w:r>
    </w:p>
    <w:p>
      <w:pPr>
        <w:spacing w:after="0" w:line="247" w:lineRule="exact"/>
        <w:rPr>
          <w:rFonts w:ascii="Arial" w:cs="Arial" w:eastAsia="Arial" w:hAnsi="Arial"/>
          <w:sz w:val="17"/>
          <w:szCs w:val="17"/>
          <w:color w:val="auto"/>
        </w:rPr>
      </w:pPr>
    </w:p>
    <w:p>
      <w:pPr>
        <w:ind w:left="1837" w:hanging="1235"/>
        <w:spacing w:after="0" w:line="306" w:lineRule="auto"/>
        <w:rPr>
          <w:rFonts w:ascii="Arial" w:cs="Arial" w:eastAsia="Arial" w:hAnsi="Arial"/>
          <w:sz w:val="17"/>
          <w:szCs w:val="17"/>
          <w:color w:val="auto"/>
        </w:rPr>
      </w:pPr>
      <w:r>
        <w:rPr>
          <w:rFonts w:ascii="Arial" w:cs="Arial" w:eastAsia="Arial" w:hAnsi="Arial"/>
          <w:sz w:val="17"/>
          <w:szCs w:val="17"/>
          <w:color w:val="auto"/>
        </w:rPr>
        <w:t>16.1.</w:t>
      </w:r>
      <w:r>
        <w:rPr>
          <w:rFonts w:ascii="Arial" w:cs="Arial" w:eastAsia="Arial" w:hAnsi="Arial"/>
          <w:sz w:val="15"/>
          <w:szCs w:val="15"/>
          <w:color w:val="auto"/>
        </w:rPr>
        <w:t xml:space="preserve">No Option shall be assignable or transferable by the Grantee to whom granted otherwise than by will or the laws of descent and distribution, and an Option may be exercised during the lifetime of the Grantee only by such Grantee or by such Grantee's guardian or legal representative. The terms of such Option shall be binding upon the beneficiaries, executors, administrators, heirs and successors of such Grantee. The provisions of this Section 16.1 applying to Options shall apply to any Shares subject to reverse vesting,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316" w:lineRule="exact"/>
        <w:rPr>
          <w:rFonts w:ascii="Arial" w:cs="Arial" w:eastAsia="Arial" w:hAnsi="Arial"/>
          <w:sz w:val="17"/>
          <w:szCs w:val="17"/>
          <w:color w:val="auto"/>
        </w:rPr>
      </w:pPr>
    </w:p>
    <w:p>
      <w:pPr>
        <w:ind w:left="5677" w:hanging="109"/>
        <w:spacing w:after="0"/>
        <w:tabs>
          <w:tab w:leader="none" w:pos="5677" w:val="left"/>
        </w:tabs>
        <w:numPr>
          <w:ilvl w:val="1"/>
          <w:numId w:val="492"/>
        </w:numPr>
        <w:rPr>
          <w:rFonts w:ascii="Arial" w:cs="Arial" w:eastAsia="Arial" w:hAnsi="Arial"/>
          <w:sz w:val="17"/>
          <w:szCs w:val="17"/>
          <w:color w:val="auto"/>
        </w:rPr>
      </w:pPr>
      <w:r>
        <w:rPr>
          <w:rFonts w:ascii="Arial" w:cs="Arial" w:eastAsia="Arial" w:hAnsi="Arial"/>
          <w:sz w:val="17"/>
          <w:szCs w:val="17"/>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584" w:name="page585"/>
    <w:bookmarkEnd w:id="584"/>
    <w:p>
      <w:pPr>
        <w:jc w:val="both"/>
        <w:ind w:left="1837" w:hanging="1234"/>
        <w:spacing w:after="0" w:line="282" w:lineRule="auto"/>
        <w:tabs>
          <w:tab w:leader="none" w:pos="1817"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6"/>
          <w:szCs w:val="16"/>
          <w:color w:val="auto"/>
        </w:rPr>
        <w:t>Unless otherwise determined by the Committee, until the consummation of an IPO, the Shares issued under the Plan shall be subject to all restrictions on transfer applicable to the Shares of the Company (including without limitation, rights of first refusal, bring along rights, no-sale, market stand-off and tag-along rights), as stated in the Articles and in any shareholders agreement applicable to all or substantially all of the Company's shareholders, regardless of whether or not the Grantee is party to such shareholders agreement.</w:t>
      </w:r>
    </w:p>
    <w:p>
      <w:pPr>
        <w:spacing w:after="0" w:line="190" w:lineRule="exact"/>
        <w:rPr>
          <w:sz w:val="20"/>
          <w:szCs w:val="20"/>
          <w:color w:val="auto"/>
        </w:rPr>
      </w:pPr>
    </w:p>
    <w:p>
      <w:pPr>
        <w:jc w:val="both"/>
        <w:ind w:left="1837" w:hanging="1234"/>
        <w:spacing w:after="0" w:line="282" w:lineRule="auto"/>
        <w:tabs>
          <w:tab w:leader="none" w:pos="1817"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6"/>
          <w:szCs w:val="16"/>
          <w:color w:val="auto"/>
        </w:rPr>
        <w:t>Anything herein to the contrary notwithstanding, if, prior to the closing of an IPO, all or substantially all of the shares of the Company are to be sold, or upon a Transaction, all or substantially all of the shares of the Company are to be exchanged for securities of another company, then Grantee shall be obliged to sell or exchange, as the case may be, all Shares such Grantee was issued or purchased under the Plan, in accordance with the instructions then issued by the Board, whose determination shall be final.</w:t>
      </w:r>
    </w:p>
    <w:p>
      <w:pPr>
        <w:spacing w:after="0" w:line="190" w:lineRule="exact"/>
        <w:rPr>
          <w:sz w:val="20"/>
          <w:szCs w:val="20"/>
          <w:color w:val="auto"/>
        </w:rPr>
      </w:pPr>
    </w:p>
    <w:p>
      <w:pPr>
        <w:jc w:val="both"/>
        <w:ind w:left="1837" w:hanging="1234"/>
        <w:spacing w:after="0" w:line="265" w:lineRule="auto"/>
        <w:tabs>
          <w:tab w:leader="none" w:pos="1817"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7"/>
          <w:szCs w:val="17"/>
          <w:color w:val="auto"/>
        </w:rPr>
        <w:t>Grantee acknowledges that in the event that Company’s shares shall be registered for trading on any public market, Grantee’s right to sell the Shares may be subject to certain limitations (including a lock-up period), as will be required by the Company or its underwriters; and Grantee unconditionally agrees and accepts any such limitations.</w:t>
      </w:r>
    </w:p>
    <w:p>
      <w:pPr>
        <w:spacing w:after="0" w:line="201" w:lineRule="exact"/>
        <w:rPr>
          <w:sz w:val="20"/>
          <w:szCs w:val="20"/>
          <w:color w:val="auto"/>
        </w:rPr>
      </w:pPr>
    </w:p>
    <w:p>
      <w:pPr>
        <w:jc w:val="both"/>
        <w:ind w:left="1837" w:hanging="1234"/>
        <w:spacing w:after="0" w:line="257" w:lineRule="auto"/>
        <w:tabs>
          <w:tab w:leader="none" w:pos="1817"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7"/>
          <w:szCs w:val="17"/>
          <w:color w:val="auto"/>
        </w:rPr>
        <w:t>By exercising an Option and/or by being issued a Share hereunder, Grantee agrees not to sell, transfer or otherwise dispose any of the Shares so purchased by him except in compliance with the United States Securities Act of 1933, as amended, and the rules and regulations thereunder or any other applicable law, and Grantee further agrees that all certificates evidencing any of such shares shall be appropriately legended to reflect such restriction. Nothing herein shall be deemed to require the Company to register the Shares under the securities laws of any jurisdiction. The Company shall not register any transfer of Shares not made in accordance with the provisions of the Plan, the Company's Articles of Association and any applicable law.</w:t>
      </w:r>
    </w:p>
    <w:p>
      <w:pPr>
        <w:spacing w:after="0" w:line="204" w:lineRule="exact"/>
        <w:rPr>
          <w:sz w:val="20"/>
          <w:szCs w:val="20"/>
          <w:color w:val="auto"/>
        </w:rPr>
      </w:pPr>
    </w:p>
    <w:p>
      <w:pPr>
        <w:ind w:left="617" w:hanging="617"/>
        <w:spacing w:after="0"/>
        <w:tabs>
          <w:tab w:leader="none" w:pos="617" w:val="left"/>
        </w:tabs>
        <w:numPr>
          <w:ilvl w:val="0"/>
          <w:numId w:val="493"/>
        </w:numPr>
        <w:rPr>
          <w:rFonts w:ascii="Arial" w:cs="Arial" w:eastAsia="Arial" w:hAnsi="Arial"/>
          <w:sz w:val="17"/>
          <w:szCs w:val="17"/>
          <w:color w:val="auto"/>
        </w:rPr>
      </w:pPr>
      <w:r>
        <w:rPr>
          <w:rFonts w:ascii="Arial" w:cs="Arial" w:eastAsia="Arial" w:hAnsi="Arial"/>
          <w:sz w:val="17"/>
          <w:szCs w:val="17"/>
          <w:b w:val="1"/>
          <w:bCs w:val="1"/>
          <w:u w:val="single" w:color="auto"/>
          <w:color w:val="auto"/>
        </w:rPr>
        <w:t>Shareholders Rights</w:t>
      </w:r>
    </w:p>
    <w:p>
      <w:pPr>
        <w:spacing w:after="0" w:line="247"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17.1.The Grantee shall have no rights of a shareholder with respect to the Shares subject to the Plan until the Grantee shall have exercised the Option (if applicable), paid the Exercise Price thereof (if applicable) and become the record holder of the Shares.</w:t>
      </w:r>
    </w:p>
    <w:p>
      <w:pPr>
        <w:spacing w:after="0" w:line="190" w:lineRule="exact"/>
        <w:rPr>
          <w:rFonts w:ascii="Arial" w:cs="Arial" w:eastAsia="Arial" w:hAnsi="Arial"/>
          <w:sz w:val="17"/>
          <w:szCs w:val="17"/>
          <w:color w:val="auto"/>
        </w:rPr>
      </w:pPr>
    </w:p>
    <w:p>
      <w:pPr>
        <w:ind w:left="1837" w:hanging="1235"/>
        <w:spacing w:after="0" w:line="265" w:lineRule="auto"/>
        <w:rPr>
          <w:rFonts w:ascii="Arial" w:cs="Arial" w:eastAsia="Arial" w:hAnsi="Arial"/>
          <w:sz w:val="17"/>
          <w:szCs w:val="17"/>
          <w:color w:val="auto"/>
        </w:rPr>
      </w:pPr>
      <w:r>
        <w:rPr>
          <w:rFonts w:ascii="Arial" w:cs="Arial" w:eastAsia="Arial" w:hAnsi="Arial"/>
          <w:sz w:val="17"/>
          <w:szCs w:val="17"/>
          <w:color w:val="auto"/>
        </w:rPr>
        <w:t>17.2.With respect to all exercised Options or Shares issued under the Plan, the Grantee shall be entitled to receive dividends in accordance with the number of such Shares, and subject to any applicable taxation on distribution of dividends, and when applicable subject to the provisions of Section 102 and the rules, regulations or orders promulgated thereunder.</w:t>
      </w:r>
    </w:p>
    <w:p>
      <w:pPr>
        <w:spacing w:after="0" w:line="195" w:lineRule="exact"/>
        <w:rPr>
          <w:rFonts w:ascii="Arial" w:cs="Arial" w:eastAsia="Arial" w:hAnsi="Arial"/>
          <w:sz w:val="17"/>
          <w:szCs w:val="17"/>
          <w:color w:val="auto"/>
        </w:rPr>
      </w:pPr>
    </w:p>
    <w:p>
      <w:pPr>
        <w:ind w:left="617" w:hanging="617"/>
        <w:spacing w:after="0"/>
        <w:tabs>
          <w:tab w:leader="none" w:pos="617" w:val="left"/>
        </w:tabs>
        <w:numPr>
          <w:ilvl w:val="0"/>
          <w:numId w:val="493"/>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and Amendment of the Plan</w:t>
      </w:r>
    </w:p>
    <w:p>
      <w:pPr>
        <w:spacing w:after="0" w:line="247" w:lineRule="exact"/>
        <w:rPr>
          <w:rFonts w:ascii="Arial" w:cs="Arial" w:eastAsia="Arial" w:hAnsi="Arial"/>
          <w:sz w:val="17"/>
          <w:szCs w:val="17"/>
          <w:color w:val="auto"/>
        </w:rPr>
      </w:pPr>
    </w:p>
    <w:p>
      <w:pPr>
        <w:ind w:left="1837" w:hanging="1235"/>
        <w:spacing w:after="0" w:line="278" w:lineRule="auto"/>
        <w:rPr>
          <w:rFonts w:ascii="Arial" w:cs="Arial" w:eastAsia="Arial" w:hAnsi="Arial"/>
          <w:sz w:val="17"/>
          <w:szCs w:val="17"/>
          <w:color w:val="auto"/>
        </w:rPr>
      </w:pPr>
      <w:r>
        <w:rPr>
          <w:rFonts w:ascii="Arial" w:cs="Arial" w:eastAsia="Arial" w:hAnsi="Arial"/>
          <w:sz w:val="17"/>
          <w:szCs w:val="17"/>
          <w:color w:val="auto"/>
        </w:rPr>
        <w:t>18.1.The Plan shall be effective as of the day it was adopted by the Board, and shall expire on such date that is ten (10) years following the Board adoption of the Plan.</w:t>
      </w:r>
    </w:p>
    <w:p>
      <w:pPr>
        <w:spacing w:after="0" w:line="190" w:lineRule="exact"/>
        <w:rPr>
          <w:rFonts w:ascii="Arial" w:cs="Arial" w:eastAsia="Arial" w:hAnsi="Arial"/>
          <w:sz w:val="17"/>
          <w:szCs w:val="17"/>
          <w:color w:val="auto"/>
        </w:rPr>
      </w:pPr>
    </w:p>
    <w:p>
      <w:pPr>
        <w:ind w:left="1837" w:hanging="1235"/>
        <w:spacing w:after="0" w:line="259" w:lineRule="auto"/>
        <w:rPr>
          <w:rFonts w:ascii="Arial" w:cs="Arial" w:eastAsia="Arial" w:hAnsi="Arial"/>
          <w:sz w:val="17"/>
          <w:szCs w:val="17"/>
          <w:color w:val="auto"/>
        </w:rPr>
      </w:pPr>
      <w:r>
        <w:rPr>
          <w:rFonts w:ascii="Arial" w:cs="Arial" w:eastAsia="Arial" w:hAnsi="Arial"/>
          <w:sz w:val="17"/>
          <w:szCs w:val="17"/>
          <w:color w:val="auto"/>
        </w:rPr>
        <w:t>18.2.Subject to applicable laws, the Board may, at any time and from time to time, but when applicable, after consultation with the Trustee, terminate or amend the Plan in any respect. In no event, unless allowed under this Plan, may any action of the Company alter or impair the rights of a Grantee, without his consent, under any Security previously granted to him. Termination of the Plan shall not affect the Committee’s ability to exercise the powers granted to it hereunder with respect to Securities granted under the Plan prior to the date of such termination.</w:t>
      </w:r>
    </w:p>
    <w:p>
      <w:pPr>
        <w:spacing w:after="0" w:line="347" w:lineRule="exact"/>
        <w:rPr>
          <w:rFonts w:ascii="Arial" w:cs="Arial" w:eastAsia="Arial" w:hAnsi="Arial"/>
          <w:sz w:val="17"/>
          <w:szCs w:val="17"/>
          <w:color w:val="auto"/>
        </w:rPr>
      </w:pPr>
    </w:p>
    <w:p>
      <w:pPr>
        <w:ind w:left="5617" w:hanging="92"/>
        <w:spacing w:after="0"/>
        <w:tabs>
          <w:tab w:leader="none" w:pos="5617" w:val="left"/>
        </w:tabs>
        <w:numPr>
          <w:ilvl w:val="1"/>
          <w:numId w:val="493"/>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57415" cy="209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9" w:right="239" w:bottom="1440" w:gutter="0" w:footer="0" w:header="0"/>
        </w:sectPr>
      </w:pPr>
    </w:p>
    <w:bookmarkStart w:id="585" w:name="page586"/>
    <w:bookmarkEnd w:id="585"/>
    <w:p>
      <w:pPr>
        <w:ind w:left="620" w:hanging="617"/>
        <w:spacing w:after="0"/>
        <w:tabs>
          <w:tab w:leader="none" w:pos="620" w:val="left"/>
        </w:tabs>
        <w:numPr>
          <w:ilvl w:val="0"/>
          <w:numId w:val="494"/>
        </w:numPr>
        <w:rPr>
          <w:rFonts w:ascii="Arial" w:cs="Arial" w:eastAsia="Arial" w:hAnsi="Arial"/>
          <w:sz w:val="17"/>
          <w:szCs w:val="17"/>
          <w:color w:val="auto"/>
        </w:rPr>
      </w:pPr>
      <w:r>
        <w:rPr>
          <w:rFonts w:ascii="Arial" w:cs="Arial" w:eastAsia="Arial" w:hAnsi="Arial"/>
          <w:sz w:val="17"/>
          <w:szCs w:val="17"/>
          <w:b w:val="1"/>
          <w:bCs w:val="1"/>
          <w:u w:val="single" w:color="auto"/>
          <w:color w:val="auto"/>
        </w:rPr>
        <w:t>Tax Consequences</w:t>
      </w:r>
    </w:p>
    <w:p>
      <w:pPr>
        <w:spacing w:after="0" w:line="247" w:lineRule="exact"/>
        <w:rPr>
          <w:rFonts w:ascii="Arial" w:cs="Arial" w:eastAsia="Arial" w:hAnsi="Arial"/>
          <w:sz w:val="17"/>
          <w:szCs w:val="17"/>
          <w:color w:val="auto"/>
        </w:rPr>
      </w:pPr>
    </w:p>
    <w:p>
      <w:pPr>
        <w:ind w:left="1840" w:hanging="1235"/>
        <w:spacing w:after="0" w:line="257" w:lineRule="auto"/>
        <w:rPr>
          <w:rFonts w:ascii="Arial" w:cs="Arial" w:eastAsia="Arial" w:hAnsi="Arial"/>
          <w:sz w:val="17"/>
          <w:szCs w:val="17"/>
          <w:color w:val="auto"/>
        </w:rPr>
      </w:pPr>
      <w:r>
        <w:rPr>
          <w:rFonts w:ascii="Arial" w:cs="Arial" w:eastAsia="Arial" w:hAnsi="Arial"/>
          <w:sz w:val="17"/>
          <w:szCs w:val="17"/>
          <w:color w:val="auto"/>
        </w:rPr>
        <w:t>19.1.All tax consequences and/or obligations regarding other compulsory payments arising from the issuance of Shares, the grant or exercise of any Option, from the payment for, or the subsequent disposition of, Shares covered thereby or from any other event or act (of the Company, its Affiliates, the Trustee or the Grantee) hereunder, shall be borne solely by the Grantee, and the Grantee shall indemnify the Company and/or its Affiliates and/or the Trustee, as applicable, and hold them harmless against and from any and all liability for any such tax (and compulsory payment, if any) or interest or penalty thereon, including without limitation, in respect of Approved 102 Securities, liabilities relating to the necessity to withhold, or to have withheld, any such tax (and compulsory payment, if any) from any payment made to the Grantee.</w:t>
      </w:r>
    </w:p>
    <w:p>
      <w:pPr>
        <w:spacing w:after="0" w:line="206" w:lineRule="exact"/>
        <w:rPr>
          <w:rFonts w:ascii="Arial" w:cs="Arial" w:eastAsia="Arial" w:hAnsi="Arial"/>
          <w:sz w:val="17"/>
          <w:szCs w:val="17"/>
          <w:color w:val="auto"/>
        </w:rPr>
      </w:pPr>
    </w:p>
    <w:p>
      <w:pPr>
        <w:ind w:left="1840" w:hanging="1235"/>
        <w:spacing w:after="0" w:line="278" w:lineRule="auto"/>
        <w:rPr>
          <w:rFonts w:ascii="Arial" w:cs="Arial" w:eastAsia="Arial" w:hAnsi="Arial"/>
          <w:sz w:val="17"/>
          <w:szCs w:val="17"/>
          <w:color w:val="auto"/>
        </w:rPr>
      </w:pPr>
      <w:r>
        <w:rPr>
          <w:rFonts w:ascii="Arial" w:cs="Arial" w:eastAsia="Arial" w:hAnsi="Arial"/>
          <w:sz w:val="17"/>
          <w:szCs w:val="17"/>
          <w:color w:val="auto"/>
        </w:rPr>
        <w:t>19.2.The Company and/or, when applicable, the Trustee, shall not be required to release any Share certificate to a Grantee until all required payments have been fully made.</w:t>
      </w:r>
    </w:p>
    <w:p>
      <w:pPr>
        <w:spacing w:after="0" w:line="184" w:lineRule="exact"/>
        <w:rPr>
          <w:rFonts w:ascii="Arial" w:cs="Arial" w:eastAsia="Arial" w:hAnsi="Arial"/>
          <w:sz w:val="17"/>
          <w:szCs w:val="17"/>
          <w:color w:val="auto"/>
        </w:rPr>
      </w:pPr>
    </w:p>
    <w:p>
      <w:pPr>
        <w:ind w:left="620" w:hanging="617"/>
        <w:spacing w:after="0"/>
        <w:tabs>
          <w:tab w:leader="none" w:pos="620" w:val="left"/>
        </w:tabs>
        <w:numPr>
          <w:ilvl w:val="0"/>
          <w:numId w:val="494"/>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p>
    <w:p>
      <w:pPr>
        <w:spacing w:after="0" w:line="247" w:lineRule="exact"/>
        <w:rPr>
          <w:rFonts w:ascii="Arial" w:cs="Arial" w:eastAsia="Arial" w:hAnsi="Arial"/>
          <w:sz w:val="17"/>
          <w:szCs w:val="17"/>
          <w:color w:val="auto"/>
        </w:rPr>
      </w:pPr>
    </w:p>
    <w:p>
      <w:pPr>
        <w:ind w:left="1840" w:hanging="1235"/>
        <w:spacing w:after="0" w:line="282" w:lineRule="auto"/>
        <w:rPr>
          <w:rFonts w:ascii="Arial" w:cs="Arial" w:eastAsia="Arial" w:hAnsi="Arial"/>
          <w:sz w:val="17"/>
          <w:szCs w:val="17"/>
          <w:color w:val="auto"/>
        </w:rPr>
      </w:pPr>
      <w:r>
        <w:rPr>
          <w:rFonts w:ascii="Arial" w:cs="Arial" w:eastAsia="Arial" w:hAnsi="Arial"/>
          <w:sz w:val="17"/>
          <w:szCs w:val="17"/>
          <w:color w:val="auto"/>
        </w:rPr>
        <w:t>20.1.</w:t>
      </w:r>
      <w:r>
        <w:rPr>
          <w:rFonts w:ascii="Arial" w:cs="Arial" w:eastAsia="Arial" w:hAnsi="Arial"/>
          <w:sz w:val="16"/>
          <w:szCs w:val="16"/>
          <w:u w:val="single" w:color="auto"/>
          <w:color w:val="auto"/>
        </w:rPr>
        <w:t>Continuance of Employment or Hired Services</w:t>
      </w:r>
      <w:r>
        <w:rPr>
          <w:rFonts w:ascii="Arial" w:cs="Arial" w:eastAsia="Arial" w:hAnsi="Arial"/>
          <w:sz w:val="16"/>
          <w:szCs w:val="16"/>
          <w:color w:val="auto"/>
        </w:rPr>
        <w:t>: Neither the Plan nor the grant of a Security hereunder shall impose any obligation on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Company or any Affiliate thereof to continue the employment or service of any Grantee, and nothing in the Plan or in any Security granted pursuant hereto shall confer upon any Grantee any right to continue in the employ or service of the Company or an Affiliate thereof, or restrict the right of the Company or an Affiliate to terminate such employment or service at any time.</w:t>
      </w:r>
    </w:p>
    <w:p>
      <w:pPr>
        <w:spacing w:after="0" w:line="190" w:lineRule="exact"/>
        <w:rPr>
          <w:rFonts w:ascii="Arial" w:cs="Arial" w:eastAsia="Arial" w:hAnsi="Arial"/>
          <w:sz w:val="17"/>
          <w:szCs w:val="17"/>
          <w:color w:val="auto"/>
        </w:rPr>
      </w:pPr>
    </w:p>
    <w:p>
      <w:pPr>
        <w:ind w:left="1840" w:hanging="1235"/>
        <w:spacing w:after="0" w:line="277" w:lineRule="auto"/>
        <w:rPr>
          <w:rFonts w:ascii="Arial" w:cs="Arial" w:eastAsia="Arial" w:hAnsi="Arial"/>
          <w:sz w:val="17"/>
          <w:szCs w:val="17"/>
          <w:color w:val="auto"/>
        </w:rPr>
      </w:pPr>
      <w:r>
        <w:rPr>
          <w:rFonts w:ascii="Arial" w:cs="Arial" w:eastAsia="Arial" w:hAnsi="Arial"/>
          <w:sz w:val="17"/>
          <w:szCs w:val="17"/>
          <w:color w:val="auto"/>
        </w:rPr>
        <w:t>20.2.</w:t>
      </w:r>
      <w:r>
        <w:rPr>
          <w:rFonts w:ascii="Arial" w:cs="Arial" w:eastAsia="Arial" w:hAnsi="Arial"/>
          <w:sz w:val="16"/>
          <w:szCs w:val="16"/>
          <w:u w:val="single" w:color="auto"/>
          <w:color w:val="auto"/>
        </w:rPr>
        <w:t>Lock up</w:t>
      </w:r>
      <w:r>
        <w:rPr>
          <w:rFonts w:ascii="Arial" w:cs="Arial" w:eastAsia="Arial" w:hAnsi="Arial"/>
          <w:sz w:val="16"/>
          <w:szCs w:val="16"/>
          <w:color w:val="auto"/>
        </w:rPr>
        <w:t>: The Grantee will be subject to a lock-up period of: (i) not less than one hundred and eighty (180) days beginning on the effective</w:t>
      </w:r>
      <w:r>
        <w:rPr>
          <w:rFonts w:ascii="Arial" w:cs="Arial" w:eastAsia="Arial" w:hAnsi="Arial"/>
          <w:sz w:val="16"/>
          <w:szCs w:val="16"/>
          <w:u w:val="single" w:color="auto"/>
          <w:color w:val="auto"/>
        </w:rPr>
        <w:t xml:space="preserve"> </w:t>
      </w:r>
      <w:r>
        <w:rPr>
          <w:rFonts w:ascii="Arial" w:cs="Arial" w:eastAsia="Arial" w:hAnsi="Arial"/>
          <w:sz w:val="16"/>
          <w:szCs w:val="16"/>
          <w:color w:val="auto"/>
        </w:rPr>
        <w:t>date of the registration statement pursuant to which an IPO was effected, or any longer period of time which may be required by the underwriters of such IPO, or as shall be binding on all other shareholders of the Company; and (ii) up to ninety (90) days beginning on the effective date of any subsequent underwritten registration of the Company’s securities (except to the extent that the relevant shares of the Grantee are part of such underwritten registration), or any longer period of time which may be required by the underwriters of such subsequent underwritten registration, or as shall be binding on all other shareholders of the Company.</w:t>
      </w:r>
    </w:p>
    <w:p>
      <w:pPr>
        <w:spacing w:after="0" w:line="192" w:lineRule="exact"/>
        <w:rPr>
          <w:rFonts w:ascii="Arial" w:cs="Arial" w:eastAsia="Arial" w:hAnsi="Arial"/>
          <w:sz w:val="17"/>
          <w:szCs w:val="17"/>
          <w:color w:val="auto"/>
        </w:rPr>
      </w:pPr>
    </w:p>
    <w:p>
      <w:pPr>
        <w:ind w:left="1840" w:hanging="1235"/>
        <w:spacing w:after="0" w:line="265" w:lineRule="auto"/>
        <w:rPr>
          <w:rFonts w:ascii="Arial" w:cs="Arial" w:eastAsia="Arial" w:hAnsi="Arial"/>
          <w:sz w:val="17"/>
          <w:szCs w:val="17"/>
          <w:color w:val="auto"/>
        </w:rPr>
      </w:pPr>
      <w:r>
        <w:rPr>
          <w:rFonts w:ascii="Arial" w:cs="Arial" w:eastAsia="Arial" w:hAnsi="Arial"/>
          <w:sz w:val="17"/>
          <w:szCs w:val="17"/>
          <w:color w:val="auto"/>
        </w:rPr>
        <w:t>20.3.</w:t>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The Plan and all instruments issued hereunder or in connection herewith, shall be governed by,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interpreted in accordance with, the laws of the State of Israel. The competent courts in Tel Aviv shall have sole and exclusive jurisdiction over any matters pertaining to the Plan.</w:t>
      </w:r>
    </w:p>
    <w:p>
      <w:pPr>
        <w:spacing w:after="0" w:line="201" w:lineRule="exact"/>
        <w:rPr>
          <w:rFonts w:ascii="Arial" w:cs="Arial" w:eastAsia="Arial" w:hAnsi="Arial"/>
          <w:sz w:val="17"/>
          <w:szCs w:val="17"/>
          <w:color w:val="auto"/>
        </w:rPr>
      </w:pPr>
    </w:p>
    <w:p>
      <w:pPr>
        <w:ind w:left="1840" w:hanging="1235"/>
        <w:spacing w:after="0" w:line="261" w:lineRule="auto"/>
        <w:rPr>
          <w:rFonts w:ascii="Arial" w:cs="Arial" w:eastAsia="Arial" w:hAnsi="Arial"/>
          <w:sz w:val="17"/>
          <w:szCs w:val="17"/>
          <w:color w:val="auto"/>
        </w:rPr>
      </w:pPr>
      <w:r>
        <w:rPr>
          <w:rFonts w:ascii="Arial" w:cs="Arial" w:eastAsia="Arial" w:hAnsi="Arial"/>
          <w:sz w:val="17"/>
          <w:szCs w:val="17"/>
          <w:color w:val="auto"/>
        </w:rPr>
        <w:t>20.4.</w:t>
      </w:r>
      <w:r>
        <w:rPr>
          <w:rFonts w:ascii="Arial" w:cs="Arial" w:eastAsia="Arial" w:hAnsi="Arial"/>
          <w:sz w:val="17"/>
          <w:szCs w:val="17"/>
          <w:u w:val="single" w:color="auto"/>
          <w:color w:val="auto"/>
        </w:rPr>
        <w:t>Multiple Agreements</w:t>
      </w:r>
      <w:r>
        <w:rPr>
          <w:rFonts w:ascii="Arial" w:cs="Arial" w:eastAsia="Arial" w:hAnsi="Arial"/>
          <w:sz w:val="17"/>
          <w:szCs w:val="17"/>
          <w:color w:val="auto"/>
        </w:rPr>
        <w:t>: The terms of each Security may differ from other Securities granted under the Plan at the same time, or at any other</w:t>
      </w:r>
      <w:r>
        <w:rPr>
          <w:rFonts w:ascii="Arial" w:cs="Arial" w:eastAsia="Arial" w:hAnsi="Arial"/>
          <w:sz w:val="17"/>
          <w:szCs w:val="17"/>
          <w:u w:val="single" w:color="auto"/>
          <w:color w:val="auto"/>
        </w:rPr>
        <w:t xml:space="preserve"> </w:t>
      </w:r>
      <w:r>
        <w:rPr>
          <w:rFonts w:ascii="Arial" w:cs="Arial" w:eastAsia="Arial" w:hAnsi="Arial"/>
          <w:sz w:val="17"/>
          <w:szCs w:val="17"/>
          <w:color w:val="auto"/>
        </w:rPr>
        <w:t>time. The Committee may also grant more than one Security to a given Grantee during the term of the Plan, either in addition to, or in substitution for, one or more Securities previously granted to that Grantee. The grant of multiple Securities may be evidenced by a single Incentive Agreement or multiple Incentive Agreements, as determined by the Committee.</w:t>
      </w:r>
    </w:p>
    <w:p>
      <w:pPr>
        <w:spacing w:after="0" w:line="204" w:lineRule="exact"/>
        <w:rPr>
          <w:rFonts w:ascii="Arial" w:cs="Arial" w:eastAsia="Arial" w:hAnsi="Arial"/>
          <w:sz w:val="17"/>
          <w:szCs w:val="17"/>
          <w:color w:val="auto"/>
        </w:rPr>
      </w:pPr>
    </w:p>
    <w:p>
      <w:pPr>
        <w:ind w:left="1840" w:hanging="1235"/>
        <w:spacing w:after="0" w:line="261" w:lineRule="auto"/>
        <w:rPr>
          <w:rFonts w:ascii="Arial" w:cs="Arial" w:eastAsia="Arial" w:hAnsi="Arial"/>
          <w:sz w:val="17"/>
          <w:szCs w:val="17"/>
          <w:color w:val="auto"/>
        </w:rPr>
      </w:pPr>
      <w:r>
        <w:rPr>
          <w:rFonts w:ascii="Arial" w:cs="Arial" w:eastAsia="Arial" w:hAnsi="Arial"/>
          <w:sz w:val="17"/>
          <w:szCs w:val="17"/>
          <w:color w:val="auto"/>
        </w:rPr>
        <w:t>20.5.</w:t>
      </w:r>
      <w:r>
        <w:rPr>
          <w:rFonts w:ascii="Arial" w:cs="Arial" w:eastAsia="Arial" w:hAnsi="Arial"/>
          <w:sz w:val="17"/>
          <w:szCs w:val="17"/>
          <w:u w:val="single" w:color="auto"/>
          <w:color w:val="auto"/>
        </w:rPr>
        <w:t>Non-Exclusivity of the Plan</w:t>
      </w:r>
      <w:r>
        <w:rPr>
          <w:rFonts w:ascii="Arial" w:cs="Arial" w:eastAsia="Arial" w:hAnsi="Arial"/>
          <w:sz w:val="17"/>
          <w:szCs w:val="17"/>
          <w:color w:val="auto"/>
        </w:rPr>
        <w:t>: The adoption of the Plan by the Board shall not be construed as amending, modifying or rescinding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86" w:name="page587"/>
    <w:bookmarkEnd w:id="586"/>
    <w:p>
      <w:pPr>
        <w:jc w:val="right"/>
        <w:spacing w:after="0"/>
        <w:rPr>
          <w:sz w:val="20"/>
          <w:szCs w:val="20"/>
          <w:color w:val="auto"/>
        </w:rPr>
      </w:pPr>
      <w:r>
        <w:rPr>
          <w:rFonts w:ascii="Arial" w:cs="Arial" w:eastAsia="Arial" w:hAnsi="Arial"/>
          <w:sz w:val="17"/>
          <w:szCs w:val="17"/>
          <w:color w:val="auto"/>
        </w:rPr>
        <w:t>EXHIBIT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TRANSLATION FROM HEBREW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Lease Agreement between Kaps-Pharma Ltd. and BioLine Innovations Jerusalem L.P.</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Made and executed in Jerusalem on the 10</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day of July, 2005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Between</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Kapps-Pharma Ltd.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Of 24 Raul Wallenberg Street, Tel Aviv</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(Hereinafter: “</w:t>
      </w:r>
      <w:r>
        <w:rPr>
          <w:rFonts w:ascii="Arial" w:cs="Arial" w:eastAsia="Arial" w:hAnsi="Arial"/>
          <w:sz w:val="17"/>
          <w:szCs w:val="17"/>
          <w:b w:val="1"/>
          <w:bCs w:val="1"/>
          <w:color w:val="auto"/>
        </w:rPr>
        <w:t>the Lessor</w:t>
      </w:r>
      <w:r>
        <w:rPr>
          <w:rFonts w:ascii="Arial" w:cs="Arial" w:eastAsia="Arial" w:hAnsi="Arial"/>
          <w:sz w:val="17"/>
          <w:szCs w:val="17"/>
          <w:color w:val="auto"/>
        </w:rPr>
        <w:t>”)</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Of the first part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Bioline Innovations Jerusalem, Limited Partnership</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Partnership No. 55-021885-3</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Of 19 Hartum St., Har Hotzvim, Jerusalem</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(Hereinafter: “</w:t>
      </w:r>
      <w:r>
        <w:rPr>
          <w:rFonts w:ascii="Arial" w:cs="Arial" w:eastAsia="Arial" w:hAnsi="Arial"/>
          <w:sz w:val="17"/>
          <w:szCs w:val="17"/>
          <w:b w:val="1"/>
          <w:bCs w:val="1"/>
          <w:color w:val="auto"/>
        </w:rPr>
        <w:t>the Lessee</w:t>
      </w:r>
      <w:r>
        <w:rPr>
          <w:rFonts w:ascii="Arial" w:cs="Arial" w:eastAsia="Arial" w:hAnsi="Arial"/>
          <w:sz w:val="17"/>
          <w:szCs w:val="17"/>
          <w:color w:val="auto"/>
        </w:rPr>
        <w:t>”)</w:t>
      </w:r>
    </w:p>
    <w:p>
      <w:pPr>
        <w:spacing w:after="0" w:line="248" w:lineRule="exact"/>
        <w:rPr>
          <w:sz w:val="20"/>
          <w:szCs w:val="20"/>
          <w:color w:val="auto"/>
        </w:rPr>
      </w:pPr>
    </w:p>
    <w:p>
      <w:pPr>
        <w:ind w:left="10160"/>
        <w:spacing w:after="0"/>
        <w:rPr>
          <w:sz w:val="20"/>
          <w:szCs w:val="20"/>
          <w:color w:val="auto"/>
        </w:rPr>
      </w:pPr>
      <w:r>
        <w:rPr>
          <w:rFonts w:ascii="Arial" w:cs="Arial" w:eastAsia="Arial" w:hAnsi="Arial"/>
          <w:sz w:val="15"/>
          <w:szCs w:val="15"/>
          <w:u w:val="single" w:color="auto"/>
          <w:color w:val="auto"/>
        </w:rPr>
        <w:t>Of the second part</w:t>
      </w:r>
    </w:p>
    <w:p>
      <w:pPr>
        <w:spacing w:after="0" w:line="259" w:lineRule="exact"/>
        <w:rPr>
          <w:sz w:val="20"/>
          <w:szCs w:val="20"/>
          <w:color w:val="auto"/>
        </w:rPr>
      </w:pPr>
    </w:p>
    <w:p>
      <w:pPr>
        <w:jc w:val="both"/>
        <w:ind w:left="1240" w:hanging="1239"/>
        <w:spacing w:after="0" w:line="265" w:lineRule="auto"/>
        <w:tabs>
          <w:tab w:leader="none" w:pos="1220" w:val="left"/>
        </w:tabs>
        <w:rPr>
          <w:sz w:val="20"/>
          <w:szCs w:val="20"/>
          <w:color w:val="auto"/>
        </w:rPr>
      </w:pPr>
      <w:r>
        <w:rPr>
          <w:rFonts w:ascii="Arial" w:cs="Arial" w:eastAsia="Arial" w:hAnsi="Arial"/>
          <w:sz w:val="17"/>
          <w:szCs w:val="17"/>
          <w:b w:val="1"/>
          <w:bCs w:val="1"/>
          <w:color w:val="auto"/>
        </w:rPr>
        <w:t>WHEREAS</w:t>
      </w:r>
      <w:r>
        <w:rPr>
          <w:sz w:val="20"/>
          <w:szCs w:val="20"/>
          <w:color w:val="auto"/>
        </w:rPr>
        <w:tab/>
      </w:r>
      <w:r>
        <w:rPr>
          <w:rFonts w:ascii="Arial" w:cs="Arial" w:eastAsia="Arial" w:hAnsi="Arial"/>
          <w:sz w:val="17"/>
          <w:szCs w:val="17"/>
          <w:color w:val="auto"/>
        </w:rPr>
        <w:t>The Lessor declares that it is entitled to be registered as the owner of lease rights in the land known as bloc 30243, parcel 62, lot 5 according to Urban Building Plan / Jerusalem / 2787, which constitute a lot with an area of 7,863 square meters located in the Har Hotzvim industrial area of Jerusalem (hereinafter: “the Lot”), whereon is constructed “the building” as defined herein below:</w:t>
      </w:r>
    </w:p>
    <w:p>
      <w:pPr>
        <w:spacing w:after="0" w:line="201" w:lineRule="exact"/>
        <w:rPr>
          <w:sz w:val="20"/>
          <w:szCs w:val="20"/>
          <w:color w:val="auto"/>
        </w:rPr>
      </w:pPr>
    </w:p>
    <w:p>
      <w:pPr>
        <w:jc w:val="both"/>
        <w:ind w:left="1240" w:hanging="1239"/>
        <w:spacing w:after="0" w:line="265" w:lineRule="auto"/>
        <w:tabs>
          <w:tab w:leader="none" w:pos="1220" w:val="left"/>
        </w:tabs>
        <w:rPr>
          <w:sz w:val="20"/>
          <w:szCs w:val="20"/>
          <w:color w:val="auto"/>
        </w:rPr>
      </w:pPr>
      <w:r>
        <w:rPr>
          <w:rFonts w:ascii="Arial" w:cs="Arial" w:eastAsia="Arial" w:hAnsi="Arial"/>
          <w:sz w:val="17"/>
          <w:szCs w:val="17"/>
          <w:b w:val="1"/>
          <w:bCs w:val="1"/>
          <w:color w:val="auto"/>
        </w:rPr>
        <w:t>WHEREAS</w:t>
      </w:r>
      <w:r>
        <w:rPr>
          <w:sz w:val="20"/>
          <w:szCs w:val="20"/>
          <w:color w:val="auto"/>
        </w:rPr>
        <w:tab/>
      </w:r>
      <w:r>
        <w:rPr>
          <w:rFonts w:ascii="Arial" w:cs="Arial" w:eastAsia="Arial" w:hAnsi="Arial"/>
          <w:sz w:val="17"/>
          <w:szCs w:val="17"/>
          <w:color w:val="auto"/>
        </w:rPr>
        <w:t>The Lessor declares that there is no preclusion on his part pursuant to any law and/or agreement for it to enter into this agreement and perform all the undertakings thereof pursuant thereto and the signature thereof of this agreement and the performance of the undertakings thereof pursuant thereto fail to constitute any breach of any undertaking whatsoever vis-à-vis any third parties;</w:t>
      </w:r>
    </w:p>
    <w:p>
      <w:pPr>
        <w:spacing w:after="0" w:line="201" w:lineRule="exact"/>
        <w:rPr>
          <w:sz w:val="20"/>
          <w:szCs w:val="20"/>
          <w:color w:val="auto"/>
        </w:rPr>
      </w:pPr>
    </w:p>
    <w:p>
      <w:pPr>
        <w:jc w:val="both"/>
        <w:ind w:left="1240" w:hanging="1239"/>
        <w:spacing w:after="0" w:line="311" w:lineRule="auto"/>
        <w:tabs>
          <w:tab w:leader="none" w:pos="122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Lessee would like to rent from the Lessor and the Lessor would like to rent to the Lessee the parts of “the building” as defined herein below, described and defined herein below as the “rented premises,” all in accordance with and subject to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7257415" cy="209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87" w:name="page588"/>
    <w:bookmarkEnd w:id="587"/>
    <w:p>
      <w:pPr>
        <w:jc w:val="center"/>
        <w:spacing w:after="0"/>
        <w:rPr>
          <w:sz w:val="20"/>
          <w:szCs w:val="20"/>
          <w:color w:val="auto"/>
        </w:rPr>
      </w:pPr>
      <w:r>
        <w:rPr>
          <w:rFonts w:ascii="Arial" w:cs="Arial" w:eastAsia="Arial" w:hAnsi="Arial"/>
          <w:sz w:val="17"/>
          <w:szCs w:val="17"/>
          <w:b w:val="1"/>
          <w:bCs w:val="1"/>
          <w:u w:val="single" w:color="auto"/>
          <w:color w:val="auto"/>
        </w:rPr>
        <w:t>Accordingly, the parties have agreed, declared and stipulated the following</w:t>
      </w:r>
      <w:r>
        <w:rPr>
          <w:rFonts w:ascii="Arial" w:cs="Arial" w:eastAsia="Arial" w:hAnsi="Arial"/>
          <w:sz w:val="17"/>
          <w:szCs w:val="17"/>
          <w:color w:val="auto"/>
        </w:rPr>
        <w:t>:</w:t>
      </w:r>
    </w:p>
    <w:p>
      <w:pPr>
        <w:spacing w:after="0" w:line="248" w:lineRule="exact"/>
        <w:rPr>
          <w:sz w:val="20"/>
          <w:szCs w:val="20"/>
          <w:color w:val="auto"/>
        </w:rPr>
      </w:pPr>
    </w:p>
    <w:p>
      <w:pPr>
        <w:ind w:left="600" w:hanging="597"/>
        <w:spacing w:after="0"/>
        <w:tabs>
          <w:tab w:leader="none" w:pos="60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The Preamble to this agreement constitutes a binding and integral part thereof.</w:t>
      </w:r>
    </w:p>
    <w:p>
      <w:pPr>
        <w:spacing w:after="0" w:line="241" w:lineRule="exact"/>
        <w:rPr>
          <w:rFonts w:ascii="Arial" w:cs="Arial" w:eastAsia="Arial" w:hAnsi="Arial"/>
          <w:sz w:val="17"/>
          <w:szCs w:val="17"/>
          <w:color w:val="auto"/>
        </w:rPr>
      </w:pPr>
    </w:p>
    <w:p>
      <w:pPr>
        <w:ind w:left="600" w:hanging="597"/>
        <w:spacing w:after="0"/>
        <w:tabs>
          <w:tab w:leader="none" w:pos="60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241" w:lineRule="exact"/>
        <w:rPr>
          <w:rFonts w:ascii="Arial" w:cs="Arial" w:eastAsia="Arial" w:hAnsi="Arial"/>
          <w:sz w:val="17"/>
          <w:szCs w:val="17"/>
          <w:color w:val="auto"/>
        </w:rPr>
      </w:pPr>
    </w:p>
    <w:p>
      <w:pPr>
        <w:ind w:left="620" w:right="3680"/>
        <w:spacing w:after="0" w:line="533" w:lineRule="auto"/>
        <w:rPr>
          <w:rFonts w:ascii="Arial" w:cs="Arial" w:eastAsia="Arial" w:hAnsi="Arial"/>
          <w:sz w:val="17"/>
          <w:szCs w:val="17"/>
          <w:color w:val="auto"/>
        </w:rPr>
      </w:pPr>
      <w:r>
        <w:rPr>
          <w:rFonts w:ascii="Arial" w:cs="Arial" w:eastAsia="Arial" w:hAnsi="Arial"/>
          <w:sz w:val="17"/>
          <w:szCs w:val="17"/>
          <w:color w:val="auto"/>
        </w:rPr>
        <w:t>In this agreement, the terms specified herein below shall have the meaning that appears alongside them: “</w:t>
      </w:r>
      <w:r>
        <w:rPr>
          <w:rFonts w:ascii="Arial" w:cs="Arial" w:eastAsia="Arial" w:hAnsi="Arial"/>
          <w:sz w:val="17"/>
          <w:szCs w:val="17"/>
          <w:b w:val="1"/>
          <w:bCs w:val="1"/>
          <w:color w:val="auto"/>
        </w:rPr>
        <w:t>The Agreement</w:t>
      </w:r>
      <w:r>
        <w:rPr>
          <w:rFonts w:ascii="Arial" w:cs="Arial" w:eastAsia="Arial" w:hAnsi="Arial"/>
          <w:sz w:val="17"/>
          <w:szCs w:val="17"/>
          <w:color w:val="auto"/>
        </w:rPr>
        <w:t>” – This agreement including all appendices thereto</w:t>
      </w:r>
    </w:p>
    <w:p>
      <w:pPr>
        <w:ind w:left="6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The Building</w:t>
      </w:r>
      <w:r>
        <w:rPr>
          <w:rFonts w:ascii="Arial" w:cs="Arial" w:eastAsia="Arial" w:hAnsi="Arial"/>
          <w:sz w:val="17"/>
          <w:szCs w:val="17"/>
          <w:color w:val="auto"/>
        </w:rPr>
        <w:t>” – The 9-story building for light industry and offices and 2 basement parking lots that exists on the lot</w:t>
      </w:r>
    </w:p>
    <w:p>
      <w:pPr>
        <w:spacing w:after="0" w:line="241" w:lineRule="exact"/>
        <w:rPr>
          <w:rFonts w:ascii="Arial" w:cs="Arial" w:eastAsia="Arial" w:hAnsi="Arial"/>
          <w:sz w:val="17"/>
          <w:szCs w:val="17"/>
          <w:color w:val="auto"/>
        </w:rPr>
      </w:pPr>
    </w:p>
    <w:p>
      <w:pPr>
        <w:ind w:left="620"/>
        <w:spacing w:after="0" w:line="263"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The Rented Premises</w:t>
      </w:r>
      <w:r>
        <w:rPr>
          <w:rFonts w:ascii="Arial" w:cs="Arial" w:eastAsia="Arial" w:hAnsi="Arial"/>
          <w:sz w:val="17"/>
          <w:szCs w:val="17"/>
          <w:color w:val="auto"/>
        </w:rPr>
        <w:t>” – An area of 1,419 square meters (gross), all as delineated and marked in red on the sketch attached hereto as Appendix A to this agreement and the provisions as specified in section 7 herein below.</w:t>
      </w:r>
    </w:p>
    <w:p>
      <w:pPr>
        <w:ind w:left="620"/>
        <w:spacing w:after="0"/>
        <w:rPr>
          <w:rFonts w:ascii="Arial" w:cs="Arial" w:eastAsia="Arial" w:hAnsi="Arial"/>
          <w:sz w:val="17"/>
          <w:szCs w:val="17"/>
          <w:color w:val="auto"/>
        </w:rPr>
      </w:pPr>
      <w:r>
        <w:rPr>
          <w:rFonts w:ascii="Arial" w:cs="Arial" w:eastAsia="Arial" w:hAnsi="Arial"/>
          <w:sz w:val="17"/>
          <w:szCs w:val="17"/>
          <w:color w:val="auto"/>
        </w:rPr>
        <w:t>It is hereby clarified that the area, as aforesaid, is divided as follows:</w:t>
      </w:r>
    </w:p>
    <w:p>
      <w:pPr>
        <w:spacing w:after="0" w:line="23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751 square meters (gross) in the new wing of the building (hereinafter: “the New Wing Area”)</w:t>
      </w:r>
    </w:p>
    <w:p>
      <w:pPr>
        <w:spacing w:after="0" w:line="24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623 square meters (gross) in the old wing of the building (hereinafter: “the Old Wing Area”)</w:t>
      </w:r>
    </w:p>
    <w:p>
      <w:pPr>
        <w:spacing w:after="0" w:line="241" w:lineRule="exact"/>
        <w:rPr>
          <w:rFonts w:ascii="Arial" w:cs="Arial" w:eastAsia="Arial" w:hAnsi="Arial"/>
          <w:sz w:val="17"/>
          <w:szCs w:val="17"/>
          <w:color w:val="auto"/>
        </w:rPr>
      </w:pPr>
    </w:p>
    <w:p>
      <w:pPr>
        <w:ind w:left="620"/>
        <w:spacing w:after="0" w:line="278" w:lineRule="auto"/>
        <w:rPr>
          <w:rFonts w:ascii="Arial" w:cs="Arial" w:eastAsia="Arial" w:hAnsi="Arial"/>
          <w:sz w:val="17"/>
          <w:szCs w:val="17"/>
          <w:color w:val="auto"/>
        </w:rPr>
      </w:pPr>
      <w:r>
        <w:rPr>
          <w:rFonts w:ascii="Arial" w:cs="Arial" w:eastAsia="Arial" w:hAnsi="Arial"/>
          <w:sz w:val="17"/>
          <w:szCs w:val="17"/>
          <w:color w:val="auto"/>
        </w:rPr>
        <w:t>31 square meters (gross) in the old wing of the building, wherein the generator, the bellows and chiller shall be placed, as specified further on in the agreement (hereinafter: “the Machinery Area”)</w:t>
      </w:r>
    </w:p>
    <w:p>
      <w:pPr>
        <w:spacing w:after="0" w:line="19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14 square meters (gross) – a gallery in the new wing, wherein the Lessee may place an additional bellows (hereinafter: “the Gallery Area”)</w:t>
      </w:r>
    </w:p>
    <w:p>
      <w:pPr>
        <w:spacing w:after="0" w:line="241" w:lineRule="exact"/>
        <w:rPr>
          <w:rFonts w:ascii="Arial" w:cs="Arial" w:eastAsia="Arial" w:hAnsi="Arial"/>
          <w:sz w:val="17"/>
          <w:szCs w:val="17"/>
          <w:color w:val="auto"/>
        </w:rPr>
      </w:pPr>
    </w:p>
    <w:p>
      <w:pPr>
        <w:jc w:val="both"/>
        <w:ind w:left="620"/>
        <w:spacing w:after="0" w:line="265" w:lineRule="auto"/>
        <w:rPr>
          <w:rFonts w:ascii="Arial" w:cs="Arial" w:eastAsia="Arial" w:hAnsi="Arial"/>
          <w:sz w:val="17"/>
          <w:szCs w:val="17"/>
          <w:color w:val="auto"/>
        </w:rPr>
      </w:pPr>
      <w:r>
        <w:rPr>
          <w:rFonts w:ascii="Arial" w:cs="Arial" w:eastAsia="Arial" w:hAnsi="Arial"/>
          <w:sz w:val="17"/>
          <w:szCs w:val="17"/>
          <w:color w:val="auto"/>
        </w:rPr>
        <w:t>For the avoidance of doubt, it is hereby clarified that for all intents and purposes the rented premises shall be deemed, pursuant to this agreement, as the gross area of the rented premises, i.e., 1,419 square meters, and this area shall be final and not given to appeal even if by way of any measurement it becomes clear that it differs from the particulars above.</w:t>
      </w:r>
    </w:p>
    <w:p>
      <w:pPr>
        <w:spacing w:after="0" w:line="195"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Gross Area</w:t>
      </w:r>
      <w:r>
        <w:rPr>
          <w:rFonts w:ascii="Arial" w:cs="Arial" w:eastAsia="Arial" w:hAnsi="Arial"/>
          <w:sz w:val="17"/>
          <w:szCs w:val="17"/>
          <w:color w:val="auto"/>
        </w:rPr>
        <w:t>” in this agreement: the net area with the addition of 15% in respect of the area of walls, hallways and public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88" w:name="page589"/>
    <w:bookmarkEnd w:id="588"/>
    <w:p>
      <w:pPr>
        <w:ind w:left="6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Project Manager</w:t>
      </w:r>
      <w:r>
        <w:rPr>
          <w:rFonts w:ascii="Arial" w:cs="Arial" w:eastAsia="Arial" w:hAnsi="Arial"/>
          <w:sz w:val="17"/>
          <w:szCs w:val="17"/>
          <w:color w:val="auto"/>
        </w:rPr>
        <w:t>” – Mr. Avi Kirschenberg or anyone to be authorized by the Lessor in writing by way of notice to be delivered to the Lessee</w:t>
      </w:r>
    </w:p>
    <w:p>
      <w:pPr>
        <w:spacing w:after="0" w:line="242" w:lineRule="exact"/>
        <w:rPr>
          <w:sz w:val="20"/>
          <w:szCs w:val="20"/>
          <w:color w:val="auto"/>
        </w:rPr>
      </w:pPr>
    </w:p>
    <w:p>
      <w:pPr>
        <w:ind w:left="61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Index</w:t>
      </w:r>
      <w:r>
        <w:rPr>
          <w:rFonts w:ascii="Arial" w:cs="Arial" w:eastAsia="Arial" w:hAnsi="Arial"/>
          <w:sz w:val="17"/>
          <w:szCs w:val="17"/>
          <w:color w:val="auto"/>
        </w:rPr>
        <w:t>” – The Consumer Price Index (including fruits and vegetables) that is publicized by the Central Bureau of Statistics</w:t>
      </w:r>
    </w:p>
    <w:p>
      <w:pPr>
        <w:spacing w:after="0" w:line="242" w:lineRule="exact"/>
        <w:rPr>
          <w:sz w:val="20"/>
          <w:szCs w:val="20"/>
          <w:color w:val="auto"/>
        </w:rPr>
      </w:pPr>
    </w:p>
    <w:p>
      <w:pPr>
        <w:jc w:val="both"/>
        <w:ind w:left="617"/>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Basic Index</w:t>
      </w:r>
      <w:r>
        <w:rPr>
          <w:rFonts w:ascii="Arial" w:cs="Arial" w:eastAsia="Arial" w:hAnsi="Arial"/>
          <w:sz w:val="17"/>
          <w:szCs w:val="17"/>
          <w:color w:val="auto"/>
        </w:rPr>
        <w:t>” – The known index on the date of signature of this agreement, i.e., the index for the month of May, publicized on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June, 2005, which stood at ______ points</w:t>
      </w:r>
    </w:p>
    <w:p>
      <w:pPr>
        <w:spacing w:after="0" w:line="215" w:lineRule="exact"/>
        <w:rPr>
          <w:sz w:val="20"/>
          <w:szCs w:val="20"/>
          <w:color w:val="auto"/>
        </w:rPr>
      </w:pPr>
    </w:p>
    <w:p>
      <w:pPr>
        <w:jc w:val="both"/>
        <w:ind w:left="61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for Delay</w:t>
      </w:r>
      <w:r>
        <w:rPr>
          <w:rFonts w:ascii="Arial" w:cs="Arial" w:eastAsia="Arial" w:hAnsi="Arial"/>
          <w:sz w:val="17"/>
          <w:szCs w:val="17"/>
          <w:color w:val="auto"/>
        </w:rPr>
        <w:t>” – The total interest for delay at the highest customary rate during the period of delay pertinent to the matter at the Israel Discount Bank Ltd. in respect of unauthorized overdrafts in current loan accounts. Written authorization of one of the managers of a bank branch with respect to the rate of interest as aforesaid shall be proof positive for the interest rate</w:t>
      </w:r>
    </w:p>
    <w:p>
      <w:pPr>
        <w:spacing w:after="0" w:line="192" w:lineRule="exact"/>
        <w:rPr>
          <w:sz w:val="20"/>
          <w:szCs w:val="20"/>
          <w:color w:val="auto"/>
        </w:rPr>
      </w:pPr>
    </w:p>
    <w:p>
      <w:pPr>
        <w:ind w:left="597" w:hanging="597"/>
        <w:spacing w:after="0"/>
        <w:tabs>
          <w:tab w:leader="none" w:pos="597" w:val="left"/>
        </w:tabs>
        <w:numPr>
          <w:ilvl w:val="0"/>
          <w:numId w:val="496"/>
        </w:numPr>
        <w:rPr>
          <w:rFonts w:ascii="Arial" w:cs="Arial" w:eastAsia="Arial" w:hAnsi="Arial"/>
          <w:sz w:val="17"/>
          <w:szCs w:val="17"/>
          <w:color w:val="auto"/>
        </w:rPr>
      </w:pPr>
      <w:r>
        <w:rPr>
          <w:rFonts w:ascii="Arial" w:cs="Arial" w:eastAsia="Arial" w:hAnsi="Arial"/>
          <w:sz w:val="17"/>
          <w:szCs w:val="17"/>
          <w:b w:val="1"/>
          <w:bCs w:val="1"/>
          <w:u w:val="single" w:color="auto"/>
          <w:color w:val="auto"/>
        </w:rPr>
        <w:t>Non-application of the Tenancy Protection Law</w:t>
      </w:r>
    </w:p>
    <w:p>
      <w:pPr>
        <w:spacing w:after="0" w:line="247" w:lineRule="exact"/>
        <w:rPr>
          <w:rFonts w:ascii="Arial" w:cs="Arial" w:eastAsia="Arial" w:hAnsi="Arial"/>
          <w:sz w:val="17"/>
          <w:szCs w:val="17"/>
          <w:color w:val="auto"/>
        </w:rPr>
      </w:pPr>
    </w:p>
    <w:p>
      <w:pPr>
        <w:jc w:val="both"/>
        <w:ind w:left="917" w:hanging="300"/>
        <w:spacing w:after="0" w:line="261" w:lineRule="auto"/>
        <w:tabs>
          <w:tab w:leader="none" w:pos="917" w:val="left"/>
        </w:tabs>
        <w:numPr>
          <w:ilvl w:val="1"/>
          <w:numId w:val="496"/>
        </w:numPr>
        <w:rPr>
          <w:rFonts w:ascii="Arial" w:cs="Arial" w:eastAsia="Arial" w:hAnsi="Arial"/>
          <w:sz w:val="17"/>
          <w:szCs w:val="17"/>
          <w:color w:val="auto"/>
        </w:rPr>
      </w:pPr>
      <w:r>
        <w:rPr>
          <w:rFonts w:ascii="Arial" w:cs="Arial" w:eastAsia="Arial" w:hAnsi="Arial"/>
          <w:sz w:val="17"/>
          <w:szCs w:val="17"/>
          <w:color w:val="auto"/>
        </w:rPr>
        <w:t>It is hereby explicitly declared that the rented premises are situated in a building, the construction whereof shall be completed following the date of August 20, 1968 and this rental has been made with the explicit condition that the Tenancy Protection (Consolidated Version) Law 5732-1972 as well as the other tenancy protection laws, including the regulations and orders thereof (hereinafter: “the Tenancy Protection Law”) and any law that grants the Lessee the status of a protected tenant fail to apply to the rental.</w:t>
      </w:r>
    </w:p>
    <w:p>
      <w:pPr>
        <w:spacing w:after="0" w:line="204"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496"/>
        </w:numPr>
        <w:rPr>
          <w:rFonts w:ascii="Arial" w:cs="Arial" w:eastAsia="Arial" w:hAnsi="Arial"/>
          <w:sz w:val="17"/>
          <w:szCs w:val="17"/>
          <w:color w:val="auto"/>
        </w:rPr>
      </w:pPr>
      <w:r>
        <w:rPr>
          <w:rFonts w:ascii="Arial" w:cs="Arial" w:eastAsia="Arial" w:hAnsi="Arial"/>
          <w:sz w:val="17"/>
          <w:szCs w:val="17"/>
          <w:color w:val="auto"/>
        </w:rPr>
        <w:t>The Lessee declares that it has not paid and shall not pay the Lessor any key money or other proceeds for the rental, which do not comprise rent and the Lessee or anyone on behalf thereof shall not be a protected tenant in the rented premises according to law.</w:t>
      </w:r>
    </w:p>
    <w:p>
      <w:pPr>
        <w:spacing w:after="0" w:line="190" w:lineRule="exact"/>
        <w:rPr>
          <w:rFonts w:ascii="Arial" w:cs="Arial" w:eastAsia="Arial" w:hAnsi="Arial"/>
          <w:sz w:val="17"/>
          <w:szCs w:val="17"/>
          <w:color w:val="auto"/>
        </w:rPr>
      </w:pPr>
    </w:p>
    <w:p>
      <w:pPr>
        <w:jc w:val="both"/>
        <w:ind w:left="917" w:hanging="300"/>
        <w:spacing w:after="0" w:line="306" w:lineRule="auto"/>
        <w:tabs>
          <w:tab w:leader="none" w:pos="917" w:val="left"/>
        </w:tabs>
        <w:numPr>
          <w:ilvl w:val="1"/>
          <w:numId w:val="496"/>
        </w:numPr>
        <w:rPr>
          <w:rFonts w:ascii="Arial" w:cs="Arial" w:eastAsia="Arial" w:hAnsi="Arial"/>
          <w:sz w:val="15"/>
          <w:szCs w:val="15"/>
          <w:color w:val="auto"/>
        </w:rPr>
      </w:pPr>
      <w:r>
        <w:rPr>
          <w:rFonts w:ascii="Arial" w:cs="Arial" w:eastAsia="Arial" w:hAnsi="Arial"/>
          <w:sz w:val="15"/>
          <w:szCs w:val="15"/>
          <w:color w:val="auto"/>
        </w:rPr>
        <w:t>The Lessee declares that all investments that it makes in the rented premises, including equipment and devices, shall be made solely for its needs and it shall be precluded from contending that such investments comprise any key money or payment pursuant to section 82 of the Tenancy Protection (Consolidated Version) Law 5732-1972 or any payment that grants it any rights whatsoever in the rented premises apart from the contents of this agreement. It shall also be precluded from demanding from the Lessor participation or a refund, in full or in part, in respect of the aforesaid investments.</w:t>
      </w:r>
    </w:p>
    <w:p>
      <w:pPr>
        <w:spacing w:after="0" w:line="175" w:lineRule="exact"/>
        <w:rPr>
          <w:rFonts w:ascii="Arial" w:cs="Arial" w:eastAsia="Arial" w:hAnsi="Arial"/>
          <w:sz w:val="15"/>
          <w:szCs w:val="15"/>
          <w:color w:val="auto"/>
        </w:rPr>
      </w:pPr>
    </w:p>
    <w:p>
      <w:pPr>
        <w:jc w:val="both"/>
        <w:ind w:left="917" w:hanging="300"/>
        <w:spacing w:after="0" w:line="265" w:lineRule="auto"/>
        <w:tabs>
          <w:tab w:leader="none" w:pos="917" w:val="left"/>
        </w:tabs>
        <w:numPr>
          <w:ilvl w:val="1"/>
          <w:numId w:val="496"/>
        </w:numPr>
        <w:rPr>
          <w:rFonts w:ascii="Arial" w:cs="Arial" w:eastAsia="Arial" w:hAnsi="Arial"/>
          <w:sz w:val="17"/>
          <w:szCs w:val="17"/>
          <w:color w:val="auto"/>
        </w:rPr>
      </w:pPr>
      <w:r>
        <w:rPr>
          <w:rFonts w:ascii="Arial" w:cs="Arial" w:eastAsia="Arial" w:hAnsi="Arial"/>
          <w:sz w:val="17"/>
          <w:szCs w:val="17"/>
          <w:color w:val="auto"/>
        </w:rPr>
        <w:t xml:space="preserve">The Lessee is aware that the rented premises are rented to the Lessee, </w:t>
      </w:r>
      <w:r>
        <w:rPr>
          <w:rFonts w:ascii="Arial" w:cs="Arial" w:eastAsia="Arial" w:hAnsi="Arial"/>
          <w:sz w:val="17"/>
          <w:szCs w:val="17"/>
          <w:i w:val="1"/>
          <w:iCs w:val="1"/>
          <w:color w:val="auto"/>
        </w:rPr>
        <w:t>inter alia</w:t>
      </w:r>
      <w:r>
        <w:rPr>
          <w:rFonts w:ascii="Arial" w:cs="Arial" w:eastAsia="Arial" w:hAnsi="Arial"/>
          <w:sz w:val="17"/>
          <w:szCs w:val="17"/>
          <w:color w:val="auto"/>
        </w:rPr>
        <w:t>, based on the declarations thereof above and it shall be precluded from raising any claims or contentions whatsoever in connection with being a protected tenant or that it has further rights in the rented premises apart from those granted thereto explicitly herein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3" w:right="239" w:bottom="1440" w:gutter="0" w:footer="0" w:header="0"/>
        </w:sectPr>
      </w:pPr>
    </w:p>
    <w:bookmarkStart w:id="589" w:name="page590"/>
    <w:bookmarkEnd w:id="589"/>
    <w:p>
      <w:pPr>
        <w:ind w:left="597" w:hanging="597"/>
        <w:spacing w:after="0"/>
        <w:tabs>
          <w:tab w:leader="none" w:pos="597" w:val="left"/>
        </w:tabs>
        <w:numPr>
          <w:ilvl w:val="0"/>
          <w:numId w:val="497"/>
        </w:numPr>
        <w:rPr>
          <w:rFonts w:ascii="Arial" w:cs="Arial" w:eastAsia="Arial" w:hAnsi="Arial"/>
          <w:sz w:val="17"/>
          <w:szCs w:val="17"/>
          <w:color w:val="auto"/>
        </w:rPr>
      </w:pPr>
      <w:r>
        <w:rPr>
          <w:rFonts w:ascii="Arial" w:cs="Arial" w:eastAsia="Arial" w:hAnsi="Arial"/>
          <w:sz w:val="17"/>
          <w:szCs w:val="17"/>
          <w:b w:val="1"/>
          <w:bCs w:val="1"/>
          <w:u w:val="single" w:color="auto"/>
          <w:color w:val="auto"/>
        </w:rPr>
        <w:t>The Tenancy</w:t>
      </w:r>
    </w:p>
    <w:p>
      <w:pPr>
        <w:spacing w:after="0" w:line="247" w:lineRule="exact"/>
        <w:rPr>
          <w:rFonts w:ascii="Arial" w:cs="Arial" w:eastAsia="Arial" w:hAnsi="Arial"/>
          <w:sz w:val="17"/>
          <w:szCs w:val="17"/>
          <w:color w:val="auto"/>
        </w:rPr>
      </w:pPr>
    </w:p>
    <w:p>
      <w:pPr>
        <w:ind w:left="917" w:hanging="300"/>
        <w:spacing w:after="0" w:line="347" w:lineRule="auto"/>
        <w:tabs>
          <w:tab w:leader="none" w:pos="917" w:val="left"/>
        </w:tabs>
        <w:numPr>
          <w:ilvl w:val="1"/>
          <w:numId w:val="497"/>
        </w:numPr>
        <w:rPr>
          <w:rFonts w:ascii="Arial" w:cs="Arial" w:eastAsia="Arial" w:hAnsi="Arial"/>
          <w:sz w:val="15"/>
          <w:szCs w:val="15"/>
          <w:color w:val="auto"/>
        </w:rPr>
      </w:pPr>
      <w:r>
        <w:rPr>
          <w:rFonts w:ascii="Arial" w:cs="Arial" w:eastAsia="Arial" w:hAnsi="Arial"/>
          <w:sz w:val="15"/>
          <w:szCs w:val="15"/>
          <w:color w:val="auto"/>
        </w:rPr>
        <w:t>The Lessor hereby rents to the Lessee and the Lessee hereby rents from the Lessor the rented premises in a tenancy that is unprotected by the Tenancy Protection Law for the sole purposes of the tenancy for a period and under the conditions as specified herein in this agreement above and below.</w:t>
      </w:r>
    </w:p>
    <w:p>
      <w:pPr>
        <w:spacing w:after="0" w:line="144" w:lineRule="exact"/>
        <w:rPr>
          <w:rFonts w:ascii="Arial" w:cs="Arial" w:eastAsia="Arial" w:hAnsi="Arial"/>
          <w:sz w:val="15"/>
          <w:szCs w:val="15"/>
          <w:color w:val="auto"/>
        </w:rPr>
      </w:pPr>
    </w:p>
    <w:p>
      <w:pPr>
        <w:jc w:val="both"/>
        <w:ind w:left="917" w:hanging="300"/>
        <w:spacing w:after="0" w:line="282" w:lineRule="auto"/>
        <w:tabs>
          <w:tab w:leader="none" w:pos="917" w:val="left"/>
        </w:tabs>
        <w:numPr>
          <w:ilvl w:val="1"/>
          <w:numId w:val="497"/>
        </w:numPr>
        <w:rPr>
          <w:rFonts w:ascii="Arial" w:cs="Arial" w:eastAsia="Arial" w:hAnsi="Arial"/>
          <w:sz w:val="16"/>
          <w:szCs w:val="16"/>
          <w:color w:val="auto"/>
        </w:rPr>
      </w:pPr>
      <w:r>
        <w:rPr>
          <w:rFonts w:ascii="Arial" w:cs="Arial" w:eastAsia="Arial" w:hAnsi="Arial"/>
          <w:sz w:val="16"/>
          <w:szCs w:val="16"/>
          <w:color w:val="auto"/>
        </w:rPr>
        <w:t>The Lessee declares that it has seen the rented premises and/or the plans thereof and/or the blueprint of the rented premises and examined the legal state thereof and subject to the accuracy of the declarations and representations of the Lessor, it has found the premises to be suitable for the purposes thereof and the Lessee is hereby precluded from contending any contention in connection with the suitability of the rented premises for its needs and/or any other contention, save for a contention with respect to a concealed fault and/or flaw and/or damage.</w:t>
      </w:r>
    </w:p>
    <w:p>
      <w:pPr>
        <w:spacing w:after="0" w:line="190" w:lineRule="exact"/>
        <w:rPr>
          <w:rFonts w:ascii="Arial" w:cs="Arial" w:eastAsia="Arial" w:hAnsi="Arial"/>
          <w:sz w:val="16"/>
          <w:szCs w:val="16"/>
          <w:color w:val="auto"/>
        </w:rPr>
      </w:pPr>
    </w:p>
    <w:p>
      <w:pPr>
        <w:jc w:val="both"/>
        <w:ind w:left="917" w:hanging="300"/>
        <w:spacing w:after="0" w:line="282" w:lineRule="auto"/>
        <w:tabs>
          <w:tab w:leader="none" w:pos="917" w:val="left"/>
        </w:tabs>
        <w:numPr>
          <w:ilvl w:val="1"/>
          <w:numId w:val="497"/>
        </w:numPr>
        <w:rPr>
          <w:rFonts w:ascii="Arial" w:cs="Arial" w:eastAsia="Arial" w:hAnsi="Arial"/>
          <w:sz w:val="16"/>
          <w:szCs w:val="16"/>
          <w:color w:val="auto"/>
        </w:rPr>
      </w:pPr>
      <w:r>
        <w:rPr>
          <w:rFonts w:ascii="Arial" w:cs="Arial" w:eastAsia="Arial" w:hAnsi="Arial"/>
          <w:sz w:val="16"/>
          <w:szCs w:val="16"/>
          <w:color w:val="auto"/>
        </w:rPr>
        <w:t>The Lessee shall act to the best of its ability and subject to the plans thereof to obtain authorization of an authorized concern as defined in the Encouragement of Capital Investments Law. The Lessee shall present this authorization to the Lessor forthwith upon receiving it and from this date an authorized enterprise shall be run throughout the period of the tenancy (including the extension periods). It is clarified that in the event that the Lessee loses the status of an authorized concern, at any time and for any reason, the Lessee shall inform the Lessor thereof forthwith and in writing.</w:t>
      </w:r>
    </w:p>
    <w:p>
      <w:pPr>
        <w:spacing w:after="0" w:line="184" w:lineRule="exact"/>
        <w:rPr>
          <w:rFonts w:ascii="Arial" w:cs="Arial" w:eastAsia="Arial" w:hAnsi="Arial"/>
          <w:sz w:val="16"/>
          <w:szCs w:val="16"/>
          <w:color w:val="auto"/>
        </w:rPr>
      </w:pPr>
    </w:p>
    <w:p>
      <w:pPr>
        <w:ind w:left="597" w:hanging="597"/>
        <w:spacing w:after="0"/>
        <w:tabs>
          <w:tab w:leader="none" w:pos="597" w:val="left"/>
        </w:tabs>
        <w:numPr>
          <w:ilvl w:val="0"/>
          <w:numId w:val="497"/>
        </w:numPr>
        <w:rPr>
          <w:rFonts w:ascii="Arial" w:cs="Arial" w:eastAsia="Arial" w:hAnsi="Arial"/>
          <w:sz w:val="17"/>
          <w:szCs w:val="17"/>
          <w:color w:val="auto"/>
        </w:rPr>
      </w:pPr>
      <w:r>
        <w:rPr>
          <w:rFonts w:ascii="Arial" w:cs="Arial" w:eastAsia="Arial" w:hAnsi="Arial"/>
          <w:sz w:val="17"/>
          <w:szCs w:val="17"/>
          <w:b w:val="1"/>
          <w:bCs w:val="1"/>
          <w:u w:val="single" w:color="auto"/>
          <w:color w:val="auto"/>
        </w:rPr>
        <w:t>Adapting the Rented Premises</w:t>
      </w:r>
    </w:p>
    <w:p>
      <w:pPr>
        <w:spacing w:after="0" w:line="247" w:lineRule="exact"/>
        <w:rPr>
          <w:rFonts w:ascii="Arial" w:cs="Arial" w:eastAsia="Arial" w:hAnsi="Arial"/>
          <w:sz w:val="17"/>
          <w:szCs w:val="17"/>
          <w:color w:val="auto"/>
        </w:rPr>
      </w:pPr>
    </w:p>
    <w:p>
      <w:pPr>
        <w:jc w:val="both"/>
        <w:ind w:left="917" w:hanging="300"/>
        <w:spacing w:after="0" w:line="271" w:lineRule="auto"/>
        <w:tabs>
          <w:tab w:leader="none" w:pos="917" w:val="left"/>
        </w:tabs>
        <w:numPr>
          <w:ilvl w:val="1"/>
          <w:numId w:val="497"/>
        </w:numPr>
        <w:rPr>
          <w:rFonts w:ascii="Arial" w:cs="Arial" w:eastAsia="Arial" w:hAnsi="Arial"/>
          <w:sz w:val="16"/>
          <w:szCs w:val="16"/>
          <w:color w:val="auto"/>
        </w:rPr>
      </w:pPr>
      <w:r>
        <w:rPr>
          <w:rFonts w:ascii="Arial" w:cs="Arial" w:eastAsia="Arial" w:hAnsi="Arial"/>
          <w:sz w:val="16"/>
          <w:szCs w:val="16"/>
          <w:color w:val="auto"/>
        </w:rPr>
        <w:t xml:space="preserve">The Lessee has prepared and shall prepare, at its expense, by way of planners to be authorized by the Lessor in advance and in writing, all plans for the performance of the initial adaptation works in the premises, as they are defined herein below, including interior plans, statements of quantities, specifications, and the plans of the rented premises and of all the systems in the premises, including air-conditioning, electricity, plumbing, fire-extinguishing, smoke detectors, and security systems (all the aforesaid together hereinafter: “the Plans”) and shall submit such for authorization of the Lessor. The parties agree that up to the date of signature of the agreement, solely the plans for the performance of the initial adaptation works in the area of the new wing of the rented premises have been authorized and these are attached hereto as </w:t>
      </w:r>
      <w:r>
        <w:rPr>
          <w:rFonts w:ascii="Arial" w:cs="Arial" w:eastAsia="Arial" w:hAnsi="Arial"/>
          <w:sz w:val="16"/>
          <w:szCs w:val="16"/>
          <w:b w:val="1"/>
          <w:bCs w:val="1"/>
          <w:u w:val="single" w:color="auto"/>
          <w:color w:val="auto"/>
        </w:rPr>
        <w:t>Appendix B 1</w:t>
      </w:r>
      <w:r>
        <w:rPr>
          <w:rFonts w:ascii="Arial" w:cs="Arial" w:eastAsia="Arial" w:hAnsi="Arial"/>
          <w:sz w:val="16"/>
          <w:szCs w:val="16"/>
          <w:color w:val="auto"/>
        </w:rPr>
        <w:t xml:space="preserve"> to this agreement. The Lessee has submitted to the Lessor solely initial interior division plans for the performance of the adaptation works in the area of the old wing in the rented premises, which have been authorized as such by the Lessor. Subsequently, the parties hereby agree that the Lessee shall transmit for the Lessor’s authorization the plans (as defined above), including the specific plans for the performance of the initial adaptation works in the area of the old wing, including plans of the systems in accordance with the schedules attached hereto as Appendix B to this agreement. With respect to these plans, the Lessee shall perform any amendment and/or alteration, as required by the Lessor, until it receives authorization of the Lessor for the plans and all this at the earliest possible time, and, in any case, in accordance with the schedules attached hereto to this agreement, as aforesaid. From the moment of final authorization of the plans for the performance of the initial adaptation works in the area of the old wing by the Lessor, as aforesaid, these shall be attached to the agreement as </w:t>
      </w:r>
      <w:r>
        <w:rPr>
          <w:rFonts w:ascii="Arial" w:cs="Arial" w:eastAsia="Arial" w:hAnsi="Arial"/>
          <w:sz w:val="16"/>
          <w:szCs w:val="16"/>
          <w:b w:val="1"/>
          <w:bCs w:val="1"/>
          <w:u w:val="single" w:color="auto"/>
          <w:color w:val="auto"/>
        </w:rPr>
        <w:t>Appendix B2</w:t>
      </w:r>
      <w:r>
        <w:rPr>
          <w:rFonts w:ascii="Arial" w:cs="Arial" w:eastAsia="Arial" w:hAnsi="Arial"/>
          <w:sz w:val="16"/>
          <w:szCs w:val="16"/>
          <w:color w:val="auto"/>
        </w:rPr>
        <w:t>. The Lessee hereby undertakes that the plans shall be adapted by the various consultants on behalf of the Lessee and Lessor, insofar as required by the Lessor, including a safety consultant on behalf of the Lessor, and the Lessee shall act, at its expense, insofar as required, to carry out all the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257415" cy="209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590" w:name="page591"/>
    <w:bookmarkEnd w:id="590"/>
    <w:p>
      <w:pPr>
        <w:ind w:left="300" w:hanging="300"/>
        <w:spacing w:after="0"/>
        <w:tabs>
          <w:tab w:leader="none" w:pos="30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Lessee shall receive possession of the rented premises, in its present state, “as is” on the date of delivery as defined in section 6 herein below.</w:t>
      </w:r>
    </w:p>
    <w:p>
      <w:pPr>
        <w:spacing w:after="0" w:line="253" w:lineRule="exact"/>
        <w:rPr>
          <w:rFonts w:ascii="Arial" w:cs="Arial" w:eastAsia="Arial" w:hAnsi="Arial"/>
          <w:sz w:val="16"/>
          <w:szCs w:val="16"/>
          <w:color w:val="auto"/>
        </w:rPr>
      </w:pPr>
    </w:p>
    <w:p>
      <w:pPr>
        <w:jc w:val="both"/>
        <w:ind w:left="300"/>
        <w:spacing w:after="0" w:line="265" w:lineRule="auto"/>
        <w:rPr>
          <w:rFonts w:ascii="Arial" w:cs="Arial" w:eastAsia="Arial" w:hAnsi="Arial"/>
          <w:sz w:val="16"/>
          <w:szCs w:val="16"/>
          <w:color w:val="auto"/>
        </w:rPr>
      </w:pPr>
      <w:r>
        <w:rPr>
          <w:rFonts w:ascii="Arial" w:cs="Arial" w:eastAsia="Arial" w:hAnsi="Arial"/>
          <w:sz w:val="17"/>
          <w:szCs w:val="17"/>
          <w:color w:val="auto"/>
        </w:rPr>
        <w:t>The Lessee shall perform, at its sole liability and expense, all the adaptation works in the rented premises, all subject to the provisions of this agreement, including section 14 of this agreement and including the undertaking of the Lessor to participate in the costs of performance of the initial permanent adaptation works, as defined herein below, in accordance with the provisions of this agreement.</w:t>
      </w:r>
    </w:p>
    <w:p>
      <w:pPr>
        <w:spacing w:after="0" w:line="201" w:lineRule="exact"/>
        <w:rPr>
          <w:rFonts w:ascii="Arial" w:cs="Arial" w:eastAsia="Arial" w:hAnsi="Arial"/>
          <w:sz w:val="16"/>
          <w:szCs w:val="16"/>
          <w:color w:val="auto"/>
        </w:rPr>
      </w:pPr>
    </w:p>
    <w:p>
      <w:pPr>
        <w:jc w:val="both"/>
        <w:ind w:left="300"/>
        <w:spacing w:after="0" w:line="273" w:lineRule="auto"/>
        <w:rPr>
          <w:rFonts w:ascii="Arial" w:cs="Arial" w:eastAsia="Arial" w:hAnsi="Arial"/>
          <w:sz w:val="16"/>
          <w:szCs w:val="16"/>
          <w:color w:val="auto"/>
        </w:rPr>
      </w:pPr>
      <w:r>
        <w:rPr>
          <w:rFonts w:ascii="Arial" w:cs="Arial" w:eastAsia="Arial" w:hAnsi="Arial"/>
          <w:sz w:val="16"/>
          <w:szCs w:val="16"/>
          <w:color w:val="auto"/>
        </w:rPr>
        <w:t>Without derogating from the other provisions of this agreement, the parties hereby agree that the adaptation works that the Lessee shall perform in the rented premises in accordance with the final authorized plans, as aforesaid and as specified in section 5(a) above, shall be performed thereby solely from the date of delivery of the rented premises to the Lessee until the date February 1, 2006 (hereinafter: “the Initial Adaptation Works”). The initial adaptation works shall be performed solely by registered contractors, provided that the Lessor shall be partner to the procedure of choosing the performing contractors and the process of conducting negotiations therewith. Any conclusion with respect to selecting any performing contractor and the cost of the works to be performed shall be subject to the prior authorization of the Lessor. The Lessor shall refuse to give its agreement, as aforesaid, solely on reasonable grounds. In addition, the Lessee hereby agrees that the Lessor shall propose to the Lessee, if it chooses to do so, names of contractors to obtain price offers from them and the Lessee shall contact the contractors, as aforesaid, with a request to obtain a price proposal for the performance of the initial adaptation works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377825</wp:posOffset>
            </wp:positionV>
            <wp:extent cx="7257415" cy="209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499" w:right="239" w:bottom="1440" w:gutter="0" w:footer="0" w:header="0"/>
        </w:sectPr>
      </w:pPr>
    </w:p>
    <w:bookmarkStart w:id="591" w:name="page592"/>
    <w:bookmarkEnd w:id="591"/>
    <w:p>
      <w:pPr>
        <w:jc w:val="both"/>
        <w:spacing w:after="0" w:line="317" w:lineRule="auto"/>
        <w:rPr>
          <w:sz w:val="20"/>
          <w:szCs w:val="20"/>
          <w:color w:val="auto"/>
        </w:rPr>
      </w:pPr>
      <w:r>
        <w:rPr>
          <w:rFonts w:ascii="Arial" w:cs="Arial" w:eastAsia="Arial" w:hAnsi="Arial"/>
          <w:sz w:val="15"/>
          <w:szCs w:val="15"/>
          <w:color w:val="auto"/>
        </w:rPr>
        <w:t>In the event that the Lessor fails to give the Lessee its decision in connection with the price proposal of the contractor that was authorized by the Lessor in advance, as aforesaid, within 10 days of the date the Lessee submits the price proposal in writing to the Lessor, the matter shall be deemed as implied consent of the Lessor, and the Lessee may decide, according to its sole discretion, whether or not the contractor’s proposal is acceptable.</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parties hereby clarify and agree that the Lessor may determine on reasonable grounds in connection with the initial adaptation works that the price proposal and/or the contractor are unacceptable thereto and the Lessee shall act in accordance therewith.</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Lessee hereby undertakes to cooperate and instruct each contractor and/or anyone on behalf thereof to cooperate with the Lessor and/or anyone on behalf thereof concerning all that is connected to the performance of the initial adaptation works, including in connection with the manner of the performance thereof in the building and in general the fulfillment of the provisions and directions for safety, etc.</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parties hereby agree that on behalf of the Lessee Mr. Yoav Avichai shall supervise the performance of the initial adaptation works, pursuant to the provisions of this agreement.</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Lessor shall finance part of the cost of the initial permanent adaptation works, as to be defined herein below, solely in the amount of $250 per square meter of the rented premises with the addition of Value Added Tax (hereinafter: “the Lessor’s Contribution”) and all subject to the performance thereof pursuant to the provisions of this agreement, in full and on time and in accordance with the provisions of this section.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For the avoidance of doubt, it is hereby clarified that the Lessor’s contribution to the cost of the initial adaptation works, as specified above, shall apply solely to the initial adaptation works in the rented premises, which shall remain in the rented premises on the date of evacuation thereof by the Lessee and which constitute an alteration and/or addition to the infrastructures, to the division or systems of the rented premises, including the form thereof, the nature thereof, the style thereof, the quality thereof, the kind thereof, the size thereof or the quantity thereof and, </w:t>
      </w:r>
      <w:r>
        <w:rPr>
          <w:rFonts w:ascii="Arial" w:cs="Arial" w:eastAsia="Arial" w:hAnsi="Arial"/>
          <w:sz w:val="17"/>
          <w:szCs w:val="17"/>
          <w:i w:val="1"/>
          <w:iCs w:val="1"/>
          <w:color w:val="auto"/>
        </w:rPr>
        <w:t>inter alia</w:t>
      </w:r>
      <w:r>
        <w:rPr>
          <w:rFonts w:ascii="Arial" w:cs="Arial" w:eastAsia="Arial" w:hAnsi="Arial"/>
          <w:sz w:val="17"/>
          <w:szCs w:val="17"/>
          <w:color w:val="auto"/>
        </w:rPr>
        <w:t>, the Lessor’s contribution, as aforesaid, shall not apply to the purchase of movable equipment, such as furniture, computers, etc. (above and herein below: “the Initial Permanent Adaptation Works”).</w:t>
      </w:r>
    </w:p>
    <w:p>
      <w:pPr>
        <w:spacing w:after="0" w:line="21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parties agree that following the parties’ and various contractors’ conclusion regarding the estimated comprehensive price of the initial permanent adaptation works, the parties shall prepare a revaluation of the amount of the Lessor’s contribution, as defined and specified above, in relation to the total cost of the initial permanent adaptation works (i.e., a revaluation according whereto the Lessor’s contribution reaches a certain percentage [revaluated] of the sum total of revaluated costs of the initial permanent adaptation works) (hereinafter: “the Proportion of the Lessor’s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361950</wp:posOffset>
            </wp:positionV>
            <wp:extent cx="7257415" cy="209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500"/>
          </w:cols>
          <w:pgMar w:left="1160" w:top="500" w:right="239" w:bottom="1440" w:gutter="0" w:footer="0" w:header="0"/>
        </w:sectPr>
      </w:pPr>
    </w:p>
    <w:bookmarkStart w:id="592" w:name="page593"/>
    <w:bookmarkEnd w:id="592"/>
    <w:p>
      <w:pPr>
        <w:jc w:val="both"/>
        <w:spacing w:after="0" w:line="272" w:lineRule="auto"/>
        <w:rPr>
          <w:sz w:val="20"/>
          <w:szCs w:val="20"/>
          <w:color w:val="auto"/>
        </w:rPr>
      </w:pPr>
      <w:r>
        <w:rPr>
          <w:rFonts w:ascii="Arial" w:cs="Arial" w:eastAsia="Arial" w:hAnsi="Arial"/>
          <w:sz w:val="16"/>
          <w:szCs w:val="16"/>
          <w:color w:val="auto"/>
        </w:rPr>
        <w:t>The Lessor shall pay the Lessee the sum of the Lessor’s contribution in respect of the performance of the initial permanent adaptation works, or any part thereof, according to the amount of the Lessor’s contribution in connection with each and every invoice within 21 days of any date whereon the Lessee issues to the Lessor demands to pay in connection with the performance of such works, against the presentation of the contractors’ invoices in connection with the same works, provided that prior to the performance of the works subject of any invoice, as aforesaid, the Lessee shall receive the authorization of the Lessor in advance and in writing for the price proposal of the contractor selected for the performance of the same works and the selection of the contractor for the performance thereof, and, likewise, the Lessor has authorized that this concerns the initial permanent adaptation works, subject to the fact that the Lessor has authorized the same invoices following the performance of the works, as aforesaid, and the works subject of the invoices have been performed subject to the provisions of this agreement. (For the avoidance of doubt and solely for purposes of illustration, it is hereby clarified that if following the aforesaid revaluation, the parties agree that the Lessor’s contribution to the costs of the initial permanent adaptation works, as aforesaid, amount to (for example) the sum of 35% of the revaluated value thereof (i.e., the amount of the Lessor’s contribution in this case), the Lessor shall pay the Lessee, in accordance with the aforesaid, the value of 35% of the entire invoice to be presented thereto, as aforesaid, in any event up to an upper comprehensive and final limit of $250 per square meter of the rented premises).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parties hereby further clarify and agree that insofar as the cost of the initial permanent adaptation works shall exceed the sum of the Lessor’s contribution, as defined above, such works shall be performed at the expense of the Lessee, as specified above, and the addition of the surplus price shall be paid by the Lessee. And, in any event where the cost of the initial permanent adaptation works shall be less than the amount of the Lessor’s contribution, as defined above, the Lessee shall not be entitled to any compensation and/or payment and/or refund of the difference between the actual cost of the initial permanent adaptation works and the amount of the Lessor’s contribution, as specified above, and/or to financing for the works and /or any equipment whatsoever, in the amount of the aforesaid difference, at any time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372745</wp:posOffset>
            </wp:positionV>
            <wp:extent cx="7257415" cy="209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500"/>
          </w:cols>
          <w:pgMar w:left="1160" w:top="499" w:right="239" w:bottom="1440" w:gutter="0" w:footer="0" w:header="0"/>
        </w:sectPr>
      </w:pPr>
    </w:p>
    <w:bookmarkStart w:id="593" w:name="page594"/>
    <w:bookmarkEnd w:id="593"/>
    <w:p>
      <w:pPr>
        <w:ind w:left="597" w:hanging="597"/>
        <w:spacing w:after="0"/>
        <w:tabs>
          <w:tab w:leader="none" w:pos="597" w:val="left"/>
        </w:tabs>
        <w:numPr>
          <w:ilvl w:val="0"/>
          <w:numId w:val="499"/>
        </w:numPr>
        <w:rPr>
          <w:rFonts w:ascii="Arial" w:cs="Arial" w:eastAsia="Arial" w:hAnsi="Arial"/>
          <w:sz w:val="17"/>
          <w:szCs w:val="17"/>
          <w:color w:val="auto"/>
        </w:rPr>
      </w:pPr>
      <w:r>
        <w:rPr>
          <w:rFonts w:ascii="Arial" w:cs="Arial" w:eastAsia="Arial" w:hAnsi="Arial"/>
          <w:sz w:val="17"/>
          <w:szCs w:val="17"/>
          <w:b w:val="1"/>
          <w:bCs w:val="1"/>
          <w:u w:val="single" w:color="auto"/>
          <w:color w:val="auto"/>
        </w:rPr>
        <w:t>Date of Delivery</w:t>
      </w:r>
    </w:p>
    <w:p>
      <w:pPr>
        <w:spacing w:after="0" w:line="247" w:lineRule="exact"/>
        <w:rPr>
          <w:rFonts w:ascii="Arial" w:cs="Arial" w:eastAsia="Arial" w:hAnsi="Arial"/>
          <w:sz w:val="17"/>
          <w:szCs w:val="17"/>
          <w:color w:val="auto"/>
        </w:rPr>
      </w:pPr>
    </w:p>
    <w:p>
      <w:pPr>
        <w:jc w:val="both"/>
        <w:ind w:left="917" w:hanging="300"/>
        <w:spacing w:after="0" w:line="265" w:lineRule="auto"/>
        <w:tabs>
          <w:tab w:leader="none" w:pos="917" w:val="left"/>
        </w:tabs>
        <w:numPr>
          <w:ilvl w:val="1"/>
          <w:numId w:val="499"/>
        </w:numPr>
        <w:rPr>
          <w:rFonts w:ascii="Arial" w:cs="Arial" w:eastAsia="Arial" w:hAnsi="Arial"/>
          <w:sz w:val="17"/>
          <w:szCs w:val="17"/>
          <w:color w:val="auto"/>
        </w:rPr>
      </w:pPr>
      <w:r>
        <w:rPr>
          <w:rFonts w:ascii="Arial" w:cs="Arial" w:eastAsia="Arial" w:hAnsi="Arial"/>
          <w:sz w:val="17"/>
          <w:szCs w:val="17"/>
          <w:color w:val="auto"/>
        </w:rPr>
        <w:t>If the Lessee has conveyed to the Lessor the securities as specified in section 22 herein below, and all remaining payments in accordance with section 11 (c), the Lessor shall deliver to the Lessee possession of the rented premises at the time of signature of the agreement by the Lessee and the submission thereof signed, with all appendices agreed thereto, to the Lessor (hereinafter: “the Date of Delivery”).</w:t>
      </w:r>
    </w:p>
    <w:p>
      <w:pPr>
        <w:spacing w:after="0" w:line="201" w:lineRule="exact"/>
        <w:rPr>
          <w:rFonts w:ascii="Arial" w:cs="Arial" w:eastAsia="Arial" w:hAnsi="Arial"/>
          <w:sz w:val="17"/>
          <w:szCs w:val="17"/>
          <w:color w:val="auto"/>
        </w:rPr>
      </w:pPr>
    </w:p>
    <w:p>
      <w:pPr>
        <w:jc w:val="both"/>
        <w:ind w:left="917" w:hanging="300"/>
        <w:spacing w:after="0" w:line="265" w:lineRule="auto"/>
        <w:tabs>
          <w:tab w:leader="none" w:pos="917" w:val="left"/>
        </w:tabs>
        <w:numPr>
          <w:ilvl w:val="1"/>
          <w:numId w:val="499"/>
        </w:numPr>
        <w:rPr>
          <w:rFonts w:ascii="Arial" w:cs="Arial" w:eastAsia="Arial" w:hAnsi="Arial"/>
          <w:sz w:val="17"/>
          <w:szCs w:val="17"/>
          <w:color w:val="auto"/>
        </w:rPr>
      </w:pPr>
      <w:r>
        <w:rPr>
          <w:rFonts w:ascii="Arial" w:cs="Arial" w:eastAsia="Arial" w:hAnsi="Arial"/>
          <w:sz w:val="17"/>
          <w:szCs w:val="17"/>
          <w:color w:val="auto"/>
        </w:rPr>
        <w:t>Without derogating from the generality of the aforesaid, a delay of up to 14 days in the date of delivery as a result of any delay whatsoever, for any reason whatsoever, shall not be deemed a breach of the agreement and shall not entitle the Lessee to any relief whatsoever. It is clarified that termination of the tenancy period shall not be deferred in accordance with a delay in delivery.</w:t>
      </w:r>
    </w:p>
    <w:p>
      <w:pPr>
        <w:spacing w:after="0" w:line="201" w:lineRule="exact"/>
        <w:rPr>
          <w:rFonts w:ascii="Arial" w:cs="Arial" w:eastAsia="Arial" w:hAnsi="Arial"/>
          <w:sz w:val="17"/>
          <w:szCs w:val="17"/>
          <w:color w:val="auto"/>
        </w:rPr>
      </w:pPr>
    </w:p>
    <w:p>
      <w:pPr>
        <w:jc w:val="both"/>
        <w:ind w:left="917" w:hanging="300"/>
        <w:spacing w:after="0" w:line="256" w:lineRule="auto"/>
        <w:tabs>
          <w:tab w:leader="none" w:pos="917" w:val="left"/>
        </w:tabs>
        <w:numPr>
          <w:ilvl w:val="1"/>
          <w:numId w:val="499"/>
        </w:numPr>
        <w:rPr>
          <w:rFonts w:ascii="Arial" w:cs="Arial" w:eastAsia="Arial" w:hAnsi="Arial"/>
          <w:sz w:val="17"/>
          <w:szCs w:val="17"/>
          <w:color w:val="auto"/>
        </w:rPr>
      </w:pPr>
      <w:r>
        <w:rPr>
          <w:rFonts w:ascii="Arial" w:cs="Arial" w:eastAsia="Arial" w:hAnsi="Arial"/>
          <w:sz w:val="17"/>
          <w:szCs w:val="17"/>
          <w:color w:val="auto"/>
        </w:rPr>
        <w:t>Without derogating from the aforesaid in sub-section b above, the parties hereby agree that the date of delivery and/or date of completion of the initial adaptation works shall be deferred in cases of force majeure, strikes or lockdowns in the construction industry, situations of war or mobilization of reserves, an unanticipated shortage in materials or laborers, the failure to supply electricity and/or if the rented premises fail to be connected to the electricity grid, provided that liability for such is not exclusively the Lessor’s or any other reason or cause not under the control of or within the reasonable anticipation of the Lessor. The project manager shall determine, according to his discretion, the duration of time wherein the circumstances as specified above occurred and the date of delivery shall be deferred accordingly. A delay as aforesaid shall not be deemed a breach of the agreement and shall not entitle the Lessee to any relief whatsoever. Termination of the tenancy period shall be deferred in accordance with a delay in the delivery of possession thereof.</w:t>
      </w:r>
    </w:p>
    <w:p>
      <w:pPr>
        <w:spacing w:after="0" w:line="209" w:lineRule="exact"/>
        <w:rPr>
          <w:rFonts w:ascii="Arial" w:cs="Arial" w:eastAsia="Arial" w:hAnsi="Arial"/>
          <w:sz w:val="17"/>
          <w:szCs w:val="17"/>
          <w:color w:val="auto"/>
        </w:rPr>
      </w:pPr>
    </w:p>
    <w:p>
      <w:pPr>
        <w:jc w:val="both"/>
        <w:ind w:left="917"/>
        <w:spacing w:after="0" w:line="261" w:lineRule="auto"/>
        <w:rPr>
          <w:rFonts w:ascii="Arial" w:cs="Arial" w:eastAsia="Arial" w:hAnsi="Arial"/>
          <w:sz w:val="17"/>
          <w:szCs w:val="17"/>
          <w:color w:val="auto"/>
        </w:rPr>
      </w:pPr>
      <w:r>
        <w:rPr>
          <w:rFonts w:ascii="Arial" w:cs="Arial" w:eastAsia="Arial" w:hAnsi="Arial"/>
          <w:sz w:val="17"/>
          <w:szCs w:val="17"/>
          <w:color w:val="auto"/>
        </w:rPr>
        <w:t>In the event that completion of the initial adaptation works by the Lessee is delayed due to force majeure and this precludes the entry of the Lessee into the rented premises and its reasonable use thereof for the objective of the tenancy, pursuant to the agreement, all dates pursuant to the agreement shall be deferred for the period wherein the force majeure occurred, provided that the Lessee acted insofar as possible and took all possible means to complete the works as soon as possible and curtail the aforesaid delay.</w:t>
      </w:r>
    </w:p>
    <w:p>
      <w:pPr>
        <w:spacing w:after="0" w:line="204" w:lineRule="exact"/>
        <w:rPr>
          <w:rFonts w:ascii="Arial" w:cs="Arial" w:eastAsia="Arial" w:hAnsi="Arial"/>
          <w:sz w:val="17"/>
          <w:szCs w:val="17"/>
          <w:color w:val="auto"/>
        </w:rPr>
      </w:pPr>
    </w:p>
    <w:p>
      <w:pPr>
        <w:ind w:left="917" w:hanging="300"/>
        <w:spacing w:after="0"/>
        <w:tabs>
          <w:tab w:leader="none" w:pos="917" w:val="left"/>
        </w:tabs>
        <w:numPr>
          <w:ilvl w:val="1"/>
          <w:numId w:val="499"/>
        </w:numPr>
        <w:rPr>
          <w:rFonts w:ascii="Arial" w:cs="Arial" w:eastAsia="Arial" w:hAnsi="Arial"/>
          <w:sz w:val="16"/>
          <w:szCs w:val="16"/>
          <w:color w:val="auto"/>
        </w:rPr>
      </w:pPr>
      <w:r>
        <w:rPr>
          <w:rFonts w:ascii="Arial" w:cs="Arial" w:eastAsia="Arial" w:hAnsi="Arial"/>
          <w:sz w:val="16"/>
          <w:szCs w:val="16"/>
          <w:color w:val="auto"/>
        </w:rPr>
        <w:t>The date of delivery or deferred date of delivery in accordance with sub-sections b or c above, shall be called hereinafter: “the Date of Delivery.”</w:t>
      </w:r>
    </w:p>
    <w:p>
      <w:pPr>
        <w:spacing w:after="0" w:line="253" w:lineRule="exact"/>
        <w:rPr>
          <w:rFonts w:ascii="Arial" w:cs="Arial" w:eastAsia="Arial" w:hAnsi="Arial"/>
          <w:sz w:val="16"/>
          <w:szCs w:val="16"/>
          <w:color w:val="auto"/>
        </w:rPr>
      </w:pPr>
    </w:p>
    <w:p>
      <w:pPr>
        <w:ind w:left="917" w:hanging="300"/>
        <w:spacing w:after="0" w:line="347" w:lineRule="auto"/>
        <w:tabs>
          <w:tab w:leader="none" w:pos="917" w:val="left"/>
        </w:tabs>
        <w:numPr>
          <w:ilvl w:val="1"/>
          <w:numId w:val="499"/>
        </w:numPr>
        <w:rPr>
          <w:rFonts w:ascii="Arial" w:cs="Arial" w:eastAsia="Arial" w:hAnsi="Arial"/>
          <w:sz w:val="15"/>
          <w:szCs w:val="15"/>
          <w:color w:val="auto"/>
        </w:rPr>
      </w:pPr>
      <w:r>
        <w:rPr>
          <w:rFonts w:ascii="Arial" w:cs="Arial" w:eastAsia="Arial" w:hAnsi="Arial"/>
          <w:sz w:val="15"/>
          <w:szCs w:val="15"/>
          <w:color w:val="auto"/>
        </w:rPr>
        <w:t>The Lessee shall be obligated to accept possession of the rented premises on the date of delivery and the Lessor shall perform the delivery of the rented premises with the participation of the Lessee’s representative, if he is present, subsequent to receiving notice of at least two business days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7257415" cy="209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594" w:name="page595"/>
    <w:bookmarkEnd w:id="594"/>
    <w:p>
      <w:pPr>
        <w:jc w:val="both"/>
        <w:ind w:left="617"/>
        <w:spacing w:after="0" w:line="273" w:lineRule="auto"/>
        <w:rPr>
          <w:sz w:val="20"/>
          <w:szCs w:val="20"/>
          <w:color w:val="auto"/>
        </w:rPr>
      </w:pPr>
      <w:r>
        <w:rPr>
          <w:rFonts w:ascii="Arial" w:cs="Arial" w:eastAsia="Arial" w:hAnsi="Arial"/>
          <w:sz w:val="16"/>
          <w:szCs w:val="16"/>
          <w:color w:val="auto"/>
        </w:rPr>
        <w:t>E1. The parties hereby agree and clarify that a principal and fundamental condition of this agreement is that the Lessee shall evacuate an area of 430 square meters on the first floor of the building, which the Lessee rented from the Lessor pursuant to the tenancy agreement the parties signed on September 14, 2003 (respectively hereinafter: “the Returned Area” and “the First Tenancy Agreement”), on whichever date is the earlier of : (1) ten days from the date of the transfer of the business thereof and/or any part of the business thereof (including the move of any furniture or equipment whatsoever) into the rented premises; or (2) September 2, 2005. It is hereby agreed that at the Lessee’s request of the Lessor, in writing, at least a month prior to this date, the Lessee may receive an extension of up to 10 days of this date, i.e., until October 2, 2005 at the latest (the date of evacuation as aforesaid shall be called hereinafter: “the Date of Evacuation of the Returned Area”). The Lessee hereby undertakes to evacuate the returned area, as aforesaid, in accordance with all provisions of the first tenancy agreement, as it is clean and freshly painted with Tambour Supercryl paint (in the same shade as it received the returned area or any other shade whereto the Lessor or the project manager agrees in writing).</w:t>
      </w:r>
    </w:p>
    <w:p>
      <w:pPr>
        <w:spacing w:after="0" w:line="200" w:lineRule="exact"/>
        <w:rPr>
          <w:sz w:val="20"/>
          <w:szCs w:val="20"/>
          <w:color w:val="auto"/>
        </w:rPr>
      </w:pPr>
    </w:p>
    <w:p>
      <w:pPr>
        <w:jc w:val="both"/>
        <w:ind w:left="617"/>
        <w:spacing w:after="0" w:line="257" w:lineRule="auto"/>
        <w:rPr>
          <w:sz w:val="20"/>
          <w:szCs w:val="20"/>
          <w:color w:val="auto"/>
        </w:rPr>
      </w:pPr>
      <w:r>
        <w:rPr>
          <w:rFonts w:ascii="Arial" w:cs="Arial" w:eastAsia="Arial" w:hAnsi="Arial"/>
          <w:sz w:val="17"/>
          <w:szCs w:val="17"/>
          <w:color w:val="auto"/>
        </w:rPr>
        <w:t>For the avoidance of doubt, the parties hereby agree that as long as the Lessee fails to evacuate the returned area in accordance with the provisions of this agreement and the first tenancy agreement, the first tenancy agreement shall continue to apply to the Lessee for all intents and purposes. Likewise, the parties hereby clarify and agree that the failure to evacuate the returned area beyond 5</w:t>
      </w:r>
    </w:p>
    <w:p>
      <w:pPr>
        <w:jc w:val="both"/>
        <w:ind w:left="617"/>
        <w:spacing w:after="0" w:line="259" w:lineRule="auto"/>
        <w:rPr>
          <w:sz w:val="20"/>
          <w:szCs w:val="20"/>
          <w:color w:val="auto"/>
        </w:rPr>
      </w:pPr>
      <w:r>
        <w:rPr>
          <w:rFonts w:ascii="Arial" w:cs="Arial" w:eastAsia="Arial" w:hAnsi="Arial"/>
          <w:sz w:val="17"/>
          <w:szCs w:val="17"/>
          <w:color w:val="auto"/>
        </w:rPr>
        <w:t>business days following the date of evacuation of the returned area, as defined above, shall constitute a fundamental breach of the first tenancy agreement in respect of the failure to evacuate on time, in respect whereof the Lessor may utilize any relief pursuant to the first tenancy agreement and pursuant to any law.</w:t>
      </w:r>
    </w:p>
    <w:p>
      <w:pPr>
        <w:spacing w:after="0" w:line="205" w:lineRule="exact"/>
        <w:rPr>
          <w:sz w:val="20"/>
          <w:szCs w:val="20"/>
          <w:color w:val="auto"/>
        </w:rPr>
      </w:pPr>
    </w:p>
    <w:p>
      <w:pPr>
        <w:jc w:val="both"/>
        <w:ind w:left="617" w:hanging="617"/>
        <w:spacing w:after="0" w:line="317" w:lineRule="auto"/>
        <w:tabs>
          <w:tab w:leader="none" w:pos="617" w:val="left"/>
        </w:tabs>
        <w:numPr>
          <w:ilvl w:val="0"/>
          <w:numId w:val="500"/>
        </w:numPr>
        <w:rPr>
          <w:rFonts w:ascii="Arial" w:cs="Arial" w:eastAsia="Arial" w:hAnsi="Arial"/>
          <w:sz w:val="15"/>
          <w:szCs w:val="15"/>
          <w:color w:val="auto"/>
        </w:rPr>
      </w:pPr>
      <w:r>
        <w:rPr>
          <w:rFonts w:ascii="Arial" w:cs="Arial" w:eastAsia="Arial" w:hAnsi="Arial"/>
          <w:sz w:val="15"/>
          <w:szCs w:val="15"/>
          <w:color w:val="auto"/>
        </w:rPr>
        <w:t>For the avoidance of doubt it is clarified that the Lessor may also, following the completion of the building, perform building works and other works in parts of the building, which are not the rented premises, including, but not solely, development works, provided that such works fail to preclude and/or damage the reasonable use of the Lessee of the rented premises for the tenancy objective and fail to infringe on the Lessee’s rights pursuant to this agreement.</w:t>
      </w:r>
    </w:p>
    <w:p>
      <w:pPr>
        <w:spacing w:after="0" w:line="165" w:lineRule="exact"/>
        <w:rPr>
          <w:rFonts w:ascii="Arial" w:cs="Arial" w:eastAsia="Arial" w:hAnsi="Arial"/>
          <w:sz w:val="15"/>
          <w:szCs w:val="15"/>
          <w:color w:val="auto"/>
        </w:rPr>
      </w:pPr>
    </w:p>
    <w:p>
      <w:pPr>
        <w:jc w:val="both"/>
        <w:ind w:left="617"/>
        <w:spacing w:after="0" w:line="261" w:lineRule="auto"/>
        <w:rPr>
          <w:rFonts w:ascii="Arial" w:cs="Arial" w:eastAsia="Arial" w:hAnsi="Arial"/>
          <w:sz w:val="15"/>
          <w:szCs w:val="15"/>
          <w:color w:val="auto"/>
        </w:rPr>
      </w:pPr>
      <w:r>
        <w:rPr>
          <w:rFonts w:ascii="Arial" w:cs="Arial" w:eastAsia="Arial" w:hAnsi="Arial"/>
          <w:sz w:val="17"/>
          <w:szCs w:val="17"/>
          <w:color w:val="auto"/>
        </w:rPr>
        <w:t>Likewise, the addition of stories and/or parts of stories and/or the enlargement of the areas permitted for use in the building and/or the alteration of the permitted designation of areas within the building shall not be deemed a beach of the Lessor’s undertaking, as aforesaid, as long as this fails to preclude and/or harm the Lessee’s reasonable use of the rented premises for the objective of the tenancy or fail to infringe the rights thereof, pursuant to this agreement.</w:t>
      </w:r>
    </w:p>
    <w:p>
      <w:pPr>
        <w:spacing w:after="0" w:line="204" w:lineRule="exact"/>
        <w:rPr>
          <w:rFonts w:ascii="Arial" w:cs="Arial" w:eastAsia="Arial" w:hAnsi="Arial"/>
          <w:sz w:val="15"/>
          <w:szCs w:val="15"/>
          <w:color w:val="auto"/>
        </w:rPr>
      </w:pPr>
    </w:p>
    <w:p>
      <w:pPr>
        <w:jc w:val="both"/>
        <w:ind w:left="617"/>
        <w:spacing w:after="0" w:line="265" w:lineRule="auto"/>
        <w:rPr>
          <w:rFonts w:ascii="Arial" w:cs="Arial" w:eastAsia="Arial" w:hAnsi="Arial"/>
          <w:sz w:val="15"/>
          <w:szCs w:val="15"/>
          <w:color w:val="auto"/>
        </w:rPr>
      </w:pPr>
      <w:r>
        <w:rPr>
          <w:rFonts w:ascii="Arial" w:cs="Arial" w:eastAsia="Arial" w:hAnsi="Arial"/>
          <w:sz w:val="17"/>
          <w:szCs w:val="17"/>
          <w:color w:val="auto"/>
        </w:rPr>
        <w:t>The Lessor may perform alterations in the building plans and/or the rented premises, if it is required to do so by any competent authority, provided that the aforesaid alterations fail to preclude and/or damage the Lessee’s reasonable use of the rented premises for the objective of the tenancy and/or fail to infringe the Lessee’s rights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595" w:name="page596"/>
    <w:bookmarkEnd w:id="595"/>
    <w:p>
      <w:pPr>
        <w:jc w:val="both"/>
        <w:ind w:left="917" w:hanging="300"/>
        <w:spacing w:after="0" w:line="272" w:lineRule="auto"/>
        <w:tabs>
          <w:tab w:leader="none" w:pos="917" w:val="left"/>
        </w:tabs>
        <w:numPr>
          <w:ilvl w:val="1"/>
          <w:numId w:val="501"/>
        </w:numPr>
        <w:rPr>
          <w:rFonts w:ascii="Arial" w:cs="Arial" w:eastAsia="Arial" w:hAnsi="Arial"/>
          <w:sz w:val="16"/>
          <w:szCs w:val="16"/>
          <w:color w:val="auto"/>
        </w:rPr>
      </w:pPr>
      <w:r>
        <w:rPr>
          <w:rFonts w:ascii="Arial" w:cs="Arial" w:eastAsia="Arial" w:hAnsi="Arial"/>
          <w:sz w:val="16"/>
          <w:szCs w:val="16"/>
          <w:color w:val="auto"/>
        </w:rPr>
        <w:t>The project manager shall determine, at his discretion, as an expert and not as an arbitrator, whether the works and/or alterations and/or additions, as specified in sub-section 6 (f) above disturb the Lessee’s reasonable use of the rented premises for the objective of the tenancy. In addition, the project manager shall determine, at his discretion, as an expert and not as an arbitrator, whether the initial adaptation works were performed in accordance with the plans in Appendices B1 and B2 to this agreement and whether divergences from the plans or specifications or alterations therein constitute substantial divergences or minor divergences and/or whether such may disrupt the Lessee’s reasonable use of the rented premises. The parties agree that in the event that the project director’s decision, as aforesaid, fails to be agreeable to either of the parties to this agreement, the parties shall jointly request the appointment of an arbitrator whereon they agree to decide such questions. The arbitrator shall be selected in agreement and shall be a professional in the field of engineering and/or construction. In the absence of agreement regarding the appointment of an arbitrator, the arbitrator shall be appointed by the chairman of the Contractors and Builders Association in Israel. The parties agree that in the event that either of the parties requests approaching an arbitrator, as aforesaid, the matter shall not constitute grounds for the non-performance and/or delay in performance of any of the provisions of the agreement, without the matter constituting the admission of any contention whatsoever and/or derogating from any contention and/or relief pursuant to any law and agreement.</w:t>
      </w:r>
    </w:p>
    <w:p>
      <w:pPr>
        <w:spacing w:after="0" w:line="192" w:lineRule="exact"/>
        <w:rPr>
          <w:rFonts w:ascii="Arial" w:cs="Arial" w:eastAsia="Arial" w:hAnsi="Arial"/>
          <w:sz w:val="16"/>
          <w:szCs w:val="16"/>
          <w:color w:val="auto"/>
        </w:rPr>
      </w:pPr>
    </w:p>
    <w:p>
      <w:pPr>
        <w:ind w:left="597" w:hanging="597"/>
        <w:spacing w:after="0"/>
        <w:tabs>
          <w:tab w:leader="none" w:pos="597" w:val="left"/>
        </w:tabs>
        <w:numPr>
          <w:ilvl w:val="0"/>
          <w:numId w:val="502"/>
        </w:numPr>
        <w:rPr>
          <w:rFonts w:ascii="Arial" w:cs="Arial" w:eastAsia="Arial" w:hAnsi="Arial"/>
          <w:sz w:val="17"/>
          <w:szCs w:val="17"/>
          <w:color w:val="auto"/>
        </w:rPr>
      </w:pPr>
      <w:r>
        <w:rPr>
          <w:rFonts w:ascii="Arial" w:cs="Arial" w:eastAsia="Arial" w:hAnsi="Arial"/>
          <w:sz w:val="17"/>
          <w:szCs w:val="17"/>
          <w:b w:val="1"/>
          <w:bCs w:val="1"/>
          <w:u w:val="single" w:color="auto"/>
          <w:color w:val="auto"/>
        </w:rPr>
        <w:t>Parking</w:t>
      </w:r>
    </w:p>
    <w:p>
      <w:pPr>
        <w:spacing w:after="0" w:line="241" w:lineRule="exact"/>
        <w:rPr>
          <w:rFonts w:ascii="Arial" w:cs="Arial" w:eastAsia="Arial" w:hAnsi="Arial"/>
          <w:sz w:val="17"/>
          <w:szCs w:val="17"/>
          <w:color w:val="auto"/>
        </w:rPr>
      </w:pPr>
    </w:p>
    <w:p>
      <w:pPr>
        <w:jc w:val="both"/>
        <w:ind w:left="617"/>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A sketch of the building’s parking spaces is attached hereto as </w:t>
      </w:r>
      <w:r>
        <w:rPr>
          <w:rFonts w:ascii="Arial" w:cs="Arial" w:eastAsia="Arial" w:hAnsi="Arial"/>
          <w:sz w:val="17"/>
          <w:szCs w:val="17"/>
          <w:b w:val="1"/>
          <w:bCs w:val="1"/>
          <w:u w:val="single" w:color="auto"/>
          <w:color w:val="auto"/>
        </w:rPr>
        <w:t>Appendix D</w:t>
      </w:r>
      <w:r>
        <w:rPr>
          <w:rFonts w:ascii="Arial" w:cs="Arial" w:eastAsia="Arial" w:hAnsi="Arial"/>
          <w:sz w:val="17"/>
          <w:szCs w:val="17"/>
          <w:color w:val="auto"/>
        </w:rPr>
        <w:t xml:space="preserve"> to this agreement (hereinafter: “the Sketch of Parking Spaces”). Eighteen ordinary parking spaces marked in red on the sketch of parking spaces shall be made available to the Lessee for the period of the tenancy for the sole use thereof, commencing at the beginning of the tenancy period, pursuant to this agreement.</w:t>
      </w:r>
    </w:p>
    <w:p>
      <w:pPr>
        <w:spacing w:after="0" w:line="197" w:lineRule="exact"/>
        <w:rPr>
          <w:rFonts w:ascii="Arial" w:cs="Arial" w:eastAsia="Arial" w:hAnsi="Arial"/>
          <w:sz w:val="17"/>
          <w:szCs w:val="17"/>
          <w:color w:val="auto"/>
        </w:rPr>
      </w:pPr>
    </w:p>
    <w:p>
      <w:pPr>
        <w:jc w:val="both"/>
        <w:ind w:left="617"/>
        <w:spacing w:after="0" w:line="257" w:lineRule="auto"/>
        <w:rPr>
          <w:rFonts w:ascii="Arial" w:cs="Arial" w:eastAsia="Arial" w:hAnsi="Arial"/>
          <w:sz w:val="17"/>
          <w:szCs w:val="17"/>
          <w:color w:val="auto"/>
        </w:rPr>
      </w:pPr>
      <w:r>
        <w:rPr>
          <w:rFonts w:ascii="Arial" w:cs="Arial" w:eastAsia="Arial" w:hAnsi="Arial"/>
          <w:sz w:val="17"/>
          <w:szCs w:val="17"/>
          <w:color w:val="auto"/>
        </w:rPr>
        <w:t>The parties hereby agree that by way of giving written notice of 30 days in advance to the Lessor, the Lessee shall have the option to add and rent up to 12 additional parking spaces in the building to be allocated and marked by the Lessor (hereinafter: “the Additional Parking Spaces”), part of which shall be ordinary spaces and part shall be double spaces according to the relation and arrangement herein below: the first 8 additional parking spaces shall be double parking spaces (i.e., 4 double parking spaces) and the 4 remaining spaces to be rented to the Lessee thereafter shall be ordinary parking spaces. Rental of each of the additional parking spaces shall commence on the date according to the Lessee’s provision of notice to the Lessor, as aforesaid, and shall extend until the expiration of the tenancy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7415" cy="209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596" w:name="page597"/>
    <w:bookmarkEnd w:id="596"/>
    <w:p>
      <w:pPr>
        <w:jc w:val="both"/>
        <w:ind w:left="617"/>
        <w:spacing w:after="0" w:line="257" w:lineRule="auto"/>
        <w:rPr>
          <w:sz w:val="20"/>
          <w:szCs w:val="20"/>
          <w:color w:val="auto"/>
        </w:rPr>
      </w:pPr>
      <w:r>
        <w:rPr>
          <w:rFonts w:ascii="Arial" w:cs="Arial" w:eastAsia="Arial" w:hAnsi="Arial"/>
          <w:sz w:val="17"/>
          <w:szCs w:val="17"/>
          <w:color w:val="auto"/>
        </w:rPr>
        <w:t>Likewise, the parties hereby agree that, subject to the provision of 30 days’ notice in advance and in writing to the Lessor, the Lessee shall have the right to reduce the number of additional parking spaces that it shall rent from the Lessor, as aforesaid, up to the rental of 18 ordinary parking spaces specified in the first sub-section of this section 7 herein, at the least. The type of additional parking spaces to be reduced, as aforesaid in this sub-section above, shall be in accordance with the type of additional parking spaces that the Lessee rented from the Lessor, in the reverse order to the order aforesaid, so that each additional parking space to be removed shall be the last additional parking space (ordinary or double) that the Lessee rented, in accordance with the contents of this section above.</w:t>
      </w:r>
    </w:p>
    <w:p>
      <w:pPr>
        <w:spacing w:after="0" w:line="210" w:lineRule="exact"/>
        <w:rPr>
          <w:sz w:val="20"/>
          <w:szCs w:val="20"/>
          <w:color w:val="auto"/>
        </w:rPr>
      </w:pPr>
    </w:p>
    <w:p>
      <w:pPr>
        <w:ind w:left="617"/>
        <w:spacing w:after="0"/>
        <w:rPr>
          <w:sz w:val="20"/>
          <w:szCs w:val="20"/>
          <w:color w:val="auto"/>
        </w:rPr>
      </w:pPr>
      <w:r>
        <w:rPr>
          <w:rFonts w:ascii="Arial" w:cs="Arial" w:eastAsia="Arial" w:hAnsi="Arial"/>
          <w:sz w:val="17"/>
          <w:szCs w:val="17"/>
          <w:color w:val="auto"/>
        </w:rPr>
        <w:t>In return for the use of the parking spaces, the Lessee shall pay the Lessor rent as specified in section 10 herein below.</w:t>
      </w:r>
    </w:p>
    <w:p>
      <w:pPr>
        <w:spacing w:after="0" w:line="242" w:lineRule="exact"/>
        <w:rPr>
          <w:sz w:val="20"/>
          <w:szCs w:val="20"/>
          <w:color w:val="auto"/>
        </w:rPr>
      </w:pPr>
    </w:p>
    <w:p>
      <w:pPr>
        <w:jc w:val="both"/>
        <w:ind w:left="617"/>
        <w:spacing w:after="0" w:line="265" w:lineRule="auto"/>
        <w:rPr>
          <w:sz w:val="20"/>
          <w:szCs w:val="20"/>
          <w:color w:val="auto"/>
        </w:rPr>
      </w:pPr>
      <w:r>
        <w:rPr>
          <w:rFonts w:ascii="Arial" w:cs="Arial" w:eastAsia="Arial" w:hAnsi="Arial"/>
          <w:sz w:val="17"/>
          <w:szCs w:val="17"/>
          <w:color w:val="auto"/>
        </w:rPr>
        <w:t>In any event of the termination of the tenancy or the lawful revocation thereof, all as the case may be, the permission to use the parking spaces as aforesaid shall automatically be revoked as well. The provisions of this agreement concerning all that pertains to the rented premises shall apply to the parking spaces as well.</w:t>
      </w:r>
    </w:p>
    <w:p>
      <w:pPr>
        <w:spacing w:after="0" w:line="195" w:lineRule="exact"/>
        <w:rPr>
          <w:sz w:val="20"/>
          <w:szCs w:val="20"/>
          <w:color w:val="auto"/>
        </w:rPr>
      </w:pPr>
    </w:p>
    <w:p>
      <w:pPr>
        <w:ind w:left="597" w:hanging="597"/>
        <w:spacing w:after="0"/>
        <w:tabs>
          <w:tab w:leader="none" w:pos="597" w:val="left"/>
        </w:tabs>
        <w:numPr>
          <w:ilvl w:val="0"/>
          <w:numId w:val="503"/>
        </w:numPr>
        <w:rPr>
          <w:rFonts w:ascii="Arial" w:cs="Arial" w:eastAsia="Arial" w:hAnsi="Arial"/>
          <w:sz w:val="17"/>
          <w:szCs w:val="17"/>
          <w:color w:val="auto"/>
        </w:rPr>
      </w:pPr>
      <w:r>
        <w:rPr>
          <w:rFonts w:ascii="Arial" w:cs="Arial" w:eastAsia="Arial" w:hAnsi="Arial"/>
          <w:sz w:val="17"/>
          <w:szCs w:val="17"/>
          <w:b w:val="1"/>
          <w:bCs w:val="1"/>
          <w:u w:val="single" w:color="auto"/>
          <w:color w:val="auto"/>
        </w:rPr>
        <w:t>Objective of the Tenancy</w:t>
      </w:r>
    </w:p>
    <w:p>
      <w:pPr>
        <w:spacing w:after="0" w:line="247"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03"/>
        </w:numPr>
        <w:rPr>
          <w:rFonts w:ascii="Arial" w:cs="Arial" w:eastAsia="Arial" w:hAnsi="Arial"/>
          <w:sz w:val="17"/>
          <w:szCs w:val="17"/>
          <w:color w:val="auto"/>
        </w:rPr>
      </w:pPr>
      <w:r>
        <w:rPr>
          <w:rFonts w:ascii="Arial" w:cs="Arial" w:eastAsia="Arial" w:hAnsi="Arial"/>
          <w:sz w:val="17"/>
          <w:szCs w:val="17"/>
          <w:color w:val="auto"/>
        </w:rPr>
        <w:t>Without derogating from the aforesaid, the objective of the tenancy is to conduct a business that manages and develops medical projects, in general, and medications, in particular, including a laboratory for research and development for the aforesaid purpose.</w:t>
      </w:r>
    </w:p>
    <w:p>
      <w:pPr>
        <w:spacing w:after="0" w:line="190" w:lineRule="exact"/>
        <w:rPr>
          <w:rFonts w:ascii="Arial" w:cs="Arial" w:eastAsia="Arial" w:hAnsi="Arial"/>
          <w:sz w:val="17"/>
          <w:szCs w:val="17"/>
          <w:color w:val="auto"/>
        </w:rPr>
      </w:pPr>
    </w:p>
    <w:p>
      <w:pPr>
        <w:jc w:val="both"/>
        <w:ind w:left="917"/>
        <w:spacing w:after="0" w:line="265" w:lineRule="auto"/>
        <w:rPr>
          <w:rFonts w:ascii="Arial" w:cs="Arial" w:eastAsia="Arial" w:hAnsi="Arial"/>
          <w:sz w:val="17"/>
          <w:szCs w:val="17"/>
          <w:color w:val="auto"/>
        </w:rPr>
      </w:pPr>
      <w:r>
        <w:rPr>
          <w:rFonts w:ascii="Arial" w:cs="Arial" w:eastAsia="Arial" w:hAnsi="Arial"/>
          <w:sz w:val="17"/>
          <w:szCs w:val="17"/>
          <w:color w:val="auto"/>
        </w:rPr>
        <w:t>It is clarified that the Lessee has the responsibility to obtain all licenses required for the management of its business in the rented premises, if required, and the failure to obtain such shall not constitute grounds for the curtailment or the delay of the tenancy or reduction of the rent, even in the event that the business is closed as a result of the absence of a license as aforesaid.</w:t>
      </w:r>
    </w:p>
    <w:p>
      <w:pPr>
        <w:spacing w:after="0" w:line="201" w:lineRule="exact"/>
        <w:rPr>
          <w:rFonts w:ascii="Arial" w:cs="Arial" w:eastAsia="Arial" w:hAnsi="Arial"/>
          <w:sz w:val="17"/>
          <w:szCs w:val="17"/>
          <w:color w:val="auto"/>
        </w:rPr>
      </w:pPr>
    </w:p>
    <w:p>
      <w:pPr>
        <w:jc w:val="both"/>
        <w:ind w:left="917" w:hanging="300"/>
        <w:spacing w:after="0" w:line="265" w:lineRule="auto"/>
        <w:tabs>
          <w:tab w:leader="none" w:pos="917" w:val="left"/>
        </w:tabs>
        <w:numPr>
          <w:ilvl w:val="1"/>
          <w:numId w:val="503"/>
        </w:numPr>
        <w:rPr>
          <w:rFonts w:ascii="Arial" w:cs="Arial" w:eastAsia="Arial" w:hAnsi="Arial"/>
          <w:sz w:val="17"/>
          <w:szCs w:val="17"/>
          <w:color w:val="auto"/>
        </w:rPr>
      </w:pPr>
      <w:r>
        <w:rPr>
          <w:rFonts w:ascii="Arial" w:cs="Arial" w:eastAsia="Arial" w:hAnsi="Arial"/>
          <w:sz w:val="17"/>
          <w:szCs w:val="17"/>
          <w:color w:val="auto"/>
        </w:rPr>
        <w:t>In the event that the Lessee fails to obtain a permit to conduct its business and/or a business license for any reason whatsoever, the Lessee shall not have a claim nor shall a claim arise on any grounds and of any kind against the Lessor and by the signature of this agreement the Lessee waives a claim in advance, including but not solely in respect of the investments thereof in the rented premises.</w:t>
      </w:r>
    </w:p>
    <w:p>
      <w:pPr>
        <w:spacing w:after="0" w:line="201" w:lineRule="exact"/>
        <w:rPr>
          <w:rFonts w:ascii="Arial" w:cs="Arial" w:eastAsia="Arial" w:hAnsi="Arial"/>
          <w:sz w:val="17"/>
          <w:szCs w:val="17"/>
          <w:color w:val="auto"/>
        </w:rPr>
      </w:pPr>
    </w:p>
    <w:p>
      <w:pPr>
        <w:ind w:left="917"/>
        <w:spacing w:after="0" w:line="278" w:lineRule="auto"/>
        <w:rPr>
          <w:rFonts w:ascii="Arial" w:cs="Arial" w:eastAsia="Arial" w:hAnsi="Arial"/>
          <w:sz w:val="17"/>
          <w:szCs w:val="17"/>
          <w:color w:val="auto"/>
        </w:rPr>
      </w:pPr>
      <w:r>
        <w:rPr>
          <w:rFonts w:ascii="Arial" w:cs="Arial" w:eastAsia="Arial" w:hAnsi="Arial"/>
          <w:sz w:val="17"/>
          <w:szCs w:val="17"/>
          <w:color w:val="auto"/>
        </w:rPr>
        <w:t>Nothing in the aforesaid shall be deemed as permission by the Lessor for the Lessee to use the rented premises and/or to manage a business therein without a permit and/or by way of a divergence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597" w:name="page598"/>
    <w:bookmarkEnd w:id="597"/>
    <w:p>
      <w:pPr>
        <w:jc w:val="both"/>
        <w:ind w:left="920" w:hanging="300"/>
        <w:spacing w:after="0" w:line="277" w:lineRule="auto"/>
        <w:tabs>
          <w:tab w:leader="none" w:pos="920" w:val="left"/>
        </w:tabs>
        <w:numPr>
          <w:ilvl w:val="1"/>
          <w:numId w:val="504"/>
        </w:numPr>
        <w:rPr>
          <w:rFonts w:ascii="Arial" w:cs="Arial" w:eastAsia="Arial" w:hAnsi="Arial"/>
          <w:sz w:val="16"/>
          <w:szCs w:val="16"/>
          <w:color w:val="auto"/>
        </w:rPr>
      </w:pPr>
      <w:r>
        <w:rPr>
          <w:rFonts w:ascii="Arial" w:cs="Arial" w:eastAsia="Arial" w:hAnsi="Arial"/>
          <w:sz w:val="16"/>
          <w:szCs w:val="16"/>
          <w:color w:val="auto"/>
        </w:rPr>
        <w:t>For the avoidance of doubt and without derogating from the aforesaid, the parties hereby agree that liability in respect of managing the Lessee’s business not in accordance with a lawful permit shall apply solely to the Lessee and it undertakes to indemnify the Lessor in respect of any claim and/or obligation placed thereon for managing a business in the rented premises without a lawful permit and/or due to the failure to obtain the permits within 7 days of receiving the first demand of the Lessor, provided that in the event of a claim – the Lessor gave the Lessee written notice of the filing of the claim a reasonable amount of time in advance and enabled it to offer a defense against the claim, and in the event of an obligation – against the presentation of documentary proof and/or lawful tax invoices with respect to the performance of actual payment by the Lessor.</w:t>
      </w:r>
    </w:p>
    <w:p>
      <w:pPr>
        <w:spacing w:after="0" w:line="186" w:lineRule="exact"/>
        <w:rPr>
          <w:rFonts w:ascii="Arial" w:cs="Arial" w:eastAsia="Arial" w:hAnsi="Arial"/>
          <w:sz w:val="16"/>
          <w:szCs w:val="16"/>
          <w:color w:val="auto"/>
        </w:rPr>
      </w:pPr>
    </w:p>
    <w:p>
      <w:pPr>
        <w:ind w:left="600" w:hanging="597"/>
        <w:spacing w:after="0"/>
        <w:tabs>
          <w:tab w:leader="none" w:pos="600" w:val="left"/>
        </w:tabs>
        <w:numPr>
          <w:ilvl w:val="0"/>
          <w:numId w:val="505"/>
        </w:numPr>
        <w:rPr>
          <w:rFonts w:ascii="Arial" w:cs="Arial" w:eastAsia="Arial" w:hAnsi="Arial"/>
          <w:sz w:val="17"/>
          <w:szCs w:val="17"/>
          <w:color w:val="auto"/>
        </w:rPr>
      </w:pPr>
      <w:r>
        <w:rPr>
          <w:rFonts w:ascii="Arial" w:cs="Arial" w:eastAsia="Arial" w:hAnsi="Arial"/>
          <w:sz w:val="17"/>
          <w:szCs w:val="17"/>
          <w:b w:val="1"/>
          <w:bCs w:val="1"/>
          <w:u w:val="single" w:color="auto"/>
          <w:color w:val="auto"/>
        </w:rPr>
        <w:t>Period of the Tenancy</w:t>
      </w:r>
    </w:p>
    <w:p>
      <w:pPr>
        <w:spacing w:after="0" w:line="247" w:lineRule="exact"/>
        <w:rPr>
          <w:rFonts w:ascii="Arial" w:cs="Arial" w:eastAsia="Arial" w:hAnsi="Arial"/>
          <w:sz w:val="17"/>
          <w:szCs w:val="17"/>
          <w:color w:val="auto"/>
        </w:rPr>
      </w:pPr>
    </w:p>
    <w:p>
      <w:pPr>
        <w:jc w:val="both"/>
        <w:ind w:left="620"/>
        <w:spacing w:after="0" w:line="265" w:lineRule="auto"/>
        <w:rPr>
          <w:rFonts w:ascii="Arial" w:cs="Arial" w:eastAsia="Arial" w:hAnsi="Arial"/>
          <w:sz w:val="17"/>
          <w:szCs w:val="17"/>
          <w:color w:val="auto"/>
        </w:rPr>
      </w:pPr>
      <w:r>
        <w:rPr>
          <w:rFonts w:ascii="Arial" w:cs="Arial" w:eastAsia="Arial" w:hAnsi="Arial"/>
          <w:sz w:val="17"/>
          <w:szCs w:val="17"/>
          <w:color w:val="auto"/>
        </w:rPr>
        <w:t>Subject to the fulfillment of all undertakings of the Lessee pursuant to the agreement, the Lessor hereby rents to the Lessee and the Lessee hereby rents from the Lessor the rented premises in an unprotected tenancy from the date of delivery of the rented premises until the date, December 15, 2008 (hereinafter: “the Period of the Tenancy”).</w:t>
      </w:r>
    </w:p>
    <w:p>
      <w:pPr>
        <w:spacing w:after="0" w:line="201" w:lineRule="exact"/>
        <w:rPr>
          <w:rFonts w:ascii="Arial" w:cs="Arial" w:eastAsia="Arial" w:hAnsi="Arial"/>
          <w:sz w:val="17"/>
          <w:szCs w:val="17"/>
          <w:color w:val="auto"/>
        </w:rPr>
      </w:pPr>
    </w:p>
    <w:p>
      <w:pPr>
        <w:jc w:val="both"/>
        <w:ind w:left="620"/>
        <w:spacing w:after="0" w:line="259" w:lineRule="auto"/>
        <w:rPr>
          <w:rFonts w:ascii="Arial" w:cs="Arial" w:eastAsia="Arial" w:hAnsi="Arial"/>
          <w:sz w:val="17"/>
          <w:szCs w:val="17"/>
          <w:color w:val="auto"/>
        </w:rPr>
      </w:pPr>
      <w:r>
        <w:rPr>
          <w:rFonts w:ascii="Arial" w:cs="Arial" w:eastAsia="Arial" w:hAnsi="Arial"/>
          <w:sz w:val="17"/>
          <w:szCs w:val="17"/>
          <w:color w:val="auto"/>
        </w:rPr>
        <w:t>Notwithstanding the aforesaid, the parties hereby agree and clarify that in any case where on the date of delivery the rented premises are not delivered to the Lessee as a result of an act and/or omission of the Lessee and/or anyone on behalf thereof and/or as a result of other reasons not under the Lessor’s liability, save for force majeure, then the rented premises shall be deemed as having been delivered to the Lessee on the date of delivery and commencing on this date (the date of delivery), the Lessee shall be obligated with all its undertakings pursuant to this agreement, including payment of rent, maintenance fees, municipal rates and any other payment in relation to the entire rented premises.</w:t>
      </w: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9A.</w:t>
      </w:r>
      <w:r>
        <w:rPr>
          <w:sz w:val="20"/>
          <w:szCs w:val="20"/>
          <w:color w:val="auto"/>
        </w:rPr>
        <w:tab/>
      </w:r>
      <w:r>
        <w:rPr>
          <w:rFonts w:ascii="Arial" w:cs="Arial" w:eastAsia="Arial" w:hAnsi="Arial"/>
          <w:sz w:val="17"/>
          <w:szCs w:val="17"/>
          <w:u w:val="single" w:color="auto"/>
          <w:color w:val="auto"/>
        </w:rPr>
        <w:t>Right of First Refusal for Renting Additional Space</w:t>
      </w:r>
    </w:p>
    <w:p>
      <w:pPr>
        <w:spacing w:after="0" w:line="240" w:lineRule="exact"/>
        <w:rPr>
          <w:sz w:val="20"/>
          <w:szCs w:val="20"/>
          <w:color w:val="auto"/>
        </w:rPr>
      </w:pPr>
    </w:p>
    <w:p>
      <w:pPr>
        <w:jc w:val="both"/>
        <w:ind w:left="920" w:hanging="300"/>
        <w:spacing w:after="0" w:line="232" w:lineRule="auto"/>
        <w:tabs>
          <w:tab w:leader="none" w:pos="92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The Lessee is hereby granted the right of first refusal in connection with renting two areas on the 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of the building, both outlined and marked in blue on the sketch attached hereto as Appendix A to this agreement, each of them in full (hereinafter: “the Right of Refusal” and “the Additional Areas”), solely during the first 18 months following the date of delivery of the rented premises as defined above (hereinafter: “the Period of the Right of First Refusal”),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257415" cy="209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98" w:name="page599"/>
    <w:bookmarkEnd w:id="598"/>
    <w:p>
      <w:pPr>
        <w:jc w:val="both"/>
        <w:ind w:left="300"/>
        <w:spacing w:after="0" w:line="275" w:lineRule="auto"/>
        <w:rPr>
          <w:sz w:val="20"/>
          <w:szCs w:val="20"/>
          <w:color w:val="auto"/>
        </w:rPr>
      </w:pPr>
      <w:r>
        <w:rPr>
          <w:rFonts w:ascii="Arial" w:cs="Arial" w:eastAsia="Arial" w:hAnsi="Arial"/>
          <w:sz w:val="16"/>
          <w:szCs w:val="16"/>
          <w:color w:val="auto"/>
        </w:rPr>
        <w:t xml:space="preserve">The Lessor shall deliver notice to the Lessee of its intention to rent either of the additional areas (above and below: “the Additional Area”) to a tenant who is interested therein (hereinafter: “the Potential Tenant”) and the Lessee shall be given 7 days from the date of delivery of the Lessor’s notice thereto to undertake in writing vis-à-vis the Lessor to rent the relevant additional area in its entirety, in accordance with the conditions offered by the potential tenant and subject to the remaining provisions of this agreement, </w:t>
      </w:r>
      <w:r>
        <w:rPr>
          <w:rFonts w:ascii="Arial" w:cs="Arial" w:eastAsia="Arial" w:hAnsi="Arial"/>
          <w:sz w:val="16"/>
          <w:szCs w:val="16"/>
          <w:i w:val="1"/>
          <w:iCs w:val="1"/>
          <w:color w:val="auto"/>
        </w:rPr>
        <w:t>mutatis mutandi</w:t>
      </w:r>
      <w:r>
        <w:rPr>
          <w:rFonts w:ascii="Arial" w:cs="Arial" w:eastAsia="Arial" w:hAnsi="Arial"/>
          <w:sz w:val="16"/>
          <w:szCs w:val="16"/>
          <w:color w:val="auto"/>
        </w:rPr>
        <w:t>. Insofar as the Lessee requests to measure the additional areas, the Lessor shall perform the measurement and the Lessee shall bear the expense of the measurement. If the Lessee undertakes, as aforesaid, to rent the pertinent additional space, as aforesaid, then all the provisions of section 9A (b) herein below shall apply in relation to the exercise of the right of first refusal and in accordance all the provisions of this agreement shall apply in relation to the rental of the additional area.</w:t>
      </w:r>
    </w:p>
    <w:p>
      <w:pPr>
        <w:spacing w:after="0" w:line="196" w:lineRule="exact"/>
        <w:rPr>
          <w:sz w:val="20"/>
          <w:szCs w:val="20"/>
          <w:color w:val="auto"/>
        </w:rPr>
      </w:pPr>
    </w:p>
    <w:p>
      <w:pPr>
        <w:jc w:val="both"/>
        <w:ind w:left="300"/>
        <w:spacing w:after="0" w:line="279" w:lineRule="auto"/>
        <w:rPr>
          <w:sz w:val="20"/>
          <w:szCs w:val="20"/>
          <w:color w:val="auto"/>
        </w:rPr>
      </w:pPr>
      <w:r>
        <w:rPr>
          <w:rFonts w:ascii="Arial" w:cs="Arial" w:eastAsia="Arial" w:hAnsi="Arial"/>
          <w:sz w:val="16"/>
          <w:szCs w:val="16"/>
          <w:color w:val="auto"/>
        </w:rPr>
        <w:t>If the Lessee gives notice that it is not interested in renting the additional space or fails to deliver its undertaking in writing for the rental of the Additional Area within 7 days of the date the Lessor’s notice was delivered thereto as aforesaid, the Lessor may rent the Additional Area to the potential tenant. The parties agree that in the event that an agreement fails to be signed between the potential tenant and the Lessor for the rental of the Additional Area as aforesaid and the Lessor is interested in renting the Additional Area to another potential tenant, then the Lessor shall be obligated to act again in accordance with the procedure described herein in this section above prior to the rental of the additional space.</w:t>
      </w:r>
    </w:p>
    <w:p>
      <w:pPr>
        <w:spacing w:after="0" w:line="191" w:lineRule="exact"/>
        <w:rPr>
          <w:sz w:val="20"/>
          <w:szCs w:val="20"/>
          <w:color w:val="auto"/>
        </w:rPr>
      </w:pPr>
    </w:p>
    <w:p>
      <w:pPr>
        <w:ind w:left="300" w:hanging="300"/>
        <w:spacing w:after="0" w:line="311" w:lineRule="auto"/>
        <w:tabs>
          <w:tab w:leader="none" w:pos="30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In the event that the Lessee exercises the right of first refusal for the rental of either of the Additional Areas, the provisions of this agreement shall apply in relation to the Additional Area that it rents as well, </w:t>
      </w:r>
      <w:r>
        <w:rPr>
          <w:rFonts w:ascii="Arial" w:cs="Arial" w:eastAsia="Arial" w:hAnsi="Arial"/>
          <w:sz w:val="16"/>
          <w:szCs w:val="16"/>
          <w:i w:val="1"/>
          <w:iCs w:val="1"/>
          <w:color w:val="auto"/>
        </w:rPr>
        <w:t>mutatis mutandi</w:t>
      </w:r>
      <w:r>
        <w:rPr>
          <w:rFonts w:ascii="Arial" w:cs="Arial" w:eastAsia="Arial" w:hAnsi="Arial"/>
          <w:sz w:val="16"/>
          <w:szCs w:val="16"/>
          <w:color w:val="auto"/>
        </w:rPr>
        <w:t>, and in accordance with the particulars specified herein below:</w:t>
      </w:r>
    </w:p>
    <w:p>
      <w:pPr>
        <w:spacing w:after="0" w:line="166" w:lineRule="exact"/>
        <w:rPr>
          <w:rFonts w:ascii="Arial" w:cs="Arial" w:eastAsia="Arial" w:hAnsi="Arial"/>
          <w:sz w:val="16"/>
          <w:szCs w:val="16"/>
          <w:color w:val="auto"/>
        </w:rPr>
      </w:pPr>
    </w:p>
    <w:p>
      <w:pPr>
        <w:jc w:val="both"/>
        <w:ind w:left="620" w:hanging="311"/>
        <w:spacing w:after="0" w:line="261" w:lineRule="auto"/>
        <w:tabs>
          <w:tab w:leader="none" w:pos="620" w:val="left"/>
        </w:tabs>
        <w:numPr>
          <w:ilvl w:val="1"/>
          <w:numId w:val="507"/>
        </w:numPr>
        <w:rPr>
          <w:rFonts w:ascii="Arial" w:cs="Arial" w:eastAsia="Arial" w:hAnsi="Arial"/>
          <w:sz w:val="17"/>
          <w:szCs w:val="17"/>
          <w:color w:val="auto"/>
        </w:rPr>
      </w:pPr>
      <w:r>
        <w:rPr>
          <w:rFonts w:ascii="Arial" w:cs="Arial" w:eastAsia="Arial" w:hAnsi="Arial"/>
          <w:sz w:val="17"/>
          <w:szCs w:val="17"/>
          <w:color w:val="auto"/>
        </w:rPr>
        <w:t xml:space="preserve">The Lessee shall accept possession of the Additional Area, in its present state at the time of delivery thereof, “as is,” subsequent to the Lessor providing final authorization for the plans the Lessee submits to the Lessor, in accordance with the contents of section 5 above and on the date of delivery as defined in section 6 above in connection with the rented premises, all this in connection with the pertinent Additional Area,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w:t>
      </w:r>
      <w:r>
        <w:rPr>
          <w:rFonts w:ascii="Arial" w:cs="Arial" w:eastAsia="Arial" w:hAnsi="Arial"/>
          <w:sz w:val="17"/>
          <w:szCs w:val="17"/>
          <w:color w:val="auto"/>
        </w:rPr>
        <w:t>, and subject to the Lessee’s maintaining the schedules.</w:t>
      </w:r>
    </w:p>
    <w:p>
      <w:pPr>
        <w:spacing w:after="0" w:line="204" w:lineRule="exact"/>
        <w:rPr>
          <w:rFonts w:ascii="Arial" w:cs="Arial" w:eastAsia="Arial" w:hAnsi="Arial"/>
          <w:sz w:val="17"/>
          <w:szCs w:val="17"/>
          <w:color w:val="auto"/>
        </w:rPr>
      </w:pPr>
    </w:p>
    <w:p>
      <w:pPr>
        <w:jc w:val="both"/>
        <w:ind w:left="620"/>
        <w:spacing w:after="0" w:line="274" w:lineRule="auto"/>
        <w:rPr>
          <w:rFonts w:ascii="Arial" w:cs="Arial" w:eastAsia="Arial" w:hAnsi="Arial"/>
          <w:sz w:val="17"/>
          <w:szCs w:val="17"/>
          <w:color w:val="auto"/>
        </w:rPr>
      </w:pPr>
      <w:r>
        <w:rPr>
          <w:rFonts w:ascii="Arial" w:cs="Arial" w:eastAsia="Arial" w:hAnsi="Arial"/>
          <w:sz w:val="16"/>
          <w:szCs w:val="16"/>
          <w:color w:val="auto"/>
        </w:rPr>
        <w:t xml:space="preserve">The Lessee shall perform at its sole liability and at its expense all the adaptation works in the Additional Area, and all subject to the provisions of this agreement, including section 14 of this agreement and subject to the contents stated herein below, including the Lessor’s undertaking to participate in the costs of the performance of the initial permanent adaptation works in the Additional Area, at a cost per square meter and in the manner of participation in accordance with the provisions of this agreement, </w:t>
      </w:r>
      <w:r>
        <w:rPr>
          <w:rFonts w:ascii="Arial" w:cs="Arial" w:eastAsia="Arial" w:hAnsi="Arial"/>
          <w:sz w:val="16"/>
          <w:szCs w:val="16"/>
          <w:i w:val="1"/>
          <w:iCs w:val="1"/>
          <w:color w:val="auto"/>
        </w:rPr>
        <w:t>mutatis mutandi</w:t>
      </w:r>
      <w:r>
        <w:rPr>
          <w:rFonts w:ascii="Arial" w:cs="Arial" w:eastAsia="Arial" w:hAnsi="Arial"/>
          <w:sz w:val="16"/>
          <w:szCs w:val="16"/>
          <w:color w:val="auto"/>
        </w:rPr>
        <w:t>. Notwithstanding the aforesaid, the parties hereby agree explicitly that in the event that the Lessee exercises the right of first refusal to rent either of the Additional Areas, pursuant to this section 9 herein, in the last six months of the period of the right of first refusal, as defined above, the Lessor’s contribution shall amount to the cost of the performance of the initial permanent adaptation works in the Additional Area, which the Lessee shall rent, as aforesaid, i.e., solely $200 per square meter of the Additional Area, with the addition of VAT, and not the amount stated in section 5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375920</wp:posOffset>
            </wp:positionV>
            <wp:extent cx="7257415" cy="209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599" w:name="page600"/>
    <w:bookmarkEnd w:id="599"/>
    <w:p>
      <w:pPr>
        <w:jc w:val="both"/>
        <w:ind w:left="1237"/>
        <w:spacing w:after="0" w:line="265" w:lineRule="auto"/>
        <w:rPr>
          <w:sz w:val="20"/>
          <w:szCs w:val="20"/>
          <w:color w:val="auto"/>
        </w:rPr>
      </w:pPr>
      <w:r>
        <w:rPr>
          <w:rFonts w:ascii="Arial" w:cs="Arial" w:eastAsia="Arial" w:hAnsi="Arial"/>
          <w:sz w:val="17"/>
          <w:szCs w:val="17"/>
          <w:color w:val="auto"/>
        </w:rPr>
        <w:t xml:space="preserve">For the avoidance of doubt, all provisions of this agreement in relation to the planning and performance of the initial adaptation works in the rented premises and in relation to the delivery of possession of the rented premises shall apply </w:t>
      </w:r>
      <w:r>
        <w:rPr>
          <w:rFonts w:ascii="Arial" w:cs="Arial" w:eastAsia="Arial" w:hAnsi="Arial"/>
          <w:sz w:val="17"/>
          <w:szCs w:val="17"/>
          <w:i w:val="1"/>
          <w:iCs w:val="1"/>
          <w:color w:val="auto"/>
        </w:rPr>
        <w:t>mutatis mutandi</w:t>
      </w:r>
      <w:r>
        <w:rPr>
          <w:rFonts w:ascii="Arial" w:cs="Arial" w:eastAsia="Arial" w:hAnsi="Arial"/>
          <w:sz w:val="17"/>
          <w:szCs w:val="17"/>
          <w:color w:val="auto"/>
        </w:rPr>
        <w:t xml:space="preserve"> as well in relation to each of the Additional Areas, if and insofar as such are rented to the Lessee, as aforesaid in section 9A herein.</w:t>
      </w:r>
    </w:p>
    <w:p>
      <w:pPr>
        <w:spacing w:after="0" w:line="201" w:lineRule="exact"/>
        <w:rPr>
          <w:sz w:val="20"/>
          <w:szCs w:val="20"/>
          <w:color w:val="auto"/>
        </w:rPr>
      </w:pPr>
    </w:p>
    <w:p>
      <w:pPr>
        <w:ind w:left="1237" w:hanging="311"/>
        <w:spacing w:after="0" w:line="278" w:lineRule="auto"/>
        <w:tabs>
          <w:tab w:leader="none" w:pos="1237" w:val="left"/>
        </w:tabs>
        <w:numPr>
          <w:ilvl w:val="2"/>
          <w:numId w:val="508"/>
        </w:numPr>
        <w:rPr>
          <w:rFonts w:ascii="Arial" w:cs="Arial" w:eastAsia="Arial" w:hAnsi="Arial"/>
          <w:sz w:val="17"/>
          <w:szCs w:val="17"/>
          <w:color w:val="auto"/>
        </w:rPr>
      </w:pPr>
      <w:r>
        <w:rPr>
          <w:rFonts w:ascii="Arial" w:cs="Arial" w:eastAsia="Arial" w:hAnsi="Arial"/>
          <w:sz w:val="17"/>
          <w:szCs w:val="17"/>
          <w:color w:val="auto"/>
        </w:rPr>
        <w:t>The period of tenancy of the Additional Areas, if and insofar as such are rented to the Lessee, as aforesaid, shall conclude on the date that the rental period of the rented premises expires.</w:t>
      </w:r>
    </w:p>
    <w:p>
      <w:pPr>
        <w:spacing w:after="0" w:line="190" w:lineRule="exact"/>
        <w:rPr>
          <w:rFonts w:ascii="Arial" w:cs="Arial" w:eastAsia="Arial" w:hAnsi="Arial"/>
          <w:sz w:val="17"/>
          <w:szCs w:val="17"/>
          <w:color w:val="auto"/>
        </w:rPr>
      </w:pPr>
    </w:p>
    <w:p>
      <w:pPr>
        <w:ind w:left="1237" w:hanging="311"/>
        <w:spacing w:after="0" w:line="347" w:lineRule="auto"/>
        <w:tabs>
          <w:tab w:leader="none" w:pos="1237" w:val="left"/>
        </w:tabs>
        <w:numPr>
          <w:ilvl w:val="2"/>
          <w:numId w:val="508"/>
        </w:numPr>
        <w:rPr>
          <w:rFonts w:ascii="Arial" w:cs="Arial" w:eastAsia="Arial" w:hAnsi="Arial"/>
          <w:sz w:val="15"/>
          <w:szCs w:val="15"/>
          <w:color w:val="auto"/>
        </w:rPr>
      </w:pPr>
      <w:r>
        <w:rPr>
          <w:rFonts w:ascii="Arial" w:cs="Arial" w:eastAsia="Arial" w:hAnsi="Arial"/>
          <w:sz w:val="15"/>
          <w:szCs w:val="15"/>
          <w:color w:val="auto"/>
        </w:rPr>
        <w:t xml:space="preserve">If the Lessee exercises the right of refusal for rental of either of the Additional Areas, as aforesaid, the pertinent Additional Area shall be added to the area of the rented premises as defined herein in this agreement above, and all provisions of this agreement shall apply thereto, </w:t>
      </w:r>
      <w:r>
        <w:rPr>
          <w:rFonts w:ascii="Arial" w:cs="Arial" w:eastAsia="Arial" w:hAnsi="Arial"/>
          <w:sz w:val="15"/>
          <w:szCs w:val="15"/>
          <w:i w:val="1"/>
          <w:iCs w:val="1"/>
          <w:color w:val="auto"/>
        </w:rPr>
        <w:t>mutatis mutandi</w:t>
      </w:r>
      <w:r>
        <w:rPr>
          <w:rFonts w:ascii="Arial" w:cs="Arial" w:eastAsia="Arial" w:hAnsi="Arial"/>
          <w:sz w:val="15"/>
          <w:szCs w:val="15"/>
          <w:color w:val="auto"/>
        </w:rPr>
        <w:t>.</w:t>
      </w:r>
    </w:p>
    <w:p>
      <w:pPr>
        <w:spacing w:after="0" w:line="138" w:lineRule="exact"/>
        <w:rPr>
          <w:rFonts w:ascii="Arial" w:cs="Arial" w:eastAsia="Arial" w:hAnsi="Arial"/>
          <w:sz w:val="15"/>
          <w:szCs w:val="15"/>
          <w:color w:val="auto"/>
        </w:rPr>
      </w:pPr>
    </w:p>
    <w:p>
      <w:pPr>
        <w:ind w:left="597" w:hanging="597"/>
        <w:spacing w:after="0"/>
        <w:tabs>
          <w:tab w:leader="none" w:pos="597" w:val="left"/>
        </w:tabs>
        <w:numPr>
          <w:ilvl w:val="0"/>
          <w:numId w:val="509"/>
        </w:numPr>
        <w:rPr>
          <w:rFonts w:ascii="Arial" w:cs="Arial" w:eastAsia="Arial" w:hAnsi="Arial"/>
          <w:sz w:val="17"/>
          <w:szCs w:val="17"/>
          <w:color w:val="auto"/>
        </w:rPr>
      </w:pPr>
      <w:r>
        <w:rPr>
          <w:rFonts w:ascii="Arial" w:cs="Arial" w:eastAsia="Arial" w:hAnsi="Arial"/>
          <w:sz w:val="17"/>
          <w:szCs w:val="17"/>
          <w:b w:val="1"/>
          <w:bCs w:val="1"/>
          <w:u w:val="single" w:color="auto"/>
          <w:color w:val="auto"/>
        </w:rPr>
        <w:t>Rent</w:t>
      </w:r>
    </w:p>
    <w:p>
      <w:pPr>
        <w:spacing w:after="0" w:line="247" w:lineRule="exact"/>
        <w:rPr>
          <w:rFonts w:ascii="Arial" w:cs="Arial" w:eastAsia="Arial" w:hAnsi="Arial"/>
          <w:sz w:val="17"/>
          <w:szCs w:val="17"/>
          <w:color w:val="auto"/>
        </w:rPr>
      </w:pPr>
    </w:p>
    <w:p>
      <w:pPr>
        <w:ind w:left="917" w:right="1480" w:hanging="300"/>
        <w:spacing w:after="0" w:line="536" w:lineRule="auto"/>
        <w:tabs>
          <w:tab w:leader="none" w:pos="917" w:val="left"/>
        </w:tabs>
        <w:numPr>
          <w:ilvl w:val="1"/>
          <w:numId w:val="509"/>
        </w:numPr>
        <w:rPr>
          <w:rFonts w:ascii="Arial" w:cs="Arial" w:eastAsia="Arial" w:hAnsi="Arial"/>
          <w:sz w:val="17"/>
          <w:szCs w:val="17"/>
          <w:color w:val="auto"/>
        </w:rPr>
      </w:pPr>
      <w:r>
        <w:rPr>
          <w:rFonts w:ascii="Arial" w:cs="Arial" w:eastAsia="Arial" w:hAnsi="Arial"/>
          <w:sz w:val="17"/>
          <w:szCs w:val="17"/>
          <w:color w:val="auto"/>
        </w:rPr>
        <w:t>During the period of the tenancy, the Lessee undertakes to pay the Lessor in respect of the rented premises monthly rent as follows: $10.20 in respect of each square meter (gross) of the New Wing Area and the Old Wing Area</w:t>
      </w:r>
    </w:p>
    <w:p>
      <w:pPr>
        <w:spacing w:after="0" w:line="1" w:lineRule="exact"/>
        <w:rPr>
          <w:rFonts w:ascii="Arial" w:cs="Arial" w:eastAsia="Arial" w:hAnsi="Arial"/>
          <w:sz w:val="17"/>
          <w:szCs w:val="17"/>
          <w:color w:val="auto"/>
        </w:rPr>
      </w:pPr>
    </w:p>
    <w:p>
      <w:pPr>
        <w:ind w:left="917"/>
        <w:spacing w:after="0"/>
        <w:rPr>
          <w:rFonts w:ascii="Arial" w:cs="Arial" w:eastAsia="Arial" w:hAnsi="Arial"/>
          <w:sz w:val="17"/>
          <w:szCs w:val="17"/>
          <w:color w:val="auto"/>
        </w:rPr>
      </w:pPr>
      <w:r>
        <w:rPr>
          <w:rFonts w:ascii="Arial" w:cs="Arial" w:eastAsia="Arial" w:hAnsi="Arial"/>
          <w:sz w:val="17"/>
          <w:szCs w:val="17"/>
          <w:color w:val="auto"/>
        </w:rPr>
        <w:t>$8 in respect of each square meter (gross) of the Machinery Area and the Gallery Area</w:t>
      </w:r>
    </w:p>
    <w:p>
      <w:pPr>
        <w:spacing w:after="0" w:line="241" w:lineRule="exact"/>
        <w:rPr>
          <w:rFonts w:ascii="Arial" w:cs="Arial" w:eastAsia="Arial" w:hAnsi="Arial"/>
          <w:sz w:val="17"/>
          <w:szCs w:val="17"/>
          <w:color w:val="auto"/>
        </w:rPr>
      </w:pPr>
    </w:p>
    <w:p>
      <w:pPr>
        <w:ind w:left="917"/>
        <w:spacing w:after="0" w:line="278" w:lineRule="auto"/>
        <w:rPr>
          <w:rFonts w:ascii="Arial" w:cs="Arial" w:eastAsia="Arial" w:hAnsi="Arial"/>
          <w:sz w:val="17"/>
          <w:szCs w:val="17"/>
          <w:color w:val="auto"/>
        </w:rPr>
      </w:pPr>
      <w:r>
        <w:rPr>
          <w:rFonts w:ascii="Arial" w:cs="Arial" w:eastAsia="Arial" w:hAnsi="Arial"/>
          <w:sz w:val="17"/>
          <w:szCs w:val="17"/>
          <w:color w:val="auto"/>
        </w:rPr>
        <w:t>$46 U.S. for each parking unit (whether ordinary parking spaces or parking allocated to the Lessee within the context of double parking spaces, in which case it is clarified that the payment for double parking spaces shall stand at $92)</w:t>
      </w:r>
    </w:p>
    <w:p>
      <w:pPr>
        <w:spacing w:after="0" w:line="190" w:lineRule="exact"/>
        <w:rPr>
          <w:rFonts w:ascii="Arial" w:cs="Arial" w:eastAsia="Arial" w:hAnsi="Arial"/>
          <w:sz w:val="17"/>
          <w:szCs w:val="17"/>
          <w:color w:val="auto"/>
        </w:rPr>
      </w:pPr>
    </w:p>
    <w:p>
      <w:pPr>
        <w:ind w:left="917"/>
        <w:spacing w:after="0"/>
        <w:rPr>
          <w:rFonts w:ascii="Arial" w:cs="Arial" w:eastAsia="Arial" w:hAnsi="Arial"/>
          <w:sz w:val="17"/>
          <w:szCs w:val="17"/>
          <w:color w:val="auto"/>
        </w:rPr>
      </w:pPr>
      <w:r>
        <w:rPr>
          <w:rFonts w:ascii="Arial" w:cs="Arial" w:eastAsia="Arial" w:hAnsi="Arial"/>
          <w:sz w:val="17"/>
          <w:szCs w:val="17"/>
          <w:color w:val="auto"/>
        </w:rPr>
        <w:t>(Hereinafter: “the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404495</wp:posOffset>
            </wp:positionV>
            <wp:extent cx="7257415" cy="209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00" w:name="page601"/>
    <w:bookmarkEnd w:id="600"/>
    <w:p>
      <w:pPr>
        <w:jc w:val="both"/>
        <w:ind w:left="917" w:hanging="300"/>
        <w:spacing w:after="0" w:line="277" w:lineRule="auto"/>
        <w:tabs>
          <w:tab w:leader="none" w:pos="917" w:val="left"/>
        </w:tabs>
        <w:numPr>
          <w:ilvl w:val="1"/>
          <w:numId w:val="510"/>
        </w:numPr>
        <w:rPr>
          <w:rFonts w:ascii="Arial" w:cs="Arial" w:eastAsia="Arial" w:hAnsi="Arial"/>
          <w:sz w:val="16"/>
          <w:szCs w:val="16"/>
          <w:color w:val="auto"/>
        </w:rPr>
      </w:pPr>
      <w:r>
        <w:rPr>
          <w:rFonts w:ascii="Arial" w:cs="Arial" w:eastAsia="Arial" w:hAnsi="Arial"/>
          <w:sz w:val="16"/>
          <w:szCs w:val="16"/>
          <w:color w:val="auto"/>
        </w:rPr>
        <w:t>(1) With respect to all that pertains to the New Wing Area, notwithstanding the aforesaid in section 10 (a) above, the Lessee receives a grace period and shall not be obligated to pay rent solely for rental of the New Wing Area from the date of delivery, as aforesaid herein in this agreement above, until whichever is the earlier of: (a) the date of commencement of operating the business of the Lessee (including any part thereof) in an New Wing Area or in any part thereof, including moving any equipment and/or furniture whatsoever into the New Wing Area, or (b) September 2, 2005. However, it is clarified that the Lessee shall be obligated with all remaining payments and undertakings pursuant to this agreement, including municipal rates and management fees, commencing from the date of delivery of the New Wing Area.</w:t>
      </w:r>
    </w:p>
    <w:p>
      <w:pPr>
        <w:spacing w:after="0" w:line="192" w:lineRule="exact"/>
        <w:rPr>
          <w:rFonts w:ascii="Arial" w:cs="Arial" w:eastAsia="Arial" w:hAnsi="Arial"/>
          <w:sz w:val="16"/>
          <w:szCs w:val="16"/>
          <w:color w:val="auto"/>
        </w:rPr>
      </w:pPr>
    </w:p>
    <w:p>
      <w:pPr>
        <w:jc w:val="both"/>
        <w:ind w:left="917"/>
        <w:spacing w:after="0" w:line="277" w:lineRule="auto"/>
        <w:rPr>
          <w:rFonts w:ascii="Arial" w:cs="Arial" w:eastAsia="Arial" w:hAnsi="Arial"/>
          <w:sz w:val="16"/>
          <w:szCs w:val="16"/>
          <w:color w:val="auto"/>
        </w:rPr>
      </w:pPr>
      <w:r>
        <w:rPr>
          <w:rFonts w:ascii="Arial" w:cs="Arial" w:eastAsia="Arial" w:hAnsi="Arial"/>
          <w:sz w:val="16"/>
          <w:szCs w:val="16"/>
          <w:color w:val="auto"/>
        </w:rPr>
        <w:t>(2) With respect to all that pertains to the Old Wing Area, notwithstanding the aforesaid in section 10 (a) above, the Lessee receives a grace period and shall not be obligated to pay rent solely for the rental of the Old Wing Area from the date of delivery, as aforesaid herein in this agreement above, until whichever is the earlier of: (a) the date of commencement of operating the business of the Lessee (including any part thereof) in the Old Wing Area or in any part thereof, including moving any equipment and/or furniture whatsoever into the area of the old wing, or (b) February 1, 2006. However, it is clarified that the Lessee shall be obligated with all remaining payments and undertakings pursuant to this agreement, including municipal rates and management fees, commencing on the date of delivery of the Old Wing Area.</w:t>
      </w:r>
    </w:p>
    <w:p>
      <w:pPr>
        <w:spacing w:after="0" w:line="192" w:lineRule="exact"/>
        <w:rPr>
          <w:rFonts w:ascii="Arial" w:cs="Arial" w:eastAsia="Arial" w:hAnsi="Arial"/>
          <w:sz w:val="16"/>
          <w:szCs w:val="16"/>
          <w:color w:val="auto"/>
        </w:rPr>
      </w:pPr>
    </w:p>
    <w:p>
      <w:pPr>
        <w:jc w:val="both"/>
        <w:ind w:left="917" w:hanging="300"/>
        <w:spacing w:after="0" w:line="301" w:lineRule="auto"/>
        <w:tabs>
          <w:tab w:leader="none" w:pos="917" w:val="left"/>
        </w:tabs>
        <w:numPr>
          <w:ilvl w:val="1"/>
          <w:numId w:val="510"/>
        </w:numPr>
        <w:rPr>
          <w:rFonts w:ascii="Arial" w:cs="Arial" w:eastAsia="Arial" w:hAnsi="Arial"/>
          <w:sz w:val="15"/>
          <w:szCs w:val="15"/>
          <w:color w:val="auto"/>
        </w:rPr>
      </w:pPr>
      <w:r>
        <w:rPr>
          <w:rFonts w:ascii="Arial" w:cs="Arial" w:eastAsia="Arial" w:hAnsi="Arial"/>
          <w:sz w:val="15"/>
          <w:szCs w:val="15"/>
          <w:color w:val="auto"/>
        </w:rPr>
        <w:t>Rent and all other payments stated in dollar amounts herein in this agreement shall be translated and paid in New Israeli shekels according to the known representative rate on the actual date of payment and, in any event, the value thereof in shekels shall not be less than the value thereof on the date fixed for the performance of each payment, pursuant to this agreement. Without derogating from the aforesaid herein in this section, in the event that between the date fixed for payment and the actual date of payment there is a devaluation of one or more percent in the value of the dollar, the Lessee shall pay the Lessor, forthwith upon the first demand of the Lessor, the difference in rent between the date fixed for payment and the date of actual payment.</w:t>
      </w:r>
    </w:p>
    <w:p>
      <w:pPr>
        <w:spacing w:after="0" w:line="172" w:lineRule="exact"/>
        <w:rPr>
          <w:rFonts w:ascii="Arial" w:cs="Arial" w:eastAsia="Arial" w:hAnsi="Arial"/>
          <w:sz w:val="15"/>
          <w:szCs w:val="15"/>
          <w:color w:val="auto"/>
        </w:rPr>
      </w:pPr>
    </w:p>
    <w:p>
      <w:pPr>
        <w:ind w:left="677" w:hanging="677"/>
        <w:spacing w:after="0"/>
        <w:tabs>
          <w:tab w:leader="none" w:pos="677" w:val="left"/>
        </w:tabs>
        <w:numPr>
          <w:ilvl w:val="0"/>
          <w:numId w:val="511"/>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of the Rent</w:t>
      </w:r>
    </w:p>
    <w:p>
      <w:pPr>
        <w:spacing w:after="0" w:line="247"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11"/>
        </w:numPr>
        <w:rPr>
          <w:rFonts w:ascii="Arial" w:cs="Arial" w:eastAsia="Arial" w:hAnsi="Arial"/>
          <w:sz w:val="17"/>
          <w:szCs w:val="17"/>
          <w:color w:val="auto"/>
        </w:rPr>
      </w:pPr>
      <w:r>
        <w:rPr>
          <w:rFonts w:ascii="Arial" w:cs="Arial" w:eastAsia="Arial" w:hAnsi="Arial"/>
          <w:sz w:val="17"/>
          <w:szCs w:val="17"/>
          <w:color w:val="auto"/>
        </w:rPr>
        <w:t>The Lessee shall pay the Lessor the rent, as aforesaid in section 10 above in advance for every three months of the tenancy period, on the first day of each 3-month period, as aforesaid.</w:t>
      </w:r>
    </w:p>
    <w:p>
      <w:pPr>
        <w:spacing w:after="0" w:line="190" w:lineRule="exact"/>
        <w:rPr>
          <w:rFonts w:ascii="Arial" w:cs="Arial" w:eastAsia="Arial" w:hAnsi="Arial"/>
          <w:sz w:val="17"/>
          <w:szCs w:val="17"/>
          <w:color w:val="auto"/>
        </w:rPr>
      </w:pPr>
    </w:p>
    <w:p>
      <w:pPr>
        <w:jc w:val="both"/>
        <w:ind w:left="917"/>
        <w:spacing w:after="0" w:line="282" w:lineRule="auto"/>
        <w:rPr>
          <w:rFonts w:ascii="Arial" w:cs="Arial" w:eastAsia="Arial" w:hAnsi="Arial"/>
          <w:sz w:val="17"/>
          <w:szCs w:val="17"/>
          <w:color w:val="auto"/>
        </w:rPr>
      </w:pPr>
      <w:r>
        <w:rPr>
          <w:rFonts w:ascii="Arial" w:cs="Arial" w:eastAsia="Arial" w:hAnsi="Arial"/>
          <w:sz w:val="16"/>
          <w:szCs w:val="16"/>
          <w:color w:val="auto"/>
        </w:rPr>
        <w:t>The parties hereby agree that in order to facilitate payment and collection of the rent, the Lessee, up to and no later than the date of the commencement of the tenancy period each year, may deposit with the Lessor 4 checks, each of them in the amount of the entire rent for each of the quarters of the following rental year in a shekel amount required pursuant to the provisions of this agreement on the date of issuing the checks, as aforesaid, and the actual date of payment of each one of the checks shall be the first day of each quarter of the following tenancy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01" w:name="page602"/>
    <w:bookmarkEnd w:id="601"/>
    <w:p>
      <w:pPr>
        <w:jc w:val="both"/>
        <w:ind w:left="300"/>
        <w:spacing w:after="0" w:line="261" w:lineRule="auto"/>
        <w:rPr>
          <w:sz w:val="20"/>
          <w:szCs w:val="20"/>
          <w:color w:val="auto"/>
        </w:rPr>
      </w:pPr>
      <w:r>
        <w:rPr>
          <w:rFonts w:ascii="Arial" w:cs="Arial" w:eastAsia="Arial" w:hAnsi="Arial"/>
          <w:sz w:val="17"/>
          <w:szCs w:val="17"/>
          <w:color w:val="auto"/>
        </w:rPr>
        <w:t>At the conclusion of each quarter of the rental period as well as on the date of termination of the tenancy period, the Lessee shall pay the Lessor the differences in the event that such were produced as a result of a rise in the dollar rate between the sum stated on the checks and the sum that the Lessee is to pay the Lessor in practice, according to the dollar rate on the actual date of payment of each of the checks, i.e., on the first day of the pertinent quarter.</w:t>
      </w:r>
    </w:p>
    <w:p>
      <w:pPr>
        <w:spacing w:after="0" w:line="204" w:lineRule="exact"/>
        <w:rPr>
          <w:sz w:val="20"/>
          <w:szCs w:val="20"/>
          <w:color w:val="auto"/>
        </w:rPr>
      </w:pPr>
    </w:p>
    <w:p>
      <w:pPr>
        <w:jc w:val="both"/>
        <w:ind w:left="300" w:hanging="300"/>
        <w:spacing w:after="0" w:line="265" w:lineRule="auto"/>
        <w:tabs>
          <w:tab w:leader="none" w:pos="3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All payments that apply to the Lessee pursuant to this agreement, the Lessee shall pay them, as aforesaid, up to the time of 11:00 a.m. by way of a bank transfer and/or in any other manner that fails to be a standing order, according to the Lessor’s instructions. If the date of payment falls on a day that is not a business day, the payments shall be paid on the first business day following thereafter.</w:t>
      </w:r>
    </w:p>
    <w:p>
      <w:pPr>
        <w:spacing w:after="0" w:line="201"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On the date of signature of this agreement by the Lessee, and as a condition to the signature thereof, the Lessee shall pay the Lessor rent for the first quarter of the rental period following forthwith each of the grace periods, as aforesaid in section 10 (b).</w:t>
      </w:r>
    </w:p>
    <w:p>
      <w:pPr>
        <w:spacing w:after="0" w:line="190" w:lineRule="exact"/>
        <w:rPr>
          <w:rFonts w:ascii="Arial" w:cs="Arial" w:eastAsia="Arial" w:hAnsi="Arial"/>
          <w:sz w:val="17"/>
          <w:szCs w:val="17"/>
          <w:color w:val="auto"/>
        </w:rPr>
      </w:pPr>
    </w:p>
    <w:p>
      <w:pPr>
        <w:jc w:val="both"/>
        <w:ind w:left="300" w:hanging="300"/>
        <w:spacing w:after="0" w:line="275" w:lineRule="auto"/>
        <w:tabs>
          <w:tab w:leader="none" w:pos="30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Payment by way of checks, authorization of the performance of the bank transfer and/or any other means of payment shall not be deemed payment and solely the actual remittance of the checks and/or the actual transfer of the sums to the Lessor by the bank shall be deemed as payment of the rent. The parties hereby agree that non-remittance of checks not as a result of an act and/or omission of the Lessee shall not be deemed a breach of this agreement, subject to the Lessee’s correction thereof and it shall ensure the full remittance of the checks and/or the performance of the payment in another manner within 4 days of the date of the demand of the Lessor and/or anyone on behalf thereof. Likewise, the parties hereby agree that in the event that the non-payment of the checks was caused by a strike at the bank, the aforesaid non-payment shall not be deemed a breach of this agreement as long as the strike continues at all banks in Israel wherein the Lessee holds a bank account.</w:t>
      </w:r>
    </w:p>
    <w:p>
      <w:pPr>
        <w:spacing w:after="0" w:line="196" w:lineRule="exact"/>
        <w:rPr>
          <w:rFonts w:ascii="Arial" w:cs="Arial" w:eastAsia="Arial" w:hAnsi="Arial"/>
          <w:sz w:val="16"/>
          <w:szCs w:val="16"/>
          <w:color w:val="auto"/>
        </w:rPr>
      </w:pPr>
    </w:p>
    <w:p>
      <w:pPr>
        <w:jc w:val="both"/>
        <w:ind w:left="300" w:hanging="300"/>
        <w:spacing w:after="0" w:line="265" w:lineRule="auto"/>
        <w:tabs>
          <w:tab w:leader="none" w:pos="3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Lessee shall pay the Lessor rent and shall make all other payments it is obligated to pay in accordance with this agreement for the entire period of the tenancy, even if for any reason not under the Lessor’s liability the Lessee uses solely part of the rented premises and/or solely part of the time, whether of its own will or not of its own will.</w:t>
      </w:r>
    </w:p>
    <w:p>
      <w:pPr>
        <w:spacing w:after="0" w:line="201"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Lessee hereby waives any contention of offset and the cause of action of offset, whether current and/or future, of any amount, whether limited or not, of the rent and/or the management fees and/or any other payment owing to the Lessor,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371475</wp:posOffset>
            </wp:positionV>
            <wp:extent cx="7257415" cy="209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602" w:name="page603"/>
    <w:bookmarkEnd w:id="602"/>
    <w:p>
      <w:pPr>
        <w:ind w:left="597" w:hanging="597"/>
        <w:spacing w:after="0"/>
        <w:tabs>
          <w:tab w:leader="none" w:pos="597" w:val="left"/>
        </w:tabs>
        <w:numPr>
          <w:ilvl w:val="0"/>
          <w:numId w:val="513"/>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Payments</w:t>
      </w:r>
    </w:p>
    <w:p>
      <w:pPr>
        <w:spacing w:after="0" w:line="247" w:lineRule="exact"/>
        <w:rPr>
          <w:rFonts w:ascii="Arial" w:cs="Arial" w:eastAsia="Arial" w:hAnsi="Arial"/>
          <w:sz w:val="17"/>
          <w:szCs w:val="17"/>
          <w:color w:val="auto"/>
        </w:rPr>
      </w:pPr>
    </w:p>
    <w:p>
      <w:pPr>
        <w:ind w:left="617"/>
        <w:spacing w:after="0"/>
        <w:rPr>
          <w:rFonts w:ascii="Arial" w:cs="Arial" w:eastAsia="Arial" w:hAnsi="Arial"/>
          <w:sz w:val="17"/>
          <w:szCs w:val="17"/>
          <w:color w:val="auto"/>
        </w:rPr>
      </w:pPr>
      <w:r>
        <w:rPr>
          <w:rFonts w:ascii="Arial" w:cs="Arial" w:eastAsia="Arial" w:hAnsi="Arial"/>
          <w:sz w:val="16"/>
          <w:szCs w:val="16"/>
          <w:color w:val="auto"/>
        </w:rPr>
        <w:t>a.  In addition to the other payments specified herein in this agreement, the following payments shall apply to the Lessee during the tenancy period:</w:t>
      </w:r>
    </w:p>
    <w:p>
      <w:pPr>
        <w:spacing w:after="0" w:line="253" w:lineRule="exact"/>
        <w:rPr>
          <w:rFonts w:ascii="Arial" w:cs="Arial" w:eastAsia="Arial" w:hAnsi="Arial"/>
          <w:sz w:val="17"/>
          <w:szCs w:val="17"/>
          <w:color w:val="auto"/>
        </w:rPr>
      </w:pPr>
    </w:p>
    <w:p>
      <w:pPr>
        <w:jc w:val="both"/>
        <w:ind w:left="1237" w:hanging="311"/>
        <w:spacing w:after="0" w:line="279" w:lineRule="auto"/>
        <w:tabs>
          <w:tab w:leader="none" w:pos="1237" w:val="left"/>
        </w:tabs>
        <w:numPr>
          <w:ilvl w:val="2"/>
          <w:numId w:val="513"/>
        </w:numPr>
        <w:rPr>
          <w:rFonts w:ascii="Arial" w:cs="Arial" w:eastAsia="Arial" w:hAnsi="Arial"/>
          <w:sz w:val="16"/>
          <w:szCs w:val="16"/>
          <w:color w:val="auto"/>
        </w:rPr>
      </w:pPr>
      <w:r>
        <w:rPr>
          <w:rFonts w:ascii="Arial" w:cs="Arial" w:eastAsia="Arial" w:hAnsi="Arial"/>
          <w:sz w:val="16"/>
          <w:szCs w:val="16"/>
          <w:color w:val="auto"/>
        </w:rPr>
        <w:t>All taxes, municipal rates, fees, charges, municipal and government, of any kind that apply and/or shall apply to the holder of the rented premises and/or imposed in respect of the very use of the rented premises, including, but not solely, general municipal rates, garbage removal expenses and other municipal taxes and/or such involved in the business the Lessee runs in the rented premises and/or the objective of the rental, including business tax, signage tax, fees and licenses for a business and management thereof, save for charges and taxes applying by the nature thereof to the owners of property such as: the charge for sewage and paving roads, betterment charge, etc.</w:t>
      </w:r>
    </w:p>
    <w:p>
      <w:pPr>
        <w:spacing w:after="0" w:line="191" w:lineRule="exact"/>
        <w:rPr>
          <w:rFonts w:ascii="Arial" w:cs="Arial" w:eastAsia="Arial" w:hAnsi="Arial"/>
          <w:sz w:val="16"/>
          <w:szCs w:val="16"/>
          <w:color w:val="auto"/>
        </w:rPr>
      </w:pPr>
    </w:p>
    <w:p>
      <w:pPr>
        <w:ind w:left="1237" w:hanging="311"/>
        <w:spacing w:after="0"/>
        <w:tabs>
          <w:tab w:leader="none" w:pos="1237" w:val="left"/>
        </w:tabs>
        <w:numPr>
          <w:ilvl w:val="2"/>
          <w:numId w:val="513"/>
        </w:numPr>
        <w:rPr>
          <w:rFonts w:ascii="Arial" w:cs="Arial" w:eastAsia="Arial" w:hAnsi="Arial"/>
          <w:sz w:val="17"/>
          <w:szCs w:val="17"/>
          <w:color w:val="auto"/>
        </w:rPr>
      </w:pPr>
      <w:r>
        <w:rPr>
          <w:rFonts w:ascii="Arial" w:cs="Arial" w:eastAsia="Arial" w:hAnsi="Arial"/>
          <w:sz w:val="17"/>
          <w:szCs w:val="17"/>
          <w:color w:val="auto"/>
        </w:rPr>
        <w:t>All fees and payments relating to the consumption of electricity in the rented premises.</w:t>
      </w:r>
    </w:p>
    <w:p>
      <w:pPr>
        <w:spacing w:after="0" w:line="241" w:lineRule="exact"/>
        <w:rPr>
          <w:rFonts w:ascii="Arial" w:cs="Arial" w:eastAsia="Arial" w:hAnsi="Arial"/>
          <w:sz w:val="17"/>
          <w:szCs w:val="17"/>
          <w:color w:val="auto"/>
        </w:rPr>
      </w:pPr>
    </w:p>
    <w:p>
      <w:pPr>
        <w:ind w:left="1237"/>
        <w:spacing w:after="0" w:line="278" w:lineRule="auto"/>
        <w:rPr>
          <w:rFonts w:ascii="Arial" w:cs="Arial" w:eastAsia="Arial" w:hAnsi="Arial"/>
          <w:sz w:val="17"/>
          <w:szCs w:val="17"/>
          <w:color w:val="auto"/>
        </w:rPr>
      </w:pPr>
      <w:r>
        <w:rPr>
          <w:rFonts w:ascii="Arial" w:cs="Arial" w:eastAsia="Arial" w:hAnsi="Arial"/>
          <w:sz w:val="17"/>
          <w:szCs w:val="17"/>
          <w:color w:val="auto"/>
        </w:rPr>
        <w:t>The Lessee declares that it is aware that the Lessor is the owner of the sole rights vis-à-vis the Israel Electric Corporation Ltd. (hereinafter: “the Electric Corporation”) with respect to all that is connected to receiving electricity in the building.</w:t>
      </w:r>
    </w:p>
    <w:p>
      <w:pPr>
        <w:spacing w:after="0" w:line="190" w:lineRule="exact"/>
        <w:rPr>
          <w:rFonts w:ascii="Arial" w:cs="Arial" w:eastAsia="Arial" w:hAnsi="Arial"/>
          <w:sz w:val="17"/>
          <w:szCs w:val="17"/>
          <w:color w:val="auto"/>
        </w:rPr>
      </w:pPr>
    </w:p>
    <w:p>
      <w:pPr>
        <w:ind w:left="1237"/>
        <w:spacing w:after="0" w:line="278" w:lineRule="auto"/>
        <w:rPr>
          <w:rFonts w:ascii="Arial" w:cs="Arial" w:eastAsia="Arial" w:hAnsi="Arial"/>
          <w:sz w:val="17"/>
          <w:szCs w:val="17"/>
          <w:color w:val="auto"/>
        </w:rPr>
      </w:pPr>
      <w:r>
        <w:rPr>
          <w:rFonts w:ascii="Arial" w:cs="Arial" w:eastAsia="Arial" w:hAnsi="Arial"/>
          <w:sz w:val="17"/>
          <w:szCs w:val="17"/>
          <w:color w:val="auto"/>
        </w:rPr>
        <w:t>In light of the aforesaid, the Lessor hereby undertakes to supply the rented premises with electricity under the conditions and at a rate according to system load and consumption times for low voltage, customary from time to time, at the Israel Electric Corporation.</w:t>
      </w:r>
    </w:p>
    <w:p>
      <w:pPr>
        <w:spacing w:after="0" w:line="190" w:lineRule="exact"/>
        <w:rPr>
          <w:rFonts w:ascii="Arial" w:cs="Arial" w:eastAsia="Arial" w:hAnsi="Arial"/>
          <w:sz w:val="17"/>
          <w:szCs w:val="17"/>
          <w:color w:val="auto"/>
        </w:rPr>
      </w:pPr>
    </w:p>
    <w:p>
      <w:pPr>
        <w:jc w:val="both"/>
        <w:ind w:left="1237"/>
        <w:spacing w:after="0" w:line="279" w:lineRule="auto"/>
        <w:rPr>
          <w:rFonts w:ascii="Arial" w:cs="Arial" w:eastAsia="Arial" w:hAnsi="Arial"/>
          <w:sz w:val="17"/>
          <w:szCs w:val="17"/>
          <w:color w:val="auto"/>
        </w:rPr>
      </w:pPr>
      <w:r>
        <w:rPr>
          <w:rFonts w:ascii="Arial" w:cs="Arial" w:eastAsia="Arial" w:hAnsi="Arial"/>
          <w:sz w:val="16"/>
          <w:szCs w:val="16"/>
          <w:color w:val="auto"/>
        </w:rPr>
        <w:t>The Lessee hereby waives absolutely, finally and irrevocably the right thereof to enter into agreement with the Electric Corporation with respect to any matter and issue pertaining to the supply of electricity to the rented premises. It hereby declares and undertakes that its sole partner with respect to all that pertains to the supply of electricity to the rented premises shall be solely the Lessor (or, at the Lessor’s request, the management company) and that it has no claims and shall have no claims and it hereby waives finally, absolutely and irrevocably any claims against the Electric Corporation concerning anything related to the supply of electricity to the rented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7415" cy="209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3" w:right="239" w:bottom="1440" w:gutter="0" w:footer="0" w:header="0"/>
        </w:sectPr>
      </w:pPr>
    </w:p>
    <w:bookmarkStart w:id="603" w:name="page604"/>
    <w:bookmarkEnd w:id="603"/>
    <w:p>
      <w:pPr>
        <w:jc w:val="both"/>
        <w:ind w:left="40"/>
        <w:spacing w:after="0" w:line="257" w:lineRule="auto"/>
        <w:rPr>
          <w:sz w:val="20"/>
          <w:szCs w:val="20"/>
          <w:color w:val="auto"/>
        </w:rPr>
      </w:pPr>
      <w:r>
        <w:rPr>
          <w:rFonts w:ascii="Arial" w:cs="Arial" w:eastAsia="Arial" w:hAnsi="Arial"/>
          <w:sz w:val="17"/>
          <w:szCs w:val="17"/>
          <w:color w:val="auto"/>
        </w:rPr>
        <w:t>The Lessee may not request directly of the Electric Corporation and/or any other entity, apart from the Lessor, that it shall supply electricity and it shall not contact the Electric Corporation with a request to install a separate electricity meter or to make payment directly to the Electric Corporation. The Lessee shall have no claim concerning any cause of action whatsoever against the Electric Corporation in respect of the failure to supply electricity or disruptions in the supply of electricity. Without derogating from the aforesaid, if the Lessee installs electronic equipment or any electricity whatsoever, it shall not be permitted to come forward with any protest or claim whatsoever as a result of the cessation of the supply of electricity and/or disruption in the supply thereof.</w:t>
      </w:r>
    </w:p>
    <w:p>
      <w:pPr>
        <w:spacing w:after="0" w:line="210" w:lineRule="exact"/>
        <w:rPr>
          <w:sz w:val="20"/>
          <w:szCs w:val="20"/>
          <w:color w:val="auto"/>
        </w:rPr>
      </w:pPr>
    </w:p>
    <w:p>
      <w:pPr>
        <w:jc w:val="both"/>
        <w:ind w:left="40"/>
        <w:spacing w:after="0" w:line="292" w:lineRule="auto"/>
        <w:rPr>
          <w:sz w:val="20"/>
          <w:szCs w:val="20"/>
          <w:color w:val="auto"/>
        </w:rPr>
      </w:pPr>
      <w:r>
        <w:rPr>
          <w:rFonts w:ascii="Arial" w:cs="Arial" w:eastAsia="Arial" w:hAnsi="Arial"/>
          <w:sz w:val="15"/>
          <w:szCs w:val="15"/>
          <w:color w:val="auto"/>
        </w:rPr>
        <w:t>The Lessor may visit the rented premises at any reasonable time and, insofar as possible following prior coordination, to inspect any electrical device and equipment connected to the electricity grid, to test the safety thereof and the adaptation thereof to the safety standards and customary consumption habits, as such may be from time to time. If an electrical engineer on behalf of the Lessor believes that alterations must be made to the electricity system within the rented premises or that any electrical equipment whatsoever installed in the rented premises is likely to cause damage to the supply of electricity and/or that it comprises a safety drawback or hazard and/or it fails to meet accepted safety standards and/or the load it is likely to impose on the electricity system is likely to disrupt the operation thereof or cause excessive expenses, the engineer shall demand the repair and/or replacement and/or alteration of the system or equipment, as aforesaid, and the Lessee undertakes to take any means necessary, at its own expense, at the earliest possible time, provided that it installed the electrical device in the rented premises and/or it was installed at its request. The Lessee shall be liable for any damage caused to the Lessee and/or the Lessor and/or the rented premises and/or the equipment and building systems as a result of the operation of the improper electrical device that it installed and/or had installed at its request in the rented premises or that was damaged as a result of the unreasonable use of the rented premises by the Lessee.</w:t>
      </w:r>
    </w:p>
    <w:p>
      <w:pPr>
        <w:spacing w:after="0" w:line="187" w:lineRule="exact"/>
        <w:rPr>
          <w:sz w:val="20"/>
          <w:szCs w:val="20"/>
          <w:color w:val="auto"/>
        </w:rPr>
      </w:pPr>
    </w:p>
    <w:p>
      <w:pPr>
        <w:jc w:val="both"/>
        <w:ind w:left="40"/>
        <w:spacing w:after="0" w:line="257" w:lineRule="auto"/>
        <w:rPr>
          <w:sz w:val="20"/>
          <w:szCs w:val="20"/>
          <w:color w:val="auto"/>
        </w:rPr>
      </w:pPr>
      <w:r>
        <w:rPr>
          <w:rFonts w:ascii="Arial" w:cs="Arial" w:eastAsia="Arial" w:hAnsi="Arial"/>
          <w:sz w:val="17"/>
          <w:szCs w:val="17"/>
          <w:color w:val="auto"/>
        </w:rPr>
        <w:t>The Lessor is aware and agrees that the Lessee may install a bellows in the Gallery Area and an additional bellows, chiller and generator in the Machinery Area, all at the liability and expense of the Lessee and subject to the provisions of section 14 herein below. It is clarified that subject to the agreement of the parties with respect to the conditions of maintenance and price thereof, the Lessor shall agree to maintain the bellows, the chiller and the generator, as aforesaid. Nonetheless, in any event, the Lessee shall bear liability for faults in any of the equipment, as aforesaid and any damage that is caused (insofar as such is caused) to the Lessee, the Lessor or any third party in connection thereto and the Lessor shall not bear any liability in connection therewith.</w:t>
      </w:r>
    </w:p>
    <w:p>
      <w:pPr>
        <w:spacing w:after="0" w:line="210" w:lineRule="exact"/>
        <w:rPr>
          <w:sz w:val="20"/>
          <w:szCs w:val="20"/>
          <w:color w:val="auto"/>
        </w:rPr>
      </w:pPr>
    </w:p>
    <w:p>
      <w:pPr>
        <w:jc w:val="both"/>
        <w:ind w:left="40"/>
        <w:spacing w:after="0" w:line="278" w:lineRule="auto"/>
        <w:rPr>
          <w:sz w:val="20"/>
          <w:szCs w:val="20"/>
          <w:color w:val="auto"/>
        </w:rPr>
      </w:pPr>
      <w:r>
        <w:rPr>
          <w:rFonts w:ascii="Arial" w:cs="Arial" w:eastAsia="Arial" w:hAnsi="Arial"/>
          <w:sz w:val="17"/>
          <w:szCs w:val="17"/>
          <w:color w:val="auto"/>
        </w:rPr>
        <w:t>Without derogating from the aforesaid in any other place, the supply of electricity to the rented premises and/or other places in the building may be halted and/or limited in the following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371475</wp:posOffset>
            </wp:positionV>
            <wp:extent cx="7257415" cy="209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0" w:right="239" w:bottom="1440" w:gutter="0" w:footer="0" w:header="0"/>
        </w:sectPr>
      </w:pPr>
    </w:p>
    <w:bookmarkStart w:id="604" w:name="page605"/>
    <w:bookmarkEnd w:id="604"/>
    <w:p>
      <w:pPr>
        <w:ind w:left="340" w:hanging="302"/>
        <w:spacing w:after="0"/>
        <w:tabs>
          <w:tab w:leader="none" w:pos="3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Any disturbance in the electric current from the Electric Corporation reaching the building, for any reason</w:t>
      </w:r>
    </w:p>
    <w:p>
      <w:pPr>
        <w:spacing w:after="0" w:line="21" w:lineRule="exact"/>
        <w:rPr>
          <w:rFonts w:ascii="Arial" w:cs="Arial" w:eastAsia="Arial" w:hAnsi="Arial"/>
          <w:sz w:val="17"/>
          <w:szCs w:val="17"/>
          <w:color w:val="auto"/>
        </w:rPr>
      </w:pPr>
    </w:p>
    <w:p>
      <w:pPr>
        <w:ind w:left="340" w:hanging="302"/>
        <w:spacing w:after="0"/>
        <w:tabs>
          <w:tab w:leader="none" w:pos="3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In any event where there is risk or concern for risk to person or property</w:t>
      </w:r>
    </w:p>
    <w:p>
      <w:pPr>
        <w:spacing w:after="0" w:line="10" w:lineRule="exact"/>
        <w:rPr>
          <w:rFonts w:ascii="Arial" w:cs="Arial" w:eastAsia="Arial" w:hAnsi="Arial"/>
          <w:sz w:val="17"/>
          <w:szCs w:val="17"/>
          <w:color w:val="auto"/>
        </w:rPr>
      </w:pPr>
    </w:p>
    <w:p>
      <w:pPr>
        <w:ind w:left="340" w:hanging="302"/>
        <w:spacing w:after="0"/>
        <w:tabs>
          <w:tab w:leader="none" w:pos="3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In any other event where an electrical engineer on behalf of the Lessor instructs that the electricity supply must be halted.</w:t>
      </w:r>
    </w:p>
    <w:p>
      <w:pPr>
        <w:spacing w:after="0" w:line="231" w:lineRule="exact"/>
        <w:rPr>
          <w:sz w:val="20"/>
          <w:szCs w:val="20"/>
          <w:color w:val="auto"/>
        </w:rPr>
      </w:pPr>
    </w:p>
    <w:p>
      <w:pPr>
        <w:jc w:val="both"/>
        <w:ind w:left="40"/>
        <w:spacing w:after="0" w:line="347" w:lineRule="auto"/>
        <w:rPr>
          <w:sz w:val="20"/>
          <w:szCs w:val="20"/>
          <w:color w:val="auto"/>
        </w:rPr>
      </w:pPr>
      <w:r>
        <w:rPr>
          <w:rFonts w:ascii="Arial" w:cs="Arial" w:eastAsia="Arial" w:hAnsi="Arial"/>
          <w:sz w:val="15"/>
          <w:szCs w:val="15"/>
          <w:color w:val="auto"/>
        </w:rPr>
        <w:t>Insofar as possible, the Lessor shall coordinate with the Lessee in advance such anticipated suspensions and/or disruptions in the electricity supply to the rented premises. The Lessor shall act swiftly and efficiently to renew the electricity supply fully or partially at the earliest possible time.</w:t>
      </w:r>
    </w:p>
    <w:p>
      <w:pPr>
        <w:spacing w:after="0" w:line="144" w:lineRule="exact"/>
        <w:rPr>
          <w:sz w:val="20"/>
          <w:szCs w:val="20"/>
          <w:color w:val="auto"/>
        </w:rPr>
      </w:pPr>
    </w:p>
    <w:p>
      <w:pPr>
        <w:jc w:val="both"/>
        <w:ind w:left="40"/>
        <w:spacing w:after="0" w:line="259" w:lineRule="auto"/>
        <w:rPr>
          <w:sz w:val="20"/>
          <w:szCs w:val="20"/>
          <w:color w:val="auto"/>
        </w:rPr>
      </w:pPr>
      <w:r>
        <w:rPr>
          <w:rFonts w:ascii="Arial" w:cs="Arial" w:eastAsia="Arial" w:hAnsi="Arial"/>
          <w:sz w:val="17"/>
          <w:szCs w:val="17"/>
          <w:color w:val="auto"/>
        </w:rPr>
        <w:t>The Lessor may arrange for controls, inspections, handling and repairs of electrical devices and all equipment in connection with the electricity system, as it deems proper, from time to time and, for this purpose it may from time to time, subject to advance written notice, save for in emergencies or unanticipated instances, temporarily disconnect the electricity supply to the rented premises and/or the building, partially or fully. The Lessor shall act insofar as possible to curtail the time period of such electricity breaks, as aforesaid. The Lessee hereby waives any contention and claim in connection thereto.</w:t>
      </w:r>
    </w:p>
    <w:p>
      <w:pPr>
        <w:spacing w:after="0" w:line="206" w:lineRule="exact"/>
        <w:rPr>
          <w:sz w:val="20"/>
          <w:szCs w:val="20"/>
          <w:color w:val="auto"/>
        </w:rPr>
      </w:pPr>
    </w:p>
    <w:p>
      <w:pPr>
        <w:jc w:val="both"/>
        <w:ind w:left="40"/>
        <w:spacing w:after="0" w:line="282" w:lineRule="auto"/>
        <w:rPr>
          <w:sz w:val="20"/>
          <w:szCs w:val="20"/>
          <w:color w:val="auto"/>
        </w:rPr>
      </w:pPr>
      <w:r>
        <w:rPr>
          <w:rFonts w:ascii="Arial" w:cs="Arial" w:eastAsia="Arial" w:hAnsi="Arial"/>
          <w:sz w:val="16"/>
          <w:szCs w:val="16"/>
          <w:color w:val="auto"/>
        </w:rPr>
        <w:t>In the event of a break in the supply of electricity to the rented premises, the Lessee shall be liable from every aspect and at any time to operate the Lessee’s generator to supply electricity to the rented premises, if and insofar as the Lessee has a generator as aforesaid and insofar as the Lessee opts to do so. The parties hereby clarify and agree that the Lessor shall not be liable, at any time and for any reason, for the operation and/or non-operation of the generator of the Lessee, if and insofar as such generator shall be installed, as aforesaid.</w:t>
      </w:r>
    </w:p>
    <w:p>
      <w:pPr>
        <w:spacing w:after="0" w:line="190" w:lineRule="exact"/>
        <w:rPr>
          <w:sz w:val="20"/>
          <w:szCs w:val="20"/>
          <w:color w:val="auto"/>
        </w:rPr>
      </w:pPr>
    </w:p>
    <w:p>
      <w:pPr>
        <w:jc w:val="both"/>
        <w:ind w:left="40"/>
        <w:spacing w:after="0" w:line="261" w:lineRule="auto"/>
        <w:rPr>
          <w:sz w:val="20"/>
          <w:szCs w:val="20"/>
          <w:color w:val="auto"/>
        </w:rPr>
      </w:pPr>
      <w:r>
        <w:rPr>
          <w:rFonts w:ascii="Arial" w:cs="Arial" w:eastAsia="Arial" w:hAnsi="Arial"/>
          <w:sz w:val="17"/>
          <w:szCs w:val="17"/>
          <w:color w:val="auto"/>
        </w:rPr>
        <w:t>The Lessee hereby undertakes to pay the Lessor (or at the request thereof to the management company) in respect of the consumption of electricity in the rented premises throughout the entire period of the tenancy in accordance with the reading of an electricity meter in the rented premises and the rate according to system load and consumption times for low voltage of the Electric Corporation, as they may be at the times of the charge,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380365</wp:posOffset>
            </wp:positionV>
            <wp:extent cx="7257415" cy="209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0" w:right="239" w:bottom="1440" w:gutter="0" w:footer="0" w:header="0"/>
        </w:sectPr>
      </w:pPr>
    </w:p>
    <w:bookmarkStart w:id="605" w:name="page606"/>
    <w:bookmarkEnd w:id="605"/>
    <w:p>
      <w:pPr>
        <w:jc w:val="both"/>
        <w:ind w:left="40"/>
        <w:spacing w:after="0" w:line="274" w:lineRule="auto"/>
        <w:rPr>
          <w:sz w:val="20"/>
          <w:szCs w:val="20"/>
          <w:color w:val="auto"/>
        </w:rPr>
      </w:pPr>
      <w:r>
        <w:rPr>
          <w:rFonts w:ascii="Arial" w:cs="Arial" w:eastAsia="Arial" w:hAnsi="Arial"/>
          <w:sz w:val="16"/>
          <w:szCs w:val="16"/>
          <w:color w:val="auto"/>
        </w:rPr>
        <w:t>The Lessor is obligated to pay the Electric Corporation for the electricity to be supplied to the building without any connection to the Lessor’s success in collecting the sums in respect of electricity consumption from the tenants. Accordingly, the Lessee hereby gives its consent that the Lessor (or the management company) may, subsequent to providing written warning of at least 72 hours in advance, disconnect the electricity supply to the rented premises, both in respect of the failure to pay for electricity consumption, as aforesaid, and in any event of a fundamental breach of this agreement by the Lessee, provided that solely for the purposes of this section it shall not be deemed a fundamental breach of the agreement but rather a breach with respect whereto written warning of 14 days was given to the Lessee and it failed to rectify the breach within this 14-day period. The Lessee hereby explicitly exempts the Lessor from any liability for any deficit and/or damage and/or loss likely to be caused thereto as a result of the interruption in the electricity supply in the circumstances specified herein above.</w:t>
      </w:r>
    </w:p>
    <w:p>
      <w:pPr>
        <w:spacing w:after="0" w:line="198" w:lineRule="exact"/>
        <w:rPr>
          <w:sz w:val="20"/>
          <w:szCs w:val="20"/>
          <w:color w:val="auto"/>
        </w:rPr>
      </w:pPr>
    </w:p>
    <w:p>
      <w:pPr>
        <w:jc w:val="both"/>
        <w:ind w:left="40"/>
        <w:spacing w:after="0" w:line="296" w:lineRule="auto"/>
        <w:rPr>
          <w:sz w:val="20"/>
          <w:szCs w:val="20"/>
          <w:color w:val="auto"/>
        </w:rPr>
      </w:pPr>
      <w:r>
        <w:rPr>
          <w:rFonts w:ascii="Arial" w:cs="Arial" w:eastAsia="Arial" w:hAnsi="Arial"/>
          <w:sz w:val="15"/>
          <w:szCs w:val="15"/>
          <w:color w:val="auto"/>
        </w:rPr>
        <w:t>Notwithstanding the aforesaid, if, for any reason whatsoever, the electricity to the building shall not be supplied in bulk or the Lessor shall request that the rented premises or any part of the building shall be connected to the ordinary supply of electricity (not in bulk), whether permanently or temporarily, at the Lessor’s request, the Lessor shall contact the Electric Company directly concerning all matters connected to the supply of electricity to the rented premises and the consumption thereof by the Lessee and the aforesaid herein in this section shall be revoked or altered, as the case may be, and all conditions and rules of the Electric Corporation regarding all that pertains to the connection and supply of electricity to the Lessee shall apply to the Lessee. The Lessee shall bear all expenses involved in connection with the aforesaid herein in this section. In the event that the Lessor requests that the Lessee be returned to the supply of electricity in bulk, the Lessee shall act as required.</w:t>
      </w:r>
    </w:p>
    <w:p>
      <w:pPr>
        <w:spacing w:after="0" w:line="183" w:lineRule="exact"/>
        <w:rPr>
          <w:sz w:val="20"/>
          <w:szCs w:val="20"/>
          <w:color w:val="auto"/>
        </w:rPr>
      </w:pPr>
    </w:p>
    <w:p>
      <w:pPr>
        <w:jc w:val="both"/>
        <w:ind w:left="40"/>
        <w:spacing w:after="0" w:line="261" w:lineRule="auto"/>
        <w:rPr>
          <w:sz w:val="20"/>
          <w:szCs w:val="20"/>
          <w:color w:val="auto"/>
        </w:rPr>
      </w:pPr>
      <w:r>
        <w:rPr>
          <w:rFonts w:ascii="Arial" w:cs="Arial" w:eastAsia="Arial" w:hAnsi="Arial"/>
          <w:sz w:val="17"/>
          <w:szCs w:val="17"/>
          <w:color w:val="auto"/>
        </w:rPr>
        <w:t>Without derogating from the remaining provisions of the agreement with respect to the arrangement of alterations in the rented premises and as a special and fundamental provision of the agreement, the Lessee hereby undertakes to refrain from performing any works and/or alterations whatsoever in the electricity system in the rented premises and/or the building and/or any part thereof without obtaining the consent of the Lessor in writing and in advance and subject to the conditions of such consent.</w:t>
      </w:r>
    </w:p>
    <w:p>
      <w:pPr>
        <w:spacing w:after="0" w:line="204" w:lineRule="exact"/>
        <w:rPr>
          <w:sz w:val="20"/>
          <w:szCs w:val="20"/>
          <w:color w:val="auto"/>
        </w:rPr>
      </w:pPr>
    </w:p>
    <w:p>
      <w:pPr>
        <w:jc w:val="both"/>
        <w:ind w:left="40"/>
        <w:spacing w:after="0" w:line="282" w:lineRule="auto"/>
        <w:rPr>
          <w:sz w:val="20"/>
          <w:szCs w:val="20"/>
          <w:color w:val="auto"/>
        </w:rPr>
      </w:pPr>
      <w:r>
        <w:rPr>
          <w:rFonts w:ascii="Arial" w:cs="Arial" w:eastAsia="Arial" w:hAnsi="Arial"/>
          <w:sz w:val="16"/>
          <w:szCs w:val="16"/>
          <w:color w:val="auto"/>
        </w:rPr>
        <w:t>In the event that as a result of a law, regulation, order or act of a government authority and/or other competent authority, in the opinion of the Lessor it becomes necessary to perform any alterations in the system of the electricity supply to the rented premises, the Lessor shall perform all such alterations, as aforesaid, and the Lessee shall have no contention whatsoever in respect of the performance of the alteration, as aforesaid. The Lessor shall coordinate the performance of the adaptation works, as aforesaid, with the Lessee, save for in urgent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371475</wp:posOffset>
            </wp:positionV>
            <wp:extent cx="7257415" cy="209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606" w:name="page607"/>
    <w:bookmarkEnd w:id="606"/>
    <w:p>
      <w:pPr>
        <w:jc w:val="both"/>
        <w:ind w:left="40"/>
        <w:spacing w:after="0" w:line="259" w:lineRule="auto"/>
        <w:rPr>
          <w:sz w:val="20"/>
          <w:szCs w:val="20"/>
          <w:color w:val="auto"/>
        </w:rPr>
      </w:pPr>
      <w:r>
        <w:rPr>
          <w:rFonts w:ascii="Arial" w:cs="Arial" w:eastAsia="Arial" w:hAnsi="Arial"/>
          <w:sz w:val="17"/>
          <w:szCs w:val="17"/>
          <w:color w:val="auto"/>
        </w:rPr>
        <w:t xml:space="preserve">In addition, the Lessee shall pay the Lessor for the consumption of electricity for air-conditioning of the rented premises, pursuant to the relative consumption of water or electricity of the air-conditioning system in the building, in accordance with </w:t>
      </w:r>
      <w:r>
        <w:rPr>
          <w:rFonts w:ascii="Arial" w:cs="Arial" w:eastAsia="Arial" w:hAnsi="Arial"/>
          <w:sz w:val="17"/>
          <w:szCs w:val="17"/>
          <w:u w:val="single" w:color="auto"/>
          <w:color w:val="auto"/>
        </w:rPr>
        <w:t>Appendix E</w:t>
      </w:r>
      <w:r>
        <w:rPr>
          <w:rFonts w:ascii="Arial" w:cs="Arial" w:eastAsia="Arial" w:hAnsi="Arial"/>
          <w:sz w:val="17"/>
          <w:szCs w:val="17"/>
          <w:color w:val="auto"/>
        </w:rPr>
        <w:t xml:space="preserve"> of this agreement, while the Lessee’s share shall be calculated according to the share of the rented premises in relation to the entire rented areas in the building. For the avoidance of doubt, the expenses in respect of electricity for air-conditioning shall come in addition to the rent and maintenance fees, pursuant to this agreement.</w:t>
      </w:r>
    </w:p>
    <w:p>
      <w:pPr>
        <w:spacing w:after="0" w:line="206" w:lineRule="exact"/>
        <w:rPr>
          <w:sz w:val="20"/>
          <w:szCs w:val="20"/>
          <w:color w:val="auto"/>
        </w:rPr>
      </w:pPr>
    </w:p>
    <w:p>
      <w:pPr>
        <w:jc w:val="both"/>
        <w:ind w:left="40"/>
        <w:spacing w:after="0" w:line="265" w:lineRule="auto"/>
        <w:rPr>
          <w:sz w:val="20"/>
          <w:szCs w:val="20"/>
          <w:color w:val="auto"/>
        </w:rPr>
      </w:pPr>
      <w:r>
        <w:rPr>
          <w:rFonts w:ascii="Arial" w:cs="Arial" w:eastAsia="Arial" w:hAnsi="Arial"/>
          <w:sz w:val="17"/>
          <w:szCs w:val="17"/>
          <w:color w:val="auto"/>
        </w:rPr>
        <w:t>It is clarified that the Lessee has requested to supply the Old Wing Area with air-conditioning with a higher than ordinary level of cooling. In addition to the aforesaid in any other place, the Lessee shall pay the Lessor an additional payment in respect of the supply of air-conditioning with a stronger cooling power than ordinary, in accordance with the formula specified in Appendix E1.</w:t>
      </w:r>
    </w:p>
    <w:p>
      <w:pPr>
        <w:spacing w:after="0" w:line="201" w:lineRule="exact"/>
        <w:rPr>
          <w:sz w:val="20"/>
          <w:szCs w:val="20"/>
          <w:color w:val="auto"/>
        </w:rPr>
      </w:pPr>
    </w:p>
    <w:p>
      <w:pPr>
        <w:jc w:val="both"/>
        <w:ind w:left="40"/>
        <w:spacing w:after="0" w:line="306" w:lineRule="auto"/>
        <w:rPr>
          <w:sz w:val="20"/>
          <w:szCs w:val="20"/>
          <w:color w:val="auto"/>
        </w:rPr>
      </w:pPr>
      <w:r>
        <w:rPr>
          <w:rFonts w:ascii="Arial" w:cs="Arial" w:eastAsia="Arial" w:hAnsi="Arial"/>
          <w:sz w:val="15"/>
          <w:szCs w:val="15"/>
          <w:color w:val="auto"/>
        </w:rPr>
        <w:t>The Lessor shall not bear liability and/or any obligation in connection with any damage, including direct damage and/or resulting damage and/or indirect damage the Lessee or any person, institution or corporation incurs as a result of a break in the supply of electricity and/or air-conditioning to the rented premises by the Lessor, as a result of the failure to pay on time as aforesaid, save in the event that such damage was caused as a result of a break in the electricity supply by the Lessor with malicious intent and not in accordance with the provisions of this agreement.</w:t>
      </w:r>
    </w:p>
    <w:p>
      <w:pPr>
        <w:spacing w:after="0" w:line="175" w:lineRule="exact"/>
        <w:rPr>
          <w:sz w:val="20"/>
          <w:szCs w:val="20"/>
          <w:color w:val="auto"/>
        </w:rPr>
      </w:pPr>
    </w:p>
    <w:p>
      <w:pPr>
        <w:jc w:val="both"/>
        <w:ind w:left="40"/>
        <w:spacing w:after="0" w:line="273" w:lineRule="auto"/>
        <w:rPr>
          <w:sz w:val="20"/>
          <w:szCs w:val="20"/>
          <w:color w:val="auto"/>
        </w:rPr>
      </w:pPr>
      <w:r>
        <w:rPr>
          <w:rFonts w:ascii="Arial" w:cs="Arial" w:eastAsia="Arial" w:hAnsi="Arial"/>
          <w:sz w:val="16"/>
          <w:szCs w:val="16"/>
          <w:color w:val="auto"/>
        </w:rPr>
        <w:t>The Lessee hereby waives finally, absolutely and irrevocably any right to sue the Lessor and/or the management company in respect of breaks in the supply of electricity to the rented premises and/or the building and/or disruptions in such supply, provided that the Lessor failed to perform such disruptions with malicious intent and not in accordance with the provisions of this agreement and did its best to renew the regular supply thereof as soon as possible. The Lessee hereby exempts the Lessor explicitly from any liability for a deficit and/or damage and/or loss it is likely to incur as a result of the disruptions in the electricity supply to the rented premises, save if such were caused as a result of an act or omission with malicious intent of the Lessor and not in accordance with the provisions of this agreement. Notwithstanding the aforesaid in any other place, even if it is found that the Lessor is liable for the damages the Lessee or any third party incurs in any matter, including in connection with the supply or failure to supply electricity to the rented premises and/or other parts of the building, in any event the Lessor and/or the management company shall not bear liability for indirect damages and/or resultant damages and/or damages that are not monetary.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377825</wp:posOffset>
            </wp:positionV>
            <wp:extent cx="7257415" cy="209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499" w:right="239" w:bottom="1440" w:gutter="0" w:footer="0" w:header="0"/>
        </w:sectPr>
      </w:pPr>
    </w:p>
    <w:bookmarkStart w:id="607" w:name="page608"/>
    <w:bookmarkEnd w:id="607"/>
    <w:p>
      <w:pPr>
        <w:ind w:left="1237" w:hanging="311"/>
        <w:spacing w:after="0" w:line="278" w:lineRule="auto"/>
        <w:tabs>
          <w:tab w:leader="none" w:pos="1237" w:val="left"/>
        </w:tabs>
        <w:numPr>
          <w:ilvl w:val="2"/>
          <w:numId w:val="515"/>
        </w:numPr>
        <w:rPr>
          <w:rFonts w:ascii="Arial" w:cs="Arial" w:eastAsia="Arial" w:hAnsi="Arial"/>
          <w:sz w:val="17"/>
          <w:szCs w:val="17"/>
          <w:color w:val="auto"/>
        </w:rPr>
      </w:pPr>
      <w:r>
        <w:rPr>
          <w:rFonts w:ascii="Arial" w:cs="Arial" w:eastAsia="Arial" w:hAnsi="Arial"/>
          <w:sz w:val="17"/>
          <w:szCs w:val="17"/>
          <w:color w:val="auto"/>
        </w:rPr>
        <w:t>The cost of ongoing maintenance of the fire detection system within the rented premises (shall be implemented by the Lessor). The Lessor declares that to date of the signature of this agreement, such cost is estimated at NIS 10 for a detector per month.</w:t>
      </w:r>
    </w:p>
    <w:p>
      <w:pPr>
        <w:spacing w:after="0" w:line="190" w:lineRule="exact"/>
        <w:rPr>
          <w:rFonts w:ascii="Arial" w:cs="Arial" w:eastAsia="Arial" w:hAnsi="Arial"/>
          <w:sz w:val="17"/>
          <w:szCs w:val="17"/>
          <w:color w:val="auto"/>
        </w:rPr>
      </w:pPr>
    </w:p>
    <w:p>
      <w:pPr>
        <w:ind w:left="1237" w:hanging="311"/>
        <w:spacing w:after="0"/>
        <w:tabs>
          <w:tab w:leader="none" w:pos="1237" w:val="left"/>
        </w:tabs>
        <w:numPr>
          <w:ilvl w:val="2"/>
          <w:numId w:val="515"/>
        </w:numPr>
        <w:rPr>
          <w:rFonts w:ascii="Arial" w:cs="Arial" w:eastAsia="Arial" w:hAnsi="Arial"/>
          <w:sz w:val="17"/>
          <w:szCs w:val="17"/>
          <w:color w:val="auto"/>
        </w:rPr>
      </w:pPr>
      <w:r>
        <w:rPr>
          <w:rFonts w:ascii="Arial" w:cs="Arial" w:eastAsia="Arial" w:hAnsi="Arial"/>
          <w:sz w:val="17"/>
          <w:szCs w:val="17"/>
          <w:color w:val="auto"/>
        </w:rPr>
        <w:t>Maintenance services shall be charged at the rate stated in section 16 herein below.</w:t>
      </w:r>
    </w:p>
    <w:p>
      <w:pPr>
        <w:spacing w:after="0" w:line="241" w:lineRule="exact"/>
        <w:rPr>
          <w:rFonts w:ascii="Arial" w:cs="Arial" w:eastAsia="Arial" w:hAnsi="Arial"/>
          <w:sz w:val="17"/>
          <w:szCs w:val="17"/>
          <w:color w:val="auto"/>
        </w:rPr>
      </w:pPr>
    </w:p>
    <w:p>
      <w:pPr>
        <w:jc w:val="both"/>
        <w:ind w:left="1237" w:hanging="311"/>
        <w:spacing w:after="0" w:line="265" w:lineRule="auto"/>
        <w:tabs>
          <w:tab w:leader="none" w:pos="1237" w:val="left"/>
        </w:tabs>
        <w:numPr>
          <w:ilvl w:val="2"/>
          <w:numId w:val="515"/>
        </w:numPr>
        <w:rPr>
          <w:rFonts w:ascii="Arial" w:cs="Arial" w:eastAsia="Arial" w:hAnsi="Arial"/>
          <w:sz w:val="17"/>
          <w:szCs w:val="17"/>
          <w:color w:val="auto"/>
        </w:rPr>
      </w:pPr>
      <w:r>
        <w:rPr>
          <w:rFonts w:ascii="Arial" w:cs="Arial" w:eastAsia="Arial" w:hAnsi="Arial"/>
          <w:sz w:val="17"/>
          <w:szCs w:val="17"/>
          <w:color w:val="auto"/>
        </w:rPr>
        <w:t>All payments and expenses in respect of the supply of gas, water and telephone in the rented premises and any other payment that shall apply in respect of the use of the rented premises and maintenance thereof, including maintenance of the systems therein, including air-conditioning systems within the rented premises.</w:t>
      </w:r>
    </w:p>
    <w:p>
      <w:pPr>
        <w:spacing w:after="0" w:line="201" w:lineRule="exact"/>
        <w:rPr>
          <w:rFonts w:ascii="Arial" w:cs="Arial" w:eastAsia="Arial" w:hAnsi="Arial"/>
          <w:sz w:val="17"/>
          <w:szCs w:val="17"/>
          <w:color w:val="auto"/>
        </w:rPr>
      </w:pPr>
    </w:p>
    <w:p>
      <w:pPr>
        <w:jc w:val="both"/>
        <w:ind w:left="917" w:hanging="300"/>
        <w:spacing w:after="0" w:line="261" w:lineRule="auto"/>
        <w:tabs>
          <w:tab w:leader="none" w:pos="917" w:val="left"/>
        </w:tabs>
        <w:numPr>
          <w:ilvl w:val="1"/>
          <w:numId w:val="516"/>
        </w:numPr>
        <w:rPr>
          <w:rFonts w:ascii="Arial" w:cs="Arial" w:eastAsia="Arial" w:hAnsi="Arial"/>
          <w:sz w:val="17"/>
          <w:szCs w:val="17"/>
          <w:color w:val="auto"/>
        </w:rPr>
      </w:pPr>
      <w:r>
        <w:rPr>
          <w:rFonts w:ascii="Arial" w:cs="Arial" w:eastAsia="Arial" w:hAnsi="Arial"/>
          <w:sz w:val="17"/>
          <w:szCs w:val="17"/>
          <w:color w:val="auto"/>
        </w:rPr>
        <w:t>In the event that any of the sums that the Lessee is to pay the Lessor pursuant to section a above shall be based on an invoice that relates to the entire building, the Lessee shall pay the Lessor the appropriate relative share of the amount of the entire invoice, provided that for the purpose of calculating the relative share of the Lessee in the aforesaid payments, the proportion between the rented premises and the entire area of the building, whereto the invoice relates, shall be taken into account.</w:t>
      </w:r>
    </w:p>
    <w:p>
      <w:pPr>
        <w:spacing w:after="0" w:line="204" w:lineRule="exact"/>
        <w:rPr>
          <w:rFonts w:ascii="Arial" w:cs="Arial" w:eastAsia="Arial" w:hAnsi="Arial"/>
          <w:sz w:val="17"/>
          <w:szCs w:val="17"/>
          <w:color w:val="auto"/>
        </w:rPr>
      </w:pPr>
    </w:p>
    <w:p>
      <w:pPr>
        <w:ind w:left="917" w:hanging="300"/>
        <w:spacing w:after="0"/>
        <w:tabs>
          <w:tab w:leader="none" w:pos="917" w:val="left"/>
        </w:tabs>
        <w:numPr>
          <w:ilvl w:val="1"/>
          <w:numId w:val="516"/>
        </w:numPr>
        <w:rPr>
          <w:rFonts w:ascii="Arial" w:cs="Arial" w:eastAsia="Arial" w:hAnsi="Arial"/>
          <w:sz w:val="17"/>
          <w:szCs w:val="17"/>
          <w:color w:val="auto"/>
        </w:rPr>
      </w:pPr>
      <w:r>
        <w:rPr>
          <w:rFonts w:ascii="Arial" w:cs="Arial" w:eastAsia="Arial" w:hAnsi="Arial"/>
          <w:sz w:val="17"/>
          <w:szCs w:val="17"/>
          <w:color w:val="auto"/>
        </w:rPr>
        <w:t>The Lessee undertakes to ensure of its own accord and at its own expense that the rented premises are cleaned.</w:t>
      </w:r>
    </w:p>
    <w:p>
      <w:pPr>
        <w:spacing w:after="0" w:line="235" w:lineRule="exact"/>
        <w:rPr>
          <w:rFonts w:ascii="Arial" w:cs="Arial" w:eastAsia="Arial" w:hAnsi="Arial"/>
          <w:sz w:val="17"/>
          <w:szCs w:val="17"/>
          <w:color w:val="auto"/>
        </w:rPr>
      </w:pPr>
    </w:p>
    <w:p>
      <w:pPr>
        <w:ind w:left="597" w:hanging="597"/>
        <w:spacing w:after="0"/>
        <w:tabs>
          <w:tab w:leader="none" w:pos="597" w:val="left"/>
        </w:tabs>
        <w:numPr>
          <w:ilvl w:val="0"/>
          <w:numId w:val="517"/>
        </w:numPr>
        <w:rPr>
          <w:rFonts w:ascii="Arial" w:cs="Arial" w:eastAsia="Arial" w:hAnsi="Arial"/>
          <w:sz w:val="17"/>
          <w:szCs w:val="17"/>
          <w:color w:val="auto"/>
        </w:rPr>
      </w:pPr>
      <w:r>
        <w:rPr>
          <w:rFonts w:ascii="Arial" w:cs="Arial" w:eastAsia="Arial" w:hAnsi="Arial"/>
          <w:sz w:val="17"/>
          <w:szCs w:val="17"/>
          <w:b w:val="1"/>
          <w:bCs w:val="1"/>
          <w:u w:val="single" w:color="auto"/>
          <w:color w:val="auto"/>
        </w:rPr>
        <w:t>Value Added Tax</w:t>
      </w:r>
    </w:p>
    <w:p>
      <w:pPr>
        <w:spacing w:after="0" w:line="247" w:lineRule="exact"/>
        <w:rPr>
          <w:rFonts w:ascii="Arial" w:cs="Arial" w:eastAsia="Arial" w:hAnsi="Arial"/>
          <w:sz w:val="17"/>
          <w:szCs w:val="17"/>
          <w:color w:val="auto"/>
        </w:rPr>
      </w:pPr>
    </w:p>
    <w:p>
      <w:pPr>
        <w:jc w:val="both"/>
        <w:ind w:left="617"/>
        <w:spacing w:after="0" w:line="261" w:lineRule="auto"/>
        <w:rPr>
          <w:rFonts w:ascii="Arial" w:cs="Arial" w:eastAsia="Arial" w:hAnsi="Arial"/>
          <w:sz w:val="17"/>
          <w:szCs w:val="17"/>
          <w:color w:val="auto"/>
        </w:rPr>
      </w:pPr>
      <w:r>
        <w:rPr>
          <w:rFonts w:ascii="Arial" w:cs="Arial" w:eastAsia="Arial" w:hAnsi="Arial"/>
          <w:sz w:val="17"/>
          <w:szCs w:val="17"/>
          <w:color w:val="auto"/>
        </w:rPr>
        <w:t>The Lessee undertakes to pay the Lessor Value Added Tax in addition to and together with the payment of rent, including linkage differentials in respect thereof and/or interest for delay and, in addition to and together with any additional payment that it is obligated to pay the Lessor, pursuant to this agreement and/or that the Lessor paid in place of the Lessee and the Lessee is required to reimburse the Lessor, pursuant to the provisions o f this agreement and the Lessor shall issue the Lessee a duly issued tax invoice. The date of settling payment of the VAT shall be the date of payment thereof by the Lessor to the VAT authorities, i.e.,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second month of each quarter of the tenancy period.</w:t>
      </w:r>
    </w:p>
    <w:p>
      <w:pPr>
        <w:spacing w:after="0" w:line="110" w:lineRule="exact"/>
        <w:rPr>
          <w:rFonts w:ascii="Arial" w:cs="Arial" w:eastAsia="Arial" w:hAnsi="Arial"/>
          <w:sz w:val="17"/>
          <w:szCs w:val="17"/>
          <w:color w:val="auto"/>
        </w:rPr>
      </w:pPr>
    </w:p>
    <w:p>
      <w:pPr>
        <w:jc w:val="both"/>
        <w:ind w:left="617"/>
        <w:spacing w:after="0" w:line="265" w:lineRule="auto"/>
        <w:rPr>
          <w:rFonts w:ascii="Arial" w:cs="Arial" w:eastAsia="Arial" w:hAnsi="Arial"/>
          <w:sz w:val="17"/>
          <w:szCs w:val="17"/>
          <w:color w:val="auto"/>
        </w:rPr>
      </w:pPr>
      <w:r>
        <w:rPr>
          <w:rFonts w:ascii="Arial" w:cs="Arial" w:eastAsia="Arial" w:hAnsi="Arial"/>
          <w:sz w:val="17"/>
          <w:szCs w:val="17"/>
          <w:color w:val="auto"/>
        </w:rPr>
        <w:t>The aforesaid herein in this section is valid also in the event that another tax shall be imposed in addition to VAT or shall come in place thereof under conditions that the law shall apply to rent fees and shall impose or permit the transfer of the duty in respect thereof to the Lessee. The VAT shall be handled as is the rent, for all intents and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08" w:name="page609"/>
    <w:bookmarkEnd w:id="608"/>
    <w:p>
      <w:pPr>
        <w:ind w:left="597" w:hanging="597"/>
        <w:spacing w:after="0"/>
        <w:tabs>
          <w:tab w:leader="none" w:pos="597" w:val="left"/>
        </w:tabs>
        <w:numPr>
          <w:ilvl w:val="0"/>
          <w:numId w:val="518"/>
        </w:numPr>
        <w:rPr>
          <w:rFonts w:ascii="Arial" w:cs="Arial" w:eastAsia="Arial" w:hAnsi="Arial"/>
          <w:sz w:val="17"/>
          <w:szCs w:val="17"/>
          <w:color w:val="auto"/>
        </w:rPr>
      </w:pPr>
      <w:r>
        <w:rPr>
          <w:rFonts w:ascii="Arial" w:cs="Arial" w:eastAsia="Arial" w:hAnsi="Arial"/>
          <w:sz w:val="17"/>
          <w:szCs w:val="17"/>
          <w:b w:val="1"/>
          <w:bCs w:val="1"/>
          <w:u w:val="single" w:color="auto"/>
          <w:color w:val="auto"/>
        </w:rPr>
        <w:t>Alterations in the Rented Premises Subsequent to the Date of Delivery</w:t>
      </w:r>
    </w:p>
    <w:p>
      <w:pPr>
        <w:spacing w:after="0" w:line="247" w:lineRule="exact"/>
        <w:rPr>
          <w:rFonts w:ascii="Arial" w:cs="Arial" w:eastAsia="Arial" w:hAnsi="Arial"/>
          <w:sz w:val="17"/>
          <w:szCs w:val="17"/>
          <w:color w:val="auto"/>
        </w:rPr>
      </w:pPr>
    </w:p>
    <w:p>
      <w:pPr>
        <w:jc w:val="both"/>
        <w:ind w:left="917" w:hanging="300"/>
        <w:spacing w:after="0" w:line="275" w:lineRule="auto"/>
        <w:tabs>
          <w:tab w:leader="none" w:pos="917" w:val="left"/>
        </w:tabs>
        <w:numPr>
          <w:ilvl w:val="1"/>
          <w:numId w:val="518"/>
        </w:numPr>
        <w:rPr>
          <w:rFonts w:ascii="Arial" w:cs="Arial" w:eastAsia="Arial" w:hAnsi="Arial"/>
          <w:sz w:val="16"/>
          <w:szCs w:val="16"/>
          <w:color w:val="auto"/>
        </w:rPr>
      </w:pPr>
      <w:r>
        <w:rPr>
          <w:rFonts w:ascii="Arial" w:cs="Arial" w:eastAsia="Arial" w:hAnsi="Arial"/>
          <w:sz w:val="16"/>
          <w:szCs w:val="16"/>
          <w:color w:val="auto"/>
        </w:rPr>
        <w:t>Following the date of delivery, the Lessee may perform solely in the rented premises (not including public areas, but including lavatories, kitchenettes and hallways), at its expense and liability, subsequent to attaining the permission of the Lessor, who shall refuse solely on reasonable grounds, works and alterations it requires to set up and/or move internal permanent or movable partitions, to install telephone systems, air-conditioning, plumbing, electricity and/or communications, to connect and install the machinery, computers and equipment thereof and any other additional work or alteration necessary in the opinion of the Lessee to conduct its business in the rented premises, save for alterations likely to damage the construction, walls, water and electricity systems thereof and/or alterations affecting the façade of the building, whether the external or internal façade or the reasonable use of the building by the users in other units, all under the following conditions:</w:t>
      </w:r>
    </w:p>
    <w:p>
      <w:pPr>
        <w:spacing w:after="0" w:line="196" w:lineRule="exact"/>
        <w:rPr>
          <w:rFonts w:ascii="Arial" w:cs="Arial" w:eastAsia="Arial" w:hAnsi="Arial"/>
          <w:sz w:val="16"/>
          <w:szCs w:val="16"/>
          <w:color w:val="auto"/>
        </w:rPr>
      </w:pPr>
    </w:p>
    <w:p>
      <w:pPr>
        <w:jc w:val="both"/>
        <w:ind w:left="1237" w:hanging="311"/>
        <w:spacing w:after="0" w:line="265" w:lineRule="auto"/>
        <w:tabs>
          <w:tab w:leader="none" w:pos="1237" w:val="left"/>
        </w:tabs>
        <w:numPr>
          <w:ilvl w:val="2"/>
          <w:numId w:val="518"/>
        </w:numPr>
        <w:rPr>
          <w:rFonts w:ascii="Arial" w:cs="Arial" w:eastAsia="Arial" w:hAnsi="Arial"/>
          <w:sz w:val="17"/>
          <w:szCs w:val="17"/>
          <w:color w:val="auto"/>
        </w:rPr>
      </w:pPr>
      <w:r>
        <w:rPr>
          <w:rFonts w:ascii="Arial" w:cs="Arial" w:eastAsia="Arial" w:hAnsi="Arial"/>
          <w:sz w:val="17"/>
          <w:szCs w:val="17"/>
          <w:color w:val="auto"/>
        </w:rPr>
        <w:t>The Lessee shall transfer the plans for the aforesaid works for the Lessor’s authorization and, insofar as the Lessor requires, also for the authorization of a safety consultant, the identity whereof shall be determined by the Lessor in advance and in writing. The Lessee shall bear the fees of the safety consultant, as aforesaid, and any cost and/or expense in connection therewith.</w:t>
      </w:r>
    </w:p>
    <w:p>
      <w:pPr>
        <w:spacing w:after="0" w:line="201" w:lineRule="exact"/>
        <w:rPr>
          <w:rFonts w:ascii="Arial" w:cs="Arial" w:eastAsia="Arial" w:hAnsi="Arial"/>
          <w:sz w:val="17"/>
          <w:szCs w:val="17"/>
          <w:color w:val="auto"/>
        </w:rPr>
      </w:pPr>
    </w:p>
    <w:p>
      <w:pPr>
        <w:jc w:val="both"/>
        <w:ind w:left="1237" w:hanging="311"/>
        <w:spacing w:after="0" w:line="317" w:lineRule="auto"/>
        <w:tabs>
          <w:tab w:leader="none" w:pos="1237" w:val="left"/>
        </w:tabs>
        <w:numPr>
          <w:ilvl w:val="2"/>
          <w:numId w:val="518"/>
        </w:numPr>
        <w:rPr>
          <w:rFonts w:ascii="Arial" w:cs="Arial" w:eastAsia="Arial" w:hAnsi="Arial"/>
          <w:sz w:val="15"/>
          <w:szCs w:val="15"/>
          <w:color w:val="auto"/>
        </w:rPr>
      </w:pPr>
      <w:r>
        <w:rPr>
          <w:rFonts w:ascii="Arial" w:cs="Arial" w:eastAsia="Arial" w:hAnsi="Arial"/>
          <w:sz w:val="15"/>
          <w:szCs w:val="15"/>
          <w:color w:val="auto"/>
        </w:rPr>
        <w:t>The Lessor and safety consultant on behalf of the Lessor shall have the right to demand alterations to the plans, specification and works specifications and the Lessee undertakes to alter these in accordance with the demands of the Lessor and safety consultant at the expense of the Lessee and commence with the performance of the works solely subsequent to the Lessor and safety consultant having authorized such in writing.</w:t>
      </w:r>
    </w:p>
    <w:p>
      <w:pPr>
        <w:spacing w:after="0" w:line="165" w:lineRule="exact"/>
        <w:rPr>
          <w:rFonts w:ascii="Arial" w:cs="Arial" w:eastAsia="Arial" w:hAnsi="Arial"/>
          <w:sz w:val="15"/>
          <w:szCs w:val="15"/>
          <w:color w:val="auto"/>
        </w:rPr>
      </w:pPr>
    </w:p>
    <w:p>
      <w:pPr>
        <w:ind w:left="1237" w:hanging="311"/>
        <w:spacing w:after="0" w:line="278" w:lineRule="auto"/>
        <w:tabs>
          <w:tab w:leader="none" w:pos="1237" w:val="left"/>
        </w:tabs>
        <w:numPr>
          <w:ilvl w:val="2"/>
          <w:numId w:val="518"/>
        </w:numPr>
        <w:rPr>
          <w:rFonts w:ascii="Arial" w:cs="Arial" w:eastAsia="Arial" w:hAnsi="Arial"/>
          <w:sz w:val="17"/>
          <w:szCs w:val="17"/>
          <w:color w:val="auto"/>
        </w:rPr>
      </w:pPr>
      <w:r>
        <w:rPr>
          <w:rFonts w:ascii="Arial" w:cs="Arial" w:eastAsia="Arial" w:hAnsi="Arial"/>
          <w:sz w:val="17"/>
          <w:szCs w:val="17"/>
          <w:color w:val="auto"/>
        </w:rPr>
        <w:t>The provision of the Lessor’s authorization for the performance of the works is conditional, in addition to the aforesaid, on the Lessee having delivered to the Lessor copies of the insurance policies, in accordance with the provisions of section 17 herein below.</w:t>
      </w:r>
    </w:p>
    <w:p>
      <w:pPr>
        <w:spacing w:after="0" w:line="190" w:lineRule="exact"/>
        <w:rPr>
          <w:rFonts w:ascii="Arial" w:cs="Arial" w:eastAsia="Arial" w:hAnsi="Arial"/>
          <w:sz w:val="17"/>
          <w:szCs w:val="17"/>
          <w:color w:val="auto"/>
        </w:rPr>
      </w:pPr>
    </w:p>
    <w:p>
      <w:pPr>
        <w:ind w:left="1237" w:hanging="311"/>
        <w:spacing w:after="0" w:line="278" w:lineRule="auto"/>
        <w:tabs>
          <w:tab w:leader="none" w:pos="1237" w:val="left"/>
        </w:tabs>
        <w:numPr>
          <w:ilvl w:val="2"/>
          <w:numId w:val="518"/>
        </w:numPr>
        <w:rPr>
          <w:rFonts w:ascii="Arial" w:cs="Arial" w:eastAsia="Arial" w:hAnsi="Arial"/>
          <w:sz w:val="17"/>
          <w:szCs w:val="17"/>
          <w:color w:val="auto"/>
        </w:rPr>
      </w:pPr>
      <w:r>
        <w:rPr>
          <w:rFonts w:ascii="Arial" w:cs="Arial" w:eastAsia="Arial" w:hAnsi="Arial"/>
          <w:sz w:val="17"/>
          <w:szCs w:val="17"/>
          <w:color w:val="auto"/>
        </w:rPr>
        <w:t>All works shall be performed by skilled professionals at a level accepted in similar high-tech buildings in the region of the rented premises and according to Israel standards and subject to the directives of the project manager.</w:t>
      </w:r>
    </w:p>
    <w:p>
      <w:pPr>
        <w:spacing w:after="0" w:line="190" w:lineRule="exact"/>
        <w:rPr>
          <w:rFonts w:ascii="Arial" w:cs="Arial" w:eastAsia="Arial" w:hAnsi="Arial"/>
          <w:sz w:val="17"/>
          <w:szCs w:val="17"/>
          <w:color w:val="auto"/>
        </w:rPr>
      </w:pPr>
    </w:p>
    <w:p>
      <w:pPr>
        <w:jc w:val="both"/>
        <w:ind w:left="1237" w:hanging="311"/>
        <w:spacing w:after="0" w:line="265" w:lineRule="auto"/>
        <w:tabs>
          <w:tab w:leader="none" w:pos="1237" w:val="left"/>
        </w:tabs>
        <w:numPr>
          <w:ilvl w:val="2"/>
          <w:numId w:val="518"/>
        </w:numPr>
        <w:rPr>
          <w:rFonts w:ascii="Arial" w:cs="Arial" w:eastAsia="Arial" w:hAnsi="Arial"/>
          <w:sz w:val="17"/>
          <w:szCs w:val="17"/>
          <w:color w:val="auto"/>
        </w:rPr>
      </w:pPr>
      <w:r>
        <w:rPr>
          <w:rFonts w:ascii="Arial" w:cs="Arial" w:eastAsia="Arial" w:hAnsi="Arial"/>
          <w:sz w:val="17"/>
          <w:szCs w:val="17"/>
          <w:color w:val="auto"/>
        </w:rPr>
        <w:t>The Lessee shall perform the works in the rented premises in such manner and form that it fails to cause any disturbance to the activities in any other part of the building and/or to other tenants and the Lessee undertakes to strictly fulfill all instructions of the Lessor and take all means to prevent any disturbance, as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609" w:name="page610"/>
    <w:bookmarkEnd w:id="609"/>
    <w:p>
      <w:pPr>
        <w:jc w:val="both"/>
        <w:ind w:left="620" w:hanging="311"/>
        <w:spacing w:after="0" w:line="265" w:lineRule="auto"/>
        <w:tabs>
          <w:tab w:leader="none" w:pos="620" w:val="left"/>
        </w:tabs>
        <w:numPr>
          <w:ilvl w:val="1"/>
          <w:numId w:val="519"/>
        </w:numPr>
        <w:rPr>
          <w:rFonts w:ascii="Arial" w:cs="Arial" w:eastAsia="Arial" w:hAnsi="Arial"/>
          <w:sz w:val="17"/>
          <w:szCs w:val="17"/>
          <w:color w:val="auto"/>
        </w:rPr>
      </w:pPr>
      <w:r>
        <w:rPr>
          <w:rFonts w:ascii="Arial" w:cs="Arial" w:eastAsia="Arial" w:hAnsi="Arial"/>
          <w:sz w:val="17"/>
          <w:szCs w:val="17"/>
          <w:color w:val="auto"/>
        </w:rPr>
        <w:t>The Lessee shall bear liability for any damage caused during and as a result of the performance of the works in the rented premises to any person and any property, including herein in the building and/or the rented premises and/or to other tenants and/or other rented premises and/or the Lessor and agents thereof, whether the works were performed by the Lessee or by anyone on behalf thereof.</w:t>
      </w:r>
    </w:p>
    <w:p>
      <w:pPr>
        <w:spacing w:after="0" w:line="201" w:lineRule="exact"/>
        <w:rPr>
          <w:rFonts w:ascii="Arial" w:cs="Arial" w:eastAsia="Arial" w:hAnsi="Arial"/>
          <w:sz w:val="17"/>
          <w:szCs w:val="17"/>
          <w:color w:val="auto"/>
        </w:rPr>
      </w:pPr>
    </w:p>
    <w:p>
      <w:pPr>
        <w:jc w:val="both"/>
        <w:ind w:left="620" w:hanging="311"/>
        <w:spacing w:after="0" w:line="289" w:lineRule="auto"/>
        <w:tabs>
          <w:tab w:leader="none" w:pos="620" w:val="left"/>
        </w:tabs>
        <w:numPr>
          <w:ilvl w:val="1"/>
          <w:numId w:val="519"/>
        </w:numPr>
        <w:rPr>
          <w:rFonts w:ascii="Arial" w:cs="Arial" w:eastAsia="Arial" w:hAnsi="Arial"/>
          <w:sz w:val="16"/>
          <w:szCs w:val="16"/>
          <w:color w:val="auto"/>
        </w:rPr>
      </w:pPr>
      <w:r>
        <w:rPr>
          <w:rFonts w:ascii="Arial" w:cs="Arial" w:eastAsia="Arial" w:hAnsi="Arial"/>
          <w:sz w:val="16"/>
          <w:szCs w:val="16"/>
          <w:color w:val="auto"/>
        </w:rPr>
        <w:t>The Lessee agrees and authorizes that any sum that it expends to make alterations to adapt the rented premises for the purposes thereof, as aforesaid, shall not grant it vis-à-vis the Lessor any right to restitution or any payment in respect of the sums and/or the alterations it performed as aforesaid, not during the tenancy period nor during the evacuation of the rented premises or subsequent to the evacuation thereof.</w:t>
      </w:r>
    </w:p>
    <w:p>
      <w:pPr>
        <w:spacing w:after="0" w:line="184" w:lineRule="exact"/>
        <w:rPr>
          <w:rFonts w:ascii="Arial" w:cs="Arial" w:eastAsia="Arial" w:hAnsi="Arial"/>
          <w:sz w:val="16"/>
          <w:szCs w:val="16"/>
          <w:color w:val="auto"/>
        </w:rPr>
      </w:pPr>
    </w:p>
    <w:p>
      <w:pPr>
        <w:ind w:left="620" w:hanging="311"/>
        <w:spacing w:after="0" w:line="278" w:lineRule="auto"/>
        <w:tabs>
          <w:tab w:leader="none" w:pos="620" w:val="left"/>
        </w:tabs>
        <w:numPr>
          <w:ilvl w:val="1"/>
          <w:numId w:val="519"/>
        </w:numPr>
        <w:rPr>
          <w:rFonts w:ascii="Arial" w:cs="Arial" w:eastAsia="Arial" w:hAnsi="Arial"/>
          <w:sz w:val="17"/>
          <w:szCs w:val="17"/>
          <w:color w:val="auto"/>
        </w:rPr>
      </w:pPr>
      <w:r>
        <w:rPr>
          <w:rFonts w:ascii="Arial" w:cs="Arial" w:eastAsia="Arial" w:hAnsi="Arial"/>
          <w:sz w:val="17"/>
          <w:szCs w:val="17"/>
          <w:color w:val="auto"/>
        </w:rPr>
        <w:t>The Lessee shall obtain at its expense all licenses, authorizations and permits required to perform the alterations from the competent institutions and authorities, insofar as such are required.</w:t>
      </w:r>
    </w:p>
    <w:p>
      <w:pPr>
        <w:spacing w:after="0" w:line="190" w:lineRule="exact"/>
        <w:rPr>
          <w:rFonts w:ascii="Arial" w:cs="Arial" w:eastAsia="Arial" w:hAnsi="Arial"/>
          <w:sz w:val="17"/>
          <w:szCs w:val="17"/>
          <w:color w:val="auto"/>
        </w:rPr>
      </w:pPr>
    </w:p>
    <w:p>
      <w:pPr>
        <w:jc w:val="both"/>
        <w:ind w:left="300" w:hanging="300"/>
        <w:spacing w:after="0" w:line="295" w:lineRule="auto"/>
        <w:tabs>
          <w:tab w:leader="none" w:pos="300" w:val="left"/>
        </w:tabs>
        <w:numPr>
          <w:ilvl w:val="0"/>
          <w:numId w:val="520"/>
        </w:numPr>
        <w:rPr>
          <w:rFonts w:ascii="Arial" w:cs="Arial" w:eastAsia="Arial" w:hAnsi="Arial"/>
          <w:sz w:val="15"/>
          <w:szCs w:val="15"/>
          <w:color w:val="auto"/>
        </w:rPr>
      </w:pPr>
      <w:r>
        <w:rPr>
          <w:rFonts w:ascii="Arial" w:cs="Arial" w:eastAsia="Arial" w:hAnsi="Arial"/>
          <w:sz w:val="15"/>
          <w:szCs w:val="15"/>
          <w:color w:val="auto"/>
        </w:rPr>
        <w:t>Commencing on the date of signature of this agreement, Mr. Yuri Shushan and Mrs. Revital Cohen shall be responsible for safety on behalf of the Lessee in the rented premises and they shall be liable on behalf of the Lessee to obtain all authorizations and meet all standards required to meet the demands of the fire department, as they may be from time to time, in accordance with the contents solely of section 15 (h) including: (1) obtaining authorizations of all manufacturers of the materials and those performing the works, pursuant to section 14 (a) above, with respect to meeting standards, forthwith upon completion of the performance of the works and transmitting such to the Lessor on its first demand, (2) issuing authorizations to the Lessor forthwith upon the demand thereof with respect to meeting the standards of the fire department regarding the electricity works, fire detection and fire extinguishing systems, fire walls, areas and doors, performed by the Lessee and/or by anyone on behalf thereof in the rented premises and (3) ongoing management to ensure that escape routes in the rented premises to emergency exits shall be accessible at all times.</w:t>
      </w:r>
    </w:p>
    <w:p>
      <w:pPr>
        <w:spacing w:after="0" w:line="181" w:lineRule="exact"/>
        <w:rPr>
          <w:rFonts w:ascii="Arial" w:cs="Arial" w:eastAsia="Arial" w:hAnsi="Arial"/>
          <w:sz w:val="15"/>
          <w:szCs w:val="15"/>
          <w:color w:val="auto"/>
        </w:rPr>
      </w:pPr>
    </w:p>
    <w:p>
      <w:pPr>
        <w:ind w:left="300"/>
        <w:spacing w:after="0" w:line="278" w:lineRule="auto"/>
        <w:rPr>
          <w:rFonts w:ascii="Arial" w:cs="Arial" w:eastAsia="Arial" w:hAnsi="Arial"/>
          <w:sz w:val="15"/>
          <w:szCs w:val="15"/>
          <w:color w:val="auto"/>
        </w:rPr>
      </w:pPr>
      <w:r>
        <w:rPr>
          <w:rFonts w:ascii="Arial" w:cs="Arial" w:eastAsia="Arial" w:hAnsi="Arial"/>
          <w:sz w:val="17"/>
          <w:szCs w:val="17"/>
          <w:color w:val="auto"/>
        </w:rPr>
        <w:t>Those in charge of safety shall be available at all times at telephone numbers (054) 444-9991, (054) 645-0904 or (02) 548-9100. The Lessee may replace the entity responsible for safety by way of written notice to the Lessor.</w:t>
      </w:r>
    </w:p>
    <w:p>
      <w:pPr>
        <w:spacing w:after="0" w:line="190" w:lineRule="exact"/>
        <w:rPr>
          <w:rFonts w:ascii="Arial" w:cs="Arial" w:eastAsia="Arial" w:hAnsi="Arial"/>
          <w:sz w:val="15"/>
          <w:szCs w:val="15"/>
          <w:color w:val="auto"/>
        </w:rPr>
      </w:pPr>
    </w:p>
    <w:p>
      <w:pPr>
        <w:jc w:val="both"/>
        <w:ind w:left="300"/>
        <w:spacing w:after="0" w:line="257" w:lineRule="auto"/>
        <w:rPr>
          <w:rFonts w:ascii="Arial" w:cs="Arial" w:eastAsia="Arial" w:hAnsi="Arial"/>
          <w:sz w:val="15"/>
          <w:szCs w:val="15"/>
          <w:color w:val="auto"/>
        </w:rPr>
      </w:pPr>
      <w:r>
        <w:rPr>
          <w:rFonts w:ascii="Arial" w:cs="Arial" w:eastAsia="Arial" w:hAnsi="Arial"/>
          <w:sz w:val="17"/>
          <w:szCs w:val="17"/>
          <w:color w:val="auto"/>
        </w:rPr>
        <w:t>The Lessee shall be liable for any damage the Lessor and/or any person and/or body and/or property shall incur as a result of the failure to fulfill the provisions and/or procedures of safety and security in the rented premises, in accordance with the provisions of this agreement and the directives of any authorities pertaining to the matter. The Lessee hereby undertakes to indemnify the Lessor within 7 days of receiving the first demand thereof in respect of any damage and/or expense caused to the Lessor as a result of any claim or demand referred vis-à-vis the Lessor and/or anyone on behalf thereof in respect of the Lessee’s failure to meet the required safety standards and/or as a result of the failure to fulfill provisions and undertakings of safety specified herein in this agreement against the presentation of documentary proof and/or duly issued tax invoices with respect to the actual payment of the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382270</wp:posOffset>
            </wp:positionV>
            <wp:extent cx="7257415" cy="209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610" w:name="page611"/>
    <w:bookmarkEnd w:id="610"/>
    <w:p>
      <w:pPr>
        <w:jc w:val="both"/>
        <w:ind w:left="917"/>
        <w:spacing w:after="0" w:line="256" w:lineRule="auto"/>
        <w:rPr>
          <w:sz w:val="20"/>
          <w:szCs w:val="20"/>
          <w:color w:val="auto"/>
        </w:rPr>
      </w:pPr>
      <w:r>
        <w:rPr>
          <w:rFonts w:ascii="Arial" w:cs="Arial" w:eastAsia="Arial" w:hAnsi="Arial"/>
          <w:sz w:val="17"/>
          <w:szCs w:val="17"/>
          <w:color w:val="auto"/>
        </w:rPr>
        <w:t>In the event that the Lessee fails to completely fulfill the undertakings thereof pursuant to this section 14 (b) herein above, the Lessor may (but is not obligated to) perform the activities and undertakings applying to the Lessee or any part thereof, as aforesaid, and the Lessee shall repay the Lessor any expenses that it disbursed for this purpose within 7 days of receiving the first demand thereof and against the presentation of documents of proof and/or duly issued tax invoices with respect to the performance of the actual payment by the Lessor and all provided that the Lessor gave the Lessee advance written warning of 5 days prior to the performance of the activities, as aforesaid. Nothing in the contents of this section may derogate from the Lessee’s duty to perform and fulfill all undertakings thereof pursuant to section 14 (b) as aforesaid and/or derogate from the liability of the Lessee, as specified in the section above, also in respect of any action and/or deed that the Lessor performs as a result of the Lessee’s failure to fulfill the undertakings thereof as specified herein in this section.</w:t>
      </w:r>
    </w:p>
    <w:p>
      <w:pPr>
        <w:spacing w:after="0" w:line="204" w:lineRule="exact"/>
        <w:rPr>
          <w:sz w:val="20"/>
          <w:szCs w:val="20"/>
          <w:color w:val="auto"/>
        </w:rPr>
      </w:pPr>
    </w:p>
    <w:p>
      <w:pPr>
        <w:ind w:left="597" w:hanging="597"/>
        <w:spacing w:after="0"/>
        <w:tabs>
          <w:tab w:leader="none" w:pos="597" w:val="left"/>
        </w:tabs>
        <w:numPr>
          <w:ilvl w:val="0"/>
          <w:numId w:val="521"/>
        </w:numPr>
        <w:rPr>
          <w:rFonts w:ascii="Arial" w:cs="Arial" w:eastAsia="Arial" w:hAnsi="Arial"/>
          <w:sz w:val="17"/>
          <w:szCs w:val="17"/>
          <w:color w:val="auto"/>
        </w:rPr>
      </w:pPr>
      <w:r>
        <w:rPr>
          <w:rFonts w:ascii="Arial" w:cs="Arial" w:eastAsia="Arial" w:hAnsi="Arial"/>
          <w:sz w:val="17"/>
          <w:szCs w:val="17"/>
          <w:b w:val="1"/>
          <w:bCs w:val="1"/>
          <w:u w:val="single" w:color="auto"/>
          <w:color w:val="auto"/>
        </w:rPr>
        <w:t>Use of the Rented Premises</w:t>
      </w:r>
    </w:p>
    <w:p>
      <w:pPr>
        <w:spacing w:after="0" w:line="247" w:lineRule="exact"/>
        <w:rPr>
          <w:rFonts w:ascii="Arial" w:cs="Arial" w:eastAsia="Arial" w:hAnsi="Arial"/>
          <w:sz w:val="17"/>
          <w:szCs w:val="17"/>
          <w:color w:val="auto"/>
        </w:rPr>
      </w:pPr>
    </w:p>
    <w:p>
      <w:pPr>
        <w:ind w:left="617"/>
        <w:spacing w:after="0"/>
        <w:rPr>
          <w:rFonts w:ascii="Arial" w:cs="Arial" w:eastAsia="Arial" w:hAnsi="Arial"/>
          <w:sz w:val="17"/>
          <w:szCs w:val="17"/>
          <w:color w:val="auto"/>
        </w:rPr>
      </w:pPr>
      <w:r>
        <w:rPr>
          <w:rFonts w:ascii="Arial" w:cs="Arial" w:eastAsia="Arial" w:hAnsi="Arial"/>
          <w:sz w:val="17"/>
          <w:szCs w:val="17"/>
          <w:color w:val="auto"/>
        </w:rPr>
        <w:t>Without derogating from the validity of the remaining provisions of the agreement, the Lessee undertakes the following:</w:t>
      </w:r>
    </w:p>
    <w:p>
      <w:pPr>
        <w:spacing w:after="0" w:line="241"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21"/>
        </w:numPr>
        <w:rPr>
          <w:rFonts w:ascii="Arial" w:cs="Arial" w:eastAsia="Arial" w:hAnsi="Arial"/>
          <w:sz w:val="17"/>
          <w:szCs w:val="17"/>
          <w:color w:val="auto"/>
        </w:rPr>
      </w:pPr>
      <w:r>
        <w:rPr>
          <w:rFonts w:ascii="Arial" w:cs="Arial" w:eastAsia="Arial" w:hAnsi="Arial"/>
          <w:sz w:val="17"/>
          <w:szCs w:val="17"/>
          <w:color w:val="auto"/>
        </w:rPr>
        <w:t>To manage the work solely within the confines of the rented premises and to use the rented premises solely for the objective of the tenancy and not for any other purpose.</w:t>
      </w:r>
    </w:p>
    <w:p>
      <w:pPr>
        <w:spacing w:after="0" w:line="190" w:lineRule="exact"/>
        <w:rPr>
          <w:rFonts w:ascii="Arial" w:cs="Arial" w:eastAsia="Arial" w:hAnsi="Arial"/>
          <w:sz w:val="17"/>
          <w:szCs w:val="17"/>
          <w:color w:val="auto"/>
        </w:rPr>
      </w:pPr>
    </w:p>
    <w:p>
      <w:pPr>
        <w:jc w:val="both"/>
        <w:ind w:left="917" w:hanging="300"/>
        <w:spacing w:after="0" w:line="265" w:lineRule="auto"/>
        <w:tabs>
          <w:tab w:leader="none" w:pos="917" w:val="left"/>
        </w:tabs>
        <w:numPr>
          <w:ilvl w:val="1"/>
          <w:numId w:val="521"/>
        </w:numPr>
        <w:rPr>
          <w:rFonts w:ascii="Arial" w:cs="Arial" w:eastAsia="Arial" w:hAnsi="Arial"/>
          <w:sz w:val="17"/>
          <w:szCs w:val="17"/>
          <w:color w:val="auto"/>
        </w:rPr>
      </w:pPr>
      <w:r>
        <w:rPr>
          <w:rFonts w:ascii="Arial" w:cs="Arial" w:eastAsia="Arial" w:hAnsi="Arial"/>
          <w:sz w:val="17"/>
          <w:szCs w:val="17"/>
          <w:color w:val="auto"/>
        </w:rPr>
        <w:t>To fail to place and/or hold any equipment, stock and any movables and/or other objects whatsoever in the courtyard and/or on the balconies of the rented premises and/or the building and/or in any other area outside the rented premises and to refrain from the use of any part of the building, aside from the rented premises, for any objective whatsoever, except for the use to access the rented premises.</w:t>
      </w:r>
    </w:p>
    <w:p>
      <w:pPr>
        <w:spacing w:after="0" w:line="201" w:lineRule="exact"/>
        <w:rPr>
          <w:rFonts w:ascii="Arial" w:cs="Arial" w:eastAsia="Arial" w:hAnsi="Arial"/>
          <w:sz w:val="17"/>
          <w:szCs w:val="17"/>
          <w:color w:val="auto"/>
        </w:rPr>
      </w:pPr>
    </w:p>
    <w:p>
      <w:pPr>
        <w:ind w:left="917"/>
        <w:spacing w:after="0" w:line="278" w:lineRule="auto"/>
        <w:rPr>
          <w:rFonts w:ascii="Arial" w:cs="Arial" w:eastAsia="Arial" w:hAnsi="Arial"/>
          <w:sz w:val="17"/>
          <w:szCs w:val="17"/>
          <w:color w:val="auto"/>
        </w:rPr>
      </w:pPr>
      <w:r>
        <w:rPr>
          <w:rFonts w:ascii="Arial" w:cs="Arial" w:eastAsia="Arial" w:hAnsi="Arial"/>
          <w:sz w:val="17"/>
          <w:szCs w:val="17"/>
          <w:color w:val="auto"/>
        </w:rPr>
        <w:t>Notwithstanding the aforesaid, the Lessee may place on the balconies of the rented premises garden furniture of the type to be authorized by the Lessor in advance and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11" w:name="page612"/>
    <w:bookmarkEnd w:id="611"/>
    <w:p>
      <w:pPr>
        <w:jc w:val="both"/>
        <w:ind w:left="300"/>
        <w:spacing w:after="0" w:line="279" w:lineRule="auto"/>
        <w:rPr>
          <w:sz w:val="20"/>
          <w:szCs w:val="20"/>
          <w:color w:val="auto"/>
        </w:rPr>
      </w:pPr>
      <w:r>
        <w:rPr>
          <w:rFonts w:ascii="Arial" w:cs="Arial" w:eastAsia="Arial" w:hAnsi="Arial"/>
          <w:sz w:val="16"/>
          <w:szCs w:val="16"/>
          <w:color w:val="auto"/>
        </w:rPr>
        <w:t>It is hereby clarified that save for the kitchenette for the use of the Lessee and employees thereof, which is not to serve for the purposes of cooking, baking or frying and which shall be implemented in the rented premises subject to the Lessor’s authorization of the plans of the Lessee in connection with the installation of a kitchenette, and pursuant to the provisions of this agreement, the Lessee may not install in the rented premises dining rooms, kitchens, kitchenettes, etc., unless it receives authorization for this in advance and in writing from the Lessor and, if it receives authorization as aforesaid, it may act solely in accordance with conditions to be determined, if determined, in the authorization, as aforesaid.</w:t>
      </w:r>
    </w:p>
    <w:p>
      <w:pPr>
        <w:spacing w:after="0" w:line="191" w:lineRule="exact"/>
        <w:rPr>
          <w:sz w:val="20"/>
          <w:szCs w:val="20"/>
          <w:color w:val="auto"/>
        </w:rPr>
      </w:pPr>
    </w:p>
    <w:p>
      <w:pPr>
        <w:jc w:val="both"/>
        <w:ind w:left="300"/>
        <w:spacing w:after="0" w:line="282" w:lineRule="auto"/>
        <w:rPr>
          <w:sz w:val="20"/>
          <w:szCs w:val="20"/>
          <w:color w:val="auto"/>
        </w:rPr>
      </w:pPr>
      <w:r>
        <w:rPr>
          <w:rFonts w:ascii="Arial" w:cs="Arial" w:eastAsia="Arial" w:hAnsi="Arial"/>
          <w:sz w:val="16"/>
          <w:szCs w:val="16"/>
          <w:color w:val="auto"/>
        </w:rPr>
        <w:t>Notwithstanding the aforesaid herein in this section, if any movables whatsoever of the Lessee shall be found on the terraces and/or outside the rented premises and the Lessee fails to remove such following the first request of the Lessor, then the Lessor may but is not obligated to remove such movables from the building and/or the area at the Lessee’s expense without there being any liability for the Lessor to pay for such. The Lessor shall not act as aforesaid, save if it gave 24 hours warning thereof to the Lessee in advance and in writing.</w:t>
      </w:r>
    </w:p>
    <w:p>
      <w:pPr>
        <w:spacing w:after="0" w:line="190"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failure to exercise the rights of the Lessor as above shall not constitute any consent on its part to holding the movables as aforesaid on the terraces and/or outside the rented premises, and it shall not grant the Lessee any additional right to continue to hold the movables there and it shall not preclude the Lessor from undertaking any procedure whereto it is entitled by law and/or pursuant to the conditions of this agreement.</w:t>
      </w:r>
    </w:p>
    <w:p>
      <w:pPr>
        <w:spacing w:after="0" w:line="184" w:lineRule="exact"/>
        <w:rPr>
          <w:sz w:val="20"/>
          <w:szCs w:val="20"/>
          <w:color w:val="auto"/>
        </w:rPr>
      </w:pPr>
    </w:p>
    <w:p>
      <w:pPr>
        <w:ind w:left="300" w:hanging="300"/>
        <w:spacing w:after="0" w:line="311" w:lineRule="auto"/>
        <w:tabs>
          <w:tab w:leader="none" w:pos="3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To refrain from causing any nuisance, disturbance and unpleasantness to any other persons found in or visiting the area wherein the rented premises are located, to neighbors and/or the surroundings as well as to maintain the cleanliness of the rented premises and environs thereof.</w:t>
      </w:r>
    </w:p>
    <w:p>
      <w:pPr>
        <w:spacing w:after="0" w:line="166" w:lineRule="exact"/>
        <w:rPr>
          <w:rFonts w:ascii="Arial" w:cs="Arial" w:eastAsia="Arial" w:hAnsi="Arial"/>
          <w:sz w:val="16"/>
          <w:szCs w:val="16"/>
          <w:color w:val="auto"/>
        </w:rPr>
      </w:pPr>
    </w:p>
    <w:p>
      <w:pPr>
        <w:ind w:left="300"/>
        <w:spacing w:after="0" w:line="278" w:lineRule="auto"/>
        <w:rPr>
          <w:rFonts w:ascii="Arial" w:cs="Arial" w:eastAsia="Arial" w:hAnsi="Arial"/>
          <w:sz w:val="16"/>
          <w:szCs w:val="16"/>
          <w:color w:val="auto"/>
        </w:rPr>
      </w:pPr>
      <w:r>
        <w:rPr>
          <w:rFonts w:ascii="Arial" w:cs="Arial" w:eastAsia="Arial" w:hAnsi="Arial"/>
          <w:sz w:val="17"/>
          <w:szCs w:val="17"/>
          <w:color w:val="auto"/>
        </w:rPr>
        <w:t>The Lessee hereby undertakes to refrain from introducing to the sewage network and to ensure that it fails to cause the introduction thereto of unsuitable spills, pursuant to the provisions of the Ministry of Health on the subject.</w:t>
      </w:r>
    </w:p>
    <w:p>
      <w:pPr>
        <w:spacing w:after="0" w:line="190" w:lineRule="exact"/>
        <w:rPr>
          <w:rFonts w:ascii="Arial" w:cs="Arial" w:eastAsia="Arial" w:hAnsi="Arial"/>
          <w:sz w:val="16"/>
          <w:szCs w:val="16"/>
          <w:color w:val="auto"/>
        </w:rPr>
      </w:pPr>
    </w:p>
    <w:p>
      <w:pPr>
        <w:jc w:val="both"/>
        <w:ind w:left="300"/>
        <w:spacing w:after="0" w:line="265" w:lineRule="auto"/>
        <w:rPr>
          <w:rFonts w:ascii="Arial" w:cs="Arial" w:eastAsia="Arial" w:hAnsi="Arial"/>
          <w:sz w:val="16"/>
          <w:szCs w:val="16"/>
          <w:color w:val="auto"/>
        </w:rPr>
      </w:pPr>
      <w:r>
        <w:rPr>
          <w:rFonts w:ascii="Arial" w:cs="Arial" w:eastAsia="Arial" w:hAnsi="Arial"/>
          <w:sz w:val="17"/>
          <w:szCs w:val="17"/>
          <w:color w:val="auto"/>
        </w:rPr>
        <w:t>A Lessee who produces a quantity of refuse and/or garbage in a regular and ongoing manner, which is unusual in the Lessor’s opinion, the Lessor shall be entitled to impose on the Lessee the exceptional expenses of the removal of the refuse of the same Lessee from the building wherein the rented premises are located.</w:t>
      </w:r>
    </w:p>
    <w:p>
      <w:pPr>
        <w:spacing w:after="0" w:line="201" w:lineRule="exact"/>
        <w:rPr>
          <w:rFonts w:ascii="Arial" w:cs="Arial" w:eastAsia="Arial" w:hAnsi="Arial"/>
          <w:sz w:val="16"/>
          <w:szCs w:val="16"/>
          <w:color w:val="auto"/>
        </w:rPr>
      </w:pPr>
    </w:p>
    <w:p>
      <w:pPr>
        <w:jc w:val="both"/>
        <w:ind w:left="300" w:hanging="300"/>
        <w:spacing w:after="0" w:line="289" w:lineRule="auto"/>
        <w:tabs>
          <w:tab w:leader="none" w:pos="3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To fulfill all laws, regulations and bylaws applying and/or those that shall apply during the tenancy period to the rented premises, the use thereof and the business, works and activities to be performed therein by the Lessee and to be liable vis-à-vis the government and municipal institutions and authorities for the payment of all fines thereof, as a result of the failure to fulfill the provisions of this section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367665</wp:posOffset>
            </wp:positionV>
            <wp:extent cx="7257415" cy="209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612" w:name="page613"/>
    <w:bookmarkEnd w:id="612"/>
    <w:p>
      <w:pPr>
        <w:jc w:val="both"/>
        <w:ind w:left="300" w:hanging="300"/>
        <w:spacing w:after="0" w:line="261" w:lineRule="auto"/>
        <w:tabs>
          <w:tab w:leader="none" w:pos="30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To use for the purpose of access to the rented premises solely the access routes marked and/or arranged in the building as they shall be from time to time, to park vehicles and transport vehicles in the places intended therefor and to refrain from the use of any motorized vehicles or other vehicle likely to damage the access routes and parking surfaces and to observe the instructions to be issued by the Lessor and/or anyone on behalf thereof from time to time in connection with the access arrangements and parking within the confines of the lot.</w:t>
      </w:r>
    </w:p>
    <w:p>
      <w:pPr>
        <w:spacing w:after="0" w:line="204" w:lineRule="exact"/>
        <w:rPr>
          <w:rFonts w:ascii="Arial" w:cs="Arial" w:eastAsia="Arial" w:hAnsi="Arial"/>
          <w:sz w:val="17"/>
          <w:szCs w:val="17"/>
          <w:color w:val="auto"/>
        </w:rPr>
      </w:pPr>
    </w:p>
    <w:p>
      <w:pPr>
        <w:ind w:left="300" w:hanging="300"/>
        <w:spacing w:after="0"/>
        <w:tabs>
          <w:tab w:leader="none" w:pos="30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To pay in full and on time all payments it owes to the Lessor and/or the competent authorities on the dates stated for the settlement thereof.</w:t>
      </w:r>
    </w:p>
    <w:p>
      <w:pPr>
        <w:spacing w:after="0" w:line="241" w:lineRule="exact"/>
        <w:rPr>
          <w:rFonts w:ascii="Arial" w:cs="Arial" w:eastAsia="Arial" w:hAnsi="Arial"/>
          <w:sz w:val="17"/>
          <w:szCs w:val="17"/>
          <w:color w:val="auto"/>
        </w:rPr>
      </w:pPr>
    </w:p>
    <w:p>
      <w:pPr>
        <w:jc w:val="both"/>
        <w:ind w:left="300" w:hanging="300"/>
        <w:spacing w:after="0" w:line="317" w:lineRule="auto"/>
        <w:tabs>
          <w:tab w:leader="none" w:pos="30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To enable the Lessor and/or a representative thereof to visit the rented premises at any reasonable time and insofar as possible following advance coordination and inspect the state and use being made thereof in order to assess the degree of fulfillment of the provisions of this agreement and/or to take the actions and means determined herein in this agreement or in any law, which require entry to the rented premises, including herein the following:</w:t>
      </w:r>
    </w:p>
    <w:p>
      <w:pPr>
        <w:spacing w:after="0" w:line="165" w:lineRule="exact"/>
        <w:rPr>
          <w:rFonts w:ascii="Arial" w:cs="Arial" w:eastAsia="Arial" w:hAnsi="Arial"/>
          <w:sz w:val="15"/>
          <w:szCs w:val="15"/>
          <w:color w:val="auto"/>
        </w:rPr>
      </w:pPr>
    </w:p>
    <w:p>
      <w:pPr>
        <w:ind w:left="620" w:hanging="311"/>
        <w:spacing w:after="0"/>
        <w:tabs>
          <w:tab w:leader="none" w:pos="62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To perform within the confines of the rented premises the repairs necessary for the requirements of the building or any part thereof.</w:t>
      </w:r>
    </w:p>
    <w:p>
      <w:pPr>
        <w:spacing w:after="0" w:line="241" w:lineRule="exact"/>
        <w:rPr>
          <w:rFonts w:ascii="Arial" w:cs="Arial" w:eastAsia="Arial" w:hAnsi="Arial"/>
          <w:sz w:val="17"/>
          <w:szCs w:val="17"/>
          <w:color w:val="auto"/>
        </w:rPr>
      </w:pPr>
    </w:p>
    <w:p>
      <w:pPr>
        <w:jc w:val="both"/>
        <w:ind w:left="620" w:hanging="311"/>
        <w:spacing w:after="0" w:line="261" w:lineRule="auto"/>
        <w:tabs>
          <w:tab w:leader="none" w:pos="62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To perform construction and/or demolition, which the Lessor is entitled to perform pursuant to this agreement. To the extent possible according to the sole discretion of the Lessor, the Lessee shall be given the possibility to perform such acts of its own accord within 7 days of the date of the Lessor’s request and, in accordance with the provisions and authorization of the Lessor in advance and in writing, including with respect to the manner of performance of the activities and the identity of the entity performing the activities.</w:t>
      </w:r>
    </w:p>
    <w:p>
      <w:pPr>
        <w:spacing w:after="0" w:line="204" w:lineRule="exact"/>
        <w:rPr>
          <w:rFonts w:ascii="Arial" w:cs="Arial" w:eastAsia="Arial" w:hAnsi="Arial"/>
          <w:sz w:val="17"/>
          <w:szCs w:val="17"/>
          <w:color w:val="auto"/>
        </w:rPr>
      </w:pPr>
    </w:p>
    <w:p>
      <w:pPr>
        <w:ind w:left="620" w:hanging="311"/>
        <w:spacing w:after="0"/>
        <w:tabs>
          <w:tab w:leader="none" w:pos="620" w:val="left"/>
        </w:tabs>
        <w:numPr>
          <w:ilvl w:val="1"/>
          <w:numId w:val="523"/>
        </w:numPr>
        <w:rPr>
          <w:rFonts w:ascii="Arial" w:cs="Arial" w:eastAsia="Arial" w:hAnsi="Arial"/>
          <w:sz w:val="17"/>
          <w:szCs w:val="17"/>
          <w:color w:val="auto"/>
        </w:rPr>
      </w:pPr>
      <w:r>
        <w:rPr>
          <w:rFonts w:ascii="Arial" w:cs="Arial" w:eastAsia="Arial" w:hAnsi="Arial"/>
          <w:sz w:val="17"/>
          <w:szCs w:val="17"/>
          <w:color w:val="auto"/>
        </w:rPr>
        <w:t>To show the rented premises to potential buyers and/or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404495</wp:posOffset>
            </wp:positionV>
            <wp:extent cx="7257415" cy="209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13" w:name="page614"/>
    <w:bookmarkEnd w:id="613"/>
    <w:p>
      <w:pPr>
        <w:jc w:val="both"/>
        <w:ind w:left="620" w:hanging="311"/>
        <w:spacing w:after="0" w:line="290" w:lineRule="auto"/>
        <w:tabs>
          <w:tab w:leader="none" w:pos="620" w:val="left"/>
        </w:tabs>
        <w:numPr>
          <w:ilvl w:val="1"/>
          <w:numId w:val="524"/>
        </w:numPr>
        <w:rPr>
          <w:rFonts w:ascii="Arial" w:cs="Arial" w:eastAsia="Arial" w:hAnsi="Arial"/>
          <w:sz w:val="15"/>
          <w:szCs w:val="15"/>
          <w:color w:val="auto"/>
        </w:rPr>
      </w:pPr>
      <w:r>
        <w:rPr>
          <w:rFonts w:ascii="Arial" w:cs="Arial" w:eastAsia="Arial" w:hAnsi="Arial"/>
          <w:sz w:val="15"/>
          <w:szCs w:val="15"/>
          <w:color w:val="auto"/>
        </w:rPr>
        <w:t>If some of the building’s systems are located in the rented premises and access thereto is through the rented premises, the Lessee shall allow the Lessor access to the same systems at any time for the purpose of the inspection and repair thereof. In an emergency, insofar as there is no one present in the rented premises and/or the rented premises are locked and there is a need to enter the rented premises due to an emergency situation, the Lessor and/or anyone on behalf thereof shall telephone the Lessee’s operations center, telephone no. (02) 625-7002 (the Shion Company). In the event that the aforesaid telephone number of the Lessee’s center changes, the Lessee shall inform the Lessor of the new number forthwith and in writing. If the Lessor has telephoned the Lessee’s center, it shall inform the person who answers the phone that he shall dispatch a representative of the Lessee hastily since there is an emergency situation and an urgent need to enter the rented premises. In the event there is no reply at the number, as aforesaid, for any reason and/or in the event that a representative of the Lessee fails to arrive within the time the Lessor or anyone on behalf thereof requires, from time to time, according to the circumstances of the matter, the Lessor and/or anyone on behalf thereof may break into the rented premises without delay. The Lessee agrees and declares that any damages and/or expenses it shall incur, directly and/or indirectly, in connection with the break-in, as aforesaid, shall be at the expense thereof and/or the sole liability thereof and it exempts the Lessor of any liability for any expense and/or damage it incurs, directly and/or indirectly, in connection with the break-in, even if it becomes apparent in retrospect that the Lessor could have avoided breaking in and/or could have broken in another manner and/or another place, all subject to the fact that the break-in, as aforesaid, shall be performed in cases where, in the circumstances of the matter, it was reasonable to assume that this constituted an emergency, which justified taking steps, as aforesaid, by the Lessor. For the avoidance of doubt, following the break-in, the Lessor shall not be obligated to place any security whatsoever at the rented premises subject to the fact that in the event it received a telephone response, as aforesaid, the Lessor made certain that a representative of the Lessee is aware of the situation at the rented premises.</w:t>
      </w:r>
    </w:p>
    <w:p>
      <w:pPr>
        <w:spacing w:after="0" w:line="187" w:lineRule="exact"/>
        <w:rPr>
          <w:rFonts w:ascii="Arial" w:cs="Arial" w:eastAsia="Arial" w:hAnsi="Arial"/>
          <w:sz w:val="15"/>
          <w:szCs w:val="15"/>
          <w:color w:val="auto"/>
        </w:rPr>
      </w:pPr>
    </w:p>
    <w:p>
      <w:pPr>
        <w:jc w:val="both"/>
        <w:ind w:left="300" w:hanging="300"/>
        <w:spacing w:after="0" w:line="275" w:lineRule="auto"/>
        <w:tabs>
          <w:tab w:leader="none" w:pos="30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To fulfill the instructions of the Lessor and directives of the competent authorities connected to the arrangements and procedures of fire extinguishing and prevention of fires, the Home Front Command, safety and security, in connection solely with the rented premises and to purchase and maintain at its expense, pursuant to the abovementioned bodies, all precautionary and safety equipment necessary to apply and observe the aforementioned instructions (including firefighting equipment) and to connect it to the center on that floor, all in connection and in relation solely to the rented premises, save for public infrastructure and external walls of the rented premises, which fall under the liability of the Lessor and with respect whereto the provisions of this sub-section shall not apply to the Lessee, unless a provision and/or demand, as aforesaid, in connection therewith ensues from the type and/or manner of management of the Lessee’s business in the rented premises.</w:t>
      </w:r>
    </w:p>
    <w:p>
      <w:pPr>
        <w:spacing w:after="0" w:line="196" w:lineRule="exact"/>
        <w:rPr>
          <w:rFonts w:ascii="Arial" w:cs="Arial" w:eastAsia="Arial" w:hAnsi="Arial"/>
          <w:sz w:val="16"/>
          <w:szCs w:val="16"/>
          <w:color w:val="auto"/>
        </w:rPr>
      </w:pPr>
    </w:p>
    <w:p>
      <w:pPr>
        <w:jc w:val="both"/>
        <w:ind w:left="300" w:hanging="300"/>
        <w:spacing w:after="0" w:line="265" w:lineRule="auto"/>
        <w:tabs>
          <w:tab w:leader="none" w:pos="300" w:val="left"/>
        </w:tabs>
        <w:numPr>
          <w:ilvl w:val="0"/>
          <w:numId w:val="525"/>
        </w:numPr>
        <w:rPr>
          <w:rFonts w:ascii="Arial" w:cs="Arial" w:eastAsia="Arial" w:hAnsi="Arial"/>
          <w:sz w:val="17"/>
          <w:szCs w:val="17"/>
          <w:color w:val="auto"/>
        </w:rPr>
      </w:pPr>
      <w:r>
        <w:rPr>
          <w:rFonts w:ascii="Arial" w:cs="Arial" w:eastAsia="Arial" w:hAnsi="Arial"/>
          <w:sz w:val="17"/>
          <w:szCs w:val="17"/>
          <w:color w:val="auto"/>
        </w:rPr>
        <w:t>According to the demand of the Lessor, to demolish and/or alter any addition or alteration introduced by the Lessee to the rented premises and/or the building that were constructed not in accordance with the provisions of this agreement and to restore the state of the rented premises and building to the former state thereof, all at the Lessee’s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378460</wp:posOffset>
            </wp:positionV>
            <wp:extent cx="7257415" cy="209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14" w:name="page615"/>
    <w:bookmarkEnd w:id="614"/>
    <w:p>
      <w:pPr>
        <w:jc w:val="both"/>
        <w:ind w:left="917" w:hanging="300"/>
        <w:spacing w:after="0" w:line="265" w:lineRule="auto"/>
        <w:tabs>
          <w:tab w:leader="none" w:pos="917" w:val="left"/>
        </w:tabs>
        <w:numPr>
          <w:ilvl w:val="1"/>
          <w:numId w:val="526"/>
        </w:numPr>
        <w:rPr>
          <w:rFonts w:ascii="Arial" w:cs="Arial" w:eastAsia="Arial" w:hAnsi="Arial"/>
          <w:sz w:val="17"/>
          <w:szCs w:val="17"/>
          <w:color w:val="auto"/>
        </w:rPr>
      </w:pPr>
      <w:r>
        <w:rPr>
          <w:rFonts w:ascii="Arial" w:cs="Arial" w:eastAsia="Arial" w:hAnsi="Arial"/>
          <w:sz w:val="17"/>
          <w:szCs w:val="17"/>
          <w:color w:val="auto"/>
        </w:rPr>
        <w:t>The Lessee hereby undertakes to refrain from hanging and installing signs and/or other means of advertisement in the area and/or in any part of the building. The signage, location thereof, type thereof, size and form thereof shall be determined by the Lessor, at its sole discretion, and the Lessor shall install such at the expense of the Lessee.</w:t>
      </w:r>
    </w:p>
    <w:p>
      <w:pPr>
        <w:spacing w:after="0" w:line="201"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26"/>
        </w:numPr>
        <w:rPr>
          <w:rFonts w:ascii="Arial" w:cs="Arial" w:eastAsia="Arial" w:hAnsi="Arial"/>
          <w:sz w:val="17"/>
          <w:szCs w:val="17"/>
          <w:color w:val="auto"/>
        </w:rPr>
      </w:pPr>
      <w:r>
        <w:rPr>
          <w:rFonts w:ascii="Arial" w:cs="Arial" w:eastAsia="Arial" w:hAnsi="Arial"/>
          <w:sz w:val="17"/>
          <w:szCs w:val="17"/>
          <w:color w:val="auto"/>
        </w:rPr>
        <w:t>For the avoidance of doubt, it is hereby explicitly clarified that the Lessee may not install air-conditioners in the walls and/or windows of the rented premises.</w:t>
      </w:r>
    </w:p>
    <w:p>
      <w:pPr>
        <w:spacing w:after="0" w:line="184" w:lineRule="exact"/>
        <w:rPr>
          <w:rFonts w:ascii="Arial" w:cs="Arial" w:eastAsia="Arial" w:hAnsi="Arial"/>
          <w:sz w:val="17"/>
          <w:szCs w:val="17"/>
          <w:color w:val="auto"/>
        </w:rPr>
      </w:pPr>
    </w:p>
    <w:p>
      <w:pPr>
        <w:ind w:left="597" w:hanging="597"/>
        <w:spacing w:after="0"/>
        <w:tabs>
          <w:tab w:leader="none" w:pos="597" w:val="left"/>
        </w:tabs>
        <w:numPr>
          <w:ilvl w:val="0"/>
          <w:numId w:val="527"/>
        </w:numPr>
        <w:rPr>
          <w:rFonts w:ascii="Arial" w:cs="Arial" w:eastAsia="Arial" w:hAnsi="Arial"/>
          <w:sz w:val="17"/>
          <w:szCs w:val="17"/>
          <w:color w:val="auto"/>
        </w:rPr>
      </w:pPr>
      <w:r>
        <w:rPr>
          <w:rFonts w:ascii="Arial" w:cs="Arial" w:eastAsia="Arial" w:hAnsi="Arial"/>
          <w:sz w:val="17"/>
          <w:szCs w:val="17"/>
          <w:b w:val="1"/>
          <w:bCs w:val="1"/>
          <w:u w:val="single" w:color="auto"/>
          <w:color w:val="auto"/>
        </w:rPr>
        <w:t>Maintenance and Repairs</w:t>
      </w:r>
    </w:p>
    <w:p>
      <w:pPr>
        <w:spacing w:after="0" w:line="247"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27"/>
        </w:numPr>
        <w:rPr>
          <w:rFonts w:ascii="Arial" w:cs="Arial" w:eastAsia="Arial" w:hAnsi="Arial"/>
          <w:sz w:val="17"/>
          <w:szCs w:val="17"/>
          <w:color w:val="auto"/>
        </w:rPr>
      </w:pPr>
      <w:r>
        <w:rPr>
          <w:rFonts w:ascii="Arial" w:cs="Arial" w:eastAsia="Arial" w:hAnsi="Arial"/>
          <w:sz w:val="17"/>
          <w:szCs w:val="17"/>
          <w:color w:val="auto"/>
        </w:rPr>
        <w:t>The Lessee undertakes to use the rented premises throughout the period of the tenancy in a reasonable manner and to maintain the rented premises and all facilities therein or connected thereto in good condition, functional, clean and orderly.</w:t>
      </w:r>
    </w:p>
    <w:p>
      <w:pPr>
        <w:spacing w:after="0" w:line="190"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27"/>
        </w:numPr>
        <w:rPr>
          <w:rFonts w:ascii="Arial" w:cs="Arial" w:eastAsia="Arial" w:hAnsi="Arial"/>
          <w:sz w:val="17"/>
          <w:szCs w:val="17"/>
          <w:color w:val="auto"/>
        </w:rPr>
      </w:pPr>
      <w:r>
        <w:rPr>
          <w:rFonts w:ascii="Arial" w:cs="Arial" w:eastAsia="Arial" w:hAnsi="Arial"/>
          <w:sz w:val="17"/>
          <w:szCs w:val="17"/>
          <w:color w:val="auto"/>
        </w:rPr>
        <w:t>In return for payment of the aforesaid sums in sub-section d herein below, the Lessor hereby undertakes to supply the maintenance services specified in sub-section c herein below, all under the conditions specified there.</w:t>
      </w:r>
    </w:p>
    <w:p>
      <w:pPr>
        <w:spacing w:after="0" w:line="190" w:lineRule="exact"/>
        <w:rPr>
          <w:rFonts w:ascii="Arial" w:cs="Arial" w:eastAsia="Arial" w:hAnsi="Arial"/>
          <w:sz w:val="17"/>
          <w:szCs w:val="17"/>
          <w:color w:val="auto"/>
        </w:rPr>
      </w:pPr>
    </w:p>
    <w:p>
      <w:pPr>
        <w:ind w:left="917" w:hanging="300"/>
        <w:spacing w:after="0"/>
        <w:tabs>
          <w:tab w:leader="none" w:pos="917" w:val="left"/>
        </w:tabs>
        <w:numPr>
          <w:ilvl w:val="1"/>
          <w:numId w:val="527"/>
        </w:numPr>
        <w:rPr>
          <w:rFonts w:ascii="Arial" w:cs="Arial" w:eastAsia="Arial" w:hAnsi="Arial"/>
          <w:sz w:val="17"/>
          <w:szCs w:val="17"/>
          <w:color w:val="auto"/>
        </w:rPr>
      </w:pPr>
      <w:r>
        <w:rPr>
          <w:rFonts w:ascii="Arial" w:cs="Arial" w:eastAsia="Arial" w:hAnsi="Arial"/>
          <w:sz w:val="17"/>
          <w:szCs w:val="17"/>
          <w:color w:val="auto"/>
        </w:rPr>
        <w:t>Maintenance services provided by the Lessor shall be of the type, extent and under the conditions specified herein below:</w:t>
      </w:r>
    </w:p>
    <w:p>
      <w:pPr>
        <w:spacing w:after="0" w:line="241" w:lineRule="exact"/>
        <w:rPr>
          <w:rFonts w:ascii="Arial" w:cs="Arial" w:eastAsia="Arial" w:hAnsi="Arial"/>
          <w:sz w:val="17"/>
          <w:szCs w:val="17"/>
          <w:color w:val="auto"/>
        </w:rPr>
      </w:pPr>
    </w:p>
    <w:p>
      <w:pPr>
        <w:jc w:val="both"/>
        <w:ind w:left="1237" w:hanging="311"/>
        <w:spacing w:after="0" w:line="282" w:lineRule="auto"/>
        <w:tabs>
          <w:tab w:leader="none" w:pos="1237" w:val="left"/>
        </w:tabs>
        <w:numPr>
          <w:ilvl w:val="2"/>
          <w:numId w:val="527"/>
        </w:numPr>
        <w:rPr>
          <w:rFonts w:ascii="Arial" w:cs="Arial" w:eastAsia="Arial" w:hAnsi="Arial"/>
          <w:sz w:val="16"/>
          <w:szCs w:val="16"/>
          <w:color w:val="auto"/>
        </w:rPr>
      </w:pPr>
      <w:r>
        <w:rPr>
          <w:rFonts w:ascii="Arial" w:cs="Arial" w:eastAsia="Arial" w:hAnsi="Arial"/>
          <w:sz w:val="16"/>
          <w:szCs w:val="16"/>
          <w:color w:val="auto"/>
        </w:rPr>
        <w:t>Maintenance of the structure, maintenance of the mechanical systems in the public areas, public plumbing, public sewage, public electricity, maintenance of elevators, gardening, maintenance of public signage, maintenance and cleaning of public areas, repair of problems and/or damages caused to systems of the rented premises as a result of reasonable and ordinary wear, save for the air-conditioning systems within the rented premises and the systems installed, added and/or altered in the rented premises by the Lessee and/or anyone on behalf thereof.</w:t>
      </w:r>
    </w:p>
    <w:p>
      <w:pPr>
        <w:spacing w:after="0" w:line="190" w:lineRule="exact"/>
        <w:rPr>
          <w:rFonts w:ascii="Arial" w:cs="Arial" w:eastAsia="Arial" w:hAnsi="Arial"/>
          <w:sz w:val="16"/>
          <w:szCs w:val="16"/>
          <w:color w:val="auto"/>
        </w:rPr>
      </w:pPr>
    </w:p>
    <w:p>
      <w:pPr>
        <w:ind w:left="1237" w:hanging="311"/>
        <w:spacing w:after="0" w:line="278" w:lineRule="auto"/>
        <w:tabs>
          <w:tab w:leader="none" w:pos="1237" w:val="left"/>
        </w:tabs>
        <w:numPr>
          <w:ilvl w:val="2"/>
          <w:numId w:val="527"/>
        </w:numPr>
        <w:rPr>
          <w:rFonts w:ascii="Arial" w:cs="Arial" w:eastAsia="Arial" w:hAnsi="Arial"/>
          <w:sz w:val="17"/>
          <w:szCs w:val="17"/>
          <w:color w:val="auto"/>
        </w:rPr>
      </w:pPr>
      <w:r>
        <w:rPr>
          <w:rFonts w:ascii="Arial" w:cs="Arial" w:eastAsia="Arial" w:hAnsi="Arial"/>
          <w:sz w:val="17"/>
          <w:szCs w:val="17"/>
          <w:color w:val="auto"/>
        </w:rPr>
        <w:t>Air-conditioning systems, including central cooling services, but not including treatment and maintenance of the air-conditioning appliances within the rented premises, on business days and at times that are customary. Heating shall be installed in the corner units.</w:t>
      </w:r>
    </w:p>
    <w:p>
      <w:pPr>
        <w:spacing w:after="0" w:line="190" w:lineRule="exact"/>
        <w:rPr>
          <w:rFonts w:ascii="Arial" w:cs="Arial" w:eastAsia="Arial" w:hAnsi="Arial"/>
          <w:sz w:val="17"/>
          <w:szCs w:val="17"/>
          <w:color w:val="auto"/>
        </w:rPr>
      </w:pPr>
    </w:p>
    <w:p>
      <w:pPr>
        <w:ind w:left="1237"/>
        <w:spacing w:after="0" w:line="278" w:lineRule="auto"/>
        <w:rPr>
          <w:rFonts w:ascii="Arial" w:cs="Arial" w:eastAsia="Arial" w:hAnsi="Arial"/>
          <w:sz w:val="17"/>
          <w:szCs w:val="17"/>
          <w:color w:val="auto"/>
        </w:rPr>
      </w:pPr>
      <w:r>
        <w:rPr>
          <w:rFonts w:ascii="Arial" w:cs="Arial" w:eastAsia="Arial" w:hAnsi="Arial"/>
          <w:sz w:val="17"/>
          <w:szCs w:val="17"/>
          <w:color w:val="auto"/>
        </w:rPr>
        <w:t>The Lessor shall supply the Lessee, if such is required, with cooling services also during the winter season to an extent and under the conditions to be concluded between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15" w:name="page616"/>
    <w:bookmarkEnd w:id="615"/>
    <w:p>
      <w:pPr>
        <w:jc w:val="both"/>
        <w:ind w:left="620"/>
        <w:spacing w:after="0" w:line="257" w:lineRule="auto"/>
        <w:rPr>
          <w:sz w:val="20"/>
          <w:szCs w:val="20"/>
          <w:color w:val="auto"/>
        </w:rPr>
      </w:pPr>
      <w:r>
        <w:rPr>
          <w:rFonts w:ascii="Arial" w:cs="Arial" w:eastAsia="Arial" w:hAnsi="Arial"/>
          <w:sz w:val="17"/>
          <w:szCs w:val="17"/>
          <w:color w:val="auto"/>
        </w:rPr>
        <w:t>For the avoidance of doubt, it is hereby explicitly clarified that subject to the undertaking of the Lessor to repair problems solely in the central air-conditioning system, if there are such, within a reasonable time from the date of receiving notice of the Lessee of the aforesaid impairment, nothing in the provisions of this agreement may imposed any liability whatsoever thereon for the disruptions likely to occur in the operation of the air-conditioning systems whether due to problems or maintenance activities or due to any other reason without exception, and the Lessee shall not be entitled to demand and/or receive from the Lessor any compensation and/or damage fees and/or payment in respect thereof for any reason whatsoever.</w:t>
      </w:r>
    </w:p>
    <w:p>
      <w:pPr>
        <w:spacing w:after="0" w:line="210" w:lineRule="exact"/>
        <w:rPr>
          <w:sz w:val="20"/>
          <w:szCs w:val="20"/>
          <w:color w:val="auto"/>
        </w:rPr>
      </w:pPr>
    </w:p>
    <w:p>
      <w:pPr>
        <w:jc w:val="both"/>
        <w:ind w:left="620"/>
        <w:spacing w:after="0" w:line="298" w:lineRule="auto"/>
        <w:rPr>
          <w:sz w:val="20"/>
          <w:szCs w:val="20"/>
          <w:color w:val="auto"/>
        </w:rPr>
      </w:pPr>
      <w:r>
        <w:rPr>
          <w:rFonts w:ascii="Arial" w:cs="Arial" w:eastAsia="Arial" w:hAnsi="Arial"/>
          <w:sz w:val="15"/>
          <w:szCs w:val="15"/>
          <w:color w:val="auto"/>
        </w:rPr>
        <w:t>The Lessee may not touch the air-conditioning systems in the rented premises and/or deal with them and/or maintain them and/or repair them and/or perform any action and/or enable others to do so, save for licensed contractors to whom the Lessor agrees in advance and in writing to their handling of the air-conditioning system in the rented premises and to do anything of the aforesaid with the equipment. If the Lessee breaches any of the provisions of this section and as a result thereof damage is caused to the air-conditioning systems, the Lessee shall bear the full expenses of the repair of the damage in practice, according to invoices to be presented to the Lessee together with interest for delay. For the avoidance of doubt, the Lessee shall bear all costs of the handling and maintenance of the air-conditioning systems within the rented premises.</w:t>
      </w:r>
    </w:p>
    <w:p>
      <w:pPr>
        <w:spacing w:after="0" w:line="181" w:lineRule="exact"/>
        <w:rPr>
          <w:sz w:val="20"/>
          <w:szCs w:val="20"/>
          <w:color w:val="auto"/>
        </w:rPr>
      </w:pPr>
    </w:p>
    <w:p>
      <w:pPr>
        <w:ind w:left="620" w:hanging="311"/>
        <w:spacing w:after="0"/>
        <w:tabs>
          <w:tab w:leader="none" w:pos="620" w:val="left"/>
        </w:tabs>
        <w:numPr>
          <w:ilvl w:val="1"/>
          <w:numId w:val="528"/>
        </w:numPr>
        <w:rPr>
          <w:rFonts w:ascii="Arial" w:cs="Arial" w:eastAsia="Arial" w:hAnsi="Arial"/>
          <w:sz w:val="17"/>
          <w:szCs w:val="17"/>
          <w:color w:val="auto"/>
        </w:rPr>
      </w:pPr>
      <w:r>
        <w:rPr>
          <w:rFonts w:ascii="Arial" w:cs="Arial" w:eastAsia="Arial" w:hAnsi="Arial"/>
          <w:sz w:val="17"/>
          <w:szCs w:val="17"/>
          <w:color w:val="auto"/>
        </w:rPr>
        <w:t>Environmental protection – to an extent to be determined from time to time by the Lessor according to its sole and exclusive discretion.</w:t>
      </w:r>
    </w:p>
    <w:p>
      <w:pPr>
        <w:spacing w:after="0" w:line="241" w:lineRule="exact"/>
        <w:rPr>
          <w:rFonts w:ascii="Arial" w:cs="Arial" w:eastAsia="Arial" w:hAnsi="Arial"/>
          <w:sz w:val="17"/>
          <w:szCs w:val="17"/>
          <w:color w:val="auto"/>
        </w:rPr>
      </w:pPr>
    </w:p>
    <w:p>
      <w:pPr>
        <w:jc w:val="both"/>
        <w:ind w:left="620" w:hanging="311"/>
        <w:spacing w:after="0" w:line="261" w:lineRule="auto"/>
        <w:tabs>
          <w:tab w:leader="none" w:pos="620" w:val="left"/>
        </w:tabs>
        <w:numPr>
          <w:ilvl w:val="1"/>
          <w:numId w:val="528"/>
        </w:numPr>
        <w:rPr>
          <w:rFonts w:ascii="Arial" w:cs="Arial" w:eastAsia="Arial" w:hAnsi="Arial"/>
          <w:sz w:val="17"/>
          <w:szCs w:val="17"/>
          <w:color w:val="auto"/>
        </w:rPr>
      </w:pPr>
      <w:r>
        <w:rPr>
          <w:rFonts w:ascii="Arial" w:cs="Arial" w:eastAsia="Arial" w:hAnsi="Arial"/>
          <w:sz w:val="17"/>
          <w:szCs w:val="17"/>
          <w:color w:val="auto"/>
        </w:rPr>
        <w:t>Insurance – The relative suitable share of the expenses and insurance fees that the Lessor shall pay for insurance of the building and systems therein against loss or damage as a result of the risks of fire, explosion, earthquake, storm and gale, flood, water damage, strikes, riots and malicious damage, as well as any additional risk necessary in the Lessor’s opinion. This insurance shall not include the contents of the rented premises s well as repairs, alterations and additions to the rented premises made by and/or for the Lessee.</w:t>
      </w:r>
    </w:p>
    <w:p>
      <w:pPr>
        <w:spacing w:after="0" w:line="204" w:lineRule="exact"/>
        <w:rPr>
          <w:rFonts w:ascii="Arial" w:cs="Arial" w:eastAsia="Arial" w:hAnsi="Arial"/>
          <w:sz w:val="17"/>
          <w:szCs w:val="17"/>
          <w:color w:val="auto"/>
        </w:rPr>
      </w:pPr>
    </w:p>
    <w:p>
      <w:pPr>
        <w:jc w:val="both"/>
        <w:ind w:left="620"/>
        <w:spacing w:after="0" w:line="265" w:lineRule="auto"/>
        <w:rPr>
          <w:rFonts w:ascii="Arial" w:cs="Arial" w:eastAsia="Arial" w:hAnsi="Arial"/>
          <w:sz w:val="17"/>
          <w:szCs w:val="17"/>
          <w:color w:val="auto"/>
        </w:rPr>
      </w:pPr>
      <w:r>
        <w:rPr>
          <w:rFonts w:ascii="Arial" w:cs="Arial" w:eastAsia="Arial" w:hAnsi="Arial"/>
          <w:sz w:val="17"/>
          <w:szCs w:val="17"/>
          <w:color w:val="auto"/>
        </w:rPr>
        <w:t>The parties hereby agree explicitly that nothing in the arrangement of insurance, as aforesaid herein in this section, may derogate from the Lessee’s liability, whether pursuant to this agreement or according to law, and nothing therein may impose any liability whatsoever on the Lessor with respect to loss and/or damage to the building.</w:t>
      </w:r>
    </w:p>
    <w:p>
      <w:pPr>
        <w:spacing w:after="0" w:line="195"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(Herein below: “</w:t>
      </w:r>
      <w:r>
        <w:rPr>
          <w:rFonts w:ascii="Arial" w:cs="Arial" w:eastAsia="Arial" w:hAnsi="Arial"/>
          <w:sz w:val="17"/>
          <w:szCs w:val="17"/>
          <w:b w:val="1"/>
          <w:bCs w:val="1"/>
          <w:color w:val="auto"/>
        </w:rPr>
        <w:t>Maintenance Services</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jc w:val="both"/>
        <w:ind w:left="300" w:hanging="300"/>
        <w:spacing w:after="0" w:line="265" w:lineRule="auto"/>
        <w:tabs>
          <w:tab w:leader="none" w:pos="300" w:val="left"/>
        </w:tabs>
        <w:numPr>
          <w:ilvl w:val="0"/>
          <w:numId w:val="529"/>
        </w:numPr>
        <w:rPr>
          <w:rFonts w:ascii="Arial" w:cs="Arial" w:eastAsia="Arial" w:hAnsi="Arial"/>
          <w:sz w:val="17"/>
          <w:szCs w:val="17"/>
          <w:color w:val="auto"/>
        </w:rPr>
      </w:pPr>
      <w:r>
        <w:rPr>
          <w:rFonts w:ascii="Arial" w:cs="Arial" w:eastAsia="Arial" w:hAnsi="Arial"/>
          <w:sz w:val="17"/>
          <w:szCs w:val="17"/>
          <w:color w:val="auto"/>
        </w:rPr>
        <w:t>In return for maintenance services the Lessee shall pay the Lessor, in addition to the rent specified in section 10 above and in addition to the payments specified in section 12 above, the sum of $2.50 a month for each square meter of the rented premises (gross), save in respect of the Machinery Area and the Gallery Area (hereinafter: “the Maintenance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378460</wp:posOffset>
            </wp:positionV>
            <wp:extent cx="7257415" cy="209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16" w:name="page617"/>
    <w:bookmarkEnd w:id="616"/>
    <w:p>
      <w:pPr>
        <w:jc w:val="both"/>
        <w:ind w:left="300"/>
        <w:spacing w:after="0" w:line="317" w:lineRule="auto"/>
        <w:rPr>
          <w:sz w:val="20"/>
          <w:szCs w:val="20"/>
          <w:color w:val="auto"/>
        </w:rPr>
      </w:pPr>
      <w:r>
        <w:rPr>
          <w:rFonts w:ascii="Arial" w:cs="Arial" w:eastAsia="Arial" w:hAnsi="Arial"/>
          <w:sz w:val="15"/>
          <w:szCs w:val="15"/>
          <w:color w:val="auto"/>
        </w:rPr>
        <w:t>Maintenance fees shall be translated into shekels on the date of signature of this agreement and shall constitute the base for the payment of maintenance fees (“the principle”), and shall be paid to the Lessor while linked to the Index. For the avoidance of doubt, it is clarified that the linkage differentials shall be calculated in accordance with the known index on the date of any payment in practice of maintenance fees, as opposed to the basic index.</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Lessee shall pay the Lessor maintenance fees in advance for every 3 months of the tenancy period, as specified in section 11 above.</w:t>
      </w:r>
    </w:p>
    <w:p>
      <w:pPr>
        <w:spacing w:after="0" w:line="242" w:lineRule="exact"/>
        <w:rPr>
          <w:sz w:val="20"/>
          <w:szCs w:val="20"/>
          <w:color w:val="auto"/>
        </w:rPr>
      </w:pPr>
    </w:p>
    <w:p>
      <w:pPr>
        <w:jc w:val="both"/>
        <w:ind w:left="300" w:hanging="300"/>
        <w:spacing w:after="0" w:line="226" w:lineRule="auto"/>
        <w:tabs>
          <w:tab w:leader="none" w:pos="3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Together with the payment of the maintenance fees, the Lessee shall pay the Lessor the VAT that applies to such payments against a duly issued tax invoice. The date of settling the VAT shall be the date of payment thereof to the VAT authorities pursuant to law, which is to say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second month of each quarter of the tenancy period.</w:t>
      </w:r>
    </w:p>
    <w:p>
      <w:pPr>
        <w:spacing w:after="0" w:line="220"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For the avoidance of doubt, the parties agree that the Lessor as aforesaid shall not be deemed “the guardian” of the rented premises and/or the contents thereof, regarding the provisions of the Watchmen Law, 5727-1967.</w:t>
      </w:r>
    </w:p>
    <w:p>
      <w:pPr>
        <w:spacing w:after="0" w:line="190"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Lessee undertakes to inform the Lessor, as the case may be, forthwith with no delay, of any loss, impairment, or damage caused to the rented premises or to any part thereof.</w:t>
      </w:r>
    </w:p>
    <w:p>
      <w:pPr>
        <w:spacing w:after="0" w:line="190"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Without derogating from the aforesaid, the Lessee undertakes to repair at its own expense any fault or impairment wherefore the Lessee is liable pursuant to section 17A herein below at the latest within seven (7) days of the date of the occurrence thereof.</w:t>
      </w:r>
    </w:p>
    <w:p>
      <w:pPr>
        <w:spacing w:after="0" w:line="190" w:lineRule="exact"/>
        <w:rPr>
          <w:rFonts w:ascii="Arial" w:cs="Arial" w:eastAsia="Arial" w:hAnsi="Arial"/>
          <w:sz w:val="17"/>
          <w:szCs w:val="17"/>
          <w:color w:val="auto"/>
        </w:rPr>
      </w:pPr>
    </w:p>
    <w:p>
      <w:pPr>
        <w:jc w:val="both"/>
        <w:ind w:left="300" w:hanging="300"/>
        <w:spacing w:after="0" w:line="259" w:lineRule="auto"/>
        <w:tabs>
          <w:tab w:leader="none" w:pos="30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In the event the Lessee fails to fulfill in full an undertaking pursuant to sub-sections a to h above, the Lessor of its own accord may perform (but is not obligated to do so) the maintenance and repairs that apply to the Lessee, subsequent to having given 7 days’ warning in advance and in writing to the Lessee. The Lessee shall reimburse the Lessor for all expenses that it expended for this purpose within 7 days of receiving its first demand and against the presentation of documentary proof with respect to payment of the actual expenses. Nothing in the aforesaid herein in this section may derogate from the Lessee’s duty to perform the repairs of the rented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381635</wp:posOffset>
            </wp:positionV>
            <wp:extent cx="7257415" cy="209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617" w:name="page618"/>
    <w:bookmarkEnd w:id="617"/>
    <w:p>
      <w:pPr>
        <w:ind w:left="597" w:hanging="597"/>
        <w:spacing w:after="0"/>
        <w:tabs>
          <w:tab w:leader="none" w:pos="597" w:val="left"/>
        </w:tabs>
        <w:numPr>
          <w:ilvl w:val="0"/>
          <w:numId w:val="531"/>
        </w:numPr>
        <w:rPr>
          <w:rFonts w:ascii="Arial" w:cs="Arial" w:eastAsia="Arial" w:hAnsi="Arial"/>
          <w:sz w:val="17"/>
          <w:szCs w:val="17"/>
          <w:color w:val="auto"/>
        </w:rPr>
      </w:pPr>
      <w:r>
        <w:rPr>
          <w:rFonts w:ascii="Arial" w:cs="Arial" w:eastAsia="Arial" w:hAnsi="Arial"/>
          <w:sz w:val="17"/>
          <w:szCs w:val="17"/>
          <w:b w:val="1"/>
          <w:bCs w:val="1"/>
          <w:u w:val="single" w:color="auto"/>
          <w:color w:val="auto"/>
        </w:rPr>
        <w:t>Insurance and Liability</w:t>
      </w:r>
    </w:p>
    <w:p>
      <w:pPr>
        <w:spacing w:after="0" w:line="247" w:lineRule="exact"/>
        <w:rPr>
          <w:rFonts w:ascii="Arial" w:cs="Arial" w:eastAsia="Arial" w:hAnsi="Arial"/>
          <w:sz w:val="17"/>
          <w:szCs w:val="17"/>
          <w:color w:val="auto"/>
        </w:rPr>
      </w:pPr>
    </w:p>
    <w:p>
      <w:pPr>
        <w:jc w:val="both"/>
        <w:ind w:left="917" w:hanging="300"/>
        <w:spacing w:after="0" w:line="275" w:lineRule="auto"/>
        <w:tabs>
          <w:tab w:leader="none" w:pos="917" w:val="left"/>
        </w:tabs>
        <w:numPr>
          <w:ilvl w:val="1"/>
          <w:numId w:val="531"/>
        </w:numPr>
        <w:rPr>
          <w:rFonts w:ascii="Arial" w:cs="Arial" w:eastAsia="Arial" w:hAnsi="Arial"/>
          <w:sz w:val="16"/>
          <w:szCs w:val="16"/>
          <w:color w:val="auto"/>
        </w:rPr>
      </w:pPr>
      <w:r>
        <w:rPr>
          <w:rFonts w:ascii="Arial" w:cs="Arial" w:eastAsia="Arial" w:hAnsi="Arial"/>
          <w:sz w:val="16"/>
          <w:szCs w:val="16"/>
          <w:color w:val="auto"/>
        </w:rPr>
        <w:t>In the relations between the parties and without derogating from the liability of the Lessee pursuant to any law, the Lessee shall be solely liable for any damage caused to any person and/or body and/or property during and as a result of the performance of the works in the rented premises by the Lessee and/or anyone on behalf thereof, save for damages in respect of the performance of the initial adaptation works to be performed by the Lessor, pursuant to the provisions of this agreement and, as well, the Lessee shall be liable for any damage caused to any person, body or property in connection with the possession and/or use thereof and/or anyone on behalf thereof, including the guests thereof in the rented premises. The Lessee undertakes to indemnify the Lessor in respect of any damage proved or monetary expense caused thereto, as a result of any claim or demand to be addressed vis-à-vis the Lessor, in connection with the incidents within the confines of the Lessee’s liability.</w:t>
      </w:r>
    </w:p>
    <w:p>
      <w:pPr>
        <w:spacing w:after="0" w:line="196" w:lineRule="exact"/>
        <w:rPr>
          <w:rFonts w:ascii="Arial" w:cs="Arial" w:eastAsia="Arial" w:hAnsi="Arial"/>
          <w:sz w:val="16"/>
          <w:szCs w:val="16"/>
          <w:color w:val="auto"/>
        </w:rPr>
      </w:pPr>
    </w:p>
    <w:p>
      <w:pPr>
        <w:jc w:val="both"/>
        <w:ind w:left="917"/>
        <w:spacing w:after="0" w:line="301" w:lineRule="auto"/>
        <w:rPr>
          <w:rFonts w:ascii="Arial" w:cs="Arial" w:eastAsia="Arial" w:hAnsi="Arial"/>
          <w:sz w:val="16"/>
          <w:szCs w:val="16"/>
          <w:color w:val="auto"/>
        </w:rPr>
      </w:pPr>
      <w:r>
        <w:rPr>
          <w:rFonts w:ascii="Arial" w:cs="Arial" w:eastAsia="Arial" w:hAnsi="Arial"/>
          <w:sz w:val="15"/>
          <w:szCs w:val="15"/>
          <w:color w:val="auto"/>
        </w:rPr>
        <w:t>The parties hereby agree that the Lessee shall indemnify the Lessor, as aforesaid herein in this section above, on condition that the Lessor notified the Lessee forthwith upon receiving the claim or demand, enabled the Lessee to participate in the defense and did not reach a settlement without the authorization of the Lessee. It is clarified that the Lessee shall bear any expenses, including lawyers’ fees that the Lessor bears in connection with all the aforesaid, against the presentation of suitable invoices to the Lessee. In any event, the Lessee shall be liable to restore the rented premises to the former state thereof as on the date of delivery, including the initial adaptation works, as defined above, and subject to reasonable wear.</w:t>
      </w:r>
    </w:p>
    <w:p>
      <w:pPr>
        <w:spacing w:after="0" w:line="178" w:lineRule="exact"/>
        <w:rPr>
          <w:rFonts w:ascii="Arial" w:cs="Arial" w:eastAsia="Arial" w:hAnsi="Arial"/>
          <w:sz w:val="16"/>
          <w:szCs w:val="16"/>
          <w:color w:val="auto"/>
        </w:rPr>
      </w:pPr>
    </w:p>
    <w:p>
      <w:pPr>
        <w:jc w:val="both"/>
        <w:ind w:left="917" w:hanging="300"/>
        <w:spacing w:after="0" w:line="261" w:lineRule="auto"/>
        <w:tabs>
          <w:tab w:leader="none" w:pos="917" w:val="left"/>
        </w:tabs>
        <w:numPr>
          <w:ilvl w:val="1"/>
          <w:numId w:val="531"/>
        </w:numPr>
        <w:rPr>
          <w:rFonts w:ascii="Arial" w:cs="Arial" w:eastAsia="Arial" w:hAnsi="Arial"/>
          <w:sz w:val="17"/>
          <w:szCs w:val="17"/>
          <w:color w:val="auto"/>
        </w:rPr>
      </w:pPr>
      <w:r>
        <w:rPr>
          <w:rFonts w:ascii="Arial" w:cs="Arial" w:eastAsia="Arial" w:hAnsi="Arial"/>
          <w:sz w:val="17"/>
          <w:szCs w:val="17"/>
          <w:color w:val="auto"/>
        </w:rPr>
        <w:t>(1) Prior to the date of delivery as defined in section 6 (d) above, and without derogating from the generality of the aforesaid in section A above and from the Lessee’s undertakings pursuant to this agreement and pursuant to the provisions of any law and in addition thereto, the Lessee undertakes to purchase at its expense and maintain in effect throughout the entire tenancy period the insurance policies specified herein below with an extent of coverage as defined alongside them, as follows:</w:t>
      </w:r>
    </w:p>
    <w:p>
      <w:pPr>
        <w:spacing w:after="0" w:line="204" w:lineRule="exact"/>
        <w:rPr>
          <w:rFonts w:ascii="Arial" w:cs="Arial" w:eastAsia="Arial" w:hAnsi="Arial"/>
          <w:sz w:val="17"/>
          <w:szCs w:val="17"/>
          <w:color w:val="auto"/>
        </w:rPr>
      </w:pPr>
    </w:p>
    <w:p>
      <w:pPr>
        <w:ind w:left="1537" w:hanging="302"/>
        <w:spacing w:after="0" w:line="311" w:lineRule="auto"/>
        <w:tabs>
          <w:tab w:leader="none" w:pos="1537" w:val="left"/>
        </w:tabs>
        <w:numPr>
          <w:ilvl w:val="2"/>
          <w:numId w:val="531"/>
        </w:numPr>
        <w:rPr>
          <w:rFonts w:ascii="Arial" w:cs="Arial" w:eastAsia="Arial" w:hAnsi="Arial"/>
          <w:sz w:val="16"/>
          <w:szCs w:val="16"/>
          <w:color w:val="auto"/>
        </w:rPr>
      </w:pPr>
      <w:r>
        <w:rPr>
          <w:rFonts w:ascii="Arial" w:cs="Arial" w:eastAsia="Arial" w:hAnsi="Arial"/>
          <w:sz w:val="16"/>
          <w:szCs w:val="16"/>
          <w:color w:val="auto"/>
        </w:rPr>
        <w:t>Employers’ Liability Insurance – Insurance of the Lessee’s liability vis-à-vis the employees thereof in respect of any personal injury to any employee during and as a result of the employment thereof, with a customary liability limit at the time of the arrangement of the insurance.</w:t>
      </w:r>
    </w:p>
    <w:p>
      <w:pPr>
        <w:spacing w:after="0" w:line="166" w:lineRule="exact"/>
        <w:rPr>
          <w:rFonts w:ascii="Arial" w:cs="Arial" w:eastAsia="Arial" w:hAnsi="Arial"/>
          <w:sz w:val="16"/>
          <w:szCs w:val="16"/>
          <w:color w:val="auto"/>
        </w:rPr>
      </w:pPr>
    </w:p>
    <w:p>
      <w:pPr>
        <w:jc w:val="both"/>
        <w:ind w:left="1537" w:hanging="302"/>
        <w:spacing w:after="0" w:line="265" w:lineRule="auto"/>
        <w:tabs>
          <w:tab w:leader="none" w:pos="1537" w:val="left"/>
        </w:tabs>
        <w:numPr>
          <w:ilvl w:val="2"/>
          <w:numId w:val="531"/>
        </w:numPr>
        <w:rPr>
          <w:rFonts w:ascii="Arial" w:cs="Arial" w:eastAsia="Arial" w:hAnsi="Arial"/>
          <w:sz w:val="17"/>
          <w:szCs w:val="17"/>
          <w:color w:val="auto"/>
        </w:rPr>
      </w:pPr>
      <w:r>
        <w:rPr>
          <w:rFonts w:ascii="Arial" w:cs="Arial" w:eastAsia="Arial" w:hAnsi="Arial"/>
          <w:sz w:val="17"/>
          <w:szCs w:val="17"/>
          <w:color w:val="auto"/>
        </w:rPr>
        <w:t>Third Party Liability Insurance – Insurance of the Lessee’s liability vis-à-vis the Lessor and any third party whatsoever in an amount that shall not be less than a shekel sum equivalent to $1,000,000. The policy shall include a “cross liability” section. The policy shall be extended to indemnify the Lessor in respect of the liability thereof for acts and/or omissions of the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618" w:name="page619"/>
    <w:bookmarkEnd w:id="618"/>
    <w:p>
      <w:pPr>
        <w:jc w:val="both"/>
        <w:ind w:left="340" w:hanging="302"/>
        <w:spacing w:after="0" w:line="265" w:lineRule="auto"/>
        <w:tabs>
          <w:tab w:leader="none" w:pos="3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Property Insurance – Insurance of the contents of the rented premises including improvements and investments made therein of any kind and type whatsoever, to the full value thereof against all risks customary including fire, explosion, earthquake, storms, gales, floods, water damage, airplanes, collisions, strikes, riots, malicious damages, burglary and broken glass.</w:t>
      </w:r>
    </w:p>
    <w:p>
      <w:pPr>
        <w:spacing w:after="0" w:line="201" w:lineRule="exact"/>
        <w:rPr>
          <w:rFonts w:ascii="Arial" w:cs="Arial" w:eastAsia="Arial" w:hAnsi="Arial"/>
          <w:sz w:val="17"/>
          <w:szCs w:val="17"/>
          <w:color w:val="auto"/>
        </w:rPr>
      </w:pPr>
    </w:p>
    <w:p>
      <w:pPr>
        <w:ind w:left="340"/>
        <w:spacing w:after="0" w:line="311" w:lineRule="auto"/>
        <w:rPr>
          <w:rFonts w:ascii="Arial" w:cs="Arial" w:eastAsia="Arial" w:hAnsi="Arial"/>
          <w:sz w:val="17"/>
          <w:szCs w:val="17"/>
          <w:color w:val="auto"/>
        </w:rPr>
      </w:pPr>
      <w:r>
        <w:rPr>
          <w:rFonts w:ascii="Arial" w:cs="Arial" w:eastAsia="Arial" w:hAnsi="Arial"/>
          <w:sz w:val="16"/>
          <w:szCs w:val="16"/>
          <w:color w:val="auto"/>
        </w:rPr>
        <w:t>The parties hereby agree that the Lessee may refrain from arranging the insurance against broken glass as aforesaid in sub-section c herein provided that the exemption in section 17 (b)(2)(1) herein below shall apply as if broken glass insurance had been arranged.</w:t>
      </w:r>
    </w:p>
    <w:p>
      <w:pPr>
        <w:spacing w:after="0" w:line="166" w:lineRule="exact"/>
        <w:rPr>
          <w:rFonts w:ascii="Arial" w:cs="Arial" w:eastAsia="Arial" w:hAnsi="Arial"/>
          <w:sz w:val="17"/>
          <w:szCs w:val="17"/>
          <w:color w:val="auto"/>
        </w:rPr>
      </w:pPr>
    </w:p>
    <w:p>
      <w:pPr>
        <w:jc w:val="both"/>
        <w:ind w:left="340" w:hanging="302"/>
        <w:spacing w:after="0" w:line="261" w:lineRule="auto"/>
        <w:tabs>
          <w:tab w:leader="none" w:pos="3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Consequential Damage Insurance – Consequential damage insurance for a period no less than 12 months as a result of loss or damage to the property of the Lessee, the rented remises and the building from risks as specified in section 17B (1)(c) above. The parties hereby agree that the Lessee may refrain from the arrangement of the insurance as aforesaid herein in this sub-section (d) provided that the exemption in section 17 (b)(2)(1) herein below shall apply, as if such insurance had been arranged.</w:t>
      </w:r>
    </w:p>
    <w:p>
      <w:pPr>
        <w:spacing w:after="0" w:line="204" w:lineRule="exact"/>
        <w:rPr>
          <w:rFonts w:ascii="Arial" w:cs="Arial" w:eastAsia="Arial" w:hAnsi="Arial"/>
          <w:sz w:val="17"/>
          <w:szCs w:val="17"/>
          <w:color w:val="auto"/>
        </w:rPr>
      </w:pPr>
    </w:p>
    <w:p>
      <w:pPr>
        <w:jc w:val="both"/>
        <w:ind w:left="340" w:hanging="302"/>
        <w:spacing w:after="0" w:line="277" w:lineRule="auto"/>
        <w:tabs>
          <w:tab w:leader="none" w:pos="34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In the event and insofar as the Lessee shall perform any works whatsoever in the rented premises, subsequent to the completion of all the initial adaptation works, as aforesaid in section 5 herein in this agreement – the insurance of the works performed by the Lessee and/or on behalf thereof in the rented premises as well as “third party liability insurance” at the time of the performance of the works with a liability limit that shall be no less than the sum of $500,000 and employers’ liability insurance with a liability limit customary at the time of the arrangement of the insurance. Third party liability insurance shall be extended to include a cross-liability section as well as indemnity of the Lessor in respect of the liability thereof as the owner and/or manager of the rented premises.</w:t>
      </w:r>
    </w:p>
    <w:p>
      <w:pPr>
        <w:spacing w:after="0" w:line="192" w:lineRule="exact"/>
        <w:rPr>
          <w:rFonts w:ascii="Arial" w:cs="Arial" w:eastAsia="Arial" w:hAnsi="Arial"/>
          <w:sz w:val="16"/>
          <w:szCs w:val="16"/>
          <w:color w:val="auto"/>
        </w:rPr>
      </w:pPr>
    </w:p>
    <w:p>
      <w:pPr>
        <w:jc w:val="both"/>
        <w:ind w:left="340" w:hanging="302"/>
        <w:spacing w:after="0" w:line="257" w:lineRule="auto"/>
        <w:tabs>
          <w:tab w:leader="none" w:pos="3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(1) Without derogating from the Lessee’s liability pursuant to this agreement or according to any law, the Lessee declares that it shall arrange and fulfill, at its expense, whether of its own accord or by way of contractors on behalf thereof, commencing on the date of the beginning of the performance period of the adaptation works in the rented premises (hereinafter in this section: “the Works”), with a licensed reputable insurance company, a Works Insurance policy as specified herein below (hereinafter: “Works Insurance”), throughout the entire period of the works, in its name, in the contractor’s name, the sub-contractors, in the Lessor’s name, the management company and the name of those coming by virtue thereof, against loss, damage or liability connected to or ensuing from the performance of the works. Works insurance shall include the following insurance chapters specified herein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382270</wp:posOffset>
            </wp:positionV>
            <wp:extent cx="7257415" cy="209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0" w:right="239" w:bottom="1440" w:gutter="0" w:footer="0" w:header="0"/>
        </w:sectPr>
      </w:pPr>
    </w:p>
    <w:bookmarkStart w:id="619" w:name="page620"/>
    <w:bookmarkEnd w:id="619"/>
    <w:p>
      <w:pPr>
        <w:ind w:left="340"/>
        <w:spacing w:after="0"/>
        <w:rPr>
          <w:sz w:val="20"/>
          <w:szCs w:val="20"/>
          <w:color w:val="auto"/>
        </w:rPr>
      </w:pPr>
      <w:r>
        <w:rPr>
          <w:rFonts w:ascii="Arial" w:cs="Arial" w:eastAsia="Arial" w:hAnsi="Arial"/>
          <w:sz w:val="17"/>
          <w:szCs w:val="17"/>
          <w:color w:val="auto"/>
        </w:rPr>
        <w:t>Chapter (1) – Property Damage</w:t>
      </w:r>
    </w:p>
    <w:p>
      <w:pPr>
        <w:spacing w:after="0" w:line="242" w:lineRule="exact"/>
        <w:rPr>
          <w:sz w:val="20"/>
          <w:szCs w:val="20"/>
          <w:color w:val="auto"/>
        </w:rPr>
      </w:pPr>
    </w:p>
    <w:p>
      <w:pPr>
        <w:jc w:val="both"/>
        <w:ind w:left="340"/>
        <w:spacing w:after="0" w:line="277" w:lineRule="auto"/>
        <w:rPr>
          <w:sz w:val="20"/>
          <w:szCs w:val="20"/>
          <w:color w:val="auto"/>
        </w:rPr>
      </w:pPr>
      <w:r>
        <w:rPr>
          <w:rFonts w:ascii="Arial" w:cs="Arial" w:eastAsia="Arial" w:hAnsi="Arial"/>
          <w:sz w:val="16"/>
          <w:szCs w:val="16"/>
          <w:color w:val="auto"/>
        </w:rPr>
        <w:t>All Risks Insurance insures against the physical and unanticipated loss or damage that shall be caused to the works during the period of insurance. The chapter comprises explicit expansion with respect to coverage of proximate property and property being worked on with a liability limit in the amount of at least $50,000. The insurance shall include a section with respect to the waiver of the right of subrogation in favor of the Lessor, the management company and anyone acting on behalf thereof as well as vis-à-vis other rights holders in the building wherein the rented premises are located (who have a similar waiver in favor of the Lessee in the insurance of the property thereof), provided that the waiver, as aforesaid, shall not apply in favor of a person who caused damage maliciously.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Chapter (2) – Third Party Liability</w:t>
      </w:r>
    </w:p>
    <w:p>
      <w:pPr>
        <w:spacing w:after="0" w:line="242" w:lineRule="exact"/>
        <w:rPr>
          <w:sz w:val="20"/>
          <w:szCs w:val="20"/>
          <w:color w:val="auto"/>
        </w:rPr>
      </w:pPr>
    </w:p>
    <w:p>
      <w:pPr>
        <w:jc w:val="both"/>
        <w:ind w:left="340"/>
        <w:spacing w:after="0" w:line="278" w:lineRule="auto"/>
        <w:rPr>
          <w:sz w:val="20"/>
          <w:szCs w:val="20"/>
          <w:color w:val="auto"/>
        </w:rPr>
      </w:pPr>
      <w:r>
        <w:rPr>
          <w:rFonts w:ascii="Arial" w:cs="Arial" w:eastAsia="Arial" w:hAnsi="Arial"/>
          <w:sz w:val="17"/>
          <w:szCs w:val="17"/>
          <w:color w:val="auto"/>
        </w:rPr>
        <w:t>Liability insurance vis-à-vis third parties in respect of bodily injury or damage to property caused during the period of the works, with a liability limit of $1,000,000 per incident for the insurance period.</w:t>
      </w:r>
    </w:p>
    <w:p>
      <w:pPr>
        <w:spacing w:after="0" w:line="190" w:lineRule="exact"/>
        <w:rPr>
          <w:sz w:val="20"/>
          <w:szCs w:val="20"/>
          <w:color w:val="auto"/>
        </w:rPr>
      </w:pPr>
    </w:p>
    <w:p>
      <w:pPr>
        <w:jc w:val="both"/>
        <w:ind w:left="340"/>
        <w:spacing w:after="0" w:line="278" w:lineRule="auto"/>
        <w:rPr>
          <w:sz w:val="20"/>
          <w:szCs w:val="20"/>
          <w:color w:val="auto"/>
        </w:rPr>
      </w:pPr>
      <w:r>
        <w:rPr>
          <w:rFonts w:ascii="Arial" w:cs="Arial" w:eastAsia="Arial" w:hAnsi="Arial"/>
          <w:sz w:val="17"/>
          <w:szCs w:val="17"/>
          <w:color w:val="auto"/>
        </w:rPr>
        <w:t>Coverage shall include explicitly also a section on cross-liability. The chapter as aforesaid shall not include any limit on the matter of the following topics:</w:t>
      </w:r>
    </w:p>
    <w:p>
      <w:pPr>
        <w:spacing w:after="0" w:line="190" w:lineRule="exact"/>
        <w:rPr>
          <w:sz w:val="20"/>
          <w:szCs w:val="20"/>
          <w:color w:val="auto"/>
        </w:rPr>
      </w:pPr>
    </w:p>
    <w:p>
      <w:pPr>
        <w:ind w:left="660" w:hanging="314"/>
        <w:spacing w:after="0" w:line="259" w:lineRule="auto"/>
        <w:tabs>
          <w:tab w:leader="none" w:pos="6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Subrogation claims of the National Insurance Institute in respect of employees of contractors and sub-contractors employed on the site of the Works.</w:t>
      </w:r>
    </w:p>
    <w:p>
      <w:pPr>
        <w:ind w:left="660" w:hanging="314"/>
        <w:spacing w:after="0" w:line="252" w:lineRule="auto"/>
        <w:tabs>
          <w:tab w:leader="none" w:pos="6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Personal injury ensuing from the use of mechanical engineering equipment, which is a motorized vehicle, and there is no duty to insure it with compulsory insurance.</w:t>
      </w:r>
    </w:p>
    <w:p>
      <w:pPr>
        <w:spacing w:after="0" w:line="1" w:lineRule="exact"/>
        <w:rPr>
          <w:rFonts w:ascii="Arial" w:cs="Arial" w:eastAsia="Arial" w:hAnsi="Arial"/>
          <w:sz w:val="17"/>
          <w:szCs w:val="17"/>
          <w:color w:val="auto"/>
        </w:rPr>
      </w:pPr>
    </w:p>
    <w:p>
      <w:pPr>
        <w:ind w:left="660" w:hanging="314"/>
        <w:spacing w:after="0" w:line="265" w:lineRule="auto"/>
        <w:tabs>
          <w:tab w:leader="none" w:pos="66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Liability for damage caused as a result of earthquakes and the weakening of an abutment with a liability limit in the amount of $250,000 per incident.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Chapter (3) – Employers Liability</w:t>
      </w:r>
    </w:p>
    <w:p>
      <w:pPr>
        <w:spacing w:after="0" w:line="242" w:lineRule="exact"/>
        <w:rPr>
          <w:sz w:val="20"/>
          <w:szCs w:val="20"/>
          <w:color w:val="auto"/>
        </w:rPr>
      </w:pPr>
    </w:p>
    <w:p>
      <w:pPr>
        <w:jc w:val="both"/>
        <w:ind w:left="340"/>
        <w:spacing w:after="0" w:line="259" w:lineRule="auto"/>
        <w:rPr>
          <w:sz w:val="20"/>
          <w:szCs w:val="20"/>
          <w:color w:val="auto"/>
        </w:rPr>
      </w:pPr>
      <w:r>
        <w:rPr>
          <w:rFonts w:ascii="Arial" w:cs="Arial" w:eastAsia="Arial" w:hAnsi="Arial"/>
          <w:sz w:val="17"/>
          <w:szCs w:val="17"/>
          <w:color w:val="auto"/>
        </w:rPr>
        <w:t>Liability insurance vis-à-vis employees performing the works in respect of personal injury or illness caused to any one of them within the confines of the performance of the works during the period of performance, while performing and as a result of the performance of the works, with a liability limit of $5,000,000 for the Plaintiff per incident and period of insurance. The insurance shall not include any limit with respect to contractors, sub-contractors and employees thereof, works performed at heights and in depth, lures and poisons, as well as with respect to the employment of youth.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381635</wp:posOffset>
            </wp:positionV>
            <wp:extent cx="7257415" cy="209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0" w:right="239" w:bottom="1440" w:gutter="0" w:footer="0" w:header="0"/>
        </w:sectPr>
      </w:pPr>
    </w:p>
    <w:bookmarkStart w:id="620" w:name="page621"/>
    <w:bookmarkEnd w:id="620"/>
    <w:p>
      <w:pPr>
        <w:ind w:left="920"/>
        <w:spacing w:after="0" w:line="278" w:lineRule="auto"/>
        <w:rPr>
          <w:sz w:val="20"/>
          <w:szCs w:val="20"/>
          <w:color w:val="auto"/>
        </w:rPr>
      </w:pPr>
      <w:r>
        <w:rPr>
          <w:rFonts w:ascii="Arial" w:cs="Arial" w:eastAsia="Arial" w:hAnsi="Arial"/>
          <w:sz w:val="17"/>
          <w:szCs w:val="17"/>
          <w:color w:val="auto"/>
        </w:rPr>
        <w:t>Extent of insurance coverage in contractors’ works insurance shall be no less than the conditions known as “</w:t>
      </w:r>
      <w:r>
        <w:rPr>
          <w:rFonts w:ascii="Arial" w:cs="Arial" w:eastAsia="Arial" w:hAnsi="Arial"/>
          <w:sz w:val="17"/>
          <w:szCs w:val="17"/>
          <w:i w:val="1"/>
          <w:iCs w:val="1"/>
          <w:color w:val="auto"/>
        </w:rPr>
        <w:t>Bit</w:t>
      </w:r>
      <w:r>
        <w:rPr>
          <w:rFonts w:ascii="Arial" w:cs="Arial" w:eastAsia="Arial" w:hAnsi="Arial"/>
          <w:sz w:val="17"/>
          <w:szCs w:val="17"/>
          <w:color w:val="auto"/>
        </w:rPr>
        <w:t xml:space="preserve"> 2005” conditions or a policy similar thereto at the time the insurance is arranged.</w:t>
      </w:r>
    </w:p>
    <w:p>
      <w:pPr>
        <w:spacing w:after="0" w:line="190" w:lineRule="exact"/>
        <w:rPr>
          <w:sz w:val="20"/>
          <w:szCs w:val="20"/>
          <w:color w:val="auto"/>
        </w:rPr>
      </w:pPr>
    </w:p>
    <w:p>
      <w:pPr>
        <w:spacing w:after="0" w:line="278" w:lineRule="auto"/>
        <w:tabs>
          <w:tab w:leader="none" w:pos="822" w:val="left"/>
        </w:tabs>
        <w:numPr>
          <w:ilvl w:val="0"/>
          <w:numId w:val="534"/>
        </w:numPr>
        <w:rPr>
          <w:rFonts w:ascii="Arial" w:cs="Arial" w:eastAsia="Arial" w:hAnsi="Arial"/>
          <w:sz w:val="17"/>
          <w:szCs w:val="17"/>
          <w:color w:val="auto"/>
        </w:rPr>
      </w:pPr>
      <w:r>
        <w:rPr>
          <w:rFonts w:ascii="Arial" w:cs="Arial" w:eastAsia="Arial" w:hAnsi="Arial"/>
          <w:sz w:val="17"/>
          <w:szCs w:val="17"/>
          <w:color w:val="auto"/>
        </w:rPr>
        <w:t>Works insurance shall include an explicit condition to the effect that the insurer may not revoke it and/or restrict the extent thereof unless the insurer delivered notice to the Lessor by way of registered mail of its intent to do so at least 30 days in advance.</w:t>
      </w:r>
    </w:p>
    <w:p>
      <w:pPr>
        <w:spacing w:after="0" w:line="190" w:lineRule="exact"/>
        <w:rPr>
          <w:rFonts w:ascii="Arial" w:cs="Arial" w:eastAsia="Arial" w:hAnsi="Arial"/>
          <w:sz w:val="17"/>
          <w:szCs w:val="17"/>
          <w:color w:val="auto"/>
        </w:rPr>
      </w:pPr>
    </w:p>
    <w:p>
      <w:pPr>
        <w:spacing w:after="0" w:line="278" w:lineRule="auto"/>
        <w:tabs>
          <w:tab w:leader="none" w:pos="68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For the avoidance of doubt, the Lessee and/or anyone on behalf thereof shall bear the sums of the deductible stated in the insurance policies. These sums may be set off by the Lessor from any amount owing to the Lessee pursuant to this agreement.</w:t>
      </w:r>
    </w:p>
    <w:p>
      <w:pPr>
        <w:spacing w:after="0" w:line="190" w:lineRule="exact"/>
        <w:rPr>
          <w:rFonts w:ascii="Arial" w:cs="Arial" w:eastAsia="Arial" w:hAnsi="Arial"/>
          <w:sz w:val="17"/>
          <w:szCs w:val="17"/>
          <w:color w:val="auto"/>
        </w:rPr>
      </w:pPr>
    </w:p>
    <w:p>
      <w:pPr>
        <w:spacing w:after="0" w:line="278" w:lineRule="auto"/>
        <w:tabs>
          <w:tab w:leader="none" w:pos="739"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policies shall include a provision to the effect that solely the Lessee and/or anyone on behalf thereof alone shall be liable for the payment of the premium.</w:t>
      </w:r>
    </w:p>
    <w:p>
      <w:pPr>
        <w:spacing w:after="0" w:line="190" w:lineRule="exact"/>
        <w:rPr>
          <w:rFonts w:ascii="Arial" w:cs="Arial" w:eastAsia="Arial" w:hAnsi="Arial"/>
          <w:sz w:val="17"/>
          <w:szCs w:val="17"/>
          <w:color w:val="auto"/>
        </w:rPr>
      </w:pPr>
    </w:p>
    <w:p>
      <w:pPr>
        <w:spacing w:after="0" w:line="278" w:lineRule="auto"/>
        <w:tabs>
          <w:tab w:leader="none" w:pos="888"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policies shall include a provision to the effect that they constitute primary policies for each policy that was separately taken out by an individual of the individuals of the insured party.</w:t>
      </w:r>
    </w:p>
    <w:p>
      <w:pPr>
        <w:spacing w:after="0" w:line="190" w:lineRule="exact"/>
        <w:rPr>
          <w:rFonts w:ascii="Arial" w:cs="Arial" w:eastAsia="Arial" w:hAnsi="Arial"/>
          <w:sz w:val="17"/>
          <w:szCs w:val="17"/>
          <w:color w:val="auto"/>
        </w:rPr>
      </w:pPr>
    </w:p>
    <w:p>
      <w:pPr>
        <w:jc w:val="both"/>
        <w:spacing w:after="0" w:line="257" w:lineRule="auto"/>
        <w:tabs>
          <w:tab w:leader="none" w:pos="818" w:val="left"/>
        </w:tabs>
        <w:numPr>
          <w:ilvl w:val="0"/>
          <w:numId w:val="534"/>
        </w:numPr>
        <w:rPr>
          <w:rFonts w:ascii="Arial" w:cs="Arial" w:eastAsia="Arial" w:hAnsi="Arial"/>
          <w:sz w:val="17"/>
          <w:szCs w:val="17"/>
          <w:color w:val="auto"/>
        </w:rPr>
      </w:pPr>
      <w:r>
        <w:rPr>
          <w:rFonts w:ascii="Arial" w:cs="Arial" w:eastAsia="Arial" w:hAnsi="Arial"/>
          <w:sz w:val="17"/>
          <w:szCs w:val="17"/>
          <w:color w:val="auto"/>
        </w:rPr>
        <w:t xml:space="preserve">The Lessee undertakes to present to the Lessor, no later than the date of commencement of the performance of the works authorization of the arrangement of insurance by the insurer thereof and/or the insurer of the contractor on behalf of the Lessee of the performance of works insurance, in accordance with the authorization of the arrangement of insurance attached hereto to this agreement as </w:t>
      </w:r>
      <w:r>
        <w:rPr>
          <w:rFonts w:ascii="Arial" w:cs="Arial" w:eastAsia="Arial" w:hAnsi="Arial"/>
          <w:sz w:val="17"/>
          <w:szCs w:val="17"/>
          <w:b w:val="1"/>
          <w:bCs w:val="1"/>
          <w:u w:val="single" w:color="auto"/>
          <w:color w:val="auto"/>
        </w:rPr>
        <w:t>Appendix F1</w:t>
      </w:r>
      <w:r>
        <w:rPr>
          <w:rFonts w:ascii="Arial" w:cs="Arial" w:eastAsia="Arial" w:hAnsi="Arial"/>
          <w:sz w:val="17"/>
          <w:szCs w:val="17"/>
          <w:color w:val="auto"/>
        </w:rPr>
        <w:t>, and constituting an integral part thereof (hereinafter: “Authorization of the Arrangement of Insurance”). The parties hereby agree explicitly that the arrangement of the insurances, as aforesaid, the presentation thereof and/or the amendment thereof fail to constitute authorization with respect to the suitability thereof and shall not impose any liability whatsoever on the Lessor and/or the management company and shall not restrict the liability of the Lessee pursuant to this agreement or pursuant to any law.</w:t>
      </w:r>
    </w:p>
    <w:p>
      <w:pPr>
        <w:spacing w:after="0" w:line="206" w:lineRule="exact"/>
        <w:rPr>
          <w:rFonts w:ascii="Arial" w:cs="Arial" w:eastAsia="Arial" w:hAnsi="Arial"/>
          <w:sz w:val="17"/>
          <w:szCs w:val="17"/>
          <w:color w:val="auto"/>
        </w:rPr>
      </w:pPr>
    </w:p>
    <w:p>
      <w:pPr>
        <w:jc w:val="both"/>
        <w:spacing w:after="0" w:line="259" w:lineRule="auto"/>
        <w:tabs>
          <w:tab w:leader="none" w:pos="72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Lessee, in its name and in the name of the contractor/s on behalf thereof, hereby exempts the Lessor, the management company and those on behalf thereof as well as other rights holders in the building wherein the rented premises are located (who have agreements that grant them rights in the building wherein the rented premises are located, which include a similar exemption in favor of the Lessee) from any liability for any loss or damage whatsoever to property of the Lessee and/or anyone on behalf thereof, provided that the exemption, as aforesaid, shall not apply in favor of an individual who caused damage maliciously.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381635</wp:posOffset>
            </wp:positionV>
            <wp:extent cx="7257415" cy="209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21" w:name="page622"/>
    <w:bookmarkEnd w:id="621"/>
    <w:p>
      <w:pPr>
        <w:ind w:left="617" w:hanging="617"/>
        <w:spacing w:after="0"/>
        <w:tabs>
          <w:tab w:leader="none" w:pos="617" w:val="left"/>
        </w:tabs>
        <w:numPr>
          <w:ilvl w:val="0"/>
          <w:numId w:val="535"/>
        </w:numPr>
        <w:rPr>
          <w:rFonts w:ascii="Arial" w:cs="Arial" w:eastAsia="Arial" w:hAnsi="Arial"/>
          <w:sz w:val="17"/>
          <w:szCs w:val="17"/>
          <w:color w:val="auto"/>
        </w:rPr>
      </w:pPr>
      <w:r>
        <w:rPr>
          <w:rFonts w:ascii="Arial" w:cs="Arial" w:eastAsia="Arial" w:hAnsi="Arial"/>
          <w:sz w:val="17"/>
          <w:szCs w:val="17"/>
          <w:color w:val="auto"/>
        </w:rPr>
        <w:t>The following provisions shall apply to policies, as aforesaid in section 17B(1) above:</w:t>
      </w:r>
    </w:p>
    <w:p>
      <w:pPr>
        <w:spacing w:after="0" w:line="241"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35"/>
        </w:numPr>
        <w:rPr>
          <w:rFonts w:ascii="Arial" w:cs="Arial" w:eastAsia="Arial" w:hAnsi="Arial"/>
          <w:sz w:val="17"/>
          <w:szCs w:val="17"/>
          <w:color w:val="auto"/>
        </w:rPr>
      </w:pPr>
      <w:r>
        <w:rPr>
          <w:rFonts w:ascii="Arial" w:cs="Arial" w:eastAsia="Arial" w:hAnsi="Arial"/>
          <w:sz w:val="17"/>
          <w:szCs w:val="17"/>
          <w:color w:val="auto"/>
        </w:rPr>
        <w:t>The Lessee shall perform the aforesaid insurances with a recognized and duly licensed insurance company, shall update the sums of the insurance, shall strictly fulfill all provisions of the policies and shall pay the premiums on time.</w:t>
      </w:r>
    </w:p>
    <w:p>
      <w:pPr>
        <w:spacing w:after="0" w:line="190" w:lineRule="exact"/>
        <w:rPr>
          <w:rFonts w:ascii="Arial" w:cs="Arial" w:eastAsia="Arial" w:hAnsi="Arial"/>
          <w:sz w:val="17"/>
          <w:szCs w:val="17"/>
          <w:color w:val="auto"/>
        </w:rPr>
      </w:pPr>
    </w:p>
    <w:p>
      <w:pPr>
        <w:jc w:val="both"/>
        <w:ind w:left="917" w:hanging="300"/>
        <w:spacing w:after="0" w:line="261" w:lineRule="auto"/>
        <w:tabs>
          <w:tab w:leader="none" w:pos="917" w:val="left"/>
        </w:tabs>
        <w:numPr>
          <w:ilvl w:val="1"/>
          <w:numId w:val="535"/>
        </w:numPr>
        <w:rPr>
          <w:rFonts w:ascii="Arial" w:cs="Arial" w:eastAsia="Arial" w:hAnsi="Arial"/>
          <w:sz w:val="17"/>
          <w:szCs w:val="17"/>
          <w:color w:val="auto"/>
        </w:rPr>
      </w:pPr>
      <w:r>
        <w:rPr>
          <w:rFonts w:ascii="Arial" w:cs="Arial" w:eastAsia="Arial" w:hAnsi="Arial"/>
          <w:sz w:val="17"/>
          <w:szCs w:val="17"/>
          <w:color w:val="auto"/>
        </w:rPr>
        <w:t>The Lessee shall ensure that the insurer waives the right of subrogation against the Lessor, other tenants and other possessors of property, the managers and employees thereof and anyone on behalf thereof, while all that pertains to the other tenants and possessors, as aforesaid herein in this sub-section b, shall be subject to the fulfillment of a similar section in the agreements signed therewith. This sub-section shall not apply in favor of anyone who has caused damage maliciously.</w:t>
      </w:r>
    </w:p>
    <w:p>
      <w:pPr>
        <w:spacing w:after="0" w:line="204" w:lineRule="exact"/>
        <w:rPr>
          <w:rFonts w:ascii="Arial" w:cs="Arial" w:eastAsia="Arial" w:hAnsi="Arial"/>
          <w:sz w:val="17"/>
          <w:szCs w:val="17"/>
          <w:color w:val="auto"/>
        </w:rPr>
      </w:pPr>
    </w:p>
    <w:p>
      <w:pPr>
        <w:jc w:val="both"/>
        <w:ind w:left="917" w:hanging="300"/>
        <w:spacing w:after="0" w:line="306" w:lineRule="auto"/>
        <w:tabs>
          <w:tab w:leader="none" w:pos="917" w:val="left"/>
        </w:tabs>
        <w:numPr>
          <w:ilvl w:val="1"/>
          <w:numId w:val="535"/>
        </w:numPr>
        <w:rPr>
          <w:rFonts w:ascii="Arial" w:cs="Arial" w:eastAsia="Arial" w:hAnsi="Arial"/>
          <w:sz w:val="15"/>
          <w:szCs w:val="15"/>
          <w:color w:val="auto"/>
        </w:rPr>
      </w:pPr>
      <w:r>
        <w:rPr>
          <w:rFonts w:ascii="Arial" w:cs="Arial" w:eastAsia="Arial" w:hAnsi="Arial"/>
          <w:sz w:val="15"/>
          <w:szCs w:val="15"/>
          <w:color w:val="auto"/>
        </w:rPr>
        <w:t>At the Lessor’s request, the Lessee shall present to the Lessor all insurance policies issued thereto in accordance with this section 17 or the insurance authorization for the rented premises, attached hereto as Appendix F to this agreement, signed by the insurer. In addition, the Lessee shall present to the Lessor and at the request thereof any amendment or revision to the policy and at the reasonable request of the Lessor, the Lessee shall be obligated to add and/or update and/or amend the insurance policies to the satisfaction of the Lessor so that they fulfill the criteria set forth herein in this section 17.</w:t>
      </w:r>
    </w:p>
    <w:p>
      <w:pPr>
        <w:spacing w:after="0" w:line="175" w:lineRule="exact"/>
        <w:rPr>
          <w:rFonts w:ascii="Arial" w:cs="Arial" w:eastAsia="Arial" w:hAnsi="Arial"/>
          <w:sz w:val="15"/>
          <w:szCs w:val="15"/>
          <w:color w:val="auto"/>
        </w:rPr>
      </w:pPr>
    </w:p>
    <w:p>
      <w:pPr>
        <w:jc w:val="both"/>
        <w:ind w:left="917" w:hanging="300"/>
        <w:spacing w:after="0" w:line="265" w:lineRule="auto"/>
        <w:tabs>
          <w:tab w:leader="none" w:pos="917" w:val="left"/>
        </w:tabs>
        <w:numPr>
          <w:ilvl w:val="1"/>
          <w:numId w:val="535"/>
        </w:numPr>
        <w:rPr>
          <w:rFonts w:ascii="Arial" w:cs="Arial" w:eastAsia="Arial" w:hAnsi="Arial"/>
          <w:sz w:val="17"/>
          <w:szCs w:val="17"/>
          <w:color w:val="auto"/>
        </w:rPr>
      </w:pPr>
      <w:r>
        <w:rPr>
          <w:rFonts w:ascii="Arial" w:cs="Arial" w:eastAsia="Arial" w:hAnsi="Arial"/>
          <w:sz w:val="17"/>
          <w:szCs w:val="17"/>
          <w:color w:val="auto"/>
        </w:rPr>
        <w:t>The Lessee undertakes to use the funds received from the insurance company in accordance with the policies solely to rectify forthwith the damages and/or policies. Nothing in the aforesaid may limit and/or derogate from the Lessor’s right to exercise the rights thereof pursuant to the policies. The policy shall include a provision that the Lessor and the insurance company undertake to act pursuant to this section.</w:t>
      </w:r>
    </w:p>
    <w:p>
      <w:pPr>
        <w:spacing w:after="0" w:line="201"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35"/>
        </w:numPr>
        <w:rPr>
          <w:rFonts w:ascii="Arial" w:cs="Arial" w:eastAsia="Arial" w:hAnsi="Arial"/>
          <w:sz w:val="17"/>
          <w:szCs w:val="17"/>
          <w:color w:val="auto"/>
        </w:rPr>
      </w:pPr>
      <w:r>
        <w:rPr>
          <w:rFonts w:ascii="Arial" w:cs="Arial" w:eastAsia="Arial" w:hAnsi="Arial"/>
          <w:sz w:val="17"/>
          <w:szCs w:val="17"/>
          <w:color w:val="auto"/>
        </w:rPr>
        <w:t>The Lessee’s insurances shall be defined as primary insurance and shall include an explicit condition to the effect that they take precedence over any other insurance the Lessor has arranged.</w:t>
      </w:r>
    </w:p>
    <w:p>
      <w:pPr>
        <w:spacing w:after="0" w:line="190" w:lineRule="exact"/>
        <w:rPr>
          <w:rFonts w:ascii="Arial" w:cs="Arial" w:eastAsia="Arial" w:hAnsi="Arial"/>
          <w:sz w:val="17"/>
          <w:szCs w:val="17"/>
          <w:color w:val="auto"/>
        </w:rPr>
      </w:pPr>
    </w:p>
    <w:p>
      <w:pPr>
        <w:jc w:val="both"/>
        <w:ind w:left="917"/>
        <w:spacing w:after="0" w:line="289" w:lineRule="auto"/>
        <w:rPr>
          <w:rFonts w:ascii="Arial" w:cs="Arial" w:eastAsia="Arial" w:hAnsi="Arial"/>
          <w:sz w:val="17"/>
          <w:szCs w:val="17"/>
          <w:color w:val="auto"/>
        </w:rPr>
      </w:pPr>
      <w:r>
        <w:rPr>
          <w:rFonts w:ascii="Arial" w:cs="Arial" w:eastAsia="Arial" w:hAnsi="Arial"/>
          <w:sz w:val="16"/>
          <w:szCs w:val="16"/>
          <w:color w:val="auto"/>
        </w:rPr>
        <w:t>This insurance entitles the Lessor to full indemnity owing pursuant to the conditions thereof without the Lessor’s insurers demanding participation in coverage of the damage or liability connected to the tenancy agreement. Likewise, the policies shall include a provision to the effect that they shall not be restricted or revoked unless written notice by way of registered mail shall be delivered to the Lessor 30 days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7257415" cy="209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9" w:right="239" w:bottom="1440" w:gutter="0" w:footer="0" w:header="0"/>
        </w:sectPr>
      </w:pPr>
    </w:p>
    <w:bookmarkStart w:id="622" w:name="page623"/>
    <w:bookmarkEnd w:id="622"/>
    <w:p>
      <w:pPr>
        <w:jc w:val="both"/>
        <w:ind w:left="300" w:hanging="300"/>
        <w:spacing w:after="0" w:line="261" w:lineRule="auto"/>
        <w:tabs>
          <w:tab w:leader="none" w:pos="30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The Lessee declares that it shall have no contention or demand or claim against the Lessor, the services company or other tenants in the building in respect of any damage whereto it is entitled to indemnity in respect thereof, according to the insurances that it undertook to arrange pursuant to this section or was entitled to had it not been for the deductible for damages stated in the same insurances, and it hereby exempts the Lessor and other tenants and other possessors in the building from any liability for damage as aforesaid.</w:t>
      </w:r>
    </w:p>
    <w:p>
      <w:pPr>
        <w:spacing w:after="0" w:line="204" w:lineRule="exact"/>
        <w:rPr>
          <w:rFonts w:ascii="Arial" w:cs="Arial" w:eastAsia="Arial" w:hAnsi="Arial"/>
          <w:sz w:val="17"/>
          <w:szCs w:val="17"/>
          <w:color w:val="auto"/>
        </w:rPr>
      </w:pPr>
    </w:p>
    <w:p>
      <w:pPr>
        <w:jc w:val="both"/>
        <w:ind w:left="300"/>
        <w:spacing w:after="0" w:line="298" w:lineRule="auto"/>
        <w:rPr>
          <w:rFonts w:ascii="Arial" w:cs="Arial" w:eastAsia="Arial" w:hAnsi="Arial"/>
          <w:sz w:val="17"/>
          <w:szCs w:val="17"/>
          <w:color w:val="auto"/>
        </w:rPr>
      </w:pPr>
      <w:r>
        <w:rPr>
          <w:rFonts w:ascii="Arial" w:cs="Arial" w:eastAsia="Arial" w:hAnsi="Arial"/>
          <w:sz w:val="15"/>
          <w:szCs w:val="15"/>
          <w:color w:val="auto"/>
        </w:rPr>
        <w:t>Nothing in the arrangement of the aforesaid insurances by the Lessee may restrict or derogate in any manner whatsoever from the undertakings of the Lessee in accordance with this agreement or release it from the duty to compensate the Lessor and/or any other person whatsoever in respect of any damage caused directly or indirectly in connection with the property wherefore it is liable in respect thereof and/or as a result of the activity thereof and/or from the Lessee’s use of the rented premises and/or as a result of the non-fulfillment of the provisions of this agreement by the Lessee and/or as a result of the performance of works in the rented premises by the Lessee. Payment of any insurance benefits whatsoever to the Lessor shall serve solely to be deducted from the amount of indemnity and/or compensation whereto the Lessor is entitled, as the case may be, in respect of the damage or loss.</w:t>
      </w:r>
    </w:p>
    <w:p>
      <w:pPr>
        <w:spacing w:after="0" w:line="181" w:lineRule="exact"/>
        <w:rPr>
          <w:rFonts w:ascii="Arial" w:cs="Arial" w:eastAsia="Arial" w:hAnsi="Arial"/>
          <w:sz w:val="17"/>
          <w:szCs w:val="17"/>
          <w:color w:val="auto"/>
        </w:rPr>
      </w:pPr>
    </w:p>
    <w:p>
      <w:pPr>
        <w:ind w:left="300"/>
        <w:spacing w:after="0" w:line="278" w:lineRule="auto"/>
        <w:rPr>
          <w:rFonts w:ascii="Arial" w:cs="Arial" w:eastAsia="Arial" w:hAnsi="Arial"/>
          <w:sz w:val="17"/>
          <w:szCs w:val="17"/>
          <w:color w:val="auto"/>
        </w:rPr>
      </w:pPr>
      <w:r>
        <w:rPr>
          <w:rFonts w:ascii="Arial" w:cs="Arial" w:eastAsia="Arial" w:hAnsi="Arial"/>
          <w:sz w:val="17"/>
          <w:szCs w:val="17"/>
          <w:color w:val="auto"/>
        </w:rPr>
        <w:t>The contents of this section shall add to and not derogate from any other provision herein in this agreement with respect to the exemption from liability vis-à-vis the Lessor and with respect to the imposition of liability on the Lessee.</w:t>
      </w:r>
    </w:p>
    <w:p>
      <w:pPr>
        <w:spacing w:after="0" w:line="190" w:lineRule="exact"/>
        <w:rPr>
          <w:rFonts w:ascii="Arial" w:cs="Arial" w:eastAsia="Arial" w:hAnsi="Arial"/>
          <w:sz w:val="17"/>
          <w:szCs w:val="17"/>
          <w:color w:val="auto"/>
        </w:rPr>
      </w:pPr>
    </w:p>
    <w:p>
      <w:pPr>
        <w:ind w:left="300" w:hanging="300"/>
        <w:spacing w:after="0" w:line="347" w:lineRule="auto"/>
        <w:tabs>
          <w:tab w:leader="none" w:pos="300" w:val="left"/>
        </w:tabs>
        <w:numPr>
          <w:ilvl w:val="0"/>
          <w:numId w:val="536"/>
        </w:numPr>
        <w:rPr>
          <w:rFonts w:ascii="Arial" w:cs="Arial" w:eastAsia="Arial" w:hAnsi="Arial"/>
          <w:sz w:val="15"/>
          <w:szCs w:val="15"/>
          <w:color w:val="auto"/>
        </w:rPr>
      </w:pPr>
      <w:r>
        <w:rPr>
          <w:rFonts w:ascii="Arial" w:cs="Arial" w:eastAsia="Arial" w:hAnsi="Arial"/>
          <w:sz w:val="15"/>
          <w:szCs w:val="15"/>
          <w:color w:val="auto"/>
        </w:rPr>
        <w:t>The Lessee undertakes to fulfill the conditions of the policy, to pay the insurance fees in full and on time, to ensure and make certain that the insurance policies for the rented premises shall be renewed from time to time, as required and shall remain valid throughout the entire period of the tenancy.</w:t>
      </w:r>
    </w:p>
    <w:p>
      <w:pPr>
        <w:spacing w:after="0" w:line="144" w:lineRule="exact"/>
        <w:rPr>
          <w:rFonts w:ascii="Arial" w:cs="Arial" w:eastAsia="Arial" w:hAnsi="Arial"/>
          <w:sz w:val="15"/>
          <w:szCs w:val="15"/>
          <w:color w:val="auto"/>
        </w:rPr>
      </w:pPr>
    </w:p>
    <w:p>
      <w:pPr>
        <w:jc w:val="both"/>
        <w:ind w:left="300" w:hanging="300"/>
        <w:spacing w:after="0" w:line="261" w:lineRule="auto"/>
        <w:tabs>
          <w:tab w:leader="none" w:pos="30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If the Lessee fails to fulfill the undertaking thereof according to this section 17 herein in its entirety, the Lessor shall be entitled, but not obligated, to arrange the insurances or part thereof in place of the Lessee and at the expense thereof and to pay in place of the Lessee any amount, without derogating from the Lessor’s right to any other relief. In such instance, the Lessor shall be entitled to the refund of the expenses thereof in this context together with interest for delay as specified in section 2 above.</w:t>
      </w:r>
    </w:p>
    <w:p>
      <w:pPr>
        <w:spacing w:after="0" w:line="204" w:lineRule="exact"/>
        <w:rPr>
          <w:rFonts w:ascii="Arial" w:cs="Arial" w:eastAsia="Arial" w:hAnsi="Arial"/>
          <w:sz w:val="17"/>
          <w:szCs w:val="17"/>
          <w:color w:val="auto"/>
        </w:rPr>
      </w:pPr>
    </w:p>
    <w:p>
      <w:pPr>
        <w:jc w:val="both"/>
        <w:ind w:left="300" w:hanging="300"/>
        <w:spacing w:after="0" w:line="261" w:lineRule="auto"/>
        <w:tabs>
          <w:tab w:leader="none" w:pos="30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Without derogating from the generality of the aforesaid in section a above, the Lessee shall be liable for any claim wherefore the Lessor is likely to be obligated as a result of the Lessor’s breach or failure to fulfill the provisions of any law or license or competent authority or as a result of the breach of an undertaking of the Lessee pursuant to this agreement, and the Lessee shall indemnify the Lessor in respect of any expense or damage whatsoever, if there are such,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380365</wp:posOffset>
            </wp:positionV>
            <wp:extent cx="7257415" cy="209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1" w:right="239" w:bottom="1440" w:gutter="0" w:footer="0" w:header="0"/>
        </w:sectPr>
      </w:pPr>
    </w:p>
    <w:bookmarkStart w:id="623" w:name="page624"/>
    <w:bookmarkEnd w:id="623"/>
    <w:p>
      <w:pPr>
        <w:jc w:val="both"/>
        <w:ind w:left="1237"/>
        <w:spacing w:after="0" w:line="275" w:lineRule="auto"/>
        <w:rPr>
          <w:sz w:val="20"/>
          <w:szCs w:val="20"/>
          <w:color w:val="auto"/>
        </w:rPr>
      </w:pPr>
      <w:r>
        <w:rPr>
          <w:rFonts w:ascii="Arial" w:cs="Arial" w:eastAsia="Arial" w:hAnsi="Arial"/>
          <w:sz w:val="16"/>
          <w:szCs w:val="16"/>
          <w:color w:val="auto"/>
        </w:rPr>
        <w:t>The parties hereby clarify and agree that the Lessee is solely liable and shall indemnify and compensate the Lessor forthwith upon its first demand in respect of any damage and/or expense the Lessor incurs, directly or indirectly, including as a result of a claim or complaint from any third party whatsoever in connection with the use and/or handling by the Lessee of chemical and/or biochemical and/or other materials including but not solely the storage thereof, the spill thereof, the drainage thereof including the leaking thereof, for any reason whatsoever, emission of gases of any kind and for any reason from the rented premises and/or from any apparatus and/or system in the rented premises, and including the animals and/or animal house held in the rented premises, if such is held. Indemnity by the Lessee of the Lessor as aforesaid herein in this sub-section shall be against the presentation of documentary proof and/or suitable invoices to the Lessee.</w:t>
      </w:r>
    </w:p>
    <w:p>
      <w:pPr>
        <w:spacing w:after="0" w:line="196" w:lineRule="exact"/>
        <w:rPr>
          <w:sz w:val="20"/>
          <w:szCs w:val="20"/>
          <w:color w:val="auto"/>
        </w:rPr>
      </w:pPr>
    </w:p>
    <w:p>
      <w:pPr>
        <w:jc w:val="both"/>
        <w:ind w:left="1237"/>
        <w:spacing w:after="0" w:line="259" w:lineRule="auto"/>
        <w:rPr>
          <w:sz w:val="20"/>
          <w:szCs w:val="20"/>
          <w:color w:val="auto"/>
        </w:rPr>
      </w:pPr>
      <w:r>
        <w:rPr>
          <w:rFonts w:ascii="Arial" w:cs="Arial" w:eastAsia="Arial" w:hAnsi="Arial"/>
          <w:sz w:val="17"/>
          <w:szCs w:val="17"/>
          <w:color w:val="auto"/>
        </w:rPr>
        <w:t>Notwithstanding the aforesaid in any other place, the Lessor shall not be liable in any case for any damage, expense, loss or impairment caused, directly or indirectly, to any person and/or body in connection with the equipment and/or materials and/or animals and/or animal house whereof the Lessee makes use in the rented premises, including all byproducts thereof, as well as, but not solely, the transport thereof, storage thereof, evacuation thereof or emptying thereof. And the Lessee hereby declares that it agrees to be solely liable and indemnify the Lessor forthwith upon its first demand in respect of any expense or damage in connection therewith.</w:t>
      </w:r>
    </w:p>
    <w:p>
      <w:pPr>
        <w:spacing w:after="0" w:line="206" w:lineRule="exact"/>
        <w:rPr>
          <w:sz w:val="20"/>
          <w:szCs w:val="20"/>
          <w:color w:val="auto"/>
        </w:rPr>
      </w:pPr>
    </w:p>
    <w:p>
      <w:pPr>
        <w:ind w:left="1237" w:hanging="620"/>
        <w:spacing w:after="0" w:line="278" w:lineRule="auto"/>
        <w:tabs>
          <w:tab w:leader="none" w:pos="1237" w:val="left"/>
        </w:tabs>
        <w:numPr>
          <w:ilvl w:val="1"/>
          <w:numId w:val="537"/>
        </w:numPr>
        <w:rPr>
          <w:rFonts w:ascii="Arial" w:cs="Arial" w:eastAsia="Arial" w:hAnsi="Arial"/>
          <w:sz w:val="17"/>
          <w:szCs w:val="17"/>
          <w:color w:val="auto"/>
        </w:rPr>
      </w:pPr>
      <w:r>
        <w:rPr>
          <w:rFonts w:ascii="Arial" w:cs="Arial" w:eastAsia="Arial" w:hAnsi="Arial"/>
          <w:sz w:val="17"/>
          <w:szCs w:val="17"/>
          <w:color w:val="auto"/>
        </w:rPr>
        <w:t>If possible, all the insurances shall indicate therein that following each payment of compensation by the insurer, the limits of liability shall automatically be restored to their former state. The Lessee shall be liable to pay the additional premium resulting therefrom.</w:t>
      </w:r>
    </w:p>
    <w:p>
      <w:pPr>
        <w:spacing w:after="0" w:line="184" w:lineRule="exact"/>
        <w:rPr>
          <w:rFonts w:ascii="Arial" w:cs="Arial" w:eastAsia="Arial" w:hAnsi="Arial"/>
          <w:sz w:val="17"/>
          <w:szCs w:val="17"/>
          <w:color w:val="auto"/>
        </w:rPr>
      </w:pPr>
    </w:p>
    <w:p>
      <w:pPr>
        <w:ind w:left="617" w:hanging="617"/>
        <w:spacing w:after="0"/>
        <w:tabs>
          <w:tab w:leader="none" w:pos="617" w:val="left"/>
        </w:tabs>
        <w:numPr>
          <w:ilvl w:val="0"/>
          <w:numId w:val="538"/>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and Endorsement of Rights</w:t>
      </w:r>
    </w:p>
    <w:p>
      <w:pPr>
        <w:spacing w:after="0" w:line="247" w:lineRule="exact"/>
        <w:rPr>
          <w:rFonts w:ascii="Arial" w:cs="Arial" w:eastAsia="Arial" w:hAnsi="Arial"/>
          <w:sz w:val="17"/>
          <w:szCs w:val="17"/>
          <w:color w:val="auto"/>
        </w:rPr>
      </w:pPr>
    </w:p>
    <w:p>
      <w:pPr>
        <w:jc w:val="both"/>
        <w:ind w:left="917" w:hanging="300"/>
        <w:spacing w:after="0" w:line="289" w:lineRule="auto"/>
        <w:tabs>
          <w:tab w:leader="none" w:pos="917" w:val="left"/>
        </w:tabs>
        <w:numPr>
          <w:ilvl w:val="1"/>
          <w:numId w:val="538"/>
        </w:numPr>
        <w:rPr>
          <w:rFonts w:ascii="Arial" w:cs="Arial" w:eastAsia="Arial" w:hAnsi="Arial"/>
          <w:sz w:val="16"/>
          <w:szCs w:val="16"/>
          <w:color w:val="auto"/>
        </w:rPr>
      </w:pPr>
      <w:r>
        <w:rPr>
          <w:rFonts w:ascii="Arial" w:cs="Arial" w:eastAsia="Arial" w:hAnsi="Arial"/>
          <w:sz w:val="16"/>
          <w:szCs w:val="16"/>
          <w:color w:val="auto"/>
        </w:rPr>
        <w:t>The Lessee shall not be entitled to transfer the rights in the rented premises and rights pursuant to the agreement or to permit any use whatsoever of the rented premises or any part thereof to anyone else, whether for proceeds or not for proceeds, directly or indirectly, without obtaining the permission of the Lessor to do so, in advance and in writing. The Lessor shall refuse to give the consent thereof solely on reasonable 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7257415" cy="209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24" w:name="page625"/>
    <w:bookmarkEnd w:id="624"/>
    <w:p>
      <w:pPr>
        <w:jc w:val="both"/>
        <w:ind w:left="917" w:hanging="300"/>
        <w:spacing w:after="0" w:line="261" w:lineRule="auto"/>
        <w:tabs>
          <w:tab w:leader="none" w:pos="917" w:val="left"/>
        </w:tabs>
        <w:numPr>
          <w:ilvl w:val="1"/>
          <w:numId w:val="539"/>
        </w:numPr>
        <w:rPr>
          <w:rFonts w:ascii="Arial" w:cs="Arial" w:eastAsia="Arial" w:hAnsi="Arial"/>
          <w:sz w:val="17"/>
          <w:szCs w:val="17"/>
          <w:color w:val="auto"/>
        </w:rPr>
      </w:pPr>
      <w:r>
        <w:rPr>
          <w:rFonts w:ascii="Arial" w:cs="Arial" w:eastAsia="Arial" w:hAnsi="Arial"/>
          <w:sz w:val="17"/>
          <w:szCs w:val="17"/>
          <w:color w:val="auto"/>
        </w:rPr>
        <w:t>The Lessor may sell and transfer to another the rights thereof in the lot and/or the building or any of the units thereof, including the rented premises and/or the rights pursuant to the agreement or to encumber them or mortgage them without the need for the prior consent of the Lessee, provided that the Lessee’s rights pursuant to the provisions of the agreement and/or according to any law shall not be infringed. The Lessor shall inform the Lessee insofar as it shall sell the rights thereof in the rented premises to another.</w:t>
      </w:r>
    </w:p>
    <w:p>
      <w:pPr>
        <w:spacing w:after="0" w:line="204" w:lineRule="exact"/>
        <w:rPr>
          <w:rFonts w:ascii="Arial" w:cs="Arial" w:eastAsia="Arial" w:hAnsi="Arial"/>
          <w:sz w:val="17"/>
          <w:szCs w:val="17"/>
          <w:color w:val="auto"/>
        </w:rPr>
      </w:pPr>
    </w:p>
    <w:p>
      <w:pPr>
        <w:jc w:val="both"/>
        <w:ind w:left="917" w:hanging="300"/>
        <w:spacing w:after="0" w:line="289" w:lineRule="auto"/>
        <w:tabs>
          <w:tab w:leader="none" w:pos="917" w:val="left"/>
        </w:tabs>
        <w:numPr>
          <w:ilvl w:val="1"/>
          <w:numId w:val="539"/>
        </w:numPr>
        <w:rPr>
          <w:rFonts w:ascii="Arial" w:cs="Arial" w:eastAsia="Arial" w:hAnsi="Arial"/>
          <w:sz w:val="16"/>
          <w:szCs w:val="16"/>
          <w:color w:val="auto"/>
        </w:rPr>
      </w:pPr>
      <w:r>
        <w:rPr>
          <w:rFonts w:ascii="Arial" w:cs="Arial" w:eastAsia="Arial" w:hAnsi="Arial"/>
          <w:sz w:val="16"/>
          <w:szCs w:val="16"/>
          <w:color w:val="auto"/>
        </w:rPr>
        <w:t>Without derogating from the aforesaid, the Lessor may transfer, assign, endorse and mortgage in favor of another all the rights thereof to the rent, subject of the agreement, and the Lessee shall act pursuant to and in accordance with the written provisions with which the Lessor provides him on this matter, provided that the rights of the Lessee according to the provisions of the agreement and/or according to any law shall not be infringed.</w:t>
      </w:r>
    </w:p>
    <w:p>
      <w:pPr>
        <w:spacing w:after="0" w:line="184" w:lineRule="exact"/>
        <w:rPr>
          <w:rFonts w:ascii="Arial" w:cs="Arial" w:eastAsia="Arial" w:hAnsi="Arial"/>
          <w:sz w:val="16"/>
          <w:szCs w:val="16"/>
          <w:color w:val="auto"/>
        </w:rPr>
      </w:pPr>
    </w:p>
    <w:p>
      <w:pPr>
        <w:ind w:left="917" w:hanging="300"/>
        <w:spacing w:after="0"/>
        <w:tabs>
          <w:tab w:leader="none" w:pos="917" w:val="left"/>
        </w:tabs>
        <w:numPr>
          <w:ilvl w:val="1"/>
          <w:numId w:val="539"/>
        </w:numPr>
        <w:rPr>
          <w:rFonts w:ascii="Arial" w:cs="Arial" w:eastAsia="Arial" w:hAnsi="Arial"/>
          <w:sz w:val="17"/>
          <w:szCs w:val="17"/>
          <w:color w:val="auto"/>
        </w:rPr>
      </w:pPr>
      <w:r>
        <w:rPr>
          <w:rFonts w:ascii="Arial" w:cs="Arial" w:eastAsia="Arial" w:hAnsi="Arial"/>
          <w:sz w:val="17"/>
          <w:szCs w:val="17"/>
          <w:color w:val="auto"/>
        </w:rPr>
        <w:t>The Lessee undertakes to inform the Lessor of any change in ownership of the Lessee, within 7 days of the occurrence of such change.</w:t>
      </w:r>
    </w:p>
    <w:p>
      <w:pPr>
        <w:spacing w:after="0" w:line="241" w:lineRule="exact"/>
        <w:rPr>
          <w:rFonts w:ascii="Arial" w:cs="Arial" w:eastAsia="Arial" w:hAnsi="Arial"/>
          <w:sz w:val="17"/>
          <w:szCs w:val="17"/>
          <w:color w:val="auto"/>
        </w:rPr>
      </w:pPr>
    </w:p>
    <w:p>
      <w:pPr>
        <w:jc w:val="both"/>
        <w:ind w:left="917" w:hanging="300"/>
        <w:spacing w:after="0" w:line="298" w:lineRule="auto"/>
        <w:tabs>
          <w:tab w:leader="none" w:pos="917" w:val="left"/>
        </w:tabs>
        <w:numPr>
          <w:ilvl w:val="1"/>
          <w:numId w:val="539"/>
        </w:numPr>
        <w:rPr>
          <w:rFonts w:ascii="Arial" w:cs="Arial" w:eastAsia="Arial" w:hAnsi="Arial"/>
          <w:sz w:val="15"/>
          <w:szCs w:val="15"/>
          <w:color w:val="auto"/>
        </w:rPr>
      </w:pPr>
      <w:r>
        <w:rPr>
          <w:rFonts w:ascii="Arial" w:cs="Arial" w:eastAsia="Arial" w:hAnsi="Arial"/>
          <w:sz w:val="15"/>
          <w:szCs w:val="15"/>
          <w:color w:val="auto"/>
        </w:rPr>
        <w:t>The parties agree that the Lessee may transfer part of the rights thereof in the rented premises, pursuant to this agreement, to a sub-tenant, subject to the cumulative fulfillment of the conditions following herein below: (1) the sub-tenant is a factory in the high-tech industry; (2) the Lessee shall obtain the consent of the Lessor to the identity of the sub-tenant, in advance and in writing, and the parties agree that the Lessor shall only refuse the preference of the Lessee on reasonable grounds; and (3) the Lessee shall remain solely liable for the fulfillment of all conditions and undertakings pursuant to this agreement vis-à-vis the Lessor, including but not solely all payments (of any kind), the objective of the rented premises, the use of the rented premises, the maintenance and evacuation of the rented premises, with respect to the entirety of the rented premises.</w:t>
      </w:r>
    </w:p>
    <w:p>
      <w:pPr>
        <w:spacing w:after="0" w:line="175" w:lineRule="exact"/>
        <w:rPr>
          <w:rFonts w:ascii="Arial" w:cs="Arial" w:eastAsia="Arial" w:hAnsi="Arial"/>
          <w:sz w:val="15"/>
          <w:szCs w:val="15"/>
          <w:color w:val="auto"/>
        </w:rPr>
      </w:pPr>
    </w:p>
    <w:p>
      <w:pPr>
        <w:ind w:left="597" w:hanging="597"/>
        <w:spacing w:after="0"/>
        <w:tabs>
          <w:tab w:leader="none" w:pos="597" w:val="left"/>
        </w:tabs>
        <w:numPr>
          <w:ilvl w:val="0"/>
          <w:numId w:val="540"/>
        </w:numPr>
        <w:rPr>
          <w:rFonts w:ascii="Arial" w:cs="Arial" w:eastAsia="Arial" w:hAnsi="Arial"/>
          <w:sz w:val="17"/>
          <w:szCs w:val="17"/>
          <w:color w:val="auto"/>
        </w:rPr>
      </w:pPr>
      <w:r>
        <w:rPr>
          <w:rFonts w:ascii="Arial" w:cs="Arial" w:eastAsia="Arial" w:hAnsi="Arial"/>
          <w:sz w:val="17"/>
          <w:szCs w:val="17"/>
          <w:b w:val="1"/>
          <w:bCs w:val="1"/>
          <w:u w:val="single" w:color="auto"/>
          <w:color w:val="auto"/>
        </w:rPr>
        <w:t>Fundamental Sections and Advance Agreed Compensation</w:t>
      </w:r>
    </w:p>
    <w:p>
      <w:pPr>
        <w:spacing w:after="0" w:line="247" w:lineRule="exact"/>
        <w:rPr>
          <w:rFonts w:ascii="Arial" w:cs="Arial" w:eastAsia="Arial" w:hAnsi="Arial"/>
          <w:sz w:val="17"/>
          <w:szCs w:val="17"/>
          <w:color w:val="auto"/>
        </w:rPr>
      </w:pPr>
    </w:p>
    <w:p>
      <w:pPr>
        <w:jc w:val="both"/>
        <w:ind w:left="917" w:hanging="300"/>
        <w:spacing w:after="0" w:line="261" w:lineRule="auto"/>
        <w:tabs>
          <w:tab w:leader="none" w:pos="917" w:val="left"/>
        </w:tabs>
        <w:numPr>
          <w:ilvl w:val="1"/>
          <w:numId w:val="540"/>
        </w:numPr>
        <w:rPr>
          <w:rFonts w:ascii="Arial" w:cs="Arial" w:eastAsia="Arial" w:hAnsi="Arial"/>
          <w:sz w:val="17"/>
          <w:szCs w:val="17"/>
          <w:color w:val="auto"/>
        </w:rPr>
      </w:pPr>
      <w:r>
        <w:rPr>
          <w:rFonts w:ascii="Arial" w:cs="Arial" w:eastAsia="Arial" w:hAnsi="Arial"/>
          <w:sz w:val="17"/>
          <w:szCs w:val="17"/>
          <w:color w:val="auto"/>
        </w:rPr>
        <w:t>The parties hereby agree that the provisions of sections 6(a), 6(e1), 8(a), 9, 10, 11, 12(a), 13, 14, 15(a)(b)(h), 16(c)(d)(e), 17, 18(a), 21 and 22 are principal and fundamental sections of this agreement as the term is defined pursuant to the Contracts (Reliefs Due to Breach of Contract) Law 5731-1970. The breach of these sections or any one of them shall be deemed a fundamental breach as this term is defined pursuant to the Contracts (Reliefs Due to Breach of Contract) Law 5731-1970.</w:t>
      </w:r>
    </w:p>
    <w:p>
      <w:pPr>
        <w:spacing w:after="0" w:line="204" w:lineRule="exact"/>
        <w:rPr>
          <w:rFonts w:ascii="Arial" w:cs="Arial" w:eastAsia="Arial" w:hAnsi="Arial"/>
          <w:sz w:val="17"/>
          <w:szCs w:val="17"/>
          <w:color w:val="auto"/>
        </w:rPr>
      </w:pPr>
    </w:p>
    <w:p>
      <w:pPr>
        <w:jc w:val="both"/>
        <w:ind w:left="917" w:hanging="300"/>
        <w:spacing w:after="0" w:line="298" w:lineRule="auto"/>
        <w:tabs>
          <w:tab w:leader="none" w:pos="917" w:val="left"/>
        </w:tabs>
        <w:numPr>
          <w:ilvl w:val="1"/>
          <w:numId w:val="540"/>
        </w:numPr>
        <w:rPr>
          <w:rFonts w:ascii="Arial" w:cs="Arial" w:eastAsia="Arial" w:hAnsi="Arial"/>
          <w:sz w:val="15"/>
          <w:szCs w:val="15"/>
          <w:color w:val="auto"/>
        </w:rPr>
      </w:pPr>
      <w:r>
        <w:rPr>
          <w:rFonts w:ascii="Arial" w:cs="Arial" w:eastAsia="Arial" w:hAnsi="Arial"/>
          <w:sz w:val="15"/>
          <w:szCs w:val="15"/>
          <w:color w:val="auto"/>
        </w:rPr>
        <w:t>The breach of the provisions of sections 9, 10, 11, 12(a), 14, 16(c)(d)(e), 17 and 21 of this agreement that failed to be rectified even subsequent to the provision of a warning of 7 days in writing to the Lessee shall grant the Lessor, in addition to all reliefs and remedies granted thereto, the right to agreed compensation estimated in advance in the amount of the rent and maintenance fees in respect of the rented premises for 4 months of rent, with the addition of VAT, as it may be from time to time (hereinafter: “the Agreed Compensation”). The agreed compensation shall be linked to an index from the basic index to an index to be known at the time of actual payment. The parties hereby declare that the amount of agreed compensation is effective and reasonable and has been determined by them in accordance with damages they anticipate in the event of a fundamental breach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257415" cy="209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1" w:right="239" w:bottom="1440" w:gutter="0" w:footer="0" w:header="0"/>
        </w:sectPr>
      </w:pPr>
    </w:p>
    <w:bookmarkStart w:id="625" w:name="page626"/>
    <w:bookmarkEnd w:id="625"/>
    <w:p>
      <w:pPr>
        <w:jc w:val="both"/>
        <w:ind w:left="917" w:hanging="300"/>
        <w:spacing w:after="0" w:line="261" w:lineRule="auto"/>
        <w:tabs>
          <w:tab w:leader="none" w:pos="917" w:val="left"/>
        </w:tabs>
        <w:numPr>
          <w:ilvl w:val="1"/>
          <w:numId w:val="541"/>
        </w:numPr>
        <w:rPr>
          <w:rFonts w:ascii="Arial" w:cs="Arial" w:eastAsia="Arial" w:hAnsi="Arial"/>
          <w:sz w:val="17"/>
          <w:szCs w:val="17"/>
          <w:color w:val="auto"/>
        </w:rPr>
      </w:pPr>
      <w:r>
        <w:rPr>
          <w:rFonts w:ascii="Arial" w:cs="Arial" w:eastAsia="Arial" w:hAnsi="Arial"/>
          <w:sz w:val="17"/>
          <w:szCs w:val="17"/>
          <w:color w:val="auto"/>
        </w:rPr>
        <w:t>Without derogating from the undertakings of the Lessee pursuant to this agreement, the parties hereby agree that a delay by the Lessee in the payment of rent and/or any other payment imposed thereon, pursuant to this agreement, that exceeds 3 business days shall bear interest for delay, as defined herein in this agreement, which shall apply commencing on the first day of the delay in payment, all in addition to and without derogating from any other reliefs and remedies granted to the Lessor pursuant to this agreement and/or pursuant to any law.</w:t>
      </w:r>
    </w:p>
    <w:p>
      <w:pPr>
        <w:spacing w:after="0" w:line="204" w:lineRule="exact"/>
        <w:rPr>
          <w:rFonts w:ascii="Arial" w:cs="Arial" w:eastAsia="Arial" w:hAnsi="Arial"/>
          <w:sz w:val="17"/>
          <w:szCs w:val="17"/>
          <w:color w:val="auto"/>
        </w:rPr>
      </w:pPr>
    </w:p>
    <w:p>
      <w:pPr>
        <w:jc w:val="both"/>
        <w:ind w:left="917" w:hanging="300"/>
        <w:spacing w:after="0" w:line="265" w:lineRule="auto"/>
        <w:tabs>
          <w:tab w:leader="none" w:pos="917" w:val="left"/>
        </w:tabs>
        <w:numPr>
          <w:ilvl w:val="1"/>
          <w:numId w:val="541"/>
        </w:numPr>
        <w:rPr>
          <w:rFonts w:ascii="Arial" w:cs="Arial" w:eastAsia="Arial" w:hAnsi="Arial"/>
          <w:sz w:val="17"/>
          <w:szCs w:val="17"/>
          <w:color w:val="auto"/>
        </w:rPr>
      </w:pPr>
      <w:r>
        <w:rPr>
          <w:rFonts w:ascii="Arial" w:cs="Arial" w:eastAsia="Arial" w:hAnsi="Arial"/>
          <w:sz w:val="17"/>
          <w:szCs w:val="17"/>
          <w:color w:val="auto"/>
        </w:rPr>
        <w:t>For the avoidance of doubt, the parties agree that a delay in payment of the rent, management fees and/or any other payment, which the Lessee is obligated to pay to the Lessor, pursuant to the provisions of this agreement that fails to exceed 3 business days shall not be deemed a breach of this agreement and shall not entitle the Lessor to any relief of any kind and type whatsoever.</w:t>
      </w:r>
    </w:p>
    <w:p>
      <w:pPr>
        <w:spacing w:after="0" w:line="195" w:lineRule="exact"/>
        <w:rPr>
          <w:rFonts w:ascii="Arial" w:cs="Arial" w:eastAsia="Arial" w:hAnsi="Arial"/>
          <w:sz w:val="17"/>
          <w:szCs w:val="17"/>
          <w:color w:val="auto"/>
        </w:rPr>
      </w:pPr>
    </w:p>
    <w:p>
      <w:pPr>
        <w:ind w:left="597" w:hanging="597"/>
        <w:spacing w:after="0"/>
        <w:tabs>
          <w:tab w:leader="none" w:pos="597" w:val="left"/>
        </w:tabs>
        <w:numPr>
          <w:ilvl w:val="0"/>
          <w:numId w:val="542"/>
        </w:numPr>
        <w:rPr>
          <w:rFonts w:ascii="Arial" w:cs="Arial" w:eastAsia="Arial" w:hAnsi="Arial"/>
          <w:sz w:val="17"/>
          <w:szCs w:val="17"/>
          <w:color w:val="auto"/>
        </w:rPr>
      </w:pPr>
      <w:r>
        <w:rPr>
          <w:rFonts w:ascii="Arial" w:cs="Arial" w:eastAsia="Arial" w:hAnsi="Arial"/>
          <w:sz w:val="17"/>
          <w:szCs w:val="17"/>
          <w:b w:val="1"/>
          <w:bCs w:val="1"/>
          <w:u w:val="single" w:color="auto"/>
          <w:color w:val="auto"/>
        </w:rPr>
        <w:t>Revocation of the Tenancy and the Agreement</w:t>
      </w:r>
    </w:p>
    <w:p>
      <w:pPr>
        <w:spacing w:after="0" w:line="247" w:lineRule="exact"/>
        <w:rPr>
          <w:rFonts w:ascii="Arial" w:cs="Arial" w:eastAsia="Arial" w:hAnsi="Arial"/>
          <w:sz w:val="17"/>
          <w:szCs w:val="17"/>
          <w:color w:val="auto"/>
        </w:rPr>
      </w:pPr>
    </w:p>
    <w:p>
      <w:pPr>
        <w:jc w:val="both"/>
        <w:ind w:left="617"/>
        <w:spacing w:after="0" w:line="289" w:lineRule="auto"/>
        <w:rPr>
          <w:rFonts w:ascii="Arial" w:cs="Arial" w:eastAsia="Arial" w:hAnsi="Arial"/>
          <w:sz w:val="17"/>
          <w:szCs w:val="17"/>
          <w:color w:val="auto"/>
        </w:rPr>
      </w:pPr>
      <w:r>
        <w:rPr>
          <w:rFonts w:ascii="Arial" w:cs="Arial" w:eastAsia="Arial" w:hAnsi="Arial"/>
          <w:sz w:val="16"/>
          <w:szCs w:val="16"/>
          <w:color w:val="auto"/>
        </w:rPr>
        <w:t>The Lessee hereby agrees and undertakes that notwithstanding the provisions of this agreement with respect to the period of the tenancy, the Lessor may – but is not obligated to – revoke this agreement and evacuate the Lessee from the rented premises by a one-sided notice of 14 days in advance and in writing, provided that the Lessee is given an opportunity of 14 days to rectify the breach in each of the following cases specified herein below:</w:t>
      </w:r>
    </w:p>
    <w:p>
      <w:pPr>
        <w:spacing w:after="0" w:line="184" w:lineRule="exact"/>
        <w:rPr>
          <w:rFonts w:ascii="Arial" w:cs="Arial" w:eastAsia="Arial" w:hAnsi="Arial"/>
          <w:sz w:val="17"/>
          <w:szCs w:val="17"/>
          <w:color w:val="auto"/>
        </w:rPr>
      </w:pPr>
    </w:p>
    <w:p>
      <w:pPr>
        <w:ind w:left="917" w:hanging="300"/>
        <w:spacing w:after="0"/>
        <w:tabs>
          <w:tab w:leader="none" w:pos="917" w:val="left"/>
        </w:tabs>
        <w:numPr>
          <w:ilvl w:val="1"/>
          <w:numId w:val="542"/>
        </w:numPr>
        <w:rPr>
          <w:rFonts w:ascii="Arial" w:cs="Arial" w:eastAsia="Arial" w:hAnsi="Arial"/>
          <w:sz w:val="17"/>
          <w:szCs w:val="17"/>
          <w:color w:val="auto"/>
        </w:rPr>
      </w:pPr>
      <w:r>
        <w:rPr>
          <w:rFonts w:ascii="Arial" w:cs="Arial" w:eastAsia="Arial" w:hAnsi="Arial"/>
          <w:sz w:val="17"/>
          <w:szCs w:val="17"/>
          <w:color w:val="auto"/>
        </w:rPr>
        <w:t>If the Lessee breached and/or failed to fulfill on time one of the conditions and/or undertakings, pursuant to the fundamental sections.</w:t>
      </w:r>
    </w:p>
    <w:p>
      <w:pPr>
        <w:spacing w:after="0" w:line="241"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42"/>
        </w:numPr>
        <w:rPr>
          <w:rFonts w:ascii="Arial" w:cs="Arial" w:eastAsia="Arial" w:hAnsi="Arial"/>
          <w:sz w:val="17"/>
          <w:szCs w:val="17"/>
          <w:color w:val="auto"/>
        </w:rPr>
      </w:pPr>
      <w:r>
        <w:rPr>
          <w:rFonts w:ascii="Arial" w:cs="Arial" w:eastAsia="Arial" w:hAnsi="Arial"/>
          <w:sz w:val="17"/>
          <w:szCs w:val="17"/>
          <w:color w:val="auto"/>
        </w:rPr>
        <w:t>If a receiver and/or a liquidator (including a provisional one) is appointed for the Lessee and/or the property thereof, all or in part, and/or the business thereof, and the appointment is not revoked within 45 days and/or if the Lessee is declared bankrupt, all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26" w:name="page627"/>
    <w:bookmarkEnd w:id="626"/>
    <w:p>
      <w:pPr>
        <w:ind w:left="597" w:hanging="597"/>
        <w:spacing w:after="0"/>
        <w:tabs>
          <w:tab w:leader="none" w:pos="597" w:val="left"/>
        </w:tabs>
        <w:numPr>
          <w:ilvl w:val="0"/>
          <w:numId w:val="543"/>
        </w:numPr>
        <w:rPr>
          <w:rFonts w:ascii="Arial" w:cs="Arial" w:eastAsia="Arial" w:hAnsi="Arial"/>
          <w:sz w:val="17"/>
          <w:szCs w:val="17"/>
          <w:color w:val="auto"/>
        </w:rPr>
      </w:pPr>
      <w:r>
        <w:rPr>
          <w:rFonts w:ascii="Arial" w:cs="Arial" w:eastAsia="Arial" w:hAnsi="Arial"/>
          <w:sz w:val="17"/>
          <w:szCs w:val="17"/>
          <w:b w:val="1"/>
          <w:bCs w:val="1"/>
          <w:u w:val="single" w:color="auto"/>
          <w:color w:val="auto"/>
        </w:rPr>
        <w:t>Evacuation of the Rented Premises</w:t>
      </w:r>
    </w:p>
    <w:p>
      <w:pPr>
        <w:spacing w:after="0" w:line="247" w:lineRule="exact"/>
        <w:rPr>
          <w:rFonts w:ascii="Arial" w:cs="Arial" w:eastAsia="Arial" w:hAnsi="Arial"/>
          <w:sz w:val="17"/>
          <w:szCs w:val="17"/>
          <w:color w:val="auto"/>
        </w:rPr>
      </w:pPr>
    </w:p>
    <w:p>
      <w:pPr>
        <w:jc w:val="both"/>
        <w:ind w:left="917" w:hanging="300"/>
        <w:spacing w:after="0" w:line="282" w:lineRule="auto"/>
        <w:tabs>
          <w:tab w:leader="none" w:pos="917" w:val="left"/>
        </w:tabs>
        <w:numPr>
          <w:ilvl w:val="1"/>
          <w:numId w:val="543"/>
        </w:numPr>
        <w:rPr>
          <w:rFonts w:ascii="Arial" w:cs="Arial" w:eastAsia="Arial" w:hAnsi="Arial"/>
          <w:sz w:val="16"/>
          <w:szCs w:val="16"/>
          <w:color w:val="auto"/>
        </w:rPr>
      </w:pPr>
      <w:r>
        <w:rPr>
          <w:rFonts w:ascii="Arial" w:cs="Arial" w:eastAsia="Arial" w:hAnsi="Arial"/>
          <w:sz w:val="16"/>
          <w:szCs w:val="16"/>
          <w:color w:val="auto"/>
        </w:rPr>
        <w:t>The Lessee hereby undertakes to evacuate the rented premises on termination of the tenancy period or on the lawful revocation of this agreement, all according to whichever is the earlier and according to the matter and to return the rented premises to the exclusive possession of the Lessor in the same state it was in as on the date of delivery, including the initial adaptation works, as it is clean and freshly painted with Tambour Supercryl paint (in the same shade as when it received the rented premises) and subject to reasonable and accepted wear.</w:t>
      </w:r>
    </w:p>
    <w:p>
      <w:pPr>
        <w:spacing w:after="0" w:line="190" w:lineRule="exact"/>
        <w:rPr>
          <w:rFonts w:ascii="Arial" w:cs="Arial" w:eastAsia="Arial" w:hAnsi="Arial"/>
          <w:sz w:val="16"/>
          <w:szCs w:val="16"/>
          <w:color w:val="auto"/>
        </w:rPr>
      </w:pPr>
    </w:p>
    <w:p>
      <w:pPr>
        <w:jc w:val="both"/>
        <w:ind w:left="917" w:hanging="300"/>
        <w:spacing w:after="0" w:line="279" w:lineRule="auto"/>
        <w:tabs>
          <w:tab w:leader="none" w:pos="917" w:val="left"/>
        </w:tabs>
        <w:numPr>
          <w:ilvl w:val="1"/>
          <w:numId w:val="543"/>
        </w:numPr>
        <w:rPr>
          <w:rFonts w:ascii="Arial" w:cs="Arial" w:eastAsia="Arial" w:hAnsi="Arial"/>
          <w:sz w:val="16"/>
          <w:szCs w:val="16"/>
          <w:color w:val="auto"/>
        </w:rPr>
      </w:pPr>
      <w:r>
        <w:rPr>
          <w:rFonts w:ascii="Arial" w:cs="Arial" w:eastAsia="Arial" w:hAnsi="Arial"/>
          <w:sz w:val="16"/>
          <w:szCs w:val="16"/>
          <w:color w:val="auto"/>
        </w:rPr>
        <w:t>In addition and without derogating from the reliefs and remedies duly granted to the Lessor pursuant to the provisions of this agreement and/or the provisions of law, the Lessee hereby undertakes that if it fails to evacuate the rented premises as aforesaid in section a above, the Lessee shall pay the Lessor for each day of delay agreed usage fees, agreed and estimated in advance, in the amount of double (twice) the rent owing to the Lessor in respect of each day. This sum shall be linked to an index of the known index on the date whereon the Lessee was required to vacate the rented premises, pursuant to section a above, and until the index that shall be known on the date of actual payment.</w:t>
      </w:r>
    </w:p>
    <w:p>
      <w:pPr>
        <w:spacing w:after="0" w:line="191" w:lineRule="exact"/>
        <w:rPr>
          <w:rFonts w:ascii="Arial" w:cs="Arial" w:eastAsia="Arial" w:hAnsi="Arial"/>
          <w:sz w:val="16"/>
          <w:szCs w:val="16"/>
          <w:color w:val="auto"/>
        </w:rPr>
      </w:pPr>
    </w:p>
    <w:p>
      <w:pPr>
        <w:jc w:val="both"/>
        <w:ind w:left="917" w:hanging="300"/>
        <w:spacing w:after="0" w:line="271" w:lineRule="auto"/>
        <w:tabs>
          <w:tab w:leader="none" w:pos="917" w:val="left"/>
        </w:tabs>
        <w:numPr>
          <w:ilvl w:val="1"/>
          <w:numId w:val="543"/>
        </w:numPr>
        <w:rPr>
          <w:rFonts w:ascii="Arial" w:cs="Arial" w:eastAsia="Arial" w:hAnsi="Arial"/>
          <w:sz w:val="16"/>
          <w:szCs w:val="16"/>
          <w:color w:val="auto"/>
        </w:rPr>
      </w:pPr>
      <w:r>
        <w:rPr>
          <w:rFonts w:ascii="Arial" w:cs="Arial" w:eastAsia="Arial" w:hAnsi="Arial"/>
          <w:sz w:val="16"/>
          <w:szCs w:val="16"/>
          <w:color w:val="auto"/>
        </w:rPr>
        <w:t xml:space="preserve">On the evacuation of the rented premises, the Lessee may take with it all movable equipment it introduced into the rented premises at its expense, which may be dismantled, including the equipment specified in </w:t>
      </w:r>
      <w:r>
        <w:rPr>
          <w:rFonts w:ascii="Arial" w:cs="Arial" w:eastAsia="Arial" w:hAnsi="Arial"/>
          <w:sz w:val="16"/>
          <w:szCs w:val="16"/>
          <w:b w:val="1"/>
          <w:bCs w:val="1"/>
          <w:u w:val="single" w:color="auto"/>
          <w:color w:val="auto"/>
        </w:rPr>
        <w:t>Appendix C</w:t>
      </w:r>
      <w:r>
        <w:rPr>
          <w:rFonts w:ascii="Arial" w:cs="Arial" w:eastAsia="Arial" w:hAnsi="Arial"/>
          <w:sz w:val="16"/>
          <w:szCs w:val="16"/>
          <w:color w:val="auto"/>
        </w:rPr>
        <w:t>, which shall be evaluated and attached to this agreement with the advance agreement of the parties in writing, if and insofar as it shall be attached, and unless it is agreed otherwise, the permanent systems the Lessee introduced to the rented premises at its expense, which may be dismantled (together hereinafter: “the Equipment”), provided that the Lessee shall repair at its expense all that requires repair as a result of the aforesaid dismantling activities in order to restore the rented premises to the former state at the time of the delivery, as aforesaid in section a above. The repairs shall be performed prior to the termination of the tenancy period or the revocation thereof, pursuant to this agreement, and in accordance with the directives of an engineer on behalf of the Lessor and, in any event, without damaging the structure thereof and/or systems therein and/or the ongoing activities of the tenants of the building. If the Lessee fails to dismantle the equipment or any part thereof as aforesaid, the Lessor shall have the right and option to dismantle them and remove them or, alternatively, to take possession thereof without any duty of paying indemnity and/or compensation and/or refund and/or making any payment whatsoever applying thereto. If the Lessor demanded the evacuation of the equipment within 7 days of the termination of the tenancy period or the revocation thereof and the Lessee fails to evacuate the premises, then in order to pay proper usage fees as determined in sub-section b above, the Lessee shall be deemed as one who has failed to vacate the rented premises as long as the Lessee fails to dismantle and remove the equipment from the rented premises and fails to adapt the rented premises to the former state thereof as on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7415" cy="209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627" w:name="page628"/>
    <w:bookmarkEnd w:id="627"/>
    <w:p>
      <w:pPr>
        <w:ind w:left="597" w:hanging="597"/>
        <w:spacing w:after="0"/>
        <w:tabs>
          <w:tab w:leader="none" w:pos="597" w:val="left"/>
        </w:tabs>
        <w:numPr>
          <w:ilvl w:val="0"/>
          <w:numId w:val="544"/>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w:t>
      </w:r>
    </w:p>
    <w:p>
      <w:pPr>
        <w:spacing w:after="0" w:line="247" w:lineRule="exact"/>
        <w:rPr>
          <w:rFonts w:ascii="Arial" w:cs="Arial" w:eastAsia="Arial" w:hAnsi="Arial"/>
          <w:sz w:val="17"/>
          <w:szCs w:val="17"/>
          <w:color w:val="auto"/>
        </w:rPr>
      </w:pPr>
    </w:p>
    <w:p>
      <w:pPr>
        <w:ind w:left="617"/>
        <w:spacing w:after="0" w:line="278" w:lineRule="auto"/>
        <w:rPr>
          <w:rFonts w:ascii="Arial" w:cs="Arial" w:eastAsia="Arial" w:hAnsi="Arial"/>
          <w:sz w:val="17"/>
          <w:szCs w:val="17"/>
          <w:color w:val="auto"/>
        </w:rPr>
      </w:pPr>
      <w:r>
        <w:rPr>
          <w:rFonts w:ascii="Arial" w:cs="Arial" w:eastAsia="Arial" w:hAnsi="Arial"/>
          <w:sz w:val="17"/>
          <w:szCs w:val="17"/>
          <w:color w:val="auto"/>
        </w:rPr>
        <w:t>To ensure the fulfillment of the Lessee’s undertakings pursuant to this agreement, the Lessee shall deposit with the Lessor at the time of the signature of this agreement and as a condition for receiving possession of the rented premises the following securities:</w:t>
      </w:r>
    </w:p>
    <w:p>
      <w:pPr>
        <w:spacing w:after="0" w:line="190" w:lineRule="exact"/>
        <w:rPr>
          <w:rFonts w:ascii="Arial" w:cs="Arial" w:eastAsia="Arial" w:hAnsi="Arial"/>
          <w:sz w:val="17"/>
          <w:szCs w:val="17"/>
          <w:color w:val="auto"/>
        </w:rPr>
      </w:pPr>
    </w:p>
    <w:p>
      <w:pPr>
        <w:jc w:val="both"/>
        <w:ind w:left="917" w:hanging="300"/>
        <w:spacing w:after="0" w:line="272" w:lineRule="auto"/>
        <w:tabs>
          <w:tab w:leader="none" w:pos="917" w:val="left"/>
        </w:tabs>
        <w:numPr>
          <w:ilvl w:val="1"/>
          <w:numId w:val="544"/>
        </w:numPr>
        <w:rPr>
          <w:rFonts w:ascii="Arial" w:cs="Arial" w:eastAsia="Arial" w:hAnsi="Arial"/>
          <w:sz w:val="16"/>
          <w:szCs w:val="16"/>
          <w:color w:val="auto"/>
        </w:rPr>
      </w:pPr>
      <w:r>
        <w:rPr>
          <w:rFonts w:ascii="Arial" w:cs="Arial" w:eastAsia="Arial" w:hAnsi="Arial"/>
          <w:sz w:val="16"/>
          <w:szCs w:val="16"/>
          <w:color w:val="auto"/>
        </w:rPr>
        <w:t xml:space="preserve">An automatic unconditional bank guarantee, which may be paid off according to first demand and without giving reasons in a shekel amount equivalent to ___________________________ U.S. dollars (the value of the rent and management fees with the addition of VAT in respect of a period of 6 (six) months of rent) (hereinafter: “the Guarantee” or “the Security”) with the text as specified in </w:t>
      </w:r>
      <w:r>
        <w:rPr>
          <w:rFonts w:ascii="Arial" w:cs="Arial" w:eastAsia="Arial" w:hAnsi="Arial"/>
          <w:sz w:val="16"/>
          <w:szCs w:val="16"/>
          <w:b w:val="1"/>
          <w:bCs w:val="1"/>
          <w:u w:val="single" w:color="auto"/>
          <w:color w:val="auto"/>
        </w:rPr>
        <w:t>Appendix G</w:t>
      </w:r>
      <w:r>
        <w:rPr>
          <w:rFonts w:ascii="Arial" w:cs="Arial" w:eastAsia="Arial" w:hAnsi="Arial"/>
          <w:sz w:val="16"/>
          <w:szCs w:val="16"/>
          <w:color w:val="auto"/>
        </w:rPr>
        <w:t xml:space="preserve"> and subject to the conditions specified herein above and below. The guarantee shall be unconditional and not given to endorsement and may be forfeited in full or by installments at any time. The guarantee shall be linked to the representative rate of the U.S. dollar, as specified in the text of the guarantee attached hereto as Appendix G. The validity of the guarantee shall be commencing from the date of the signature of this agreement, throughout the entire period of the tenancy with the addition of 3 more months and the validity thereof shall be renewed periodically, a month before the date whereon the validity thereof is intended to expire until the conclusion of the additional tenancy period, with the addition of 3 months following the termination of the additional tenancy period. The guarantee shall be duly stamped. All expenses involved in issuing the guarantee shall apply solely to the Lessee. In the event that the guarantee is duly forfeited pursuant to this agreement, the Lessee undertakes to deposit forthwith, following the forfeiture as aforesaid, an additional guarantee with the text and the conditions as stated above.</w:t>
      </w:r>
    </w:p>
    <w:p>
      <w:pPr>
        <w:spacing w:after="0" w:line="201" w:lineRule="exact"/>
        <w:rPr>
          <w:rFonts w:ascii="Arial" w:cs="Arial" w:eastAsia="Arial" w:hAnsi="Arial"/>
          <w:sz w:val="16"/>
          <w:szCs w:val="16"/>
          <w:color w:val="auto"/>
        </w:rPr>
      </w:pPr>
    </w:p>
    <w:p>
      <w:pPr>
        <w:ind w:left="917" w:hanging="300"/>
        <w:spacing w:after="0"/>
        <w:tabs>
          <w:tab w:leader="none" w:pos="917" w:val="left"/>
        </w:tabs>
        <w:numPr>
          <w:ilvl w:val="1"/>
          <w:numId w:val="544"/>
        </w:numPr>
        <w:rPr>
          <w:rFonts w:ascii="Arial" w:cs="Arial" w:eastAsia="Arial" w:hAnsi="Arial"/>
          <w:sz w:val="16"/>
          <w:szCs w:val="16"/>
          <w:color w:val="auto"/>
        </w:rPr>
      </w:pPr>
      <w:r>
        <w:rPr>
          <w:rFonts w:ascii="Arial" w:cs="Arial" w:eastAsia="Arial" w:hAnsi="Arial"/>
          <w:sz w:val="16"/>
          <w:szCs w:val="16"/>
          <w:color w:val="auto"/>
        </w:rPr>
        <w:t>Without derogating from the remaining provisions of this agreement, the Lessor may utilize the security, all or in part, as it opts to do, as follows:</w:t>
      </w:r>
    </w:p>
    <w:p>
      <w:pPr>
        <w:spacing w:after="0" w:line="253" w:lineRule="exact"/>
        <w:rPr>
          <w:rFonts w:ascii="Arial" w:cs="Arial" w:eastAsia="Arial" w:hAnsi="Arial"/>
          <w:sz w:val="16"/>
          <w:szCs w:val="16"/>
          <w:color w:val="auto"/>
        </w:rPr>
      </w:pPr>
    </w:p>
    <w:p>
      <w:pPr>
        <w:ind w:left="1237" w:hanging="311"/>
        <w:spacing w:after="0" w:line="347" w:lineRule="auto"/>
        <w:tabs>
          <w:tab w:leader="none" w:pos="1237" w:val="left"/>
        </w:tabs>
        <w:numPr>
          <w:ilvl w:val="2"/>
          <w:numId w:val="544"/>
        </w:numPr>
        <w:rPr>
          <w:rFonts w:ascii="Arial" w:cs="Arial" w:eastAsia="Arial" w:hAnsi="Arial"/>
          <w:sz w:val="15"/>
          <w:szCs w:val="15"/>
          <w:color w:val="auto"/>
        </w:rPr>
      </w:pPr>
      <w:r>
        <w:rPr>
          <w:rFonts w:ascii="Arial" w:cs="Arial" w:eastAsia="Arial" w:hAnsi="Arial"/>
          <w:sz w:val="15"/>
          <w:szCs w:val="15"/>
          <w:color w:val="auto"/>
        </w:rPr>
        <w:t xml:space="preserve">In the event that the rented premises fail to be evacuated at the required time, the Lessor may utilize the security in full or in part and in such manner that the funds to be paid shall be deemed,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as agreed compensation, estimated in advance, as determined herein in this agreement.</w:t>
      </w:r>
    </w:p>
    <w:p>
      <w:pPr>
        <w:spacing w:after="0" w:line="144" w:lineRule="exact"/>
        <w:rPr>
          <w:rFonts w:ascii="Arial" w:cs="Arial" w:eastAsia="Arial" w:hAnsi="Arial"/>
          <w:sz w:val="15"/>
          <w:szCs w:val="15"/>
          <w:color w:val="auto"/>
        </w:rPr>
      </w:pPr>
    </w:p>
    <w:p>
      <w:pPr>
        <w:jc w:val="both"/>
        <w:ind w:left="1237" w:hanging="311"/>
        <w:spacing w:after="0" w:line="265" w:lineRule="auto"/>
        <w:tabs>
          <w:tab w:leader="none" w:pos="1237" w:val="left"/>
        </w:tabs>
        <w:numPr>
          <w:ilvl w:val="2"/>
          <w:numId w:val="544"/>
        </w:numPr>
        <w:rPr>
          <w:rFonts w:ascii="Arial" w:cs="Arial" w:eastAsia="Arial" w:hAnsi="Arial"/>
          <w:sz w:val="17"/>
          <w:szCs w:val="17"/>
          <w:color w:val="auto"/>
        </w:rPr>
      </w:pPr>
      <w:r>
        <w:rPr>
          <w:rFonts w:ascii="Arial" w:cs="Arial" w:eastAsia="Arial" w:hAnsi="Arial"/>
          <w:sz w:val="17"/>
          <w:szCs w:val="17"/>
          <w:color w:val="auto"/>
        </w:rPr>
        <w:t>In the event of the failure to make a payment that applies pursuant to this agreement to the Lessee, the Lessor shall be entitled to utilize the security in the amount of the sum of the payment required and together with linkage differentials, fines, interest for delay and all other expenses of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494" w:right="239" w:bottom="1440" w:gutter="0" w:footer="0" w:header="0"/>
        </w:sectPr>
      </w:pPr>
    </w:p>
    <w:bookmarkStart w:id="628" w:name="page629"/>
    <w:bookmarkEnd w:id="628"/>
    <w:p>
      <w:pPr>
        <w:ind w:left="1237"/>
        <w:spacing w:after="0" w:line="347" w:lineRule="auto"/>
        <w:rPr>
          <w:sz w:val="20"/>
          <w:szCs w:val="20"/>
          <w:color w:val="auto"/>
        </w:rPr>
      </w:pPr>
      <w:r>
        <w:rPr>
          <w:rFonts w:ascii="Arial" w:cs="Arial" w:eastAsia="Arial" w:hAnsi="Arial"/>
          <w:sz w:val="15"/>
          <w:szCs w:val="15"/>
          <w:color w:val="auto"/>
        </w:rPr>
        <w:t>In the event that the failure to make a payment constitutes a fundamental breach of the agreement, the Lessor may utilize the security in the amount of the sum required or in the amount of agreed compensation pursuant to this agreement, according to whichever is the higher between them.</w:t>
      </w:r>
    </w:p>
    <w:p>
      <w:pPr>
        <w:spacing w:after="0" w:line="144" w:lineRule="exact"/>
        <w:rPr>
          <w:sz w:val="20"/>
          <w:szCs w:val="20"/>
          <w:color w:val="auto"/>
        </w:rPr>
      </w:pPr>
    </w:p>
    <w:p>
      <w:pPr>
        <w:jc w:val="both"/>
        <w:ind w:left="1237" w:hanging="311"/>
        <w:spacing w:after="0" w:line="265" w:lineRule="auto"/>
        <w:tabs>
          <w:tab w:leader="none" w:pos="1237" w:val="left"/>
        </w:tabs>
        <w:numPr>
          <w:ilvl w:val="2"/>
          <w:numId w:val="545"/>
        </w:numPr>
        <w:rPr>
          <w:rFonts w:ascii="Arial" w:cs="Arial" w:eastAsia="Arial" w:hAnsi="Arial"/>
          <w:sz w:val="17"/>
          <w:szCs w:val="17"/>
          <w:color w:val="auto"/>
        </w:rPr>
      </w:pPr>
      <w:r>
        <w:rPr>
          <w:rFonts w:ascii="Arial" w:cs="Arial" w:eastAsia="Arial" w:hAnsi="Arial"/>
          <w:sz w:val="17"/>
          <w:szCs w:val="17"/>
          <w:color w:val="auto"/>
        </w:rPr>
        <w:t>In the event of damage to or loss of the rented premises and/or the contents thereof that apply pursuant to this agreement to the Lessee, the Lessor shall be entitled to utilize the security in the amount of the sum required for the repair thereof, together with 15% handling fees. “Repair” shall have the meaning: including replacement.</w:t>
      </w:r>
    </w:p>
    <w:p>
      <w:pPr>
        <w:spacing w:after="0" w:line="201" w:lineRule="exact"/>
        <w:rPr>
          <w:rFonts w:ascii="Arial" w:cs="Arial" w:eastAsia="Arial" w:hAnsi="Arial"/>
          <w:sz w:val="17"/>
          <w:szCs w:val="17"/>
          <w:color w:val="auto"/>
        </w:rPr>
      </w:pPr>
    </w:p>
    <w:p>
      <w:pPr>
        <w:ind w:left="1237" w:hanging="311"/>
        <w:spacing w:after="0"/>
        <w:tabs>
          <w:tab w:leader="none" w:pos="1237" w:val="left"/>
        </w:tabs>
        <w:numPr>
          <w:ilvl w:val="2"/>
          <w:numId w:val="545"/>
        </w:numPr>
        <w:rPr>
          <w:rFonts w:ascii="Arial" w:cs="Arial" w:eastAsia="Arial" w:hAnsi="Arial"/>
          <w:sz w:val="17"/>
          <w:szCs w:val="17"/>
          <w:color w:val="auto"/>
        </w:rPr>
      </w:pPr>
      <w:r>
        <w:rPr>
          <w:rFonts w:ascii="Arial" w:cs="Arial" w:eastAsia="Arial" w:hAnsi="Arial"/>
          <w:sz w:val="17"/>
          <w:szCs w:val="17"/>
          <w:color w:val="auto"/>
        </w:rPr>
        <w:t>In order to cover the damages and expenses thereof, in the event of a fundamental breach of the agreement.</w:t>
      </w:r>
    </w:p>
    <w:p>
      <w:pPr>
        <w:spacing w:after="0" w:line="241" w:lineRule="exact"/>
        <w:rPr>
          <w:rFonts w:ascii="Arial" w:cs="Arial" w:eastAsia="Arial" w:hAnsi="Arial"/>
          <w:sz w:val="17"/>
          <w:szCs w:val="17"/>
          <w:color w:val="auto"/>
        </w:rPr>
      </w:pPr>
    </w:p>
    <w:p>
      <w:pPr>
        <w:ind w:left="1237" w:hanging="311"/>
        <w:spacing w:after="0" w:line="278" w:lineRule="auto"/>
        <w:tabs>
          <w:tab w:leader="none" w:pos="1237" w:val="left"/>
        </w:tabs>
        <w:numPr>
          <w:ilvl w:val="2"/>
          <w:numId w:val="545"/>
        </w:numPr>
        <w:rPr>
          <w:rFonts w:ascii="Arial" w:cs="Arial" w:eastAsia="Arial" w:hAnsi="Arial"/>
          <w:sz w:val="17"/>
          <w:szCs w:val="17"/>
          <w:color w:val="auto"/>
        </w:rPr>
      </w:pPr>
      <w:r>
        <w:rPr>
          <w:rFonts w:ascii="Arial" w:cs="Arial" w:eastAsia="Arial" w:hAnsi="Arial"/>
          <w:sz w:val="17"/>
          <w:szCs w:val="17"/>
          <w:color w:val="auto"/>
        </w:rPr>
        <w:t>In order to cover the damages and expenses thereof in the event of a breach, which is not a fundamental breach, if such fails to be rectified within 7 days of the date whereon the Lessor gave written warning thereof.</w:t>
      </w:r>
    </w:p>
    <w:p>
      <w:pPr>
        <w:spacing w:after="0" w:line="190" w:lineRule="exact"/>
        <w:rPr>
          <w:rFonts w:ascii="Arial" w:cs="Arial" w:eastAsia="Arial" w:hAnsi="Arial"/>
          <w:sz w:val="17"/>
          <w:szCs w:val="17"/>
          <w:color w:val="auto"/>
        </w:rPr>
      </w:pPr>
    </w:p>
    <w:p>
      <w:pPr>
        <w:jc w:val="both"/>
        <w:ind w:left="917" w:hanging="300"/>
        <w:spacing w:after="0" w:line="265" w:lineRule="auto"/>
        <w:tabs>
          <w:tab w:leader="none" w:pos="917" w:val="left"/>
        </w:tabs>
        <w:numPr>
          <w:ilvl w:val="1"/>
          <w:numId w:val="546"/>
        </w:numPr>
        <w:rPr>
          <w:rFonts w:ascii="Arial" w:cs="Arial" w:eastAsia="Arial" w:hAnsi="Arial"/>
          <w:sz w:val="17"/>
          <w:szCs w:val="17"/>
          <w:color w:val="auto"/>
        </w:rPr>
      </w:pPr>
      <w:r>
        <w:rPr>
          <w:rFonts w:ascii="Arial" w:cs="Arial" w:eastAsia="Arial" w:hAnsi="Arial"/>
          <w:sz w:val="17"/>
          <w:szCs w:val="17"/>
          <w:color w:val="auto"/>
        </w:rPr>
        <w:t>Notwithstanding the aforesaid in this section 22, it is hereby clarified that the Lessor may not utilize the guarantee and/or any other security pursuant to this agreement unless subsequent to the delivery of notice thereof of 7 days in advance and in writing to the Lessee, during which time the Lessee failed to rectify the breach contended by the Lessor.</w:t>
      </w:r>
    </w:p>
    <w:p>
      <w:pPr>
        <w:spacing w:after="0" w:line="201" w:lineRule="exact"/>
        <w:rPr>
          <w:rFonts w:ascii="Arial" w:cs="Arial" w:eastAsia="Arial" w:hAnsi="Arial"/>
          <w:sz w:val="17"/>
          <w:szCs w:val="17"/>
          <w:color w:val="auto"/>
        </w:rPr>
      </w:pPr>
    </w:p>
    <w:p>
      <w:pPr>
        <w:ind w:left="917" w:hanging="300"/>
        <w:spacing w:after="0" w:line="347" w:lineRule="auto"/>
        <w:tabs>
          <w:tab w:leader="none" w:pos="917" w:val="left"/>
        </w:tabs>
        <w:numPr>
          <w:ilvl w:val="1"/>
          <w:numId w:val="546"/>
        </w:numPr>
        <w:rPr>
          <w:rFonts w:ascii="Arial" w:cs="Arial" w:eastAsia="Arial" w:hAnsi="Arial"/>
          <w:sz w:val="15"/>
          <w:szCs w:val="15"/>
          <w:color w:val="auto"/>
        </w:rPr>
      </w:pPr>
      <w:r>
        <w:rPr>
          <w:rFonts w:ascii="Arial" w:cs="Arial" w:eastAsia="Arial" w:hAnsi="Arial"/>
          <w:sz w:val="15"/>
          <w:szCs w:val="15"/>
          <w:color w:val="auto"/>
        </w:rPr>
        <w:t>The provision of a security according to this section fails to constitute a waiver on the part of the Lessor of the right thereof to other reliefs against the Lessee, whether the reliefs are explicitly stated in the body of the agreement or whether such are reliefs available to the Lessor by virtue of any law.</w:t>
      </w:r>
    </w:p>
    <w:p>
      <w:pPr>
        <w:spacing w:after="0" w:line="144" w:lineRule="exact"/>
        <w:rPr>
          <w:rFonts w:ascii="Arial" w:cs="Arial" w:eastAsia="Arial" w:hAnsi="Arial"/>
          <w:sz w:val="15"/>
          <w:szCs w:val="15"/>
          <w:color w:val="auto"/>
        </w:rPr>
      </w:pPr>
    </w:p>
    <w:p>
      <w:pPr>
        <w:jc w:val="both"/>
        <w:ind w:left="917" w:hanging="300"/>
        <w:spacing w:after="0" w:line="265" w:lineRule="auto"/>
        <w:tabs>
          <w:tab w:leader="none" w:pos="917" w:val="left"/>
        </w:tabs>
        <w:numPr>
          <w:ilvl w:val="1"/>
          <w:numId w:val="546"/>
        </w:numPr>
        <w:rPr>
          <w:rFonts w:ascii="Arial" w:cs="Arial" w:eastAsia="Arial" w:hAnsi="Arial"/>
          <w:sz w:val="17"/>
          <w:szCs w:val="17"/>
          <w:color w:val="auto"/>
        </w:rPr>
      </w:pPr>
      <w:r>
        <w:rPr>
          <w:rFonts w:ascii="Arial" w:cs="Arial" w:eastAsia="Arial" w:hAnsi="Arial"/>
          <w:sz w:val="17"/>
          <w:szCs w:val="17"/>
          <w:color w:val="auto"/>
        </w:rPr>
        <w:t>The guarantee shall be returned to the Lessee up to three months following termination of the tenancy period or following the presentation of all documentary proof with respect to the performance of all payments pursuant to this agreement by the Lessee – whichever is the earlier of the two dates aforesaid.</w:t>
      </w:r>
    </w:p>
    <w:p>
      <w:pPr>
        <w:spacing w:after="0" w:line="195" w:lineRule="exact"/>
        <w:rPr>
          <w:rFonts w:ascii="Arial" w:cs="Arial" w:eastAsia="Arial" w:hAnsi="Arial"/>
          <w:sz w:val="17"/>
          <w:szCs w:val="17"/>
          <w:color w:val="auto"/>
        </w:rPr>
      </w:pPr>
    </w:p>
    <w:p>
      <w:pPr>
        <w:ind w:left="597" w:hanging="597"/>
        <w:spacing w:after="0"/>
        <w:tabs>
          <w:tab w:leader="none" w:pos="597" w:val="left"/>
        </w:tabs>
        <w:numPr>
          <w:ilvl w:val="0"/>
          <w:numId w:val="547"/>
        </w:numPr>
        <w:rPr>
          <w:rFonts w:ascii="Arial" w:cs="Arial" w:eastAsia="Arial" w:hAnsi="Arial"/>
          <w:sz w:val="17"/>
          <w:szCs w:val="17"/>
          <w:color w:val="auto"/>
        </w:rPr>
      </w:pPr>
      <w:r>
        <w:rPr>
          <w:rFonts w:ascii="Arial" w:cs="Arial" w:eastAsia="Arial" w:hAnsi="Arial"/>
          <w:sz w:val="17"/>
          <w:szCs w:val="17"/>
          <w:b w:val="1"/>
          <w:bCs w:val="1"/>
          <w:u w:val="single" w:color="auto"/>
          <w:color w:val="auto"/>
        </w:rPr>
        <w:t>Proprietor’s Custom – Lessor’s Seizure of the Rented Premises</w:t>
      </w:r>
    </w:p>
    <w:p>
      <w:pPr>
        <w:spacing w:after="0" w:line="247" w:lineRule="exact"/>
        <w:rPr>
          <w:rFonts w:ascii="Arial" w:cs="Arial" w:eastAsia="Arial" w:hAnsi="Arial"/>
          <w:sz w:val="17"/>
          <w:szCs w:val="17"/>
          <w:color w:val="auto"/>
        </w:rPr>
      </w:pPr>
    </w:p>
    <w:p>
      <w:pPr>
        <w:ind w:left="617"/>
        <w:spacing w:after="0" w:line="278" w:lineRule="auto"/>
        <w:rPr>
          <w:rFonts w:ascii="Arial" w:cs="Arial" w:eastAsia="Arial" w:hAnsi="Arial"/>
          <w:sz w:val="17"/>
          <w:szCs w:val="17"/>
          <w:color w:val="auto"/>
        </w:rPr>
      </w:pPr>
      <w:r>
        <w:rPr>
          <w:rFonts w:ascii="Arial" w:cs="Arial" w:eastAsia="Arial" w:hAnsi="Arial"/>
          <w:sz w:val="17"/>
          <w:szCs w:val="17"/>
          <w:color w:val="auto"/>
        </w:rPr>
        <w:t>Without derogating from the validity of the aforesaid herein in this agreement and in addition to all reliefs and remedies granted to the Lessor pursuant to this agreement and/or according to any law,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29" w:name="page630"/>
    <w:bookmarkEnd w:id="629"/>
    <w:p>
      <w:pPr>
        <w:ind w:left="917" w:hanging="300"/>
        <w:spacing w:after="0" w:line="278" w:lineRule="auto"/>
        <w:tabs>
          <w:tab w:leader="none" w:pos="917" w:val="left"/>
        </w:tabs>
        <w:numPr>
          <w:ilvl w:val="1"/>
          <w:numId w:val="548"/>
        </w:numPr>
        <w:rPr>
          <w:rFonts w:ascii="Arial" w:cs="Arial" w:eastAsia="Arial" w:hAnsi="Arial"/>
          <w:sz w:val="17"/>
          <w:szCs w:val="17"/>
          <w:color w:val="auto"/>
        </w:rPr>
      </w:pPr>
      <w:r>
        <w:rPr>
          <w:rFonts w:ascii="Arial" w:cs="Arial" w:eastAsia="Arial" w:hAnsi="Arial"/>
          <w:sz w:val="17"/>
          <w:szCs w:val="17"/>
          <w:color w:val="auto"/>
        </w:rPr>
        <w:t>On termination of the tenancy period and/or in any case of the expiration or revocation of this agreement, all according to whichever is the earlier, the Lessor may act with respect to the rented premises or in any part thereof as is customary for proprietors.</w:t>
      </w:r>
    </w:p>
    <w:p>
      <w:pPr>
        <w:spacing w:after="0" w:line="190" w:lineRule="exact"/>
        <w:rPr>
          <w:rFonts w:ascii="Arial" w:cs="Arial" w:eastAsia="Arial" w:hAnsi="Arial"/>
          <w:sz w:val="17"/>
          <w:szCs w:val="17"/>
          <w:color w:val="auto"/>
        </w:rPr>
      </w:pPr>
    </w:p>
    <w:p>
      <w:pPr>
        <w:jc w:val="both"/>
        <w:ind w:left="917" w:hanging="300"/>
        <w:spacing w:after="0" w:line="274" w:lineRule="auto"/>
        <w:tabs>
          <w:tab w:leader="none" w:pos="917" w:val="left"/>
        </w:tabs>
        <w:numPr>
          <w:ilvl w:val="1"/>
          <w:numId w:val="548"/>
        </w:numPr>
        <w:rPr>
          <w:rFonts w:ascii="Arial" w:cs="Arial" w:eastAsia="Arial" w:hAnsi="Arial"/>
          <w:sz w:val="16"/>
          <w:szCs w:val="16"/>
          <w:color w:val="auto"/>
        </w:rPr>
      </w:pPr>
      <w:r>
        <w:rPr>
          <w:rFonts w:ascii="Arial" w:cs="Arial" w:eastAsia="Arial" w:hAnsi="Arial"/>
          <w:sz w:val="16"/>
          <w:szCs w:val="16"/>
          <w:color w:val="auto"/>
        </w:rPr>
        <w:t xml:space="preserve">If the Lessee fails to evacuate the rented premises on termination of the tenancy period and/or on the expiration thereof and/or on the revocation of this agreement, all according to whichever is the earlier, the Lessee shall be deemed as a trespasser of the Lessor’s property in the rented premises and in any part thereof, commencing on the date whereon the Lessee was required to vacate the rented premises, as aforesaid, until the actual evacuation thereof. In such event, as aforesaid, the Lessor, subsequent to giving advance written warning of two business days, may and is entitled to preclude the Lessee or anyone of the units thereof and/or any person on behalf thereof from entering the rented premises and making use of the rented premises or any part thereof. For this purpose, the Lessor is entitled to and may, </w:t>
      </w:r>
      <w:r>
        <w:rPr>
          <w:rFonts w:ascii="Arial" w:cs="Arial" w:eastAsia="Arial" w:hAnsi="Arial"/>
          <w:sz w:val="16"/>
          <w:szCs w:val="16"/>
          <w:i w:val="1"/>
          <w:iCs w:val="1"/>
          <w:color w:val="auto"/>
        </w:rPr>
        <w:t>inter alia</w:t>
      </w:r>
      <w:r>
        <w:rPr>
          <w:rFonts w:ascii="Arial" w:cs="Arial" w:eastAsia="Arial" w:hAnsi="Arial"/>
          <w:sz w:val="16"/>
          <w:szCs w:val="16"/>
          <w:color w:val="auto"/>
        </w:rPr>
        <w:t>, use reasonable force, replace the locks of the rented premises, disconnect and/or instruct that the electricity, water, telephone, gas and air-conditioning be disconnected and preclude the Lessee’s access and entrance, including to the building, and all subject to any law.</w:t>
      </w:r>
    </w:p>
    <w:p>
      <w:pPr>
        <w:spacing w:after="0" w:line="191" w:lineRule="exact"/>
        <w:rPr>
          <w:rFonts w:ascii="Arial" w:cs="Arial" w:eastAsia="Arial" w:hAnsi="Arial"/>
          <w:sz w:val="16"/>
          <w:szCs w:val="16"/>
          <w:color w:val="auto"/>
        </w:rPr>
      </w:pPr>
    </w:p>
    <w:p>
      <w:pPr>
        <w:ind w:left="597" w:hanging="597"/>
        <w:spacing w:after="0"/>
        <w:tabs>
          <w:tab w:leader="none" w:pos="597" w:val="left"/>
        </w:tabs>
        <w:numPr>
          <w:ilvl w:val="0"/>
          <w:numId w:val="549"/>
        </w:numPr>
        <w:rPr>
          <w:rFonts w:ascii="Arial" w:cs="Arial" w:eastAsia="Arial" w:hAnsi="Arial"/>
          <w:sz w:val="17"/>
          <w:szCs w:val="17"/>
          <w:color w:val="auto"/>
        </w:rPr>
      </w:pPr>
      <w:r>
        <w:rPr>
          <w:rFonts w:ascii="Arial" w:cs="Arial" w:eastAsia="Arial" w:hAnsi="Arial"/>
          <w:sz w:val="17"/>
          <w:szCs w:val="17"/>
          <w:b w:val="1"/>
          <w:bCs w:val="1"/>
          <w:color w:val="auto"/>
        </w:rPr>
        <w:t>Cancelled</w:t>
      </w:r>
    </w:p>
    <w:p>
      <w:pPr>
        <w:spacing w:after="0" w:line="241" w:lineRule="exact"/>
        <w:rPr>
          <w:rFonts w:ascii="Arial" w:cs="Arial" w:eastAsia="Arial" w:hAnsi="Arial"/>
          <w:sz w:val="17"/>
          <w:szCs w:val="17"/>
          <w:color w:val="auto"/>
        </w:rPr>
      </w:pPr>
    </w:p>
    <w:p>
      <w:pPr>
        <w:ind w:left="597" w:hanging="597"/>
        <w:spacing w:after="0"/>
        <w:tabs>
          <w:tab w:leader="none" w:pos="597" w:val="left"/>
        </w:tabs>
        <w:numPr>
          <w:ilvl w:val="0"/>
          <w:numId w:val="549"/>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p>
    <w:p>
      <w:pPr>
        <w:spacing w:after="0" w:line="247" w:lineRule="exact"/>
        <w:rPr>
          <w:rFonts w:ascii="Arial" w:cs="Arial" w:eastAsia="Arial" w:hAnsi="Arial"/>
          <w:sz w:val="17"/>
          <w:szCs w:val="17"/>
          <w:color w:val="auto"/>
        </w:rPr>
      </w:pPr>
    </w:p>
    <w:p>
      <w:pPr>
        <w:ind w:left="917" w:hanging="300"/>
        <w:spacing w:after="0" w:line="278" w:lineRule="auto"/>
        <w:tabs>
          <w:tab w:leader="none" w:pos="917" w:val="left"/>
        </w:tabs>
        <w:numPr>
          <w:ilvl w:val="1"/>
          <w:numId w:val="549"/>
        </w:numPr>
        <w:rPr>
          <w:rFonts w:ascii="Arial" w:cs="Arial" w:eastAsia="Arial" w:hAnsi="Arial"/>
          <w:sz w:val="17"/>
          <w:szCs w:val="17"/>
          <w:color w:val="auto"/>
        </w:rPr>
      </w:pPr>
      <w:r>
        <w:rPr>
          <w:rFonts w:ascii="Arial" w:cs="Arial" w:eastAsia="Arial" w:hAnsi="Arial"/>
          <w:sz w:val="17"/>
          <w:szCs w:val="17"/>
          <w:color w:val="auto"/>
        </w:rPr>
        <w:t>The titles in this agreement were added solely for the convenience of reading and use and fail to instruct with respect to the contents and construal of the agreement.</w:t>
      </w:r>
    </w:p>
    <w:p>
      <w:pPr>
        <w:spacing w:after="0" w:line="190" w:lineRule="exact"/>
        <w:rPr>
          <w:rFonts w:ascii="Arial" w:cs="Arial" w:eastAsia="Arial" w:hAnsi="Arial"/>
          <w:sz w:val="17"/>
          <w:szCs w:val="17"/>
          <w:color w:val="auto"/>
        </w:rPr>
      </w:pPr>
    </w:p>
    <w:p>
      <w:pPr>
        <w:ind w:left="917" w:hanging="300"/>
        <w:spacing w:after="0"/>
        <w:tabs>
          <w:tab w:leader="none" w:pos="917" w:val="left"/>
        </w:tabs>
        <w:numPr>
          <w:ilvl w:val="1"/>
          <w:numId w:val="549"/>
        </w:numPr>
        <w:rPr>
          <w:rFonts w:ascii="Arial" w:cs="Arial" w:eastAsia="Arial" w:hAnsi="Arial"/>
          <w:sz w:val="17"/>
          <w:szCs w:val="17"/>
          <w:color w:val="auto"/>
        </w:rPr>
      </w:pPr>
      <w:r>
        <w:rPr>
          <w:rFonts w:ascii="Arial" w:cs="Arial" w:eastAsia="Arial" w:hAnsi="Arial"/>
          <w:sz w:val="17"/>
          <w:szCs w:val="17"/>
          <w:color w:val="auto"/>
        </w:rPr>
        <w:t>The appendices attached hereto to this agreement constitute an integral part thereof.</w:t>
      </w:r>
    </w:p>
    <w:p>
      <w:pPr>
        <w:spacing w:after="0" w:line="241" w:lineRule="exact"/>
        <w:rPr>
          <w:rFonts w:ascii="Arial" w:cs="Arial" w:eastAsia="Arial" w:hAnsi="Arial"/>
          <w:sz w:val="17"/>
          <w:szCs w:val="17"/>
          <w:color w:val="auto"/>
        </w:rPr>
      </w:pPr>
    </w:p>
    <w:p>
      <w:pPr>
        <w:jc w:val="both"/>
        <w:ind w:left="917" w:hanging="300"/>
        <w:spacing w:after="0" w:line="259" w:lineRule="auto"/>
        <w:tabs>
          <w:tab w:leader="none" w:pos="917" w:val="left"/>
        </w:tabs>
        <w:numPr>
          <w:ilvl w:val="1"/>
          <w:numId w:val="549"/>
        </w:numPr>
        <w:rPr>
          <w:rFonts w:ascii="Arial" w:cs="Arial" w:eastAsia="Arial" w:hAnsi="Arial"/>
          <w:sz w:val="17"/>
          <w:szCs w:val="17"/>
          <w:color w:val="auto"/>
        </w:rPr>
      </w:pPr>
      <w:r>
        <w:rPr>
          <w:rFonts w:ascii="Arial" w:cs="Arial" w:eastAsia="Arial" w:hAnsi="Arial"/>
          <w:sz w:val="17"/>
          <w:szCs w:val="17"/>
          <w:color w:val="auto"/>
        </w:rPr>
        <w:t>If a party to the agreement, subsequent to providing written early warning of 7 days to the other party, pays any amount whatsoever, the duty of payment whereof applies to the other party effective by the provisions of any law or valid by the provisions of this agreement, the party that is obligated for the payment shall reimburse the paying party with the amount it paid together with interest for delay from the date of payment by the paying party until the date of the actual reimbursement by the party owing the sum, against the presentation of documentary proof and/or duly issued tax invoices with respect to the performance of the payment in practice by the paying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257415" cy="209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30" w:name="page631"/>
    <w:bookmarkEnd w:id="630"/>
    <w:p>
      <w:pPr>
        <w:ind w:left="300" w:hanging="300"/>
        <w:spacing w:after="0"/>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parties choose the city Tel Aviv-Jaffa as the place of exclusive jurisdiction for the purposes of the provisions of this agreement.</w:t>
      </w:r>
    </w:p>
    <w:p>
      <w:pPr>
        <w:spacing w:after="0" w:line="241"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Any alteration or amendment to or waiver in the agreement or in any condition of the conditions thereof shall be made in writing and signed by the parties.</w:t>
      </w:r>
    </w:p>
    <w:p>
      <w:pPr>
        <w:spacing w:after="0" w:line="190" w:lineRule="exact"/>
        <w:rPr>
          <w:rFonts w:ascii="Arial" w:cs="Arial" w:eastAsia="Arial" w:hAnsi="Arial"/>
          <w:sz w:val="17"/>
          <w:szCs w:val="17"/>
          <w:color w:val="auto"/>
        </w:rPr>
      </w:pPr>
    </w:p>
    <w:p>
      <w:pPr>
        <w:ind w:left="300" w:hanging="300"/>
        <w:spacing w:after="0" w:line="278" w:lineRule="auto"/>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Lessor’s consent to any divergence from the conditions of the agreement shall not serve as a precedent and/or shall not constitute any waiver and no analogy shall be learned therefrom to any other instance.</w:t>
      </w:r>
    </w:p>
    <w:p>
      <w:pPr>
        <w:spacing w:after="0" w:line="190" w:lineRule="exact"/>
        <w:rPr>
          <w:rFonts w:ascii="Arial" w:cs="Arial" w:eastAsia="Arial" w:hAnsi="Arial"/>
          <w:sz w:val="17"/>
          <w:szCs w:val="17"/>
          <w:color w:val="auto"/>
        </w:rPr>
      </w:pPr>
    </w:p>
    <w:p>
      <w:pPr>
        <w:jc w:val="both"/>
        <w:ind w:left="300" w:hanging="300"/>
        <w:spacing w:after="0" w:line="265" w:lineRule="auto"/>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Lessee hereby declares that it has been explicitly informed that Adv. Dana Dotan and/or Adv. Yael Langer and/or Adv. Amit Wengerovitz and/or Adv. Sharon Rosenzweig and/or Adv. Hagit Rothstein represent solely the Lessor in the agreement and the transaction, subject of this agreement and the Lessee may be represented by another attorney.</w:t>
      </w:r>
    </w:p>
    <w:p>
      <w:pPr>
        <w:spacing w:after="0" w:line="201" w:lineRule="exact"/>
        <w:rPr>
          <w:rFonts w:ascii="Arial" w:cs="Arial" w:eastAsia="Arial" w:hAnsi="Arial"/>
          <w:sz w:val="17"/>
          <w:szCs w:val="17"/>
          <w:color w:val="auto"/>
        </w:rPr>
      </w:pPr>
    </w:p>
    <w:p>
      <w:pPr>
        <w:ind w:left="300" w:hanging="300"/>
        <w:spacing w:after="0"/>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costs of the stamps for this agreement shall be paid by the party requesting that the agreement have stamps.</w:t>
      </w:r>
    </w:p>
    <w:p>
      <w:pPr>
        <w:spacing w:after="0" w:line="241" w:lineRule="exact"/>
        <w:rPr>
          <w:rFonts w:ascii="Arial" w:cs="Arial" w:eastAsia="Arial" w:hAnsi="Arial"/>
          <w:sz w:val="17"/>
          <w:szCs w:val="17"/>
          <w:color w:val="auto"/>
        </w:rPr>
      </w:pPr>
    </w:p>
    <w:p>
      <w:pPr>
        <w:jc w:val="both"/>
        <w:ind w:left="300" w:hanging="300"/>
        <w:spacing w:after="0" w:line="259" w:lineRule="auto"/>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addresses of the parties for the objectives of the agreement are as aforesaid in the Preamble and any notices that are to be delivered according to the agreement or in connection thereto shall be in writing and shall be delivered by hand or by way of registered mail, according to these addresses. Notwithstanding the aforesaid, following the signature of this agreement the Lessee’s address shall be the address of the rented premises. If a notice is sent by registered mail, it shall be deemed to have reached the knowledge and domain of the party being addressed within 72 hours of the time it was dispatched thereto.</w:t>
      </w:r>
    </w:p>
    <w:p>
      <w:pPr>
        <w:spacing w:after="0" w:line="205" w:lineRule="exact"/>
        <w:rPr>
          <w:rFonts w:ascii="Arial" w:cs="Arial" w:eastAsia="Arial" w:hAnsi="Arial"/>
          <w:sz w:val="17"/>
          <w:szCs w:val="17"/>
          <w:color w:val="auto"/>
        </w:rPr>
      </w:pPr>
    </w:p>
    <w:p>
      <w:pPr>
        <w:jc w:val="both"/>
        <w:ind w:left="300" w:hanging="300"/>
        <w:spacing w:after="0" w:line="265" w:lineRule="auto"/>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This agreement exhausts and faithfully reflects all that has been agreed by the parties. No representation and/or undertaking that have not found expression herein in this agreement shall have any validity. Any representation and/or agreement and/or undertaking that preceded this agreement are hereby null and void.</w:t>
      </w:r>
    </w:p>
    <w:p>
      <w:pPr>
        <w:spacing w:after="0" w:line="201" w:lineRule="exact"/>
        <w:rPr>
          <w:rFonts w:ascii="Arial" w:cs="Arial" w:eastAsia="Arial" w:hAnsi="Arial"/>
          <w:sz w:val="17"/>
          <w:szCs w:val="17"/>
          <w:color w:val="auto"/>
        </w:rPr>
      </w:pPr>
    </w:p>
    <w:p>
      <w:pPr>
        <w:jc w:val="both"/>
        <w:ind w:left="300" w:hanging="300"/>
        <w:spacing w:after="0" w:line="265" w:lineRule="auto"/>
        <w:tabs>
          <w:tab w:leader="none" w:pos="300" w:val="left"/>
        </w:tabs>
        <w:numPr>
          <w:ilvl w:val="0"/>
          <w:numId w:val="550"/>
        </w:numPr>
        <w:rPr>
          <w:rFonts w:ascii="Arial" w:cs="Arial" w:eastAsia="Arial" w:hAnsi="Arial"/>
          <w:sz w:val="17"/>
          <w:szCs w:val="17"/>
          <w:color w:val="auto"/>
        </w:rPr>
      </w:pPr>
      <w:r>
        <w:rPr>
          <w:rFonts w:ascii="Arial" w:cs="Arial" w:eastAsia="Arial" w:hAnsi="Arial"/>
          <w:sz w:val="17"/>
          <w:szCs w:val="17"/>
          <w:color w:val="auto"/>
        </w:rPr>
        <w:t>Notwithstanding all the aforesaid in any other place herein in this agreement, in any event, the Lessor and/or the management company shall not be liable, pursuant to this agreement, for indirect damages and/or resultant damages, save for damages, as aforesaid, that were caused maliciously by the Lessor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378460</wp:posOffset>
            </wp:positionV>
            <wp:extent cx="7257415" cy="209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631" w:name="page632"/>
    <w:bookmarkEnd w:id="631"/>
    <w:p>
      <w:pPr>
        <w:spacing w:after="0"/>
        <w:rPr>
          <w:sz w:val="20"/>
          <w:szCs w:val="20"/>
          <w:color w:val="auto"/>
        </w:rPr>
      </w:pPr>
      <w:r>
        <w:rPr>
          <w:rFonts w:ascii="Arial" w:cs="Arial" w:eastAsia="Arial" w:hAnsi="Arial"/>
          <w:sz w:val="17"/>
          <w:szCs w:val="17"/>
          <w:b w:val="1"/>
          <w:bCs w:val="1"/>
          <w:color w:val="auto"/>
        </w:rPr>
        <w:t>In witness whereof we have signed</w:t>
      </w:r>
      <w:r>
        <w:rPr>
          <w:rFonts w:ascii="Arial" w:cs="Arial" w:eastAsia="Arial" w:hAnsi="Arial"/>
          <w:sz w:val="17"/>
          <w:szCs w:val="17"/>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3420" w:type="dxa"/>
            <w:vAlign w:val="bottom"/>
          </w:tcPr>
          <w:p>
            <w:pPr>
              <w:jc w:val="right"/>
              <w:ind w:right="257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232"/>
        </w:trPr>
        <w:tc>
          <w:tcPr>
            <w:tcW w:w="20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7"/>
                <w:szCs w:val="17"/>
                <w:b w:val="1"/>
                <w:bCs w:val="1"/>
                <w:color w:val="auto"/>
              </w:rPr>
              <w:t>/s/ YURI SHOSHAN</w:t>
            </w:r>
          </w:p>
        </w:tc>
      </w:tr>
      <w:tr>
        <w:trPr>
          <w:trHeight w:val="33"/>
        </w:trPr>
        <w:tc>
          <w:tcPr>
            <w:tcW w:w="20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193"/>
        </w:trPr>
        <w:tc>
          <w:tcPr>
            <w:tcW w:w="2080" w:type="dxa"/>
            <w:vAlign w:val="bottom"/>
          </w:tcPr>
          <w:p>
            <w:pPr>
              <w:spacing w:after="0" w:line="194" w:lineRule="exact"/>
              <w:rPr>
                <w:sz w:val="20"/>
                <w:szCs w:val="20"/>
                <w:color w:val="auto"/>
              </w:rPr>
            </w:pPr>
            <w:r>
              <w:rPr>
                <w:rFonts w:ascii="Arial" w:cs="Arial" w:eastAsia="Arial" w:hAnsi="Arial"/>
                <w:sz w:val="17"/>
                <w:szCs w:val="17"/>
                <w:b w:val="1"/>
                <w:bCs w:val="1"/>
                <w:color w:val="auto"/>
              </w:rPr>
              <w:t>Kapps-Pharma Ltd.</w:t>
            </w:r>
          </w:p>
        </w:tc>
        <w:tc>
          <w:tcPr>
            <w:tcW w:w="3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80" w:type="dxa"/>
            <w:vAlign w:val="bottom"/>
          </w:tcPr>
          <w:p>
            <w:pPr>
              <w:spacing w:after="0" w:line="194" w:lineRule="exact"/>
              <w:rPr>
                <w:sz w:val="20"/>
                <w:szCs w:val="20"/>
                <w:color w:val="auto"/>
              </w:rPr>
            </w:pPr>
            <w:r>
              <w:rPr>
                <w:rFonts w:ascii="Arial" w:cs="Arial" w:eastAsia="Arial" w:hAnsi="Arial"/>
                <w:sz w:val="17"/>
                <w:szCs w:val="17"/>
                <w:b w:val="1"/>
                <w:bCs w:val="1"/>
                <w:color w:val="auto"/>
              </w:rPr>
              <w:t>Lessee</w:t>
            </w:r>
          </w:p>
        </w:tc>
      </w:tr>
      <w:tr>
        <w:trPr>
          <w:trHeight w:val="206"/>
        </w:trPr>
        <w:tc>
          <w:tcPr>
            <w:tcW w:w="2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STAMP:</w:t>
            </w:r>
          </w:p>
        </w:tc>
      </w:tr>
      <w:tr>
        <w:trPr>
          <w:trHeight w:val="206"/>
        </w:trPr>
        <w:tc>
          <w:tcPr>
            <w:tcW w:w="2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Bioline Innovations Jerusalem</w:t>
            </w:r>
          </w:p>
        </w:tc>
      </w:tr>
      <w:tr>
        <w:trPr>
          <w:trHeight w:val="206"/>
        </w:trPr>
        <w:tc>
          <w:tcPr>
            <w:tcW w:w="2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Limited Partnership</w:t>
            </w:r>
          </w:p>
        </w:tc>
      </w:tr>
      <w:tr>
        <w:trPr>
          <w:trHeight w:val="206"/>
        </w:trPr>
        <w:tc>
          <w:tcPr>
            <w:tcW w:w="2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By Its General Partner</w:t>
            </w:r>
          </w:p>
        </w:tc>
      </w:tr>
      <w:tr>
        <w:trPr>
          <w:trHeight w:val="217"/>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Bioline Innovations Jerusalem Ltd.</w:t>
            </w:r>
          </w:p>
        </w:tc>
      </w:tr>
    </w:tbl>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 the undersigned, Joeri Kreisberg, attorney for the Lessee, Bioline Innovations Jerusalem Limited Partnership, hereby authorize that Morris Laster, Aharon </w:t>
      </w:r>
      <w:r>
        <w:rPr>
          <w:rFonts w:ascii="Arial" w:cs="Arial" w:eastAsia="Arial" w:hAnsi="Arial"/>
          <w:sz w:val="17"/>
          <w:szCs w:val="17"/>
          <w:b w:val="1"/>
          <w:bCs w:val="1"/>
          <w:i w:val="1"/>
          <w:iCs w:val="1"/>
          <w:color w:val="auto"/>
        </w:rPr>
        <w:t>Illegible</w:t>
      </w:r>
      <w:r>
        <w:rPr>
          <w:rFonts w:ascii="Arial" w:cs="Arial" w:eastAsia="Arial" w:hAnsi="Arial"/>
          <w:sz w:val="17"/>
          <w:szCs w:val="17"/>
          <w:color w:val="auto"/>
        </w:rPr>
        <w:t xml:space="preserve"> and Rami </w:t>
      </w:r>
      <w:r>
        <w:rPr>
          <w:rFonts w:ascii="Arial" w:cs="Arial" w:eastAsia="Arial" w:hAnsi="Arial"/>
          <w:sz w:val="17"/>
          <w:szCs w:val="17"/>
          <w:b w:val="1"/>
          <w:bCs w:val="1"/>
          <w:i w:val="1"/>
          <w:iCs w:val="1"/>
          <w:color w:val="auto"/>
        </w:rPr>
        <w:t>Illegible</w:t>
      </w:r>
      <w:r>
        <w:rPr>
          <w:rFonts w:ascii="Arial" w:cs="Arial" w:eastAsia="Arial" w:hAnsi="Arial"/>
          <w:sz w:val="17"/>
          <w:szCs w:val="17"/>
          <w:color w:val="auto"/>
        </w:rPr>
        <w:t xml:space="preserve"> have signed this agreement in the name of the Lessee and they are approved signatories to sign this agreement and the signatures thereof on the agreement obligate the Lessee for all intents and purposes.</w:t>
      </w:r>
    </w:p>
    <w:p>
      <w:pPr>
        <w:spacing w:after="0" w:line="201"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161290</wp:posOffset>
            </wp:positionV>
            <wp:extent cx="3626485" cy="1651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626485" cy="16510"/>
                    </a:xfrm>
                    <a:prstGeom prst="rect">
                      <a:avLst/>
                    </a:prstGeom>
                    <a:noFill/>
                  </pic:spPr>
                </pic:pic>
              </a:graphicData>
            </a:graphic>
          </wp:anchor>
        </w:drawing>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Attorney</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STAMP:</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Joeri Kreisberg, Adv.</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License No. 19903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632" w:name="page633"/>
    <w:bookmarkEnd w:id="632"/>
    <w:p>
      <w:pPr>
        <w:jc w:val="center"/>
        <w:ind w:right="-399"/>
        <w:spacing w:after="0"/>
        <w:rPr>
          <w:sz w:val="20"/>
          <w:szCs w:val="20"/>
          <w:color w:val="auto"/>
        </w:rPr>
      </w:pPr>
      <w:r>
        <w:rPr>
          <w:rFonts w:ascii="Arial" w:cs="Arial" w:eastAsia="Arial" w:hAnsi="Arial"/>
          <w:sz w:val="17"/>
          <w:szCs w:val="17"/>
          <w:b w:val="1"/>
          <w:bCs w:val="1"/>
          <w:u w:val="single" w:color="auto"/>
          <w:color w:val="auto"/>
        </w:rPr>
        <w:t>List of Appendices</w:t>
      </w:r>
    </w:p>
    <w:p>
      <w:pPr>
        <w:spacing w:after="0" w:line="248" w:lineRule="exact"/>
        <w:rPr>
          <w:sz w:val="20"/>
          <w:szCs w:val="20"/>
          <w:color w:val="auto"/>
        </w:rPr>
      </w:pPr>
    </w:p>
    <w:p>
      <w:pPr>
        <w:ind w:left="1140" w:hanging="1137"/>
        <w:spacing w:after="0"/>
        <w:tabs>
          <w:tab w:leader="none" w:pos="1140"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Appendix A:</w:t>
      </w:r>
      <w:r>
        <w:rPr>
          <w:rFonts w:ascii="Arial" w:cs="Arial" w:eastAsia="Arial" w:hAnsi="Arial"/>
          <w:sz w:val="15"/>
          <w:szCs w:val="15"/>
          <w:color w:val="auto"/>
        </w:rPr>
        <w:t>Sketch of the rented premises and additional areas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right"/>
              <w:ind w:right="414"/>
              <w:spacing w:after="0"/>
              <w:rPr>
                <w:sz w:val="20"/>
                <w:szCs w:val="20"/>
                <w:color w:val="auto"/>
              </w:rPr>
            </w:pPr>
            <w:r>
              <w:rPr>
                <w:rFonts w:ascii="Arial" w:cs="Arial" w:eastAsia="Arial" w:hAnsi="Arial"/>
                <w:sz w:val="17"/>
                <w:szCs w:val="17"/>
                <w:color w:val="auto"/>
                <w:w w:val="84"/>
              </w:rPr>
              <w:t>2.</w:t>
            </w:r>
          </w:p>
        </w:tc>
        <w:tc>
          <w:tcPr>
            <w:tcW w:w="1840" w:type="dxa"/>
            <w:vAlign w:val="bottom"/>
          </w:tcPr>
          <w:p>
            <w:pPr>
              <w:ind w:left="500"/>
              <w:spacing w:after="0"/>
              <w:rPr>
                <w:sz w:val="20"/>
                <w:szCs w:val="20"/>
                <w:color w:val="auto"/>
              </w:rPr>
            </w:pPr>
            <w:r>
              <w:rPr>
                <w:rFonts w:ascii="Arial" w:cs="Arial" w:eastAsia="Arial" w:hAnsi="Arial"/>
                <w:sz w:val="17"/>
                <w:szCs w:val="17"/>
                <w:color w:val="auto"/>
              </w:rPr>
              <w:t>Appendix B:</w:t>
            </w:r>
          </w:p>
        </w:tc>
        <w:tc>
          <w:tcPr>
            <w:tcW w:w="2920" w:type="dxa"/>
            <w:vAlign w:val="bottom"/>
          </w:tcPr>
          <w:p>
            <w:pPr>
              <w:ind w:left="380"/>
              <w:spacing w:after="0"/>
              <w:rPr>
                <w:sz w:val="20"/>
                <w:szCs w:val="20"/>
                <w:color w:val="auto"/>
              </w:rPr>
            </w:pPr>
            <w:r>
              <w:rPr>
                <w:rFonts w:ascii="Arial" w:cs="Arial" w:eastAsia="Arial" w:hAnsi="Arial"/>
                <w:sz w:val="17"/>
                <w:szCs w:val="17"/>
                <w:color w:val="auto"/>
              </w:rPr>
              <w:t>Schedules</w:t>
            </w:r>
          </w:p>
        </w:tc>
      </w:tr>
      <w:tr>
        <w:trPr>
          <w:trHeight w:val="412"/>
        </w:trPr>
        <w:tc>
          <w:tcPr>
            <w:tcW w:w="640" w:type="dxa"/>
            <w:vAlign w:val="bottom"/>
          </w:tcPr>
          <w:p>
            <w:pPr>
              <w:jc w:val="right"/>
              <w:ind w:right="414"/>
              <w:spacing w:after="0"/>
              <w:rPr>
                <w:sz w:val="20"/>
                <w:szCs w:val="20"/>
                <w:color w:val="auto"/>
              </w:rPr>
            </w:pPr>
            <w:r>
              <w:rPr>
                <w:rFonts w:ascii="Arial" w:cs="Arial" w:eastAsia="Arial" w:hAnsi="Arial"/>
                <w:sz w:val="17"/>
                <w:szCs w:val="17"/>
                <w:color w:val="auto"/>
                <w:w w:val="84"/>
              </w:rPr>
              <w:t>3.</w:t>
            </w:r>
          </w:p>
        </w:tc>
        <w:tc>
          <w:tcPr>
            <w:tcW w:w="1840" w:type="dxa"/>
            <w:vAlign w:val="bottom"/>
          </w:tcPr>
          <w:p>
            <w:pPr>
              <w:ind w:left="500"/>
              <w:spacing w:after="0"/>
              <w:rPr>
                <w:sz w:val="20"/>
                <w:szCs w:val="20"/>
                <w:color w:val="auto"/>
              </w:rPr>
            </w:pPr>
            <w:r>
              <w:rPr>
                <w:rFonts w:ascii="Arial" w:cs="Arial" w:eastAsia="Arial" w:hAnsi="Arial"/>
                <w:sz w:val="17"/>
                <w:szCs w:val="17"/>
                <w:color w:val="auto"/>
              </w:rPr>
              <w:t>Appendix B1:</w:t>
            </w:r>
          </w:p>
        </w:tc>
        <w:tc>
          <w:tcPr>
            <w:tcW w:w="2920" w:type="dxa"/>
            <w:vAlign w:val="bottom"/>
          </w:tcPr>
          <w:p>
            <w:pPr>
              <w:ind w:left="380"/>
              <w:spacing w:after="0"/>
              <w:rPr>
                <w:sz w:val="20"/>
                <w:szCs w:val="20"/>
                <w:color w:val="auto"/>
              </w:rPr>
            </w:pPr>
            <w:r>
              <w:rPr>
                <w:rFonts w:ascii="Arial" w:cs="Arial" w:eastAsia="Arial" w:hAnsi="Arial"/>
                <w:sz w:val="17"/>
                <w:szCs w:val="17"/>
                <w:color w:val="auto"/>
                <w:w w:val="92"/>
              </w:rPr>
              <w:t>Initial adaptation specification works</w:t>
            </w:r>
          </w:p>
        </w:tc>
      </w:tr>
    </w:tbl>
    <w:p>
      <w:pPr>
        <w:spacing w:after="0" w:line="195" w:lineRule="exact"/>
        <w:rPr>
          <w:sz w:val="20"/>
          <w:szCs w:val="20"/>
          <w:color w:val="auto"/>
        </w:rPr>
      </w:pPr>
    </w:p>
    <w:p>
      <w:pPr>
        <w:ind w:left="1140" w:hanging="1137"/>
        <w:spacing w:after="0"/>
        <w:tabs>
          <w:tab w:leader="none" w:pos="114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Appendix C:</w:t>
      </w:r>
      <w:r>
        <w:rPr>
          <w:rFonts w:ascii="Arial" w:cs="Arial" w:eastAsia="Arial" w:hAnsi="Arial"/>
          <w:sz w:val="15"/>
          <w:szCs w:val="15"/>
          <w:color w:val="auto"/>
        </w:rPr>
        <w:t>Equipment that the Lessee may take with it on termination Of the tenancy period</w:t>
      </w:r>
    </w:p>
    <w:p>
      <w:pPr>
        <w:spacing w:after="0" w:line="216" w:lineRule="exact"/>
        <w:rPr>
          <w:rFonts w:ascii="Arial" w:cs="Arial" w:eastAsia="Arial" w:hAnsi="Arial"/>
          <w:sz w:val="17"/>
          <w:szCs w:val="17"/>
          <w:color w:val="auto"/>
        </w:rPr>
      </w:pPr>
    </w:p>
    <w:p>
      <w:pPr>
        <w:ind w:left="1140" w:hanging="1137"/>
        <w:spacing w:after="0"/>
        <w:tabs>
          <w:tab w:leader="none" w:pos="114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Appendix D:</w:t>
      </w:r>
      <w:r>
        <w:rPr>
          <w:rFonts w:ascii="Arial" w:cs="Arial" w:eastAsia="Arial" w:hAnsi="Arial"/>
          <w:sz w:val="15"/>
          <w:szCs w:val="15"/>
          <w:color w:val="auto"/>
        </w:rPr>
        <w:t>Sketch of the parking spaces</w:t>
      </w:r>
    </w:p>
    <w:p>
      <w:pPr>
        <w:spacing w:after="0" w:line="216" w:lineRule="exact"/>
        <w:rPr>
          <w:rFonts w:ascii="Arial" w:cs="Arial" w:eastAsia="Arial" w:hAnsi="Arial"/>
          <w:sz w:val="17"/>
          <w:szCs w:val="17"/>
          <w:color w:val="auto"/>
        </w:rPr>
      </w:pPr>
    </w:p>
    <w:p>
      <w:pPr>
        <w:ind w:left="1140" w:hanging="1137"/>
        <w:spacing w:after="0"/>
        <w:tabs>
          <w:tab w:leader="none" w:pos="1140" w:val="left"/>
        </w:tabs>
        <w:numPr>
          <w:ilvl w:val="0"/>
          <w:numId w:val="552"/>
        </w:numPr>
        <w:rPr>
          <w:rFonts w:ascii="Arial" w:cs="Arial" w:eastAsia="Arial" w:hAnsi="Arial"/>
          <w:sz w:val="17"/>
          <w:szCs w:val="17"/>
          <w:color w:val="auto"/>
        </w:rPr>
      </w:pPr>
      <w:r>
        <w:rPr>
          <w:rFonts w:ascii="Arial" w:cs="Arial" w:eastAsia="Arial" w:hAnsi="Arial"/>
          <w:sz w:val="17"/>
          <w:szCs w:val="17"/>
          <w:color w:val="auto"/>
        </w:rPr>
        <w:t>Appendix E:</w:t>
      </w:r>
      <w:r>
        <w:rPr>
          <w:rFonts w:ascii="Arial" w:cs="Arial" w:eastAsia="Arial" w:hAnsi="Arial"/>
          <w:sz w:val="15"/>
          <w:szCs w:val="15"/>
          <w:color w:val="auto"/>
        </w:rPr>
        <w:t>Formula for the calculation of air-conditioning electricity consumption in the rented premises</w:t>
      </w:r>
    </w:p>
    <w:p>
      <w:pPr>
        <w:spacing w:after="0" w:line="216" w:lineRule="exact"/>
        <w:rPr>
          <w:sz w:val="20"/>
          <w:szCs w:val="20"/>
          <w:color w:val="auto"/>
        </w:rPr>
      </w:pPr>
    </w:p>
    <w:p>
      <w:pPr>
        <w:spacing w:after="0"/>
        <w:tabs>
          <w:tab w:leader="none" w:pos="1120" w:val="left"/>
          <w:tab w:leader="none" w:pos="2840" w:val="left"/>
        </w:tabs>
        <w:rPr>
          <w:sz w:val="20"/>
          <w:szCs w:val="20"/>
          <w:color w:val="auto"/>
        </w:rPr>
      </w:pPr>
      <w:r>
        <w:rPr>
          <w:rFonts w:ascii="Arial" w:cs="Arial" w:eastAsia="Arial" w:hAnsi="Arial"/>
          <w:sz w:val="17"/>
          <w:szCs w:val="17"/>
          <w:color w:val="auto"/>
        </w:rPr>
        <w:t>6.</w:t>
      </w:r>
      <w:r>
        <w:rPr>
          <w:sz w:val="20"/>
          <w:szCs w:val="20"/>
          <w:color w:val="auto"/>
        </w:rPr>
        <w:tab/>
      </w:r>
      <w:r>
        <w:rPr>
          <w:rFonts w:ascii="Arial" w:cs="Arial" w:eastAsia="Arial" w:hAnsi="Arial"/>
          <w:sz w:val="17"/>
          <w:szCs w:val="17"/>
          <w:color w:val="auto"/>
        </w:rPr>
        <w:t>Appendix E1:</w:t>
      </w:r>
      <w:r>
        <w:rPr>
          <w:sz w:val="20"/>
          <w:szCs w:val="20"/>
          <w:color w:val="auto"/>
        </w:rPr>
        <w:tab/>
      </w:r>
      <w:r>
        <w:rPr>
          <w:rFonts w:ascii="Arial" w:cs="Arial" w:eastAsia="Arial" w:hAnsi="Arial"/>
          <w:sz w:val="15"/>
          <w:szCs w:val="15"/>
          <w:color w:val="auto"/>
        </w:rPr>
        <w:t>Formula for the calculation of expenses in respect of particularly high-powered air-conditioning for the Old Wing Area</w:t>
      </w:r>
    </w:p>
    <w:p>
      <w:pPr>
        <w:spacing w:after="0" w:line="216" w:lineRule="exact"/>
        <w:rPr>
          <w:sz w:val="20"/>
          <w:szCs w:val="20"/>
          <w:color w:val="auto"/>
        </w:rPr>
      </w:pPr>
    </w:p>
    <w:p>
      <w:pPr>
        <w:ind w:left="1140" w:hanging="1137"/>
        <w:spacing w:after="0"/>
        <w:tabs>
          <w:tab w:leader="none" w:pos="1140"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Appendix F:</w:t>
      </w:r>
      <w:r>
        <w:rPr>
          <w:rFonts w:ascii="Arial" w:cs="Arial" w:eastAsia="Arial" w:hAnsi="Arial"/>
          <w:sz w:val="15"/>
          <w:szCs w:val="15"/>
          <w:color w:val="auto"/>
        </w:rPr>
        <w:t>Authorization of insurance for the rented premises</w:t>
      </w:r>
    </w:p>
    <w:p>
      <w:pPr>
        <w:spacing w:after="0" w:line="216" w:lineRule="exact"/>
        <w:rPr>
          <w:sz w:val="20"/>
          <w:szCs w:val="20"/>
          <w:color w:val="auto"/>
        </w:rPr>
      </w:pPr>
    </w:p>
    <w:p>
      <w:pPr>
        <w:spacing w:after="0"/>
        <w:tabs>
          <w:tab w:leader="none" w:pos="1120" w:val="left"/>
          <w:tab w:leader="none" w:pos="2840" w:val="left"/>
        </w:tabs>
        <w:rPr>
          <w:sz w:val="20"/>
          <w:szCs w:val="20"/>
          <w:color w:val="auto"/>
        </w:rPr>
      </w:pPr>
      <w:r>
        <w:rPr>
          <w:rFonts w:ascii="Arial" w:cs="Arial" w:eastAsia="Arial" w:hAnsi="Arial"/>
          <w:sz w:val="17"/>
          <w:szCs w:val="17"/>
          <w:color w:val="auto"/>
        </w:rPr>
        <w:t>7.</w:t>
      </w:r>
      <w:r>
        <w:rPr>
          <w:sz w:val="20"/>
          <w:szCs w:val="20"/>
          <w:color w:val="auto"/>
        </w:rPr>
        <w:tab/>
      </w:r>
      <w:r>
        <w:rPr>
          <w:rFonts w:ascii="Arial" w:cs="Arial" w:eastAsia="Arial" w:hAnsi="Arial"/>
          <w:sz w:val="17"/>
          <w:szCs w:val="17"/>
          <w:color w:val="auto"/>
        </w:rPr>
        <w:t>Appendix F1:</w:t>
      </w:r>
      <w:r>
        <w:rPr>
          <w:sz w:val="20"/>
          <w:szCs w:val="20"/>
          <w:color w:val="auto"/>
        </w:rPr>
        <w:tab/>
      </w:r>
      <w:r>
        <w:rPr>
          <w:rFonts w:ascii="Arial" w:cs="Arial" w:eastAsia="Arial" w:hAnsi="Arial"/>
          <w:sz w:val="15"/>
          <w:szCs w:val="15"/>
          <w:color w:val="auto"/>
        </w:rPr>
        <w:t>Authorization of insurance of the works</w:t>
      </w:r>
    </w:p>
    <w:p>
      <w:pPr>
        <w:spacing w:after="0" w:line="216" w:lineRule="exact"/>
        <w:rPr>
          <w:sz w:val="20"/>
          <w:szCs w:val="20"/>
          <w:color w:val="auto"/>
        </w:rPr>
      </w:pPr>
    </w:p>
    <w:p>
      <w:pPr>
        <w:ind w:left="1140" w:hanging="1137"/>
        <w:spacing w:after="0"/>
        <w:tabs>
          <w:tab w:leader="none" w:pos="1140" w:val="left"/>
        </w:tabs>
        <w:numPr>
          <w:ilvl w:val="0"/>
          <w:numId w:val="554"/>
        </w:numPr>
        <w:rPr>
          <w:rFonts w:ascii="Arial" w:cs="Arial" w:eastAsia="Arial" w:hAnsi="Arial"/>
          <w:sz w:val="17"/>
          <w:szCs w:val="17"/>
          <w:color w:val="auto"/>
        </w:rPr>
      </w:pPr>
      <w:r>
        <w:rPr>
          <w:rFonts w:ascii="Arial" w:cs="Arial" w:eastAsia="Arial" w:hAnsi="Arial"/>
          <w:sz w:val="17"/>
          <w:szCs w:val="17"/>
          <w:color w:val="auto"/>
        </w:rPr>
        <w:t>Appendix G:</w:t>
      </w:r>
      <w:r>
        <w:rPr>
          <w:rFonts w:ascii="Arial" w:cs="Arial" w:eastAsia="Arial" w:hAnsi="Arial"/>
          <w:sz w:val="15"/>
          <w:szCs w:val="15"/>
          <w:color w:val="auto"/>
        </w:rPr>
        <w:t>Text of the bank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20"/>
          </w:cols>
          <w:pgMar w:left="240" w:top="495" w:right="639" w:bottom="1440" w:gutter="0" w:footer="0" w:header="0"/>
        </w:sectPr>
      </w:pPr>
    </w:p>
    <w:bookmarkStart w:id="633" w:name="page634"/>
    <w:bookmarkEnd w:id="633"/>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380" w:type="dxa"/>
            <w:vAlign w:val="bottom"/>
            <w:gridSpan w:val="3"/>
          </w:tcPr>
          <w:p>
            <w:pPr>
              <w:jc w:val="center"/>
              <w:ind w:right="4040"/>
              <w:spacing w:after="0"/>
              <w:rPr>
                <w:sz w:val="20"/>
                <w:szCs w:val="20"/>
                <w:color w:val="auto"/>
              </w:rPr>
            </w:pPr>
            <w:r>
              <w:rPr>
                <w:rFonts w:ascii="Arial" w:cs="Arial" w:eastAsia="Arial" w:hAnsi="Arial"/>
                <w:sz w:val="17"/>
                <w:szCs w:val="17"/>
                <w:color w:val="auto"/>
                <w:w w:val="90"/>
              </w:rPr>
              <w:t>Extension to Lease Agreement</w:t>
            </w:r>
          </w:p>
        </w:tc>
      </w:tr>
      <w:tr>
        <w:trPr>
          <w:trHeight w:val="20"/>
        </w:trPr>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54"/>
        </w:trPr>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240" w:type="dxa"/>
            <w:vAlign w:val="bottom"/>
            <w:gridSpan w:val="4"/>
          </w:tcPr>
          <w:p>
            <w:pPr>
              <w:jc w:val="center"/>
              <w:ind w:right="3160"/>
              <w:spacing w:after="0"/>
              <w:rPr>
                <w:sz w:val="20"/>
                <w:szCs w:val="20"/>
                <w:color w:val="auto"/>
              </w:rPr>
            </w:pPr>
            <w:r>
              <w:rPr>
                <w:rFonts w:ascii="Arial" w:cs="Arial" w:eastAsia="Arial" w:hAnsi="Arial"/>
                <w:sz w:val="17"/>
                <w:szCs w:val="17"/>
                <w:color w:val="auto"/>
                <w:w w:val="89"/>
              </w:rPr>
              <w:t>This agreement was made and executed on December 4, 2008</w:t>
            </w:r>
          </w:p>
        </w:tc>
      </w:tr>
      <w:tr>
        <w:trPr>
          <w:trHeight w:val="426"/>
        </w:trPr>
        <w:tc>
          <w:tcPr>
            <w:tcW w:w="840" w:type="dxa"/>
            <w:vAlign w:val="bottom"/>
          </w:tcPr>
          <w:p>
            <w:pPr>
              <w:spacing w:after="0"/>
              <w:rPr>
                <w:sz w:val="20"/>
                <w:szCs w:val="20"/>
                <w:color w:val="auto"/>
              </w:rPr>
            </w:pPr>
            <w:r>
              <w:rPr>
                <w:rFonts w:ascii="Arial" w:cs="Arial" w:eastAsia="Arial" w:hAnsi="Arial"/>
                <w:sz w:val="17"/>
                <w:szCs w:val="17"/>
                <w:color w:val="auto"/>
              </w:rPr>
              <w:t>Whereas</w:t>
            </w: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4"/>
              </w:rPr>
              <w:t>The Lessee leases, from the Lessor, various areas in a building in the industrial area in Har Hotzvim in Jerusalem (hereinafter: “the Building”), as</w:t>
            </w:r>
          </w:p>
        </w:tc>
      </w:tr>
      <w:tr>
        <w:trPr>
          <w:trHeight w:val="206"/>
        </w:trPr>
        <w:tc>
          <w:tcPr>
            <w:tcW w:w="840" w:type="dxa"/>
            <w:vAlign w:val="bottom"/>
          </w:tcPr>
          <w:p>
            <w:pPr>
              <w:spacing w:after="0"/>
              <w:rPr>
                <w:sz w:val="17"/>
                <w:szCs w:val="17"/>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3"/>
              </w:rPr>
              <w:t>specified in section 1a below, and 22 regular parking spaces and 6 double parking spaces in the building’s parking lot, marked in the parking space</w:t>
            </w:r>
          </w:p>
        </w:tc>
      </w:tr>
      <w:tr>
        <w:trPr>
          <w:trHeight w:val="180"/>
        </w:trPr>
        <w:tc>
          <w:tcPr>
            <w:tcW w:w="840" w:type="dxa"/>
            <w:vAlign w:val="bottom"/>
          </w:tcPr>
          <w:p>
            <w:pPr>
              <w:spacing w:after="0"/>
              <w:rPr>
                <w:sz w:val="15"/>
                <w:szCs w:val="15"/>
                <w:color w:val="auto"/>
              </w:rPr>
            </w:pPr>
          </w:p>
        </w:tc>
        <w:tc>
          <w:tcPr>
            <w:tcW w:w="10580" w:type="dxa"/>
            <w:vAlign w:val="bottom"/>
            <w:gridSpan w:val="5"/>
          </w:tcPr>
          <w:p>
            <w:pPr>
              <w:ind w:left="240"/>
              <w:spacing w:after="0" w:line="180" w:lineRule="exact"/>
              <w:rPr>
                <w:sz w:val="20"/>
                <w:szCs w:val="20"/>
                <w:color w:val="auto"/>
              </w:rPr>
            </w:pPr>
            <w:r>
              <w:rPr>
                <w:rFonts w:ascii="Arial" w:cs="Arial" w:eastAsia="Arial" w:hAnsi="Arial"/>
                <w:sz w:val="17"/>
                <w:szCs w:val="17"/>
                <w:color w:val="auto"/>
                <w:w w:val="92"/>
              </w:rPr>
              <w:t>blueprint which is attached as Appendix A to this agreement (hereinafter “the Leased Premises”), in accordance with the provisions and terms of the</w:t>
            </w:r>
          </w:p>
        </w:tc>
      </w:tr>
      <w:tr>
        <w:trPr>
          <w:trHeight w:val="20"/>
        </w:trPr>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r>
      <w:tr>
        <w:trPr>
          <w:trHeight w:val="212"/>
        </w:trPr>
        <w:tc>
          <w:tcPr>
            <w:tcW w:w="84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3"/>
              </w:rPr>
              <w:t>lease agreement signed by the parties on  July 10, 2005, (hereinafter:  “the Main Agreement”), the amendment agreement dated October 23, 2007</w:t>
            </w:r>
          </w:p>
        </w:tc>
      </w:tr>
      <w:tr>
        <w:trPr>
          <w:trHeight w:val="206"/>
        </w:trPr>
        <w:tc>
          <w:tcPr>
            <w:tcW w:w="840" w:type="dxa"/>
            <w:vAlign w:val="bottom"/>
          </w:tcPr>
          <w:p>
            <w:pPr>
              <w:spacing w:after="0"/>
              <w:rPr>
                <w:sz w:val="17"/>
                <w:szCs w:val="17"/>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1"/>
              </w:rPr>
              <w:t>(hereinafter: “the Amendment and Supplemental Agreement”) and the parties’ verbal agreement regarding the Lessee’s leasing of the storeroom area,</w:t>
            </w:r>
          </w:p>
        </w:tc>
      </w:tr>
      <w:tr>
        <w:trPr>
          <w:trHeight w:val="217"/>
        </w:trPr>
        <w:tc>
          <w:tcPr>
            <w:tcW w:w="84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rPr>
              <w:t>as defined below;</w:t>
            </w:r>
          </w:p>
        </w:tc>
      </w:tr>
      <w:tr>
        <w:trPr>
          <w:trHeight w:val="426"/>
        </w:trPr>
        <w:tc>
          <w:tcPr>
            <w:tcW w:w="840" w:type="dxa"/>
            <w:vAlign w:val="bottom"/>
          </w:tcPr>
          <w:p>
            <w:pPr>
              <w:spacing w:after="0"/>
              <w:rPr>
                <w:sz w:val="20"/>
                <w:szCs w:val="20"/>
                <w:color w:val="auto"/>
              </w:rPr>
            </w:pPr>
            <w:r>
              <w:rPr>
                <w:rFonts w:ascii="Arial" w:cs="Arial" w:eastAsia="Arial" w:hAnsi="Arial"/>
                <w:sz w:val="17"/>
                <w:szCs w:val="17"/>
                <w:color w:val="auto"/>
              </w:rPr>
              <w:t>Whereas</w:t>
            </w: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1"/>
              </w:rPr>
              <w:t>The Lessee notified the Lessor on June 30, 2008 of its decision to exercise the first extension period, as described in section 3 of the amendment and</w:t>
            </w:r>
          </w:p>
        </w:tc>
      </w:tr>
      <w:tr>
        <w:trPr>
          <w:trHeight w:val="206"/>
        </w:trPr>
        <w:tc>
          <w:tcPr>
            <w:tcW w:w="840" w:type="dxa"/>
            <w:vAlign w:val="bottom"/>
          </w:tcPr>
          <w:p>
            <w:pPr>
              <w:spacing w:after="0"/>
              <w:rPr>
                <w:sz w:val="17"/>
                <w:szCs w:val="17"/>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1"/>
              </w:rPr>
              <w:t>supplemental agreement, with regard to all of the areas in the leased premises, and there has been an agreement on additional updates regarding the</w:t>
            </w:r>
          </w:p>
        </w:tc>
      </w:tr>
      <w:tr>
        <w:trPr>
          <w:trHeight w:val="206"/>
        </w:trPr>
        <w:tc>
          <w:tcPr>
            <w:tcW w:w="840" w:type="dxa"/>
            <w:vAlign w:val="bottom"/>
          </w:tcPr>
          <w:p>
            <w:pPr>
              <w:spacing w:after="0"/>
              <w:rPr>
                <w:sz w:val="17"/>
                <w:szCs w:val="17"/>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w w:val="91"/>
              </w:rPr>
              <w:t>leasing of the leased premises, including terms relating to the leasing of the storeroom area as defined below, all subject to the provisions and terms of</w:t>
            </w:r>
          </w:p>
        </w:tc>
      </w:tr>
      <w:tr>
        <w:trPr>
          <w:trHeight w:val="217"/>
        </w:trPr>
        <w:tc>
          <w:tcPr>
            <w:tcW w:w="84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Arial" w:cs="Arial" w:eastAsia="Arial" w:hAnsi="Arial"/>
                <w:sz w:val="17"/>
                <w:szCs w:val="17"/>
                <w:color w:val="auto"/>
              </w:rPr>
              <w:t>this agreement;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parties therefore agree, provide and declare as follows:</w:t>
      </w:r>
    </w:p>
    <w:p>
      <w:pPr>
        <w:spacing w:after="0" w:line="242" w:lineRule="exact"/>
        <w:rPr>
          <w:sz w:val="20"/>
          <w:szCs w:val="20"/>
          <w:color w:val="auto"/>
        </w:rPr>
      </w:pPr>
    </w:p>
    <w:p>
      <w:pPr>
        <w:ind w:left="600" w:hanging="597"/>
        <w:spacing w:after="0"/>
        <w:tabs>
          <w:tab w:leader="none" w:pos="600" w:val="left"/>
        </w:tabs>
        <w:numPr>
          <w:ilvl w:val="0"/>
          <w:numId w:val="555"/>
        </w:numPr>
        <w:rPr>
          <w:rFonts w:ascii="Arial" w:cs="Arial" w:eastAsia="Arial" w:hAnsi="Arial"/>
          <w:sz w:val="17"/>
          <w:szCs w:val="17"/>
          <w:color w:val="auto"/>
        </w:rPr>
      </w:pPr>
      <w:r>
        <w:rPr>
          <w:rFonts w:ascii="Arial" w:cs="Arial" w:eastAsia="Arial" w:hAnsi="Arial"/>
          <w:sz w:val="17"/>
          <w:szCs w:val="17"/>
          <w:color w:val="auto"/>
        </w:rPr>
        <w:t>The preamble to this agreement constitutes an integral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634" w:name="page635"/>
    <w:bookmarkEnd w:id="634"/>
    <w:p>
      <w:pPr>
        <w:ind w:left="617" w:hanging="617"/>
        <w:spacing w:after="0" w:line="278" w:lineRule="auto"/>
        <w:tabs>
          <w:tab w:leader="none" w:pos="617" w:val="left"/>
        </w:tabs>
        <w:numPr>
          <w:ilvl w:val="0"/>
          <w:numId w:val="556"/>
        </w:numPr>
        <w:rPr>
          <w:rFonts w:ascii="Arial" w:cs="Arial" w:eastAsia="Arial" w:hAnsi="Arial"/>
          <w:sz w:val="17"/>
          <w:szCs w:val="17"/>
          <w:color w:val="auto"/>
        </w:rPr>
      </w:pPr>
      <w:r>
        <w:rPr>
          <w:rFonts w:ascii="Arial" w:cs="Arial" w:eastAsia="Arial" w:hAnsi="Arial"/>
          <w:sz w:val="17"/>
          <w:szCs w:val="17"/>
          <w:color w:val="auto"/>
        </w:rPr>
        <w:t>It is hereby agreed that the total area of the leased premises, as defined above, is 1,781.50 square meters (gross) in total, along with the parking spaces as described above, and that the said area is divided as follows:</w:t>
      </w:r>
    </w:p>
    <w:p>
      <w:pPr>
        <w:spacing w:after="0" w:line="190" w:lineRule="exact"/>
        <w:rPr>
          <w:rFonts w:ascii="Arial" w:cs="Arial" w:eastAsia="Arial" w:hAnsi="Arial"/>
          <w:sz w:val="17"/>
          <w:szCs w:val="17"/>
          <w:color w:val="auto"/>
        </w:rPr>
      </w:pPr>
    </w:p>
    <w:p>
      <w:pPr>
        <w:jc w:val="both"/>
        <w:ind w:left="1077" w:hanging="460"/>
        <w:spacing w:after="0" w:line="265" w:lineRule="auto"/>
        <w:tabs>
          <w:tab w:leader="none" w:pos="1077" w:val="left"/>
        </w:tabs>
        <w:numPr>
          <w:ilvl w:val="1"/>
          <w:numId w:val="556"/>
        </w:numPr>
        <w:rPr>
          <w:rFonts w:ascii="Arial" w:cs="Arial" w:eastAsia="Arial" w:hAnsi="Arial"/>
          <w:sz w:val="17"/>
          <w:szCs w:val="17"/>
          <w:color w:val="auto"/>
        </w:rPr>
      </w:pPr>
      <w:r>
        <w:rPr>
          <w:rFonts w:ascii="Arial" w:cs="Arial" w:eastAsia="Arial" w:hAnsi="Arial"/>
          <w:sz w:val="17"/>
          <w:szCs w:val="17"/>
          <w:color w:val="auto"/>
        </w:rPr>
        <w:t xml:space="preserve">751 square meters (gross) on the 6th floor of the building’s new wing, as outlined in color and marked with the letter A and with the words “the Company’s Offices,” on the blueprint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agreement, and which the Lessee leases from the Lessor pursuant to the main agreement (hereinafter: “the New Wing Area”);</w:t>
      </w:r>
    </w:p>
    <w:p>
      <w:pPr>
        <w:spacing w:after="0" w:line="201" w:lineRule="exact"/>
        <w:rPr>
          <w:rFonts w:ascii="Arial" w:cs="Arial" w:eastAsia="Arial" w:hAnsi="Arial"/>
          <w:sz w:val="17"/>
          <w:szCs w:val="17"/>
          <w:color w:val="auto"/>
        </w:rPr>
      </w:pPr>
    </w:p>
    <w:p>
      <w:pPr>
        <w:jc w:val="both"/>
        <w:ind w:left="1077" w:hanging="460"/>
        <w:spacing w:after="0" w:line="265" w:lineRule="auto"/>
        <w:tabs>
          <w:tab w:leader="none" w:pos="1077" w:val="left"/>
        </w:tabs>
        <w:numPr>
          <w:ilvl w:val="1"/>
          <w:numId w:val="556"/>
        </w:numPr>
        <w:rPr>
          <w:rFonts w:ascii="Arial" w:cs="Arial" w:eastAsia="Arial" w:hAnsi="Arial"/>
          <w:sz w:val="17"/>
          <w:szCs w:val="17"/>
          <w:color w:val="auto"/>
        </w:rPr>
      </w:pPr>
      <w:r>
        <w:rPr>
          <w:rFonts w:ascii="Arial" w:cs="Arial" w:eastAsia="Arial" w:hAnsi="Arial"/>
          <w:sz w:val="17"/>
          <w:szCs w:val="17"/>
          <w:color w:val="auto"/>
        </w:rPr>
        <w:t xml:space="preserve">623 square meters (gross) on the 6th floor of the building’s old wing, as outlined in color and marked with the letter B and with the words “the Company’s Laboratories,” on the blueprint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agreement, and which the Lessee leases from the Lessor pursuant to the main agreement (hereinafter: “the Old Wing Area”);</w:t>
      </w:r>
    </w:p>
    <w:p>
      <w:pPr>
        <w:spacing w:after="0" w:line="201" w:lineRule="exact"/>
        <w:rPr>
          <w:rFonts w:ascii="Arial" w:cs="Arial" w:eastAsia="Arial" w:hAnsi="Arial"/>
          <w:sz w:val="17"/>
          <w:szCs w:val="17"/>
          <w:color w:val="auto"/>
        </w:rPr>
      </w:pPr>
    </w:p>
    <w:p>
      <w:pPr>
        <w:jc w:val="both"/>
        <w:ind w:left="1077" w:hanging="460"/>
        <w:spacing w:after="0" w:line="265" w:lineRule="auto"/>
        <w:tabs>
          <w:tab w:leader="none" w:pos="1077" w:val="left"/>
        </w:tabs>
        <w:numPr>
          <w:ilvl w:val="1"/>
          <w:numId w:val="556"/>
        </w:numPr>
        <w:rPr>
          <w:rFonts w:ascii="Arial" w:cs="Arial" w:eastAsia="Arial" w:hAnsi="Arial"/>
          <w:sz w:val="17"/>
          <w:szCs w:val="17"/>
          <w:color w:val="auto"/>
        </w:rPr>
      </w:pPr>
      <w:r>
        <w:rPr>
          <w:rFonts w:ascii="Arial" w:cs="Arial" w:eastAsia="Arial" w:hAnsi="Arial"/>
          <w:sz w:val="17"/>
          <w:szCs w:val="17"/>
          <w:color w:val="auto"/>
        </w:rPr>
        <w:t xml:space="preserve">31 square meters (gross) on the 6th floor of the building’s Old Wing, as outlined in color and marked with the letter C and with the words “Machinery Area” in the blueprint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agreement, and which the Lessee leases from the Lessor pursuant to the main agreement (hereinafter: “the Machinery Area”);</w:t>
      </w:r>
    </w:p>
    <w:p>
      <w:pPr>
        <w:spacing w:after="0" w:line="201" w:lineRule="exact"/>
        <w:rPr>
          <w:rFonts w:ascii="Arial" w:cs="Arial" w:eastAsia="Arial" w:hAnsi="Arial"/>
          <w:sz w:val="17"/>
          <w:szCs w:val="17"/>
          <w:color w:val="auto"/>
        </w:rPr>
      </w:pPr>
    </w:p>
    <w:p>
      <w:pPr>
        <w:jc w:val="both"/>
        <w:ind w:left="1077" w:hanging="460"/>
        <w:spacing w:after="0" w:line="289" w:lineRule="auto"/>
        <w:tabs>
          <w:tab w:leader="none" w:pos="1077" w:val="left"/>
        </w:tabs>
        <w:numPr>
          <w:ilvl w:val="1"/>
          <w:numId w:val="556"/>
        </w:numPr>
        <w:rPr>
          <w:rFonts w:ascii="Arial" w:cs="Arial" w:eastAsia="Arial" w:hAnsi="Arial"/>
          <w:sz w:val="16"/>
          <w:szCs w:val="16"/>
          <w:color w:val="auto"/>
        </w:rPr>
      </w:pPr>
      <w:r>
        <w:rPr>
          <w:rFonts w:ascii="Arial" w:cs="Arial" w:eastAsia="Arial" w:hAnsi="Arial"/>
          <w:sz w:val="16"/>
          <w:szCs w:val="16"/>
          <w:color w:val="auto"/>
        </w:rPr>
        <w:t xml:space="preserve">14 square meters (gross) of a gallery area on the 6th floor of the building’s New Wing, which, pursuant to the main agreement, are designated for the placement of machinery, as outlined in color and marked with the letter “D” and with the word “Gallery” on the blueprint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agreement, and which the Lessee leases from the Lessor pursuant to the main agreement (hereinafter: “the Gallery Area”);</w:t>
      </w:r>
    </w:p>
    <w:p>
      <w:pPr>
        <w:spacing w:after="0" w:line="184" w:lineRule="exact"/>
        <w:rPr>
          <w:rFonts w:ascii="Arial" w:cs="Arial" w:eastAsia="Arial" w:hAnsi="Arial"/>
          <w:sz w:val="16"/>
          <w:szCs w:val="16"/>
          <w:color w:val="auto"/>
        </w:rPr>
      </w:pPr>
    </w:p>
    <w:p>
      <w:pPr>
        <w:jc w:val="both"/>
        <w:ind w:left="1077" w:hanging="460"/>
        <w:spacing w:after="0" w:line="265" w:lineRule="auto"/>
        <w:tabs>
          <w:tab w:leader="none" w:pos="1077" w:val="left"/>
        </w:tabs>
        <w:numPr>
          <w:ilvl w:val="1"/>
          <w:numId w:val="556"/>
        </w:numPr>
        <w:rPr>
          <w:rFonts w:ascii="Arial" w:cs="Arial" w:eastAsia="Arial" w:hAnsi="Arial"/>
          <w:sz w:val="17"/>
          <w:szCs w:val="17"/>
          <w:color w:val="auto"/>
        </w:rPr>
      </w:pPr>
      <w:r>
        <w:rPr>
          <w:rFonts w:ascii="Arial" w:cs="Arial" w:eastAsia="Arial" w:hAnsi="Arial"/>
          <w:sz w:val="17"/>
          <w:szCs w:val="17"/>
          <w:color w:val="auto"/>
        </w:rPr>
        <w:t xml:space="preserve">225 square meters (gross) on the 6th floor of the building’s New Wing, as outlined in color and marked with the letter “E” on the blueprint attached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agreement, and which the Lessee leases from the Lessor pursuant to the amendment and supplemental agreement (hereinafter: “the Additional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1" w:right="239" w:bottom="1440" w:gutter="0" w:footer="0" w:header="0"/>
        </w:sectPr>
      </w:pPr>
    </w:p>
    <w:bookmarkStart w:id="635" w:name="page636"/>
    <w:bookmarkEnd w:id="635"/>
    <w:p>
      <w:pPr>
        <w:jc w:val="both"/>
        <w:ind w:left="1077" w:hanging="460"/>
        <w:spacing w:after="0" w:line="289" w:lineRule="auto"/>
        <w:tabs>
          <w:tab w:leader="none" w:pos="1077" w:val="left"/>
        </w:tabs>
        <w:numPr>
          <w:ilvl w:val="1"/>
          <w:numId w:val="557"/>
        </w:numPr>
        <w:rPr>
          <w:rFonts w:ascii="Arial" w:cs="Arial" w:eastAsia="Arial" w:hAnsi="Arial"/>
          <w:sz w:val="16"/>
          <w:szCs w:val="16"/>
          <w:color w:val="auto"/>
        </w:rPr>
      </w:pPr>
      <w:r>
        <w:rPr>
          <w:rFonts w:ascii="Arial" w:cs="Arial" w:eastAsia="Arial" w:hAnsi="Arial"/>
          <w:sz w:val="16"/>
          <w:szCs w:val="16"/>
          <w:color w:val="auto"/>
        </w:rPr>
        <w:t xml:space="preserve">70 square meters (gross) on the 6th floor of the building’s New Wing, as outlined in color and marked with the letter “F” on the blueprint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agreement (hereinafter: “the Optional Area”), and which the Lessee leases from the Lessor pursuant to section 4(a) of the amendment and supplemental agreement, and subject to the following provisions of this agreement relating to the size of the optional area;</w:t>
      </w:r>
    </w:p>
    <w:p>
      <w:pPr>
        <w:spacing w:after="0" w:line="184" w:lineRule="exact"/>
        <w:rPr>
          <w:rFonts w:ascii="Arial" w:cs="Arial" w:eastAsia="Arial" w:hAnsi="Arial"/>
          <w:sz w:val="16"/>
          <w:szCs w:val="16"/>
          <w:color w:val="auto"/>
        </w:rPr>
      </w:pPr>
    </w:p>
    <w:p>
      <w:pPr>
        <w:jc w:val="both"/>
        <w:ind w:left="1077" w:hanging="460"/>
        <w:spacing w:after="0" w:line="301" w:lineRule="auto"/>
        <w:tabs>
          <w:tab w:leader="none" w:pos="1077" w:val="left"/>
        </w:tabs>
        <w:numPr>
          <w:ilvl w:val="1"/>
          <w:numId w:val="557"/>
        </w:numPr>
        <w:rPr>
          <w:rFonts w:ascii="Arial" w:cs="Arial" w:eastAsia="Arial" w:hAnsi="Arial"/>
          <w:sz w:val="15"/>
          <w:szCs w:val="15"/>
          <w:color w:val="auto"/>
        </w:rPr>
      </w:pPr>
      <w:r>
        <w:rPr>
          <w:rFonts w:ascii="Arial" w:cs="Arial" w:eastAsia="Arial" w:hAnsi="Arial"/>
          <w:sz w:val="15"/>
          <w:szCs w:val="15"/>
          <w:color w:val="auto"/>
        </w:rPr>
        <w:t xml:space="preserve">67.5 square meters (gross) on the 6th floor of the building’s New Wing, which are designated for storage only, as outlined in color and marked with the letter “G” and with the word “Storeroom” on the blueprint attached as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to this agreement (hereinafter: “the Storeroom Area”), and which the Lessee leases from the Lessor pursuant to the parties’ verbal agreement and subject to all the provisions and terms of this agreement; it is hereby noted that subject to the provisions and terms of section 4 below, the Lessee will in actuality pay for an area of only 40 square meters (gross) with regard to the storeroom area, despite the fact that in actuality the Lessee will use all of the storeroom area as described above in this section 2(g);</w:t>
      </w:r>
    </w:p>
    <w:p>
      <w:pPr>
        <w:spacing w:after="0" w:line="178" w:lineRule="exact"/>
        <w:rPr>
          <w:rFonts w:ascii="Arial" w:cs="Arial" w:eastAsia="Arial" w:hAnsi="Arial"/>
          <w:sz w:val="15"/>
          <w:szCs w:val="15"/>
          <w:color w:val="auto"/>
        </w:rPr>
      </w:pPr>
    </w:p>
    <w:p>
      <w:pPr>
        <w:jc w:val="both"/>
        <w:ind w:left="617" w:hanging="617"/>
        <w:spacing w:after="0" w:line="257" w:lineRule="auto"/>
        <w:tabs>
          <w:tab w:leader="none" w:pos="617" w:val="left"/>
        </w:tabs>
        <w:numPr>
          <w:ilvl w:val="0"/>
          <w:numId w:val="558"/>
        </w:numPr>
        <w:rPr>
          <w:rFonts w:ascii="Arial" w:cs="Arial" w:eastAsia="Arial" w:hAnsi="Arial"/>
          <w:sz w:val="17"/>
          <w:szCs w:val="17"/>
          <w:color w:val="auto"/>
        </w:rPr>
      </w:pPr>
      <w:r>
        <w:rPr>
          <w:rFonts w:ascii="Arial" w:cs="Arial" w:eastAsia="Arial" w:hAnsi="Arial"/>
          <w:sz w:val="17"/>
          <w:szCs w:val="17"/>
          <w:color w:val="auto"/>
        </w:rPr>
        <w:t>It is hereby noted that the Lessee has, since November 11, 2007, exercised its right of first refusal regarding the leasing of the Optional Area in the building – a right granted to the Lessee in section 4 of the amendment and supplemental agreement – and that on November 11, 2007, possession of the Optional Area was transferred to the Lessee. It is noted that pursuant to the amendment and supplemental agreement, the size of the Optional Area is 75 square meters (gross), and that nevertheless, the parties hereby agree that the area of the Optional Area is in actuality 70 square meters (gross) and that it is therefore hereby agreed that beginning on December 1, 2008, and from this date forward only, the area of the Optional Area will be updated so that it is 70 square meters (gross) (and not as stated in the amendment and supplemental agreement), and that this agreed area (70 square meters (gross)) is final and may not be disputed.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7257415" cy="209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36" w:name="page637"/>
    <w:bookmarkEnd w:id="636"/>
    <w:p>
      <w:pPr>
        <w:ind w:left="1157" w:hanging="1157"/>
        <w:spacing w:after="0" w:line="277" w:lineRule="auto"/>
        <w:tabs>
          <w:tab w:leader="none" w:pos="540" w:val="left"/>
        </w:tabs>
        <w:numPr>
          <w:ilvl w:val="0"/>
          <w:numId w:val="559"/>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6"/>
          <w:szCs w:val="16"/>
          <w:color w:val="auto"/>
        </w:rPr>
        <w:t>It is hereby agreed that the Lessee is leasing the storeroom area from the Lessor and 2 of the double parking spaces included in the leased premises as defined above in the preamble to this agreement (hereinafter, together: “the Storeroom and the Additional Double Parking Spaces”), beginning on April 1, 2008, and that beginning on the said date, the storeroom and the additional parking spaces will be automatically added to the definition of the leased premises pursuant to the main agreement and pursuant to the amendment and supplemental agreement (hereinafter, together: “the Agreements”), [and that they] constitute an integral part of the leased premises and that they are leased to the Lessee for the entire duration of the lease as stated in the agreements and in this agreement, for all intents and purposes.</w:t>
      </w:r>
    </w:p>
    <w:p>
      <w:pPr>
        <w:spacing w:after="0" w:line="192" w:lineRule="exact"/>
        <w:rPr>
          <w:rFonts w:ascii="Arial" w:cs="Arial" w:eastAsia="Arial" w:hAnsi="Arial"/>
          <w:sz w:val="17"/>
          <w:szCs w:val="17"/>
          <w:color w:val="auto"/>
        </w:rPr>
      </w:pPr>
    </w:p>
    <w:p>
      <w:pPr>
        <w:ind w:left="1217" w:hanging="613"/>
        <w:spacing w:after="0"/>
        <w:tabs>
          <w:tab w:leader="none" w:pos="1217" w:val="left"/>
        </w:tabs>
        <w:numPr>
          <w:ilvl w:val="1"/>
          <w:numId w:val="559"/>
        </w:numPr>
        <w:rPr>
          <w:rFonts w:ascii="Arial" w:cs="Arial" w:eastAsia="Arial" w:hAnsi="Arial"/>
          <w:sz w:val="15"/>
          <w:szCs w:val="15"/>
          <w:color w:val="auto"/>
        </w:rPr>
      </w:pPr>
      <w:r>
        <w:rPr>
          <w:rFonts w:ascii="Arial" w:cs="Arial" w:eastAsia="Arial" w:hAnsi="Arial"/>
          <w:sz w:val="15"/>
          <w:szCs w:val="15"/>
          <w:color w:val="auto"/>
        </w:rPr>
        <w:t>The storeroom area was delivered to the Lessee on the delivery date described above in this section 4, on an “as is” basis with regard to the said date</w:t>
      </w:r>
    </w:p>
    <w:p>
      <w:pPr>
        <w:spacing w:after="0" w:line="44" w:lineRule="exact"/>
        <w:rPr>
          <w:rFonts w:ascii="Arial" w:cs="Arial" w:eastAsia="Arial" w:hAnsi="Arial"/>
          <w:sz w:val="15"/>
          <w:szCs w:val="15"/>
          <w:color w:val="auto"/>
        </w:rPr>
      </w:pPr>
    </w:p>
    <w:p>
      <w:pPr>
        <w:jc w:val="both"/>
        <w:ind w:left="1217"/>
        <w:spacing w:after="0" w:line="255" w:lineRule="auto"/>
        <w:rPr>
          <w:rFonts w:ascii="Arial" w:cs="Arial" w:eastAsia="Arial" w:hAnsi="Arial"/>
          <w:sz w:val="15"/>
          <w:szCs w:val="15"/>
          <w:color w:val="auto"/>
        </w:rPr>
      </w:pPr>
      <w:r>
        <w:rPr>
          <w:rFonts w:ascii="Arial" w:cs="Arial" w:eastAsia="Arial" w:hAnsi="Arial"/>
          <w:sz w:val="17"/>
          <w:szCs w:val="17"/>
          <w:color w:val="auto"/>
        </w:rPr>
        <w:t>– i.e., in shell condition and including only storeroom lighting. The Lessee may, at its expense only and subject to the provisions and terms of the agreements with regard to the execution of work and/or modifications (including section 14 of the main agreement), carry out any additional work in the storeroom area, as it requires in order to adapt the storeroom to its needs. To remove all doubt, it is noted that notwithstanding any other provision, the Lessor has not in any event paid and/or participated and will not pay and/or participate in any cost whatsoever in connection with any adaptation work whatsoever in the storeroom.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7257415" cy="209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37" w:name="page638"/>
    <w:bookmarkEnd w:id="637"/>
    <w:p>
      <w:pPr>
        <w:ind w:left="613" w:hanging="613"/>
        <w:spacing w:after="0"/>
        <w:tabs>
          <w:tab w:leader="none" w:pos="613" w:val="left"/>
        </w:tabs>
        <w:numPr>
          <w:ilvl w:val="0"/>
          <w:numId w:val="560"/>
        </w:numPr>
        <w:rPr>
          <w:rFonts w:ascii="Arial" w:cs="Arial" w:eastAsia="Arial" w:hAnsi="Arial"/>
          <w:sz w:val="17"/>
          <w:szCs w:val="17"/>
          <w:color w:val="auto"/>
        </w:rPr>
      </w:pPr>
      <w:r>
        <w:rPr>
          <w:rFonts w:ascii="Arial" w:cs="Arial" w:eastAsia="Arial" w:hAnsi="Arial"/>
          <w:sz w:val="17"/>
          <w:szCs w:val="17"/>
          <w:color w:val="auto"/>
        </w:rPr>
        <w:t>The Lessee is leasing the storeroom as an area that will be used for storage purposes only.</w:t>
      </w:r>
    </w:p>
    <w:p>
      <w:pPr>
        <w:spacing w:after="0" w:line="241" w:lineRule="exact"/>
        <w:rPr>
          <w:rFonts w:ascii="Arial" w:cs="Arial" w:eastAsia="Arial" w:hAnsi="Arial"/>
          <w:sz w:val="17"/>
          <w:szCs w:val="17"/>
          <w:color w:val="auto"/>
        </w:rPr>
      </w:pPr>
    </w:p>
    <w:p>
      <w:pPr>
        <w:jc w:val="both"/>
        <w:ind w:left="613" w:hanging="613"/>
        <w:spacing w:after="0" w:line="275" w:lineRule="auto"/>
        <w:tabs>
          <w:tab w:leader="none" w:pos="613" w:val="left"/>
        </w:tabs>
        <w:numPr>
          <w:ilvl w:val="0"/>
          <w:numId w:val="560"/>
        </w:numPr>
        <w:rPr>
          <w:rFonts w:ascii="Arial" w:cs="Arial" w:eastAsia="Arial" w:hAnsi="Arial"/>
          <w:sz w:val="16"/>
          <w:szCs w:val="16"/>
          <w:color w:val="auto"/>
        </w:rPr>
      </w:pPr>
      <w:r>
        <w:rPr>
          <w:rFonts w:ascii="Arial" w:cs="Arial" w:eastAsia="Arial" w:hAnsi="Arial"/>
          <w:sz w:val="16"/>
          <w:szCs w:val="16"/>
          <w:color w:val="auto"/>
        </w:rPr>
        <w:t>It is agreed that the Lessee will, with regard to the leasing of the storeroom area as described above, and for the lease purpose described in section 4(c) above, pay – together with and in addition to any payment imposed on the Lessee with respect to the leasing of the leased premises pursuant to the provisions of the agreements – rental payments and maintenance fees (hereinafter, also: “Maintenance Fees”) in a total amount of $US 5 per square meter (gross) of the storeroom area, with the addition of all payments that the Lessee is required to pay pursuant to the agreements for leasing the leased premises pursuant to the provisions of the agreements and of this agreement, including municipal real property tax. It is also agreed that subject to the leasing of the storeroom area in accordance with all of the provisions and terms of this agreement, the Lessee will pay only the rental payments and maintenance fees for an area of only 40 square meters (gross).</w:t>
      </w:r>
    </w:p>
    <w:p>
      <w:pPr>
        <w:spacing w:after="0" w:line="196" w:lineRule="exact"/>
        <w:rPr>
          <w:rFonts w:ascii="Arial" w:cs="Arial" w:eastAsia="Arial" w:hAnsi="Arial"/>
          <w:sz w:val="16"/>
          <w:szCs w:val="16"/>
          <w:color w:val="auto"/>
        </w:rPr>
      </w:pPr>
    </w:p>
    <w:p>
      <w:pPr>
        <w:jc w:val="both"/>
        <w:ind w:left="613" w:hanging="613"/>
        <w:spacing w:after="0" w:line="259" w:lineRule="auto"/>
        <w:tabs>
          <w:tab w:leader="none" w:pos="613" w:val="left"/>
        </w:tabs>
        <w:numPr>
          <w:ilvl w:val="0"/>
          <w:numId w:val="560"/>
        </w:numPr>
        <w:rPr>
          <w:rFonts w:ascii="Arial" w:cs="Arial" w:eastAsia="Arial" w:hAnsi="Arial"/>
          <w:sz w:val="17"/>
          <w:szCs w:val="17"/>
          <w:color w:val="auto"/>
        </w:rPr>
      </w:pPr>
      <w:r>
        <w:rPr>
          <w:rFonts w:ascii="Arial" w:cs="Arial" w:eastAsia="Arial" w:hAnsi="Arial"/>
          <w:sz w:val="17"/>
          <w:szCs w:val="17"/>
          <w:color w:val="auto"/>
        </w:rPr>
        <w:t>In addition, it is hereby expressly agreed that if the Lessee makes any use of the storeroom area or of any part thereof which is other than as described in section 4(c) above, the Lessee – beginning at the time that the use is so changed – will pay to the Lessor, with respect to the leasing of the entire storeroom area (i.e., for 67.50 square meters (gross)), rental payments and maintenance fees in the amount of the rental payments and maintenance fees that apply to the leasing of the New Wing Area in accordance with the agreements (instead of the rental payments and maintenance fees described in section 4(d) above).</w:t>
      </w:r>
    </w:p>
    <w:p>
      <w:pPr>
        <w:spacing w:after="0" w:line="205" w:lineRule="exact"/>
        <w:rPr>
          <w:rFonts w:ascii="Arial" w:cs="Arial" w:eastAsia="Arial" w:hAnsi="Arial"/>
          <w:sz w:val="17"/>
          <w:szCs w:val="17"/>
          <w:color w:val="auto"/>
        </w:rPr>
      </w:pPr>
    </w:p>
    <w:p>
      <w:pPr>
        <w:jc w:val="both"/>
        <w:ind w:left="613" w:hanging="613"/>
        <w:spacing w:after="0" w:line="265" w:lineRule="auto"/>
        <w:tabs>
          <w:tab w:leader="none" w:pos="613" w:val="left"/>
        </w:tabs>
        <w:numPr>
          <w:ilvl w:val="0"/>
          <w:numId w:val="560"/>
        </w:numPr>
        <w:rPr>
          <w:rFonts w:ascii="Arial" w:cs="Arial" w:eastAsia="Arial" w:hAnsi="Arial"/>
          <w:sz w:val="17"/>
          <w:szCs w:val="17"/>
          <w:color w:val="auto"/>
        </w:rPr>
      </w:pPr>
      <w:r>
        <w:rPr>
          <w:rFonts w:ascii="Arial" w:cs="Arial" w:eastAsia="Arial" w:hAnsi="Arial"/>
          <w:sz w:val="17"/>
          <w:szCs w:val="17"/>
          <w:color w:val="auto"/>
        </w:rPr>
        <w:t>It is also agreed that with respect to the leasing of the two additional double parking spaces (as described in section 4(a) above), the Lessee will pay to the Lessor any rental payments, management fees and all other payments imposed on the Lessee with regard to the leasing of parking spaces pursuant to the agreements– in full and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378460</wp:posOffset>
            </wp:positionV>
            <wp:extent cx="7257415" cy="209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13"/>
          </w:cols>
          <w:pgMar w:left="847" w:top="500" w:right="239" w:bottom="1440" w:gutter="0" w:footer="0" w:header="0"/>
        </w:sectPr>
      </w:pPr>
    </w:p>
    <w:bookmarkStart w:id="638" w:name="page639"/>
    <w:bookmarkEnd w:id="638"/>
    <w:p>
      <w:pPr>
        <w:jc w:val="both"/>
        <w:ind w:left="1217" w:hanging="613"/>
        <w:spacing w:after="0" w:line="259" w:lineRule="auto"/>
        <w:tabs>
          <w:tab w:leader="none" w:pos="1217" w:val="left"/>
        </w:tabs>
        <w:numPr>
          <w:ilvl w:val="1"/>
          <w:numId w:val="561"/>
        </w:numPr>
        <w:rPr>
          <w:rFonts w:ascii="Arial" w:cs="Arial" w:eastAsia="Arial" w:hAnsi="Arial"/>
          <w:sz w:val="17"/>
          <w:szCs w:val="17"/>
          <w:color w:val="auto"/>
        </w:rPr>
      </w:pPr>
      <w:r>
        <w:rPr>
          <w:rFonts w:ascii="Arial" w:cs="Arial" w:eastAsia="Arial" w:hAnsi="Arial"/>
          <w:sz w:val="17"/>
          <w:szCs w:val="17"/>
          <w:color w:val="auto"/>
        </w:rPr>
        <w:t>At the time of the signing of this agreement, the Lessee will pay to the Lessor the rental payments and maintenance fees for the leasing of the storeroom and the additional double parking spaces, as described above, for the lease period from April 1 2008 through December 31, 2008. It is also agreed that beginning on January 1, 2009, payment of the rental payments and maintenance fees for the storeroom and the additional double parking spaces will be added to payment of the rental payments for the other areas and parking spaces in the leased premises, on the first day of each calendar quarter, as provided in the agreements.</w:t>
      </w:r>
    </w:p>
    <w:p>
      <w:pPr>
        <w:spacing w:after="0" w:line="205" w:lineRule="exact"/>
        <w:rPr>
          <w:rFonts w:ascii="Arial" w:cs="Arial" w:eastAsia="Arial" w:hAnsi="Arial"/>
          <w:sz w:val="17"/>
          <w:szCs w:val="17"/>
          <w:color w:val="auto"/>
        </w:rPr>
      </w:pPr>
    </w:p>
    <w:p>
      <w:pPr>
        <w:ind w:left="1217" w:hanging="613"/>
        <w:spacing w:after="0" w:line="278" w:lineRule="auto"/>
        <w:tabs>
          <w:tab w:leader="none" w:pos="1217" w:val="left"/>
        </w:tabs>
        <w:numPr>
          <w:ilvl w:val="1"/>
          <w:numId w:val="561"/>
        </w:numPr>
        <w:rPr>
          <w:rFonts w:ascii="Arial" w:cs="Arial" w:eastAsia="Arial" w:hAnsi="Arial"/>
          <w:sz w:val="17"/>
          <w:szCs w:val="17"/>
          <w:color w:val="auto"/>
        </w:rPr>
      </w:pPr>
      <w:r>
        <w:rPr>
          <w:rFonts w:ascii="Arial" w:cs="Arial" w:eastAsia="Arial" w:hAnsi="Arial"/>
          <w:sz w:val="17"/>
          <w:szCs w:val="17"/>
          <w:color w:val="auto"/>
        </w:rPr>
        <w:t>It is noted that the Lessee is required to purchase and expand the insurance policies that are required pursuant to the agreements, such that they will apply to all of the area of the leased premises, including the storeroom and the additional double parking spaces.</w:t>
      </w:r>
    </w:p>
    <w:p>
      <w:pPr>
        <w:spacing w:after="0" w:line="190" w:lineRule="exact"/>
        <w:rPr>
          <w:rFonts w:ascii="Arial" w:cs="Arial" w:eastAsia="Arial" w:hAnsi="Arial"/>
          <w:sz w:val="17"/>
          <w:szCs w:val="17"/>
          <w:color w:val="auto"/>
        </w:rPr>
      </w:pPr>
    </w:p>
    <w:p>
      <w:pPr>
        <w:jc w:val="both"/>
        <w:ind w:left="617" w:hanging="617"/>
        <w:spacing w:after="0" w:line="265" w:lineRule="auto"/>
        <w:tabs>
          <w:tab w:leader="none" w:pos="617" w:val="left"/>
        </w:tabs>
        <w:numPr>
          <w:ilvl w:val="0"/>
          <w:numId w:val="562"/>
        </w:numPr>
        <w:rPr>
          <w:rFonts w:ascii="Arial" w:cs="Arial" w:eastAsia="Arial" w:hAnsi="Arial"/>
          <w:sz w:val="17"/>
          <w:szCs w:val="17"/>
          <w:color w:val="auto"/>
        </w:rPr>
      </w:pPr>
      <w:r>
        <w:rPr>
          <w:rFonts w:ascii="Arial" w:cs="Arial" w:eastAsia="Arial" w:hAnsi="Arial"/>
          <w:sz w:val="17"/>
          <w:szCs w:val="17"/>
          <w:color w:val="auto"/>
        </w:rPr>
        <w:t>In order to remove doubt, it is hereby noted that the Lessee has exercised in full any right of [first] refusal and/or option to rent Additional Areas and/or parking spaces which were granted to it pursuant to the agreements, and that the Lessee has no additional right of first refusal or option for the rental of any Additional Areas whatsoever and/or of any additional parking spaces whatsoever in the building.</w:t>
      </w:r>
    </w:p>
    <w:p>
      <w:pPr>
        <w:spacing w:after="0" w:line="201" w:lineRule="exact"/>
        <w:rPr>
          <w:rFonts w:ascii="Arial" w:cs="Arial" w:eastAsia="Arial" w:hAnsi="Arial"/>
          <w:sz w:val="17"/>
          <w:szCs w:val="17"/>
          <w:color w:val="auto"/>
        </w:rPr>
      </w:pPr>
    </w:p>
    <w:p>
      <w:pPr>
        <w:jc w:val="both"/>
        <w:ind w:left="617" w:hanging="617"/>
        <w:spacing w:after="0" w:line="265" w:lineRule="auto"/>
        <w:tabs>
          <w:tab w:leader="none" w:pos="617" w:val="left"/>
        </w:tabs>
        <w:numPr>
          <w:ilvl w:val="0"/>
          <w:numId w:val="562"/>
        </w:numPr>
        <w:rPr>
          <w:rFonts w:ascii="Arial" w:cs="Arial" w:eastAsia="Arial" w:hAnsi="Arial"/>
          <w:sz w:val="17"/>
          <w:szCs w:val="17"/>
          <w:color w:val="auto"/>
        </w:rPr>
      </w:pPr>
      <w:r>
        <w:rPr>
          <w:rFonts w:ascii="Arial" w:cs="Arial" w:eastAsia="Arial" w:hAnsi="Arial"/>
          <w:sz w:val="17"/>
          <w:szCs w:val="17"/>
          <w:color w:val="auto"/>
        </w:rPr>
        <w:t>The parties hereby agree regarding the Lessee’s having exercised the first extension period, as provided in the amendment and supplemental agreement, such that the leasing of the entire leased premises will be extended for a period commencing on December 16, 2008 and concluding on December 15, 2010 (hereinafter: “the First Extension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39" w:name="page640"/>
    <w:bookmarkEnd w:id="639"/>
    <w:p>
      <w:pPr>
        <w:jc w:val="both"/>
        <w:ind w:left="597"/>
        <w:spacing w:after="0" w:line="265" w:lineRule="auto"/>
        <w:rPr>
          <w:sz w:val="20"/>
          <w:szCs w:val="20"/>
          <w:color w:val="auto"/>
        </w:rPr>
      </w:pPr>
      <w:r>
        <w:rPr>
          <w:rFonts w:ascii="Arial" w:cs="Arial" w:eastAsia="Arial" w:hAnsi="Arial"/>
          <w:sz w:val="17"/>
          <w:szCs w:val="17"/>
          <w:color w:val="auto"/>
        </w:rPr>
        <w:t>During the first extension period, the Lessee will pay to the Lessor the rental payments in accordance with all provisions of the agreements and of this agreement (hereinafter, together: “the Lease Agreement”) and any other payments imposed on the Lessee pursuant to the lease agreement in connection with the leasing of the leased premises, including maintenance fees, municipal property taxes and electricity.</w:t>
      </w:r>
    </w:p>
    <w:p>
      <w:pPr>
        <w:spacing w:after="0" w:line="201" w:lineRule="exact"/>
        <w:rPr>
          <w:sz w:val="20"/>
          <w:szCs w:val="20"/>
          <w:color w:val="auto"/>
        </w:rPr>
      </w:pPr>
    </w:p>
    <w:p>
      <w:pPr>
        <w:jc w:val="both"/>
        <w:ind w:left="617" w:hanging="617"/>
        <w:spacing w:after="0" w:line="291" w:lineRule="auto"/>
        <w:tabs>
          <w:tab w:leader="none" w:pos="617" w:val="left"/>
        </w:tabs>
        <w:numPr>
          <w:ilvl w:val="0"/>
          <w:numId w:val="563"/>
        </w:numPr>
        <w:rPr>
          <w:rFonts w:ascii="Arial" w:cs="Arial" w:eastAsia="Arial" w:hAnsi="Arial"/>
          <w:sz w:val="15"/>
          <w:szCs w:val="15"/>
          <w:color w:val="auto"/>
        </w:rPr>
      </w:pPr>
      <w:r>
        <w:rPr>
          <w:rFonts w:ascii="Arial" w:cs="Arial" w:eastAsia="Arial" w:hAnsi="Arial"/>
          <w:sz w:val="15"/>
          <w:szCs w:val="15"/>
          <w:color w:val="auto"/>
        </w:rPr>
        <w:t>Additionally, at the time of the signing of this agreement, the Lessee will give the Lessor a written confirmation from the bank regarding the extension of the collateral (the bank guarantees) which had been delivered to the Lessor with regard to the leasing of the leased premises, such extension to be through March 15, 2011, and by one month prior to the commencement of the first extension period, the Lessee will give the Lessor a written confirmation from the</w:t>
      </w:r>
    </w:p>
    <w:p>
      <w:pPr>
        <w:spacing w:after="0" w:line="1" w:lineRule="exact"/>
        <w:rPr>
          <w:sz w:val="20"/>
          <w:szCs w:val="20"/>
          <w:color w:val="auto"/>
        </w:rPr>
      </w:pPr>
    </w:p>
    <w:p>
      <w:pPr>
        <w:jc w:val="both"/>
        <w:ind w:left="617"/>
        <w:spacing w:after="0" w:line="265" w:lineRule="auto"/>
        <w:rPr>
          <w:sz w:val="20"/>
          <w:szCs w:val="20"/>
          <w:color w:val="auto"/>
        </w:rPr>
      </w:pPr>
      <w:r>
        <w:rPr>
          <w:rFonts w:ascii="Arial" w:cs="Arial" w:eastAsia="Arial" w:hAnsi="Arial"/>
          <w:sz w:val="17"/>
          <w:szCs w:val="17"/>
          <w:color w:val="auto"/>
        </w:rPr>
        <w:t>Lessee’s insurance company regarding the expansion, renewal and extension of the various insurance policies that the Lessee undertook to arrange as provided in section 17 of the main agreement, for the first extension period and with regard to the entire leased premises.</w:t>
      </w:r>
    </w:p>
    <w:p>
      <w:pPr>
        <w:spacing w:after="0" w:line="201" w:lineRule="exact"/>
        <w:rPr>
          <w:sz w:val="20"/>
          <w:szCs w:val="20"/>
          <w:color w:val="auto"/>
        </w:rPr>
      </w:pPr>
    </w:p>
    <w:p>
      <w:pPr>
        <w:jc w:val="both"/>
        <w:ind w:left="597"/>
        <w:spacing w:after="0" w:line="265" w:lineRule="auto"/>
        <w:rPr>
          <w:sz w:val="20"/>
          <w:szCs w:val="20"/>
          <w:color w:val="auto"/>
        </w:rPr>
      </w:pPr>
      <w:r>
        <w:rPr>
          <w:rFonts w:ascii="Arial" w:cs="Arial" w:eastAsia="Arial" w:hAnsi="Arial"/>
          <w:sz w:val="17"/>
          <w:szCs w:val="17"/>
          <w:color w:val="auto"/>
        </w:rPr>
        <w:t>It is also hereby noted that beginning on January 1, 2009, the invoice that the Lessor will issue to the Lessee with regard to the payment of the rental payments will consolidate the account for the 1,669 square meters (gross) of the leased premises’ area – i.e., the account for the leased premises’ area excluding the Machinery Area, the Storeroom Area, and the Gallery Area in the leased premises.</w:t>
      </w:r>
    </w:p>
    <w:p>
      <w:pPr>
        <w:spacing w:after="0" w:line="201" w:lineRule="exact"/>
        <w:rPr>
          <w:sz w:val="20"/>
          <w:szCs w:val="20"/>
          <w:color w:val="auto"/>
        </w:rPr>
      </w:pPr>
    </w:p>
    <w:p>
      <w:pPr>
        <w:jc w:val="both"/>
        <w:ind w:left="617" w:hanging="617"/>
        <w:spacing w:after="0" w:line="265" w:lineRule="auto"/>
        <w:tabs>
          <w:tab w:leader="none" w:pos="617" w:val="left"/>
        </w:tabs>
        <w:numPr>
          <w:ilvl w:val="0"/>
          <w:numId w:val="564"/>
        </w:numPr>
        <w:rPr>
          <w:rFonts w:ascii="Arial" w:cs="Arial" w:eastAsia="Arial" w:hAnsi="Arial"/>
          <w:sz w:val="17"/>
          <w:szCs w:val="17"/>
          <w:color w:val="auto"/>
        </w:rPr>
      </w:pPr>
      <w:r>
        <w:rPr>
          <w:rFonts w:ascii="Arial" w:cs="Arial" w:eastAsia="Arial" w:hAnsi="Arial"/>
          <w:sz w:val="17"/>
          <w:szCs w:val="17"/>
          <w:color w:val="auto"/>
        </w:rPr>
        <w:t>The other provisions of the agreements remain unchanged. The parties expressly agree that during the current lease period and the first extension period, the agreements and all of their provisions will continue to apply to the parties and to the leasing of the leased premises, with the necessary changes, and subject to all the terms and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7415" cy="209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1" w:right="239" w:bottom="1440" w:gutter="0" w:footer="0" w:header="0"/>
        </w:sectPr>
      </w:pPr>
    </w:p>
    <w:bookmarkStart w:id="640" w:name="page641"/>
    <w:bookmarkEnd w:id="640"/>
    <w:tbl>
      <w:tblPr>
        <w:tblLayout w:type="fixed"/>
        <w:tblInd w:w="0" w:type="dxa"/>
        <w:tblCellMar>
          <w:top w:w="0" w:type="dxa"/>
          <w:left w:w="0" w:type="dxa"/>
          <w:bottom w:w="0" w:type="dxa"/>
          <w:right w:w="0" w:type="dxa"/>
        </w:tblCellMar>
      </w:tblPr>
      <w:tr>
        <w:trPr>
          <w:trHeight w:val="217"/>
        </w:trPr>
        <w:tc>
          <w:tcPr>
            <w:tcW w:w="5380" w:type="dxa"/>
            <w:vAlign w:val="bottom"/>
          </w:tcPr>
          <w:p>
            <w:pPr>
              <w:ind w:left="600"/>
              <w:spacing w:after="0"/>
              <w:rPr>
                <w:sz w:val="20"/>
                <w:szCs w:val="20"/>
                <w:color w:val="auto"/>
              </w:rPr>
            </w:pPr>
            <w:r>
              <w:rPr>
                <w:rFonts w:ascii="Arial" w:cs="Arial" w:eastAsia="Arial" w:hAnsi="Arial"/>
                <w:sz w:val="17"/>
                <w:szCs w:val="17"/>
                <w:color w:val="auto"/>
              </w:rPr>
              <w:t>And in witness thereof we have signed:</w:t>
            </w: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380" w:type="dxa"/>
            <w:vAlign w:val="bottom"/>
          </w:tcPr>
          <w:p>
            <w:pPr>
              <w:jc w:val="right"/>
              <w:ind w:right="4654"/>
              <w:spacing w:after="0"/>
              <w:rPr>
                <w:sz w:val="20"/>
                <w:szCs w:val="20"/>
                <w:color w:val="auto"/>
              </w:rPr>
            </w:pPr>
            <w:r>
              <w:rPr>
                <w:rFonts w:ascii="Arial" w:cs="Arial" w:eastAsia="Arial" w:hAnsi="Arial"/>
                <w:sz w:val="17"/>
                <w:szCs w:val="17"/>
                <w:color w:val="auto"/>
              </w:rPr>
              <w:t>(-)</w:t>
            </w:r>
          </w:p>
        </w:tc>
        <w:tc>
          <w:tcPr>
            <w:tcW w:w="6040" w:type="dxa"/>
            <w:vAlign w:val="bottom"/>
            <w:gridSpan w:val="2"/>
          </w:tcPr>
          <w:p>
            <w:pPr>
              <w:ind w:left="680"/>
              <w:spacing w:after="0"/>
              <w:rPr>
                <w:sz w:val="20"/>
                <w:szCs w:val="20"/>
                <w:color w:val="auto"/>
              </w:rPr>
            </w:pPr>
            <w:r>
              <w:rPr>
                <w:rFonts w:ascii="Arial" w:cs="Arial" w:eastAsia="Arial" w:hAnsi="Arial"/>
                <w:sz w:val="17"/>
                <w:szCs w:val="17"/>
                <w:b w:val="1"/>
                <w:bCs w:val="1"/>
                <w:color w:val="auto"/>
              </w:rPr>
              <w:t>/s/ YURI SHOSHAN  /s/ MORRIS LASTER</w:t>
            </w:r>
          </w:p>
        </w:tc>
        <w:tc>
          <w:tcPr>
            <w:tcW w:w="0" w:type="dxa"/>
            <w:vAlign w:val="bottom"/>
          </w:tcPr>
          <w:p>
            <w:pPr>
              <w:spacing w:after="0"/>
              <w:rPr>
                <w:sz w:val="1"/>
                <w:szCs w:val="1"/>
                <w:color w:val="auto"/>
              </w:rPr>
            </w:pPr>
          </w:p>
        </w:tc>
      </w:tr>
      <w:tr>
        <w:trPr>
          <w:trHeight w:val="193"/>
        </w:trPr>
        <w:tc>
          <w:tcPr>
            <w:tcW w:w="53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Kapps-Pharma Ltd..</w:t>
            </w:r>
          </w:p>
        </w:tc>
        <w:tc>
          <w:tcPr>
            <w:tcW w:w="680" w:type="dxa"/>
            <w:vAlign w:val="bottom"/>
          </w:tcPr>
          <w:p>
            <w:pPr>
              <w:spacing w:after="0"/>
              <w:rPr>
                <w:sz w:val="16"/>
                <w:szCs w:val="16"/>
                <w:color w:val="auto"/>
              </w:rPr>
            </w:pPr>
          </w:p>
        </w:tc>
        <w:tc>
          <w:tcPr>
            <w:tcW w:w="53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Bioline Innovations Jerusalem, Limited</w:t>
            </w:r>
          </w:p>
        </w:tc>
        <w:tc>
          <w:tcPr>
            <w:tcW w:w="0" w:type="dxa"/>
            <w:vAlign w:val="bottom"/>
          </w:tcPr>
          <w:p>
            <w:pPr>
              <w:spacing w:after="0"/>
              <w:rPr>
                <w:sz w:val="1"/>
                <w:szCs w:val="1"/>
                <w:color w:val="auto"/>
              </w:rPr>
            </w:pPr>
          </w:p>
        </w:tc>
      </w:tr>
      <w:tr>
        <w:trPr>
          <w:trHeight w:val="217"/>
        </w:trPr>
        <w:tc>
          <w:tcPr>
            <w:tcW w:w="5380" w:type="dxa"/>
            <w:vAlign w:val="bottom"/>
          </w:tcPr>
          <w:p>
            <w:pPr>
              <w:ind w:left="620"/>
              <w:spacing w:after="0"/>
              <w:rPr>
                <w:sz w:val="20"/>
                <w:szCs w:val="20"/>
                <w:color w:val="auto"/>
              </w:rPr>
            </w:pPr>
            <w:r>
              <w:rPr>
                <w:rFonts w:ascii="Arial" w:cs="Arial" w:eastAsia="Arial" w:hAnsi="Arial"/>
                <w:sz w:val="17"/>
                <w:szCs w:val="17"/>
                <w:color w:val="auto"/>
              </w:rPr>
              <w:t>Partnership</w:t>
            </w:r>
          </w:p>
        </w:tc>
        <w:tc>
          <w:tcPr>
            <w:tcW w:w="6040" w:type="dxa"/>
            <w:vAlign w:val="bottom"/>
            <w:gridSpan w:val="2"/>
            <w:vMerge w:val="restart"/>
          </w:tcPr>
          <w:p>
            <w:pPr>
              <w:ind w:left="680"/>
              <w:spacing w:after="0"/>
              <w:rPr>
                <w:sz w:val="20"/>
                <w:szCs w:val="20"/>
                <w:color w:val="auto"/>
              </w:rPr>
            </w:pPr>
            <w:r>
              <w:rPr>
                <w:rFonts w:ascii="Arial" w:cs="Arial" w:eastAsia="Arial" w:hAnsi="Arial"/>
                <w:sz w:val="17"/>
                <w:szCs w:val="17"/>
                <w:color w:val="auto"/>
              </w:rPr>
              <w:t>By its general partner,</w:t>
            </w: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6040" w:type="dxa"/>
            <w:vAlign w:val="bottom"/>
            <w:gridSpan w:val="2"/>
          </w:tcPr>
          <w:p>
            <w:pPr>
              <w:ind w:left="680"/>
              <w:spacing w:after="0"/>
              <w:rPr>
                <w:sz w:val="20"/>
                <w:szCs w:val="20"/>
                <w:color w:val="auto"/>
              </w:rPr>
            </w:pPr>
            <w:r>
              <w:rPr>
                <w:rFonts w:ascii="Arial" w:cs="Arial" w:eastAsia="Arial" w:hAnsi="Arial"/>
                <w:sz w:val="17"/>
                <w:szCs w:val="17"/>
                <w:color w:val="auto"/>
              </w:rPr>
              <w:t>Bioline Innovations Jerusalem Ltd.</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 the undersigned Tal Lecker, attorney for the Lessee Bioline Innovations Jerusalem, Limited Partnership, hereby confirm that Mr. Yuri Shoshan and Mr. Aharon Schwartz and Mr. Morris Laster have signed this agreement in the name of the Lessee and that they are authorized to sign the agreement and that their signature of the agreement binds the Lessee for all matters and purposes.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TAL LECKER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907665" cy="1651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907665" cy="1651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Attorney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Tal Lecker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Yigal Arnon &amp; Co.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Rivlin Street 22, Jerusalem</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License No. 39931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By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511810</wp:posOffset>
            </wp:positionV>
            <wp:extent cx="7257415" cy="209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41" w:name="page642"/>
    <w:bookmarkEnd w:id="641"/>
    <w:p>
      <w:pPr>
        <w:jc w:val="right"/>
        <w:spacing w:after="0"/>
        <w:rPr>
          <w:sz w:val="20"/>
          <w:szCs w:val="20"/>
          <w:color w:val="auto"/>
        </w:rPr>
      </w:pPr>
      <w:r>
        <w:rPr>
          <w:rFonts w:ascii="Arial" w:cs="Arial" w:eastAsia="Arial" w:hAnsi="Arial"/>
          <w:sz w:val="17"/>
          <w:szCs w:val="17"/>
          <w:color w:val="auto"/>
        </w:rPr>
        <w:t>EXHIBIT 4.20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EMPLOYMENT AGREEMENT</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Amendment to Employment Agreement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dated as of January 2, 2010 is made between </w:t>
      </w:r>
      <w:r>
        <w:rPr>
          <w:rFonts w:ascii="Arial" w:cs="Arial" w:eastAsia="Arial" w:hAnsi="Arial"/>
          <w:sz w:val="17"/>
          <w:szCs w:val="17"/>
          <w:b w:val="1"/>
          <w:bCs w:val="1"/>
          <w:color w:val="auto"/>
        </w:rPr>
        <w:t>BioLineRx Ltd.</w:t>
      </w:r>
      <w:r>
        <w:rPr>
          <w:rFonts w:ascii="Arial" w:cs="Arial" w:eastAsia="Arial" w:hAnsi="Arial"/>
          <w:sz w:val="17"/>
          <w:szCs w:val="17"/>
          <w:color w:val="auto"/>
        </w:rPr>
        <w:t>, which has a place of business at 19 Hartum Street, P.O. Box 45158, Jerusalem 91450, Israel (“</w:t>
      </w:r>
      <w:r>
        <w:rPr>
          <w:rFonts w:ascii="Arial" w:cs="Arial" w:eastAsia="Arial" w:hAnsi="Arial"/>
          <w:sz w:val="17"/>
          <w:szCs w:val="17"/>
          <w:b w:val="1"/>
          <w:bCs w:val="1"/>
          <w:color w:val="auto"/>
        </w:rPr>
        <w:t>BioLine</w:t>
      </w:r>
      <w:r>
        <w:rPr>
          <w:rFonts w:ascii="Arial" w:cs="Arial" w:eastAsia="Arial" w:hAnsi="Arial"/>
          <w:sz w:val="17"/>
          <w:szCs w:val="17"/>
          <w:color w:val="auto"/>
        </w:rPr>
        <w:t xml:space="preserve">”) and </w:t>
      </w:r>
      <w:r>
        <w:rPr>
          <w:rFonts w:ascii="Arial" w:cs="Arial" w:eastAsia="Arial" w:hAnsi="Arial"/>
          <w:sz w:val="17"/>
          <w:szCs w:val="17"/>
          <w:b w:val="1"/>
          <w:bCs w:val="1"/>
          <w:color w:val="auto"/>
        </w:rPr>
        <w:t>Dr. Kinneret Savitsky</w:t>
      </w:r>
      <w:r>
        <w:rPr>
          <w:rFonts w:ascii="Arial" w:cs="Arial" w:eastAsia="Arial" w:hAnsi="Arial"/>
          <w:sz w:val="17"/>
          <w:szCs w:val="17"/>
          <w:color w:val="auto"/>
        </w:rPr>
        <w:t xml:space="preserve"> with an address at 44 Metudela Street, Tel Aviv 69867 (the “</w:t>
      </w:r>
      <w:r>
        <w:rPr>
          <w:rFonts w:ascii="Arial" w:cs="Arial" w:eastAsia="Arial" w:hAnsi="Arial"/>
          <w:sz w:val="17"/>
          <w:szCs w:val="17"/>
          <w:b w:val="1"/>
          <w:bCs w:val="1"/>
          <w:color w:val="auto"/>
        </w:rPr>
        <w:t>Employee</w:t>
      </w:r>
      <w:r>
        <w:rPr>
          <w:rFonts w:ascii="Arial" w:cs="Arial" w:eastAsia="Arial" w:hAnsi="Arial"/>
          <w:sz w:val="17"/>
          <w:szCs w:val="17"/>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WHEREAS, the Employee and BioLine Innovations Jerusalem, L.P., a limited partnership controlled by BioLine (“</w:t>
      </w:r>
      <w:r>
        <w:rPr>
          <w:rFonts w:ascii="Arial" w:cs="Arial" w:eastAsia="Arial" w:hAnsi="Arial"/>
          <w:sz w:val="17"/>
          <w:szCs w:val="17"/>
          <w:b w:val="1"/>
          <w:bCs w:val="1"/>
          <w:color w:val="auto"/>
        </w:rPr>
        <w:t>BIJ</w:t>
      </w:r>
      <w:r>
        <w:rPr>
          <w:rFonts w:ascii="Arial" w:cs="Arial" w:eastAsia="Arial" w:hAnsi="Arial"/>
          <w:sz w:val="17"/>
          <w:szCs w:val="17"/>
          <w:color w:val="auto"/>
        </w:rPr>
        <w:t>”) have entered into a certain Engagement Offer dated October 13, 2004 (collectively the “</w:t>
      </w:r>
      <w:r>
        <w:rPr>
          <w:rFonts w:ascii="Arial" w:cs="Arial" w:eastAsia="Arial" w:hAnsi="Arial"/>
          <w:sz w:val="17"/>
          <w:szCs w:val="17"/>
          <w:b w:val="1"/>
          <w:bCs w:val="1"/>
          <w:color w:val="auto"/>
        </w:rPr>
        <w:t>Employment Agreement</w:t>
      </w:r>
      <w:r>
        <w:rPr>
          <w:rFonts w:ascii="Arial" w:cs="Arial" w:eastAsia="Arial" w:hAnsi="Arial"/>
          <w:sz w:val="17"/>
          <w:szCs w:val="17"/>
          <w:color w:val="auto"/>
        </w:rPr>
        <w:t>”), which Employment Agreement replaced the previous Engagement Offer entered into between BioLine and the Employee, dated May 6, 2004;</w:t>
      </w:r>
    </w:p>
    <w:p>
      <w:pPr>
        <w:spacing w:after="0" w:line="2"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WHEREAS, the Employee has been appointed by the Board of Directors of BioLine as Chief Executive Officer of BioLine, effective as of January 2, 2010; and WHEREAS, as a result of the nomination the parties wish to amend certain provisions in the Employment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the parties hereby agree as follows:</w:t>
      </w:r>
    </w:p>
    <w:p>
      <w:pPr>
        <w:spacing w:after="0" w:line="242" w:lineRule="exact"/>
        <w:rPr>
          <w:sz w:val="20"/>
          <w:szCs w:val="20"/>
          <w:color w:val="auto"/>
        </w:rPr>
      </w:pPr>
    </w:p>
    <w:p>
      <w:pPr>
        <w:jc w:val="both"/>
        <w:ind w:left="320" w:hanging="317"/>
        <w:spacing w:after="0" w:line="259" w:lineRule="auto"/>
        <w:tabs>
          <w:tab w:leader="none" w:pos="32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The Employee shall be promoted to the position of Chief Executive Officer of BioLine commencing on January 2, 2010. Consequently, the Employment Agreement shall be amended such that the Employee shall be employed by BioLine, instead of by the General Partner of BIJ, and any reference in the Employment Agreement to the term “Management Company” shall be replaced with the term “BioLine”. Except as explicitly set forth below, the change in the entity employing Employee shall not in any way derogate from Employee’s rights in connection with Employee’s employment by BIJ until January 2, 2010 and any such rights shall continue to accumulate with Employee’s employment by BioLine.</w:t>
      </w:r>
    </w:p>
    <w:p>
      <w:pPr>
        <w:spacing w:after="0" w:line="205" w:lineRule="exact"/>
        <w:rPr>
          <w:rFonts w:ascii="Arial" w:cs="Arial" w:eastAsia="Arial" w:hAnsi="Arial"/>
          <w:sz w:val="17"/>
          <w:szCs w:val="17"/>
          <w:color w:val="auto"/>
        </w:rPr>
      </w:pPr>
    </w:p>
    <w:p>
      <w:pPr>
        <w:jc w:val="both"/>
        <w:ind w:left="320" w:hanging="317"/>
        <w:spacing w:after="0" w:line="265" w:lineRule="auto"/>
        <w:tabs>
          <w:tab w:leader="none" w:pos="32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The preamble to the Employment Agreement shall be deleted in its entirety and replaced with the following language: “</w:t>
      </w:r>
      <w:r>
        <w:rPr>
          <w:rFonts w:ascii="Arial" w:cs="Arial" w:eastAsia="Arial" w:hAnsi="Arial"/>
          <w:sz w:val="17"/>
          <w:szCs w:val="17"/>
          <w:i w:val="1"/>
          <w:iCs w:val="1"/>
          <w:color w:val="auto"/>
        </w:rPr>
        <w:t>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sets forth the terms and conditions concerning your employment by BioLineRx Ltd. (“</w:t>
      </w:r>
      <w:r>
        <w:rPr>
          <w:rFonts w:ascii="Arial" w:cs="Arial" w:eastAsia="Arial" w:hAnsi="Arial"/>
          <w:sz w:val="17"/>
          <w:szCs w:val="17"/>
          <w:b w:val="1"/>
          <w:bCs w:val="1"/>
          <w:i w:val="1"/>
          <w:iCs w:val="1"/>
          <w:color w:val="auto"/>
        </w:rPr>
        <w:t>BioLine</w:t>
      </w:r>
      <w:r>
        <w:rPr>
          <w:rFonts w:ascii="Arial" w:cs="Arial" w:eastAsia="Arial" w:hAnsi="Arial"/>
          <w:sz w:val="17"/>
          <w:szCs w:val="17"/>
          <w:i w:val="1"/>
          <w:iCs w:val="1"/>
          <w:color w:val="auto"/>
        </w:rPr>
        <w:t>”). Should you accept the terms and conditions of this Agreement it shall constitute a binding agreement by and between BioLine and yourself.</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jc w:val="both"/>
        <w:ind w:left="320" w:hanging="317"/>
        <w:spacing w:after="0" w:line="235" w:lineRule="auto"/>
        <w:tabs>
          <w:tab w:leader="none" w:pos="32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Section 9 of the Employment Agreement shall be deleted in its entirety and replaced with the following language: “</w:t>
      </w:r>
      <w:r>
        <w:rPr>
          <w:rFonts w:ascii="Arial" w:cs="Arial" w:eastAsia="Arial" w:hAnsi="Arial"/>
          <w:sz w:val="17"/>
          <w:szCs w:val="17"/>
          <w:i w:val="1"/>
          <w:iCs w:val="1"/>
          <w:color w:val="auto"/>
        </w:rPr>
        <w:t>BioLine shall pay or cause to be paid to the</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during the term of this Agreement a gross salary in the amount of seventy thousand New Israeli Shekels (NIS 70,000 per month (the “</w:t>
      </w:r>
      <w:r>
        <w:rPr>
          <w:rFonts w:ascii="Arial" w:cs="Arial" w:eastAsia="Arial" w:hAnsi="Arial"/>
          <w:sz w:val="17"/>
          <w:szCs w:val="17"/>
          <w:b w:val="1"/>
          <w:bCs w:val="1"/>
          <w:i w:val="1"/>
          <w:iCs w:val="1"/>
          <w:color w:val="auto"/>
        </w:rPr>
        <w:t>Salary</w:t>
      </w:r>
      <w:r>
        <w:rPr>
          <w:rFonts w:ascii="Arial" w:cs="Arial" w:eastAsia="Arial" w:hAnsi="Arial"/>
          <w:sz w:val="17"/>
          <w:szCs w:val="17"/>
          <w:i w:val="1"/>
          <w:iCs w:val="1"/>
          <w:color w:val="auto"/>
        </w:rPr>
        <w:t>”). The Salary will be paid no later then the 9</w:t>
      </w:r>
      <w:r>
        <w:rPr>
          <w:rFonts w:ascii="Arial" w:cs="Arial" w:eastAsia="Arial" w:hAnsi="Arial"/>
          <w:sz w:val="24"/>
          <w:szCs w:val="24"/>
          <w:i w:val="1"/>
          <w:iCs w:val="1"/>
          <w:color w:val="auto"/>
          <w:vertAlign w:val="superscript"/>
        </w:rPr>
        <w:t>th</w:t>
      </w:r>
      <w:r>
        <w:rPr>
          <w:rFonts w:ascii="Arial" w:cs="Arial" w:eastAsia="Arial" w:hAnsi="Arial"/>
          <w:sz w:val="17"/>
          <w:szCs w:val="17"/>
          <w:i w:val="1"/>
          <w:iCs w:val="1"/>
          <w:color w:val="auto"/>
        </w:rPr>
        <w:t xml:space="preserve">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left="320" w:hanging="317"/>
        <w:spacing w:after="0" w:line="259" w:lineRule="auto"/>
        <w:tabs>
          <w:tab w:leader="none" w:pos="320" w:val="left"/>
        </w:tabs>
        <w:numPr>
          <w:ilvl w:val="0"/>
          <w:numId w:val="565"/>
        </w:numPr>
        <w:rPr>
          <w:rFonts w:ascii="Arial" w:cs="Arial" w:eastAsia="Arial" w:hAnsi="Arial"/>
          <w:sz w:val="17"/>
          <w:szCs w:val="17"/>
          <w:color w:val="auto"/>
        </w:rPr>
      </w:pPr>
      <w:r>
        <w:rPr>
          <w:rFonts w:ascii="Arial" w:cs="Arial" w:eastAsia="Arial" w:hAnsi="Arial"/>
          <w:sz w:val="17"/>
          <w:szCs w:val="17"/>
          <w:color w:val="auto"/>
        </w:rPr>
        <w:t>Section 12 of the Employment Agreement shall be deleted in its entirety and replaced with the following language: “</w:t>
      </w:r>
      <w:r>
        <w:rPr>
          <w:rFonts w:ascii="Arial" w:cs="Arial" w:eastAsia="Arial" w:hAnsi="Arial"/>
          <w:sz w:val="17"/>
          <w:szCs w:val="17"/>
          <w:i w:val="1"/>
          <w:iCs w:val="1"/>
          <w:u w:val="single" w:color="auto"/>
          <w:color w:val="auto"/>
        </w:rPr>
        <w:t>Vacation</w:t>
      </w:r>
      <w:r>
        <w:rPr>
          <w:rFonts w:ascii="Arial" w:cs="Arial" w:eastAsia="Arial" w:hAnsi="Arial"/>
          <w:sz w:val="17"/>
          <w:szCs w:val="17"/>
          <w:i w:val="1"/>
          <w:iCs w:val="1"/>
          <w:color w:val="auto"/>
        </w:rPr>
        <w:t>. During the term of the</w:t>
      </w:r>
      <w:r>
        <w:rPr>
          <w:rFonts w:ascii="Arial" w:cs="Arial" w:eastAsia="Arial" w:hAnsi="Arial"/>
          <w:sz w:val="17"/>
          <w:szCs w:val="17"/>
          <w:color w:val="auto"/>
        </w:rPr>
        <w:t xml:space="preserve"> </w:t>
      </w:r>
      <w:r>
        <w:rPr>
          <w:rFonts w:ascii="Arial" w:cs="Arial" w:eastAsia="Arial" w:hAnsi="Arial"/>
          <w:sz w:val="17"/>
          <w:szCs w:val="17"/>
          <w:i w:val="1"/>
          <w:iCs w:val="1"/>
          <w:color w:val="auto"/>
        </w:rPr>
        <w:t>employment, Employee shall be entitled to vacation in the number of twenty (20) working days per year, as adjusted in accordance with applicable law. A “working day” shall mean Sunday to Thursday inclusive, and the use of said vacation days will be coordinated with BioLine. Employee shall be entitled to accumulation and redemption of vacation days in accordance with BioLine’s employees’ handbook, which may be amended from time to time in BioLine’s sole discretion.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642" w:name="page643"/>
    <w:bookmarkEnd w:id="642"/>
    <w:p>
      <w:pPr>
        <w:jc w:val="both"/>
        <w:ind w:left="320" w:hanging="317"/>
        <w:spacing w:after="0" w:line="261" w:lineRule="auto"/>
        <w:tabs>
          <w:tab w:leader="none" w:pos="32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Section 14 of the Employment Agreement shall be deleted in its entirety and replaced with the following language “</w:t>
      </w:r>
      <w:r>
        <w:rPr>
          <w:rFonts w:ascii="Arial" w:cs="Arial" w:eastAsia="Arial" w:hAnsi="Arial"/>
          <w:sz w:val="17"/>
          <w:szCs w:val="17"/>
          <w:i w:val="1"/>
          <w:iCs w:val="1"/>
          <w:color w:val="auto"/>
        </w:rPr>
        <w:t>In addition to any previous grant of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to Employee, and subject to the approval of the BioLine Board of Directors, Employee shall be granted five hundred thousand (500,000) options to purchase Ordinary Shares par value NIS 0.01 each of BioLine, to be granted pursuant to, and in accordance with, the terms and conditions of the share option plan adopted by BioLine.</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left="320" w:hanging="317"/>
        <w:spacing w:after="0" w:line="271" w:lineRule="auto"/>
        <w:tabs>
          <w:tab w:leader="none" w:pos="320" w:val="left"/>
        </w:tabs>
        <w:numPr>
          <w:ilvl w:val="0"/>
          <w:numId w:val="566"/>
        </w:numPr>
        <w:rPr>
          <w:rFonts w:ascii="Arial" w:cs="Arial" w:eastAsia="Arial" w:hAnsi="Arial"/>
          <w:sz w:val="16"/>
          <w:szCs w:val="16"/>
          <w:color w:val="auto"/>
        </w:rPr>
      </w:pPr>
      <w:r>
        <w:rPr>
          <w:rFonts w:ascii="Arial" w:cs="Arial" w:eastAsia="Arial" w:hAnsi="Arial"/>
          <w:sz w:val="16"/>
          <w:szCs w:val="16"/>
          <w:color w:val="auto"/>
        </w:rPr>
        <w:t>Section 15 of the Employment Agreement shall be deleted in its entirety and replaced with the following language: “</w:t>
      </w:r>
      <w:r>
        <w:rPr>
          <w:rFonts w:ascii="Arial" w:cs="Arial" w:eastAsia="Arial" w:hAnsi="Arial"/>
          <w:sz w:val="16"/>
          <w:szCs w:val="16"/>
          <w:i w:val="1"/>
          <w:iCs w:val="1"/>
          <w:u w:val="single" w:color="auto"/>
          <w:color w:val="auto"/>
        </w:rPr>
        <w:t>Automobile.</w:t>
      </w:r>
      <w:r>
        <w:rPr>
          <w:rFonts w:ascii="Arial" w:cs="Arial" w:eastAsia="Arial" w:hAnsi="Arial"/>
          <w:sz w:val="16"/>
          <w:szCs w:val="16"/>
          <w:color w:val="auto"/>
        </w:rPr>
        <w:t xml:space="preserve"> </w:t>
      </w:r>
      <w:r>
        <w:rPr>
          <w:rFonts w:ascii="Arial" w:cs="Arial" w:eastAsia="Arial" w:hAnsi="Arial"/>
          <w:sz w:val="16"/>
          <w:szCs w:val="16"/>
          <w:i w:val="1"/>
          <w:iCs w:val="1"/>
          <w:color w:val="auto"/>
        </w:rPr>
        <w:t>For purposes of performance of</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 duties and tasks, and during the Employment Period, BioLine shall make available to Employee a company vehicle, leased or owned by BioLine of a type to be elected by BioLine, in accordance with its policies which may be amended from time to time (the “</w:t>
      </w:r>
      <w:r>
        <w:rPr>
          <w:rFonts w:ascii="Arial" w:cs="Arial" w:eastAsia="Arial" w:hAnsi="Arial"/>
          <w:sz w:val="16"/>
          <w:szCs w:val="16"/>
          <w:b w:val="1"/>
          <w:bCs w:val="1"/>
          <w:i w:val="1"/>
          <w:iCs w:val="1"/>
          <w:color w:val="auto"/>
        </w:rPr>
        <w:t>Company Car</w:t>
      </w:r>
      <w:r>
        <w:rPr>
          <w:rFonts w:ascii="Arial" w:cs="Arial" w:eastAsia="Arial" w:hAnsi="Arial"/>
          <w:sz w:val="16"/>
          <w:szCs w:val="16"/>
          <w:i w:val="1"/>
          <w:iCs w:val="1"/>
          <w:color w:val="auto"/>
        </w:rPr>
        <w:t>”). Employee shall use the Company Car in accordance with BioLine’s car policy then in effect, as well as the requirements of the leasing company and the insurance company. BioLine shall bear the cost of maintenance and repairs, and any insurance deductibles for the Company Car, in accordance with its policies and the Car Agreement which will be signed between Employee and BioLine. Employee shall be liable for paying for fuel, as well as any parking and/or traffic fines received in connection herewith, and for any damages and expenses in case of negligent use of the Company Car and/or use of the Company Car not in accordance with BioLine’s applicable policies. All taxes arising out of the use of the Company Car shall be borne by Employee, and Employee acknowledges that such taxes will be withheld from Employee’s salary as required by law. Employee further acknowledges that the tax treatment of the benefit through use of the Company Car is subject to change, and any economic impact resulting from such changes will be in Employee’s sole responsibility .For the avoidance of doubt, Employee agrees and confirms that the cost of the leasing and/or the cost of the use of the Company Car shall not constitute a component of Employee’s Salary, including with regard to social benefits and/or any other right to which Employee is entitled by virtue of this Agreement or under law. The Employee shall be required to follow rules and regulations as to the usage of the Company Car as described in the “Company Car Lease Agreement” or “Car Addendum” provided to the Employee prior to receipt of the Company Car. The Company Car will remain in BioLine’s ownership, and will be returned to BioLine immediately upon termination of Employee’s employment with BioLine for any reason, as of the date of termination. The Employee shall not be entitled to use a Company Car during unpaid leaves or absences, unless specifically approved by BioLine in writing.</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320" w:hanging="317"/>
        <w:spacing w:after="0"/>
        <w:tabs>
          <w:tab w:leader="none" w:pos="32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Except as explicitly set forth in this Amendment, the terms of the Employment Agreement shall remain in full force and effect.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Amendment to be executed by their duly authorized representatives as of the date first written above.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gridSpan w:val="2"/>
          </w:tcPr>
          <w:p>
            <w:pPr>
              <w:spacing w:after="0"/>
              <w:rPr>
                <w:sz w:val="20"/>
                <w:szCs w:val="20"/>
                <w:color w:val="auto"/>
              </w:rPr>
            </w:pPr>
            <w:r>
              <w:rPr>
                <w:rFonts w:ascii="Arial" w:cs="Arial" w:eastAsia="Arial" w:hAnsi="Arial"/>
                <w:sz w:val="17"/>
                <w:szCs w:val="17"/>
                <w:b w:val="1"/>
                <w:bCs w:val="1"/>
                <w:color w:val="auto"/>
              </w:rPr>
              <w:t>BioLineRx Ltd.</w:t>
            </w:r>
          </w:p>
        </w:tc>
        <w:tc>
          <w:tcPr>
            <w:tcW w:w="6280" w:type="dxa"/>
            <w:vAlign w:val="bottom"/>
            <w:gridSpan w:val="2"/>
          </w:tcPr>
          <w:p>
            <w:pPr>
              <w:ind w:left="1100"/>
              <w:spacing w:after="0"/>
              <w:rPr>
                <w:sz w:val="20"/>
                <w:szCs w:val="20"/>
                <w:color w:val="auto"/>
              </w:rPr>
            </w:pPr>
            <w:r>
              <w:rPr>
                <w:rFonts w:ascii="Arial" w:cs="Arial" w:eastAsia="Arial" w:hAnsi="Arial"/>
                <w:sz w:val="17"/>
                <w:szCs w:val="17"/>
                <w:b w:val="1"/>
                <w:bCs w:val="1"/>
                <w:color w:val="auto"/>
              </w:rPr>
              <w:t>Dr. Kinneret Savitsky</w:t>
            </w:r>
          </w:p>
        </w:tc>
      </w:tr>
      <w:tr>
        <w:trPr>
          <w:trHeight w:val="419"/>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46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 Philip Serlin</w:t>
            </w:r>
          </w:p>
        </w:tc>
        <w:tc>
          <w:tcPr>
            <w:tcW w:w="1600" w:type="dxa"/>
            <w:vAlign w:val="bottom"/>
          </w:tcPr>
          <w:p>
            <w:pPr>
              <w:ind w:left="1100"/>
              <w:spacing w:after="0"/>
              <w:rPr>
                <w:sz w:val="20"/>
                <w:szCs w:val="20"/>
                <w:color w:val="auto"/>
              </w:rPr>
            </w:pPr>
            <w:r>
              <w:rPr>
                <w:rFonts w:ascii="Arial" w:cs="Arial" w:eastAsia="Arial" w:hAnsi="Arial"/>
                <w:sz w:val="17"/>
                <w:szCs w:val="17"/>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 Kinneret Savitsky</w:t>
            </w:r>
          </w:p>
        </w:tc>
      </w:tr>
      <w:tr>
        <w:trPr>
          <w:trHeight w:val="212"/>
        </w:trPr>
        <w:tc>
          <w:tcPr>
            <w:tcW w:w="460" w:type="dxa"/>
            <w:vAlign w:val="bottom"/>
          </w:tcPr>
          <w:p>
            <w:pPr>
              <w:spacing w:after="0"/>
              <w:rPr>
                <w:sz w:val="20"/>
                <w:szCs w:val="20"/>
                <w:color w:val="auto"/>
              </w:rPr>
            </w:pPr>
            <w:r>
              <w:rPr>
                <w:rFonts w:ascii="Arial" w:cs="Arial" w:eastAsia="Arial" w:hAnsi="Arial"/>
                <w:sz w:val="17"/>
                <w:szCs w:val="17"/>
                <w:color w:val="auto"/>
                <w:w w:val="87"/>
              </w:rPr>
              <w:t>Name:</w:t>
            </w:r>
          </w:p>
        </w:tc>
        <w:tc>
          <w:tcPr>
            <w:tcW w:w="46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PHILIP SERLIN</w:t>
            </w:r>
          </w:p>
        </w:tc>
        <w:tc>
          <w:tcPr>
            <w:tcW w:w="1600" w:type="dxa"/>
            <w:vAlign w:val="bottom"/>
          </w:tcPr>
          <w:p>
            <w:pPr>
              <w:ind w:left="1100"/>
              <w:spacing w:after="0"/>
              <w:rPr>
                <w:sz w:val="20"/>
                <w:szCs w:val="20"/>
                <w:color w:val="auto"/>
              </w:rPr>
            </w:pPr>
            <w:r>
              <w:rPr>
                <w:rFonts w:ascii="Arial" w:cs="Arial" w:eastAsia="Arial" w:hAnsi="Arial"/>
                <w:sz w:val="17"/>
                <w:szCs w:val="17"/>
                <w:color w:val="auto"/>
                <w:w w:val="95"/>
              </w:rPr>
              <w:t>Name:</w:t>
            </w:r>
          </w:p>
        </w:tc>
        <w:tc>
          <w:tcPr>
            <w:tcW w:w="46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KINNERET SAVITSKY</w:t>
            </w:r>
          </w:p>
        </w:tc>
      </w:tr>
      <w:tr>
        <w:trPr>
          <w:trHeight w:val="212"/>
        </w:trPr>
        <w:tc>
          <w:tcPr>
            <w:tcW w:w="460" w:type="dxa"/>
            <w:vAlign w:val="bottom"/>
          </w:tcPr>
          <w:p>
            <w:pPr>
              <w:spacing w:after="0"/>
              <w:rPr>
                <w:sz w:val="20"/>
                <w:szCs w:val="20"/>
                <w:color w:val="auto"/>
              </w:rPr>
            </w:pPr>
            <w:r>
              <w:rPr>
                <w:rFonts w:ascii="Arial" w:cs="Arial" w:eastAsia="Arial" w:hAnsi="Arial"/>
                <w:sz w:val="17"/>
                <w:szCs w:val="17"/>
                <w:color w:val="auto"/>
              </w:rPr>
              <w:t>Title:</w:t>
            </w:r>
          </w:p>
        </w:tc>
        <w:tc>
          <w:tcPr>
            <w:tcW w:w="46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Chief Financial Officer</w:t>
            </w:r>
          </w:p>
        </w:tc>
        <w:tc>
          <w:tcPr>
            <w:tcW w:w="16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627"/>
        </w:trPr>
        <w:tc>
          <w:tcPr>
            <w:tcW w:w="46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43" w:name="page644"/>
    <w:bookmarkEnd w:id="643"/>
    <w:p>
      <w:pPr>
        <w:jc w:val="right"/>
        <w:spacing w:after="0"/>
        <w:rPr>
          <w:sz w:val="20"/>
          <w:szCs w:val="20"/>
          <w:color w:val="auto"/>
        </w:rPr>
      </w:pPr>
      <w:r>
        <w:rPr>
          <w:rFonts w:ascii="Arial" w:cs="Arial" w:eastAsia="Arial" w:hAnsi="Arial"/>
          <w:sz w:val="17"/>
          <w:szCs w:val="17"/>
          <w:color w:val="auto"/>
        </w:rPr>
        <w:t>EXHIBIT 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161925</wp:posOffset>
            </wp:positionV>
            <wp:extent cx="3920490" cy="9226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3920490" cy="922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 Hartum Street, P.O. Box 45158, Jerusalem 91450, Israel</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27, 2005</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Dr. Leah Klapper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 Shapira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Apartment #38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Ramat-Gan, 52506</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Dr. Klapper,</w:t>
      </w:r>
    </w:p>
    <w:p>
      <w:pPr>
        <w:spacing w:after="0" w:line="236" w:lineRule="exact"/>
        <w:rPr>
          <w:sz w:val="20"/>
          <w:szCs w:val="20"/>
          <w:color w:val="auto"/>
        </w:rPr>
      </w:pPr>
    </w:p>
    <w:p>
      <w:pPr>
        <w:ind w:left="4680"/>
        <w:spacing w:after="0"/>
        <w:tabs>
          <w:tab w:leader="none" w:pos="538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u w:val="single" w:color="auto"/>
          <w:color w:val="auto"/>
        </w:rPr>
        <w:t>Engagement Offer</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Further to our discussions, we are pleased to offer you employment with us under the following terms and conditions.</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By signing this letter you indicate your acceptance of the offer, thus turning this letter into a binding employment contract between you and us (this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convenience, BioLine Innovations Jerusalem, L.P. will be called in this letter “BIJ” or “we” and you will be called the “Employee” or “you”.</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7" w:lineRule="exact"/>
        <w:rPr>
          <w:sz w:val="20"/>
          <w:szCs w:val="20"/>
          <w:color w:val="auto"/>
        </w:rPr>
      </w:pPr>
    </w:p>
    <w:p>
      <w:pPr>
        <w:jc w:val="both"/>
        <w:ind w:firstLine="3"/>
        <w:spacing w:after="0" w:line="301" w:lineRule="auto"/>
        <w:tabs>
          <w:tab w:leader="none" w:pos="613" w:val="left"/>
        </w:tabs>
        <w:numPr>
          <w:ilvl w:val="0"/>
          <w:numId w:val="567"/>
        </w:numPr>
        <w:rPr>
          <w:rFonts w:ascii="Arial" w:cs="Arial" w:eastAsia="Arial" w:hAnsi="Arial"/>
          <w:sz w:val="15"/>
          <w:szCs w:val="15"/>
          <w:color w:val="auto"/>
        </w:rPr>
      </w:pPr>
      <w:r>
        <w:rPr>
          <w:rFonts w:ascii="Arial" w:cs="Arial" w:eastAsia="Arial" w:hAnsi="Arial"/>
          <w:sz w:val="15"/>
          <w:szCs w:val="15"/>
          <w:u w:val="single" w:color="auto"/>
          <w:color w:val="auto"/>
        </w:rPr>
        <w:t>Position</w:t>
      </w:r>
      <w:r>
        <w:rPr>
          <w:rFonts w:ascii="Arial" w:cs="Arial" w:eastAsia="Arial" w:hAnsi="Arial"/>
          <w:sz w:val="15"/>
          <w:szCs w:val="15"/>
          <w:color w:val="auto"/>
        </w:rPr>
        <w:t xml:space="preserve">. You shall serve in the position described in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In such position you shall report regularly to, and be subject to the direction and control of, BIJ’s General Manager. You shall perform your duties diligently, conscientiously and in furtherance of BIJ’s best interests. You agree and undertake to inform BIJ, immediately after you become aware of it, of any matter that may in any way raise a conflict of interest between yourself and BIJ. You shall not receive during your employment by BIJ any payment, compensation or benefit from any third party in connection, directly or indirectly, with the execution of your position in BIJ.</w:t>
      </w:r>
    </w:p>
    <w:p>
      <w:pPr>
        <w:spacing w:after="0" w:line="178" w:lineRule="exact"/>
        <w:rPr>
          <w:rFonts w:ascii="Arial" w:cs="Arial" w:eastAsia="Arial" w:hAnsi="Arial"/>
          <w:sz w:val="15"/>
          <w:szCs w:val="15"/>
          <w:color w:val="auto"/>
        </w:rPr>
      </w:pPr>
    </w:p>
    <w:p>
      <w:pPr>
        <w:jc w:val="both"/>
        <w:ind w:firstLine="3"/>
        <w:spacing w:after="0" w:line="259" w:lineRule="auto"/>
        <w:tabs>
          <w:tab w:leader="none" w:pos="638" w:val="left"/>
        </w:tabs>
        <w:numPr>
          <w:ilvl w:val="0"/>
          <w:numId w:val="567"/>
        </w:numPr>
        <w:rPr>
          <w:rFonts w:ascii="Arial" w:cs="Arial" w:eastAsia="Arial" w:hAnsi="Arial"/>
          <w:sz w:val="17"/>
          <w:szCs w:val="17"/>
          <w:color w:val="auto"/>
        </w:rPr>
      </w:pPr>
      <w:r>
        <w:rPr>
          <w:rFonts w:ascii="Arial" w:cs="Arial" w:eastAsia="Arial" w:hAnsi="Arial"/>
          <w:sz w:val="17"/>
          <w:szCs w:val="17"/>
          <w:u w:val="single" w:color="auto"/>
          <w:color w:val="auto"/>
        </w:rPr>
        <w:t>Full Time Employment</w:t>
      </w:r>
      <w:r>
        <w:rPr>
          <w:rFonts w:ascii="Arial" w:cs="Arial" w:eastAsia="Arial" w:hAnsi="Arial"/>
          <w:sz w:val="17"/>
          <w:szCs w:val="17"/>
          <w:color w:val="auto"/>
        </w:rPr>
        <w:t>. You will be employed on a full time basis. You shall devote your entire business time and attention to the business of BIJ and you shall not undertake or accept any other paid or unpaid employment or occupation or engage in any other business activity except with the prior written consent of BIJ, which shall not be unreasonably withheld. You confirm and declare that your position is one that requires a special measure of personal trust and loyalty. Accordingly, the provisions of the Hours of Work and Rest Law-1951 shall not apply to you and you shall not be entitled to any compensation for working more than the maximum number of hours per week set forth in said law or any other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644" w:name="page645"/>
    <w:bookmarkEnd w:id="644"/>
    <w:p>
      <w:pPr>
        <w:jc w:val="center"/>
        <w:spacing w:after="0"/>
        <w:rPr>
          <w:sz w:val="20"/>
          <w:szCs w:val="20"/>
          <w:color w:val="auto"/>
        </w:rPr>
      </w:pPr>
      <w:r>
        <w:rPr>
          <w:rFonts w:ascii="Arial" w:cs="Arial" w:eastAsia="Arial" w:hAnsi="Arial"/>
          <w:sz w:val="17"/>
          <w:szCs w:val="17"/>
          <w:color w:val="auto"/>
        </w:rPr>
        <w:t>-2-</w:t>
      </w:r>
    </w:p>
    <w:p>
      <w:pPr>
        <w:spacing w:after="0" w:line="242" w:lineRule="exact"/>
        <w:rPr>
          <w:sz w:val="20"/>
          <w:szCs w:val="20"/>
          <w:color w:val="auto"/>
        </w:rPr>
      </w:pPr>
    </w:p>
    <w:p>
      <w:pPr>
        <w:ind w:firstLine="3"/>
        <w:spacing w:after="0" w:line="278" w:lineRule="auto"/>
        <w:tabs>
          <w:tab w:leader="none" w:pos="754" w:val="left"/>
        </w:tabs>
        <w:numPr>
          <w:ilvl w:val="0"/>
          <w:numId w:val="568"/>
        </w:numPr>
        <w:rPr>
          <w:rFonts w:ascii="Arial" w:cs="Arial" w:eastAsia="Arial" w:hAnsi="Arial"/>
          <w:sz w:val="17"/>
          <w:szCs w:val="17"/>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You shall perform your duties hereunder at BIJ’s facilities in Jerusalem, Israel, but you understand and agree that your position may involve domestic and international travel.</w:t>
      </w:r>
    </w:p>
    <w:p>
      <w:pPr>
        <w:spacing w:after="0" w:line="190" w:lineRule="exact"/>
        <w:rPr>
          <w:rFonts w:ascii="Arial" w:cs="Arial" w:eastAsia="Arial" w:hAnsi="Arial"/>
          <w:sz w:val="17"/>
          <w:szCs w:val="17"/>
          <w:color w:val="auto"/>
        </w:rPr>
      </w:pPr>
    </w:p>
    <w:p>
      <w:pPr>
        <w:ind w:left="620" w:hanging="617"/>
        <w:spacing w:after="0"/>
        <w:tabs>
          <w:tab w:leader="none" w:pos="620" w:val="left"/>
        </w:tabs>
        <w:numPr>
          <w:ilvl w:val="0"/>
          <w:numId w:val="568"/>
        </w:numPr>
        <w:rPr>
          <w:rFonts w:ascii="Arial" w:cs="Arial" w:eastAsia="Arial" w:hAnsi="Arial"/>
          <w:sz w:val="15"/>
          <w:szCs w:val="15"/>
          <w:color w:val="auto"/>
        </w:rPr>
      </w:pPr>
      <w:r>
        <w:rPr>
          <w:rFonts w:ascii="Arial" w:cs="Arial" w:eastAsia="Arial" w:hAnsi="Arial"/>
          <w:sz w:val="15"/>
          <w:szCs w:val="15"/>
          <w:u w:val="single" w:color="auto"/>
          <w:color w:val="auto"/>
        </w:rPr>
        <w:t>Employee’s Representations and Warranties</w:t>
      </w:r>
      <w:r>
        <w:rPr>
          <w:rFonts w:ascii="Arial" w:cs="Arial" w:eastAsia="Arial" w:hAnsi="Arial"/>
          <w:sz w:val="15"/>
          <w:szCs w:val="15"/>
          <w:color w:val="auto"/>
        </w:rPr>
        <w:t>. You represent and warrant that the execution and delivery of this Agreement and the fulfillment of all its terms:</w:t>
      </w:r>
    </w:p>
    <w:p>
      <w:pPr>
        <w:spacing w:after="0" w:line="44" w:lineRule="exact"/>
        <w:rPr>
          <w:rFonts w:ascii="Arial" w:cs="Arial" w:eastAsia="Arial" w:hAnsi="Arial"/>
          <w:sz w:val="15"/>
          <w:szCs w:val="15"/>
          <w:color w:val="auto"/>
        </w:rPr>
      </w:pPr>
    </w:p>
    <w:p>
      <w:pPr>
        <w:jc w:val="both"/>
        <w:spacing w:after="0" w:line="255" w:lineRule="auto"/>
        <w:rPr>
          <w:rFonts w:ascii="Arial" w:cs="Arial" w:eastAsia="Arial" w:hAnsi="Arial"/>
          <w:sz w:val="15"/>
          <w:szCs w:val="15"/>
          <w:color w:val="auto"/>
        </w:rPr>
      </w:pPr>
      <w:r>
        <w:rPr>
          <w:rFonts w:ascii="Arial" w:cs="Arial" w:eastAsia="Arial" w:hAnsi="Arial"/>
          <w:sz w:val="17"/>
          <w:szCs w:val="17"/>
          <w:color w:val="auto"/>
        </w:rPr>
        <w:t>(i) will not constitute a default under or conflict with any agreement or other instrument to which you are a party to or by which you are bound; and (ii) do not require the consent of any person or entity. Further, with respect to any past engagement you may have had with third parties and with respect to any allowed engagement you may have with any third party “</w:t>
      </w:r>
      <w:r>
        <w:rPr>
          <w:rFonts w:ascii="Arial" w:cs="Arial" w:eastAsia="Arial" w:hAnsi="Arial"/>
          <w:sz w:val="17"/>
          <w:szCs w:val="17"/>
          <w:b w:val="1"/>
          <w:bCs w:val="1"/>
          <w:color w:val="auto"/>
        </w:rPr>
        <w:t>Other Employers</w:t>
      </w:r>
      <w:r>
        <w:rPr>
          <w:rFonts w:ascii="Arial" w:cs="Arial" w:eastAsia="Arial" w:hAnsi="Arial"/>
          <w:sz w:val="17"/>
          <w:szCs w:val="17"/>
          <w:color w:val="auto"/>
        </w:rPr>
        <w:t>”), you represent, warrant and undertake that: (a) your engagement with BIJ is and/or will not be in breach of your undertakings towards Other Employers, and (b) you will not disclose to BIJ, or use, in provision of any services to BIJ, any proprietary or confidential information belonging to any Other Employers.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 of Employment</w:t>
      </w:r>
    </w:p>
    <w:p>
      <w:pPr>
        <w:spacing w:after="0" w:line="27" w:lineRule="exact"/>
        <w:rPr>
          <w:sz w:val="20"/>
          <w:szCs w:val="20"/>
          <w:color w:val="auto"/>
        </w:rPr>
      </w:pPr>
    </w:p>
    <w:p>
      <w:pPr>
        <w:ind w:firstLine="3"/>
        <w:spacing w:after="0" w:line="265" w:lineRule="auto"/>
        <w:tabs>
          <w:tab w:leader="none" w:pos="677" w:val="left"/>
        </w:tabs>
        <w:numPr>
          <w:ilvl w:val="0"/>
          <w:numId w:val="56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Your employment by BIJ shall be deemed to have commenced on the date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Commencement Date</w:t>
      </w:r>
      <w:r>
        <w:rPr>
          <w:rFonts w:ascii="Arial" w:cs="Arial" w:eastAsia="Arial" w:hAnsi="Arial"/>
          <w:sz w:val="17"/>
          <w:szCs w:val="17"/>
          <w:color w:val="auto"/>
        </w:rPr>
        <w:t>”) and shall continue until it is terminated pursuant to the terms set forth herein.</w:t>
      </w:r>
    </w:p>
    <w:p>
      <w:pPr>
        <w:spacing w:after="0" w:line="200" w:lineRule="exact"/>
        <w:rPr>
          <w:rFonts w:ascii="Arial" w:cs="Arial" w:eastAsia="Arial" w:hAnsi="Arial"/>
          <w:sz w:val="17"/>
          <w:szCs w:val="17"/>
          <w:color w:val="auto"/>
        </w:rPr>
      </w:pPr>
    </w:p>
    <w:p>
      <w:pPr>
        <w:ind w:firstLine="3"/>
        <w:spacing w:after="0" w:line="278" w:lineRule="auto"/>
        <w:tabs>
          <w:tab w:leader="none" w:pos="690" w:val="left"/>
        </w:tabs>
        <w:numPr>
          <w:ilvl w:val="0"/>
          <w:numId w:val="569"/>
        </w:numPr>
        <w:rPr>
          <w:rFonts w:ascii="Arial" w:cs="Arial" w:eastAsia="Arial" w:hAnsi="Arial"/>
          <w:sz w:val="17"/>
          <w:szCs w:val="17"/>
          <w:color w:val="auto"/>
        </w:rPr>
      </w:pPr>
      <w:r>
        <w:rPr>
          <w:rFonts w:ascii="Arial" w:cs="Arial" w:eastAsia="Arial" w:hAnsi="Arial"/>
          <w:sz w:val="17"/>
          <w:szCs w:val="17"/>
          <w:u w:val="single" w:color="auto"/>
          <w:color w:val="auto"/>
        </w:rPr>
        <w:t>Termination at Will</w:t>
      </w:r>
      <w:r>
        <w:rPr>
          <w:rFonts w:ascii="Arial" w:cs="Arial" w:eastAsia="Arial" w:hAnsi="Arial"/>
          <w:sz w:val="17"/>
          <w:szCs w:val="17"/>
          <w:color w:val="auto"/>
        </w:rPr>
        <w:t xml:space="preserve">. Either party may terminate the employment relationship hereunder at any time by giving the other party a prior written notice as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Notice Period</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jc w:val="both"/>
        <w:ind w:firstLine="3"/>
        <w:spacing w:after="0" w:line="257" w:lineRule="auto"/>
        <w:tabs>
          <w:tab w:leader="none" w:pos="626" w:val="left"/>
        </w:tabs>
        <w:numPr>
          <w:ilvl w:val="0"/>
          <w:numId w:val="569"/>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In the event of a termination for Cause (as defined below), BIJ may immediately terminate the employment relationship effective as of the time of written notice of the same. “</w:t>
      </w:r>
      <w:r>
        <w:rPr>
          <w:rFonts w:ascii="Arial" w:cs="Arial" w:eastAsia="Arial" w:hAnsi="Arial"/>
          <w:sz w:val="17"/>
          <w:szCs w:val="17"/>
          <w:b w:val="1"/>
          <w:bCs w:val="1"/>
          <w:color w:val="auto"/>
        </w:rPr>
        <w:t>Cause</w:t>
      </w:r>
      <w:r>
        <w:rPr>
          <w:rFonts w:ascii="Arial" w:cs="Arial" w:eastAsia="Arial" w:hAnsi="Arial"/>
          <w:sz w:val="17"/>
          <w:szCs w:val="17"/>
          <w:color w:val="auto"/>
        </w:rPr>
        <w:t>” means (a) a serious breach of trust including but not limited to theft, embezzlement, self-dealing, prohibited disclosure to unauthorized persons or entities of confidential or proprietary information of or relating to BIJ and the engaging by yourself in any prohibited business competitive to the business of BIJ; or (b) any willful failure to perform or failure to perform competently any of your fundamental functions or duties hereunder, which was not cured within thirty (30) days after receipt by you of written notice thereof, or (c) other cause justifying termination or dismissal without severance payment under applicable law.</w:t>
      </w:r>
    </w:p>
    <w:p>
      <w:pPr>
        <w:spacing w:after="0" w:line="210" w:lineRule="exact"/>
        <w:rPr>
          <w:rFonts w:ascii="Arial" w:cs="Arial" w:eastAsia="Arial" w:hAnsi="Arial"/>
          <w:sz w:val="17"/>
          <w:szCs w:val="17"/>
          <w:color w:val="auto"/>
        </w:rPr>
      </w:pPr>
    </w:p>
    <w:p>
      <w:pPr>
        <w:jc w:val="both"/>
        <w:ind w:firstLine="3"/>
        <w:spacing w:after="0" w:line="279" w:lineRule="auto"/>
        <w:tabs>
          <w:tab w:leader="none" w:pos="613"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Notice Period; End of Relations</w:t>
      </w:r>
      <w:r>
        <w:rPr>
          <w:rFonts w:ascii="Arial" w:cs="Arial" w:eastAsia="Arial" w:hAnsi="Arial"/>
          <w:sz w:val="16"/>
          <w:szCs w:val="16"/>
          <w:color w:val="auto"/>
        </w:rPr>
        <w:t>. During the Notice Period, the employment relationship hereunder shall remain in full force and effect and there shall be no change in your position with BIJ, in your Salary and all other benefits to which you are entitled, or in any other obligations of either party hereunder, and you shall cooperate with BIJ and assist BIJ with the integration into BIJ of the person who will assume your responsibilities. However, BIJ, at its own discretion, may terminate this Agreement and the employment relationship at any time immediately upon a written notice and pay you a one time amount equal to the Salary and the benefits referred to in Section 11 that would have been paid to you during the Notice Period in lieu of the prior notice.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Covenants</w:t>
      </w:r>
    </w:p>
    <w:p>
      <w:pPr>
        <w:spacing w:after="0" w:line="27" w:lineRule="exact"/>
        <w:rPr>
          <w:sz w:val="20"/>
          <w:szCs w:val="20"/>
          <w:color w:val="auto"/>
        </w:rPr>
      </w:pPr>
    </w:p>
    <w:p>
      <w:pPr>
        <w:ind w:firstLine="3"/>
        <w:spacing w:after="0" w:line="265" w:lineRule="auto"/>
        <w:tabs>
          <w:tab w:leader="none" w:pos="677" w:val="left"/>
        </w:tabs>
        <w:numPr>
          <w:ilvl w:val="0"/>
          <w:numId w:val="570"/>
        </w:numPr>
        <w:rPr>
          <w:rFonts w:ascii="Arial" w:cs="Arial" w:eastAsia="Arial" w:hAnsi="Arial"/>
          <w:sz w:val="17"/>
          <w:szCs w:val="17"/>
          <w:color w:val="auto"/>
        </w:rPr>
      </w:pPr>
      <w:r>
        <w:rPr>
          <w:rFonts w:ascii="Arial" w:cs="Arial" w:eastAsia="Arial" w:hAnsi="Arial"/>
          <w:sz w:val="17"/>
          <w:szCs w:val="17"/>
          <w:u w:val="single" w:color="auto"/>
          <w:color w:val="auto"/>
        </w:rPr>
        <w:t>Proprietary Information; Confidentiality and Non-Competition</w:t>
      </w:r>
      <w:r>
        <w:rPr>
          <w:rFonts w:ascii="Arial" w:cs="Arial" w:eastAsia="Arial" w:hAnsi="Arial"/>
          <w:sz w:val="17"/>
          <w:szCs w:val="17"/>
          <w:color w:val="auto"/>
        </w:rPr>
        <w:t xml:space="preserve">. By executing this Agreement you confirm and agree to the provisions of BIJ’s Proprietary Information, Confidentiality and Non-Competition Agreement attached in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57415" cy="209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45" w:name="page646"/>
    <w:bookmarkEnd w:id="645"/>
    <w:p>
      <w:pPr>
        <w:jc w:val="center"/>
        <w:spacing w:after="0"/>
        <w:rPr>
          <w:sz w:val="20"/>
          <w:szCs w:val="20"/>
          <w:color w:val="auto"/>
        </w:rPr>
      </w:pPr>
      <w:r>
        <w:rPr>
          <w:rFonts w:ascii="Arial" w:cs="Arial" w:eastAsia="Arial" w:hAnsi="Arial"/>
          <w:sz w:val="17"/>
          <w:szCs w:val="17"/>
          <w:color w:val="auto"/>
        </w:rPr>
        <w:t>-3-</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Salary; Insurance; Advanced Study Fund</w:t>
      </w:r>
    </w:p>
    <w:p>
      <w:pPr>
        <w:spacing w:after="0" w:line="27" w:lineRule="exact"/>
        <w:rPr>
          <w:sz w:val="20"/>
          <w:szCs w:val="20"/>
          <w:color w:val="auto"/>
        </w:rPr>
      </w:pPr>
    </w:p>
    <w:p>
      <w:pPr>
        <w:jc w:val="both"/>
        <w:ind w:firstLine="3"/>
        <w:spacing w:after="0" w:line="278" w:lineRule="auto"/>
        <w:tabs>
          <w:tab w:leader="none" w:pos="750" w:val="left"/>
        </w:tabs>
        <w:numPr>
          <w:ilvl w:val="0"/>
          <w:numId w:val="571"/>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xml:space="preserve">. BIJ shall pay to you as compensation for the employment services, an aggregate monthly compensation in the amount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Salary</w:t>
      </w:r>
      <w:r>
        <w:rPr>
          <w:rFonts w:ascii="Arial" w:cs="Arial" w:eastAsia="Arial" w:hAnsi="Arial"/>
          <w:sz w:val="16"/>
          <w:szCs w:val="16"/>
          <w:color w:val="auto"/>
        </w:rPr>
        <w:t>”). Except as specifically set forth herein, the Salary includes any and all payments to which you are entitled from BIJ hereunder and under any applicable law, regulation or agreement. The Salary includes any and all reimbursement of daily travel costs to which you are entitled under applicable law, and any and all other payments to which you are entitled from BIJ hereunder and under any applicable law, regulation or agreement. Your Salary and other terms of employment shall be reviewed by BIJ’s management at least once a year, and may be updated at the discretion of BIJ’s management. The Salary is to be paid to you no later then the 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each calendar month after the month for which the Salary is paid after deduction of applicable taxes and the like payments.</w:t>
      </w:r>
    </w:p>
    <w:p>
      <w:pPr>
        <w:spacing w:after="0" w:line="96" w:lineRule="exact"/>
        <w:rPr>
          <w:rFonts w:ascii="Arial" w:cs="Arial" w:eastAsia="Arial" w:hAnsi="Arial"/>
          <w:sz w:val="16"/>
          <w:szCs w:val="16"/>
          <w:color w:val="auto"/>
        </w:rPr>
      </w:pPr>
    </w:p>
    <w:p>
      <w:pPr>
        <w:jc w:val="both"/>
        <w:ind w:firstLine="3"/>
        <w:spacing w:after="0" w:line="259" w:lineRule="auto"/>
        <w:tabs>
          <w:tab w:leader="none" w:pos="859"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Insurance and Social Benefits</w:t>
      </w:r>
      <w:r>
        <w:rPr>
          <w:rFonts w:ascii="Arial" w:cs="Arial" w:eastAsia="Arial" w:hAnsi="Arial"/>
          <w:sz w:val="17"/>
          <w:szCs w:val="17"/>
          <w:color w:val="auto"/>
        </w:rPr>
        <w:t>. BIJ will insure you under an “Manager’s Insurance Scheme” to be selected by BIJ in coordination with you; or if so requested by you under your existing “Manager’s Insurance Scheme” (the “</w:t>
      </w:r>
      <w:r>
        <w:rPr>
          <w:rFonts w:ascii="Arial" w:cs="Arial" w:eastAsia="Arial" w:hAnsi="Arial"/>
          <w:sz w:val="17"/>
          <w:szCs w:val="17"/>
          <w:b w:val="1"/>
          <w:bCs w:val="1"/>
          <w:color w:val="auto"/>
        </w:rPr>
        <w:t>Insurance Scheme</w:t>
      </w:r>
      <w:r>
        <w:rPr>
          <w:rFonts w:ascii="Arial" w:cs="Arial" w:eastAsia="Arial" w:hAnsi="Arial"/>
          <w:sz w:val="17"/>
          <w:szCs w:val="17"/>
          <w:color w:val="auto"/>
        </w:rPr>
        <w:t>”) as follows: (i) BIJ will pay an amount equal to 5% of the Salary towards a fund for life insurance and pension, and shall deduct 5% from the Salary and pay such amount towards the Insurance Scheme for your benefit; (ii) BIJ will pay an amount of up to 2.5% of the Salary towards a fund for the event of loss of working ability (Ovdan Kosher Avoda); and (iii) BIJ will pay an amount equal to 8 1/3% of the Salary towards a fund for severance compensation.</w:t>
      </w:r>
    </w:p>
    <w:p>
      <w:pPr>
        <w:spacing w:after="0" w:line="206"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BIJ together with you will maintain an advanced study fund (Keren Hishtalmut Fund) such that you and BIJ shall contribute to such fund an amount equal to 2.5% and 7.5%, respectively, up to the relevant tax exempt ceiling. Your aforementioned contribution is to be transferred to such fund by BIJ from each monthly Salary payment.</w:t>
      </w:r>
    </w:p>
    <w:p>
      <w:pPr>
        <w:spacing w:after="0" w:line="201"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All amounts paid by BIJ in accordance with this Section will be transferred to you, and all title and rights in the Insurance Scheme shall be assigned to you, upon the termination of your employment in any circumstances other than in case of termination of your employment for Cause, and the same shall constitute the full and only compensation to be paid by BIJ to you in such circumstances.</w:t>
      </w:r>
    </w:p>
    <w:p>
      <w:pPr>
        <w:spacing w:after="0" w:line="201"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color w:val="auto"/>
        </w:rPr>
        <w:t xml:space="preserve">The agreement set forth in this provision is in accordance with Section 14 of the Severance Compensation Law, 1963, and in accordance with the general approval of the Labor Minister, promulgated under said Section 14, regarding employer’s payment to pension fund and insurance fund in lieu of severance pay pursuant to Section 14 of the Severance Compensation Law, 1963; a copy of which is attached hereby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which Schedule shall be signed by both parties to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Additional Benefits</w:t>
      </w:r>
    </w:p>
    <w:p>
      <w:pPr>
        <w:spacing w:after="0" w:line="27" w:lineRule="exact"/>
        <w:rPr>
          <w:sz w:val="20"/>
          <w:szCs w:val="20"/>
          <w:color w:val="auto"/>
        </w:rPr>
      </w:pPr>
    </w:p>
    <w:p>
      <w:pPr>
        <w:jc w:val="both"/>
        <w:ind w:firstLine="3"/>
        <w:spacing w:after="0" w:line="259" w:lineRule="auto"/>
        <w:tabs>
          <w:tab w:leader="none" w:pos="737" w:val="left"/>
        </w:tabs>
        <w:numPr>
          <w:ilvl w:val="0"/>
          <w:numId w:val="57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BIJ will reimburse you for pre approved by your superior, business expenses borne by you, in accordance with BIJ’s policies as determined by BIJ from time to time. As a condition to reimbursement, you shall be required to provide BIJ with all invoices, receipts and other evidence of expenditure as may be reasonably required by BIJ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527685</wp:posOffset>
            </wp:positionV>
            <wp:extent cx="7257415" cy="209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646" w:name="page647"/>
    <w:bookmarkEnd w:id="646"/>
    <w:p>
      <w:pPr>
        <w:jc w:val="center"/>
        <w:spacing w:after="0"/>
        <w:rPr>
          <w:sz w:val="20"/>
          <w:szCs w:val="20"/>
          <w:color w:val="auto"/>
        </w:rPr>
      </w:pPr>
      <w:r>
        <w:rPr>
          <w:rFonts w:ascii="Arial" w:cs="Arial" w:eastAsia="Arial" w:hAnsi="Arial"/>
          <w:sz w:val="17"/>
          <w:szCs w:val="17"/>
          <w:color w:val="auto"/>
        </w:rPr>
        <w:t>-4-</w:t>
      </w:r>
    </w:p>
    <w:p>
      <w:pPr>
        <w:spacing w:after="0" w:line="236" w:lineRule="exact"/>
        <w:rPr>
          <w:sz w:val="20"/>
          <w:szCs w:val="20"/>
          <w:color w:val="auto"/>
        </w:rPr>
      </w:pPr>
    </w:p>
    <w:p>
      <w:pPr>
        <w:jc w:val="both"/>
        <w:ind w:firstLine="3"/>
        <w:spacing w:after="0" w:line="263" w:lineRule="auto"/>
        <w:tabs>
          <w:tab w:leader="none" w:pos="686"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xml:space="preserve">. You shall be entitled to that number of vacation days per year as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and the use of said vacation days will be coordinated with BIJ. In the event that the demands of your activities preclude or limit your ability to actually use such vacation days in any year, you shall be entitled to the balance of the unused vacation only in the next succeeding year or, if unable to take the balance in that next succeeding year, to receive an amount equal to the rate of Salary then applicable to the vacation time not taken during such year.</w:t>
      </w:r>
    </w:p>
    <w:p>
      <w:pPr>
        <w:spacing w:after="0" w:line="203" w:lineRule="exact"/>
        <w:rPr>
          <w:rFonts w:ascii="Arial" w:cs="Arial" w:eastAsia="Arial" w:hAnsi="Arial"/>
          <w:sz w:val="17"/>
          <w:szCs w:val="17"/>
          <w:color w:val="auto"/>
        </w:rPr>
      </w:pPr>
    </w:p>
    <w:p>
      <w:pPr>
        <w:ind w:firstLine="3"/>
        <w:spacing w:after="0" w:line="278" w:lineRule="auto"/>
        <w:tabs>
          <w:tab w:leader="none" w:pos="750"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Sick Leave; Recreation Pay</w:t>
      </w:r>
      <w:r>
        <w:rPr>
          <w:rFonts w:ascii="Arial" w:cs="Arial" w:eastAsia="Arial" w:hAnsi="Arial"/>
          <w:sz w:val="17"/>
          <w:szCs w:val="17"/>
          <w:color w:val="auto"/>
        </w:rPr>
        <w:t>. You shall be entitled to full paid sick leave and Recreation Pay (Dmei Havra’a) pursuant to applicable law and according to BIJ’s policy.</w:t>
      </w:r>
    </w:p>
    <w:p>
      <w:pPr>
        <w:spacing w:after="0" w:line="184" w:lineRule="exact"/>
        <w:rPr>
          <w:rFonts w:ascii="Arial" w:cs="Arial" w:eastAsia="Arial" w:hAnsi="Arial"/>
          <w:sz w:val="17"/>
          <w:szCs w:val="17"/>
          <w:color w:val="auto"/>
        </w:rPr>
      </w:pPr>
    </w:p>
    <w:p>
      <w:pPr>
        <w:jc w:val="both"/>
        <w:ind w:firstLine="3"/>
        <w:spacing w:after="0" w:line="269" w:lineRule="auto"/>
        <w:tabs>
          <w:tab w:leader="none" w:pos="711"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Options</w:t>
      </w:r>
      <w:r>
        <w:rPr>
          <w:rFonts w:ascii="Arial" w:cs="Arial" w:eastAsia="Arial" w:hAnsi="Arial"/>
          <w:sz w:val="17"/>
          <w:szCs w:val="17"/>
          <w:color w:val="auto"/>
        </w:rPr>
        <w:t>. You shall be granted options to purchase Ordinary Shares par value NIS 0.01 each of BioLineRx Ltd., a limited partner of BIJLP (“</w:t>
      </w:r>
      <w:r>
        <w:rPr>
          <w:rFonts w:ascii="Arial" w:cs="Arial" w:eastAsia="Arial" w:hAnsi="Arial"/>
          <w:sz w:val="17"/>
          <w:szCs w:val="17"/>
          <w:b w:val="1"/>
          <w:bCs w:val="1"/>
          <w:color w:val="auto"/>
        </w:rPr>
        <w:t>BioLineRx</w:t>
      </w:r>
      <w:r>
        <w:rPr>
          <w:rFonts w:ascii="Arial" w:cs="Arial" w:eastAsia="Arial" w:hAnsi="Arial"/>
          <w:sz w:val="17"/>
          <w:szCs w:val="17"/>
          <w:color w:val="auto"/>
        </w:rPr>
        <w:t xml:space="preserve">”), in the amount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to be granted pursuant to, and in accordance with, the terms and conditions of the share option plan adopted by the Company (the “</w:t>
      </w:r>
      <w:r>
        <w:rPr>
          <w:rFonts w:ascii="Arial" w:cs="Arial" w:eastAsia="Arial" w:hAnsi="Arial"/>
          <w:sz w:val="17"/>
          <w:szCs w:val="17"/>
          <w:b w:val="1"/>
          <w:bCs w:val="1"/>
          <w:color w:val="auto"/>
        </w:rPr>
        <w:t>Options</w:t>
      </w:r>
      <w:r>
        <w:rPr>
          <w:rFonts w:ascii="Arial" w:cs="Arial" w:eastAsia="Arial" w:hAnsi="Arial"/>
          <w:sz w:val="17"/>
          <w:szCs w:val="17"/>
          <w:color w:val="auto"/>
        </w:rPr>
        <w:t>”).</w:t>
      </w:r>
    </w:p>
    <w:p>
      <w:pPr>
        <w:spacing w:after="0" w:line="197" w:lineRule="exact"/>
        <w:rPr>
          <w:rFonts w:ascii="Arial" w:cs="Arial" w:eastAsia="Arial" w:hAnsi="Arial"/>
          <w:sz w:val="17"/>
          <w:szCs w:val="17"/>
          <w:color w:val="auto"/>
        </w:rPr>
      </w:pPr>
    </w:p>
    <w:p>
      <w:pPr>
        <w:jc w:val="both"/>
        <w:ind w:firstLine="3"/>
        <w:spacing w:after="0" w:line="256" w:lineRule="auto"/>
        <w:tabs>
          <w:tab w:leader="none" w:pos="724"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Automobile</w:t>
      </w:r>
      <w:r>
        <w:rPr>
          <w:rFonts w:ascii="Arial" w:cs="Arial" w:eastAsia="Arial" w:hAnsi="Arial"/>
          <w:sz w:val="17"/>
          <w:szCs w:val="17"/>
          <w:color w:val="auto"/>
        </w:rPr>
        <w:t>. For purposes of performance of your duties and tasks, BIJ shall make available to you a leased automatic automobile, of a type to be elected by BIJ, in accordance with its policies (e.g., Mazda 3, Toyota Corolla) (the “</w:t>
      </w:r>
      <w:r>
        <w:rPr>
          <w:rFonts w:ascii="Arial" w:cs="Arial" w:eastAsia="Arial" w:hAnsi="Arial"/>
          <w:sz w:val="17"/>
          <w:szCs w:val="17"/>
          <w:b w:val="1"/>
          <w:bCs w:val="1"/>
          <w:color w:val="auto"/>
        </w:rPr>
        <w:t>Leased Car</w:t>
      </w:r>
      <w:r>
        <w:rPr>
          <w:rFonts w:ascii="Arial" w:cs="Arial" w:eastAsia="Arial" w:hAnsi="Arial"/>
          <w:sz w:val="17"/>
          <w:szCs w:val="17"/>
          <w:color w:val="auto"/>
        </w:rPr>
        <w:t>”). BIJ shall bear and pay for the cost of fuel, maintenance and repairs, and any insurance deductibles for the Leased Car, in accordance with its policies. You shall be liable for paying any parking and/or traffic fines received in connection herewith, and for indemnification of BIJ in case of negligent use of the Leased Car and/or use of the Leased Car not in accordance with BIJ’s applicable policies. For the avoidance of doubt, you agree and confirm that the cost of the leasing and/or the cost of the use of the Leased Car shall not constitute a component of your Salary, including with regard to social benefits and/or any other right to which you are entitled by virtue of this Agreement or under law. The Leased Car will remain in BIJ’s ownership, and will be returned to BIJ by you at the end of the Notice Period upon termination of your employment with BIJ for any reason, if and as of the date on which your services are no longer required by BIJ.</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7" w:lineRule="exact"/>
        <w:rPr>
          <w:sz w:val="20"/>
          <w:szCs w:val="20"/>
          <w:color w:val="auto"/>
        </w:rPr>
      </w:pPr>
    </w:p>
    <w:p>
      <w:pPr>
        <w:jc w:val="both"/>
        <w:ind w:firstLine="3"/>
        <w:spacing w:after="0" w:line="291" w:lineRule="auto"/>
        <w:tabs>
          <w:tab w:leader="none" w:pos="766" w:val="left"/>
        </w:tabs>
        <w:numPr>
          <w:ilvl w:val="0"/>
          <w:numId w:val="574"/>
        </w:numPr>
        <w:rPr>
          <w:rFonts w:ascii="Arial" w:cs="Arial" w:eastAsia="Arial" w:hAnsi="Arial"/>
          <w:sz w:val="15"/>
          <w:szCs w:val="15"/>
          <w:color w:val="auto"/>
        </w:rPr>
      </w:pPr>
      <w:r>
        <w:rPr>
          <w:rFonts w:ascii="Arial" w:cs="Arial" w:eastAsia="Arial" w:hAnsi="Arial"/>
          <w:sz w:val="15"/>
          <w:szCs w:val="15"/>
          <w:color w:val="auto"/>
        </w:rPr>
        <w:t>The laws of the State of Israel shall apply to this Agreement and the sole and exclusive place of jurisdiction in any matter arising out of or in connection with this Agreement shall be the Tel-Aviv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 you acknowledge and confirm that all terms of your employment are personal and confidential, and undertake to keep such term in confidence and refrain from disclosing such terms to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7257415" cy="209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47" w:name="page648"/>
    <w:bookmarkEnd w:id="647"/>
    <w:p>
      <w:pPr>
        <w:jc w:val="center"/>
        <w:ind w:right="-19"/>
        <w:spacing w:after="0"/>
        <w:rPr>
          <w:sz w:val="20"/>
          <w:szCs w:val="20"/>
          <w:color w:val="auto"/>
        </w:rPr>
      </w:pPr>
      <w:r>
        <w:rPr>
          <w:rFonts w:ascii="Arial" w:cs="Arial" w:eastAsia="Arial" w:hAnsi="Arial"/>
          <w:sz w:val="17"/>
          <w:szCs w:val="17"/>
          <w:color w:val="auto"/>
        </w:rPr>
        <w:t>-5-</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Please indicate your acceptance to the terms of this letter by signing and dating them and returning a counterpart hereof to us. BIJ’s signature on this letter will bind BIJ only if coupled with your signature.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its General Partner, BioLine Innovations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Ltd.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 /s/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14605</wp:posOffset>
            </wp:positionV>
            <wp:extent cx="2352040" cy="1651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352040" cy="1651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Title:Yuri Shoshan,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14605</wp:posOffset>
            </wp:positionV>
            <wp:extent cx="2294890" cy="1651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229489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I, the undersigned, Leah Klapper hereby agree to all terms of this letter, and in witness hereof have signed this letter on this date of 17/2, 2005.</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Signature: /s/ Leah Klapper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-9525</wp:posOffset>
            </wp:positionV>
            <wp:extent cx="116078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48" w:name="page649"/>
    <w:bookmarkEnd w:id="648"/>
    <w:tbl>
      <w:tblPr>
        <w:tblLayout w:type="fixed"/>
        <w:tblInd w:w="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80" w:type="dxa"/>
            <w:vAlign w:val="bottom"/>
          </w:tcPr>
          <w:p>
            <w:pPr>
              <w:jc w:val="center"/>
              <w:ind w:right="2234"/>
              <w:spacing w:after="0"/>
              <w:rPr>
                <w:sz w:val="20"/>
                <w:szCs w:val="20"/>
                <w:color w:val="auto"/>
              </w:rPr>
            </w:pPr>
            <w:r>
              <w:rPr>
                <w:rFonts w:ascii="Arial" w:cs="Arial" w:eastAsia="Arial" w:hAnsi="Arial"/>
                <w:sz w:val="17"/>
                <w:szCs w:val="17"/>
                <w:color w:val="auto"/>
                <w:w w:val="96"/>
              </w:rPr>
              <w:t>-6-</w:t>
            </w:r>
          </w:p>
        </w:tc>
      </w:tr>
      <w:tr>
        <w:trPr>
          <w:trHeight w:val="420"/>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80" w:type="dxa"/>
            <w:vAlign w:val="bottom"/>
          </w:tcPr>
          <w:p>
            <w:pPr>
              <w:jc w:val="center"/>
              <w:ind w:right="2254"/>
              <w:spacing w:after="0"/>
              <w:rPr>
                <w:sz w:val="20"/>
                <w:szCs w:val="20"/>
                <w:color w:val="auto"/>
              </w:rPr>
            </w:pPr>
            <w:r>
              <w:rPr>
                <w:rFonts w:ascii="Arial" w:cs="Arial" w:eastAsia="Arial" w:hAnsi="Arial"/>
                <w:sz w:val="17"/>
                <w:szCs w:val="17"/>
                <w:b w:val="1"/>
                <w:bCs w:val="1"/>
                <w:color w:val="auto"/>
                <w:w w:val="94"/>
              </w:rPr>
              <w:t>Exhibit A</w:t>
            </w:r>
          </w:p>
        </w:tc>
      </w:tr>
      <w:tr>
        <w:trPr>
          <w:trHeight w:val="206"/>
        </w:trPr>
        <w:tc>
          <w:tcPr>
            <w:tcW w:w="3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080" w:type="dxa"/>
            <w:vAlign w:val="bottom"/>
          </w:tcPr>
          <w:p>
            <w:pPr>
              <w:jc w:val="center"/>
              <w:ind w:right="2254"/>
              <w:spacing w:after="0"/>
              <w:rPr>
                <w:sz w:val="20"/>
                <w:szCs w:val="20"/>
                <w:color w:val="auto"/>
              </w:rPr>
            </w:pPr>
            <w:r>
              <w:rPr>
                <w:rFonts w:ascii="Arial" w:cs="Arial" w:eastAsia="Arial" w:hAnsi="Arial"/>
                <w:sz w:val="17"/>
                <w:szCs w:val="17"/>
                <w:b w:val="1"/>
                <w:bCs w:val="1"/>
                <w:color w:val="auto"/>
                <w:w w:val="90"/>
              </w:rPr>
              <w:t>To Personal Employment Agreement by and between BioLine Innovations Jerusalem, L.P.</w:t>
            </w:r>
          </w:p>
        </w:tc>
      </w:tr>
      <w:tr>
        <w:trPr>
          <w:trHeight w:val="223"/>
        </w:trPr>
        <w:tc>
          <w:tcPr>
            <w:tcW w:w="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080" w:type="dxa"/>
            <w:vAlign w:val="bottom"/>
          </w:tcPr>
          <w:p>
            <w:pPr>
              <w:jc w:val="center"/>
              <w:ind w:right="2254"/>
              <w:spacing w:after="0"/>
              <w:rPr>
                <w:sz w:val="20"/>
                <w:szCs w:val="20"/>
                <w:color w:val="auto"/>
              </w:rPr>
            </w:pPr>
            <w:r>
              <w:rPr>
                <w:rFonts w:ascii="Arial" w:cs="Arial" w:eastAsia="Arial" w:hAnsi="Arial"/>
                <w:sz w:val="17"/>
                <w:szCs w:val="17"/>
                <w:b w:val="1"/>
                <w:bCs w:val="1"/>
                <w:color w:val="auto"/>
                <w:w w:val="89"/>
              </w:rPr>
              <w:t>and the Employee whose name is set forth herein</w:t>
            </w:r>
          </w:p>
        </w:tc>
      </w:tr>
      <w:tr>
        <w:trPr>
          <w:trHeight w:val="437"/>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1.</w:t>
            </w:r>
          </w:p>
        </w:tc>
        <w:tc>
          <w:tcPr>
            <w:tcW w:w="1980" w:type="dxa"/>
            <w:vAlign w:val="bottom"/>
          </w:tcPr>
          <w:p>
            <w:pPr>
              <w:ind w:left="220"/>
              <w:spacing w:after="0"/>
              <w:rPr>
                <w:sz w:val="20"/>
                <w:szCs w:val="20"/>
                <w:color w:val="auto"/>
              </w:rPr>
            </w:pPr>
            <w:r>
              <w:rPr>
                <w:rFonts w:ascii="Arial" w:cs="Arial" w:eastAsia="Arial" w:hAnsi="Arial"/>
                <w:sz w:val="17"/>
                <w:szCs w:val="17"/>
                <w:color w:val="auto"/>
              </w:rPr>
              <w:t>Name of Employee:</w:t>
            </w:r>
          </w:p>
        </w:tc>
        <w:tc>
          <w:tcPr>
            <w:tcW w:w="9080" w:type="dxa"/>
            <w:vAlign w:val="bottom"/>
          </w:tcPr>
          <w:p>
            <w:pPr>
              <w:ind w:left="1220"/>
              <w:spacing w:after="0"/>
              <w:rPr>
                <w:sz w:val="20"/>
                <w:szCs w:val="20"/>
                <w:color w:val="auto"/>
              </w:rPr>
            </w:pPr>
            <w:r>
              <w:rPr>
                <w:rFonts w:ascii="Arial" w:cs="Arial" w:eastAsia="Arial" w:hAnsi="Arial"/>
                <w:sz w:val="17"/>
                <w:szCs w:val="17"/>
                <w:color w:val="auto"/>
              </w:rPr>
              <w:t>Leah Klapper</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2.</w:t>
            </w:r>
          </w:p>
        </w:tc>
        <w:tc>
          <w:tcPr>
            <w:tcW w:w="1980" w:type="dxa"/>
            <w:vAlign w:val="bottom"/>
          </w:tcPr>
          <w:p>
            <w:pPr>
              <w:ind w:left="220"/>
              <w:spacing w:after="0"/>
              <w:rPr>
                <w:sz w:val="20"/>
                <w:szCs w:val="20"/>
                <w:color w:val="auto"/>
              </w:rPr>
            </w:pPr>
            <w:r>
              <w:rPr>
                <w:rFonts w:ascii="Arial" w:cs="Arial" w:eastAsia="Arial" w:hAnsi="Arial"/>
                <w:sz w:val="17"/>
                <w:szCs w:val="17"/>
                <w:color w:val="auto"/>
              </w:rPr>
              <w:t>ID No. of Employee:</w:t>
            </w:r>
          </w:p>
        </w:tc>
        <w:tc>
          <w:tcPr>
            <w:tcW w:w="9080" w:type="dxa"/>
            <w:vAlign w:val="bottom"/>
          </w:tcPr>
          <w:p>
            <w:pPr>
              <w:ind w:left="1220"/>
              <w:spacing w:after="0"/>
              <w:rPr>
                <w:sz w:val="20"/>
                <w:szCs w:val="20"/>
                <w:color w:val="auto"/>
              </w:rPr>
            </w:pPr>
            <w:r>
              <w:rPr>
                <w:rFonts w:ascii="Arial" w:cs="Arial" w:eastAsia="Arial" w:hAnsi="Arial"/>
                <w:sz w:val="17"/>
                <w:szCs w:val="17"/>
                <w:color w:val="auto"/>
              </w:rPr>
              <w:t>069474898</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3.</w:t>
            </w:r>
          </w:p>
        </w:tc>
        <w:tc>
          <w:tcPr>
            <w:tcW w:w="1980" w:type="dxa"/>
            <w:vAlign w:val="bottom"/>
          </w:tcPr>
          <w:p>
            <w:pPr>
              <w:ind w:left="220"/>
              <w:spacing w:after="0"/>
              <w:rPr>
                <w:sz w:val="20"/>
                <w:szCs w:val="20"/>
                <w:color w:val="auto"/>
              </w:rPr>
            </w:pPr>
            <w:r>
              <w:rPr>
                <w:rFonts w:ascii="Arial" w:cs="Arial" w:eastAsia="Arial" w:hAnsi="Arial"/>
                <w:sz w:val="17"/>
                <w:szCs w:val="17"/>
                <w:color w:val="auto"/>
              </w:rPr>
              <w:t>Address of Employee:</w:t>
            </w:r>
          </w:p>
        </w:tc>
        <w:tc>
          <w:tcPr>
            <w:tcW w:w="9080" w:type="dxa"/>
            <w:vAlign w:val="bottom"/>
          </w:tcPr>
          <w:p>
            <w:pPr>
              <w:ind w:left="1220"/>
              <w:spacing w:after="0"/>
              <w:rPr>
                <w:sz w:val="20"/>
                <w:szCs w:val="20"/>
                <w:color w:val="auto"/>
              </w:rPr>
            </w:pPr>
            <w:r>
              <w:rPr>
                <w:rFonts w:ascii="Arial" w:cs="Arial" w:eastAsia="Arial" w:hAnsi="Arial"/>
                <w:sz w:val="17"/>
                <w:szCs w:val="17"/>
                <w:color w:val="auto"/>
              </w:rPr>
              <w:t>11 Shapira Street, Apartment #38, Ramat-Gan, 52506</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4.</w:t>
            </w:r>
          </w:p>
        </w:tc>
        <w:tc>
          <w:tcPr>
            <w:tcW w:w="1980" w:type="dxa"/>
            <w:vAlign w:val="bottom"/>
          </w:tcPr>
          <w:p>
            <w:pPr>
              <w:ind w:left="220"/>
              <w:spacing w:after="0"/>
              <w:rPr>
                <w:sz w:val="20"/>
                <w:szCs w:val="20"/>
                <w:color w:val="auto"/>
              </w:rPr>
            </w:pPr>
            <w:r>
              <w:rPr>
                <w:rFonts w:ascii="Arial" w:cs="Arial" w:eastAsia="Arial" w:hAnsi="Arial"/>
                <w:sz w:val="17"/>
                <w:szCs w:val="17"/>
                <w:color w:val="auto"/>
              </w:rPr>
              <w:t>Position in BIJ:</w:t>
            </w:r>
          </w:p>
        </w:tc>
        <w:tc>
          <w:tcPr>
            <w:tcW w:w="9080" w:type="dxa"/>
            <w:vAlign w:val="bottom"/>
          </w:tcPr>
          <w:p>
            <w:pPr>
              <w:ind w:left="1220"/>
              <w:spacing w:after="0"/>
              <w:rPr>
                <w:sz w:val="20"/>
                <w:szCs w:val="20"/>
                <w:color w:val="auto"/>
              </w:rPr>
            </w:pPr>
            <w:r>
              <w:rPr>
                <w:rFonts w:ascii="Arial" w:cs="Arial" w:eastAsia="Arial" w:hAnsi="Arial"/>
                <w:sz w:val="17"/>
                <w:szCs w:val="17"/>
                <w:color w:val="auto"/>
              </w:rPr>
              <w:t>Vice President of Pre-Clinical Development</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5.</w:t>
            </w:r>
          </w:p>
        </w:tc>
        <w:tc>
          <w:tcPr>
            <w:tcW w:w="1980" w:type="dxa"/>
            <w:vAlign w:val="bottom"/>
          </w:tcPr>
          <w:p>
            <w:pPr>
              <w:ind w:left="220"/>
              <w:spacing w:after="0"/>
              <w:rPr>
                <w:sz w:val="20"/>
                <w:szCs w:val="20"/>
                <w:color w:val="auto"/>
              </w:rPr>
            </w:pPr>
            <w:r>
              <w:rPr>
                <w:rFonts w:ascii="Arial" w:cs="Arial" w:eastAsia="Arial" w:hAnsi="Arial"/>
                <w:sz w:val="17"/>
                <w:szCs w:val="17"/>
                <w:color w:val="auto"/>
              </w:rPr>
              <w:t>Commencement Date:</w:t>
            </w:r>
          </w:p>
        </w:tc>
        <w:tc>
          <w:tcPr>
            <w:tcW w:w="9080" w:type="dxa"/>
            <w:vAlign w:val="bottom"/>
          </w:tcPr>
          <w:p>
            <w:pPr>
              <w:ind w:left="1220"/>
              <w:spacing w:after="0"/>
              <w:rPr>
                <w:sz w:val="20"/>
                <w:szCs w:val="20"/>
                <w:color w:val="auto"/>
              </w:rPr>
            </w:pPr>
            <w:r>
              <w:rPr>
                <w:rFonts w:ascii="Arial" w:cs="Arial" w:eastAsia="Arial" w:hAnsi="Arial"/>
                <w:sz w:val="17"/>
                <w:szCs w:val="17"/>
                <w:color w:val="auto"/>
              </w:rPr>
              <w:t>January 1, 2005</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6.</w:t>
            </w:r>
          </w:p>
        </w:tc>
        <w:tc>
          <w:tcPr>
            <w:tcW w:w="1980" w:type="dxa"/>
            <w:vAlign w:val="bottom"/>
          </w:tcPr>
          <w:p>
            <w:pPr>
              <w:ind w:left="220"/>
              <w:spacing w:after="0"/>
              <w:rPr>
                <w:sz w:val="20"/>
                <w:szCs w:val="20"/>
                <w:color w:val="auto"/>
              </w:rPr>
            </w:pPr>
            <w:r>
              <w:rPr>
                <w:rFonts w:ascii="Arial" w:cs="Arial" w:eastAsia="Arial" w:hAnsi="Arial"/>
                <w:sz w:val="17"/>
                <w:szCs w:val="17"/>
                <w:color w:val="auto"/>
              </w:rPr>
              <w:t>Notice Period:</w:t>
            </w:r>
          </w:p>
        </w:tc>
        <w:tc>
          <w:tcPr>
            <w:tcW w:w="9080" w:type="dxa"/>
            <w:vAlign w:val="bottom"/>
          </w:tcPr>
          <w:p>
            <w:pPr>
              <w:ind w:left="1220"/>
              <w:spacing w:after="0"/>
              <w:rPr>
                <w:sz w:val="20"/>
                <w:szCs w:val="20"/>
                <w:color w:val="auto"/>
              </w:rPr>
            </w:pPr>
            <w:r>
              <w:rPr>
                <w:rFonts w:ascii="Arial" w:cs="Arial" w:eastAsia="Arial" w:hAnsi="Arial"/>
                <w:sz w:val="17"/>
                <w:szCs w:val="17"/>
                <w:color w:val="auto"/>
              </w:rPr>
              <w:t>30 days</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7.</w:t>
            </w:r>
          </w:p>
        </w:tc>
        <w:tc>
          <w:tcPr>
            <w:tcW w:w="1980" w:type="dxa"/>
            <w:vAlign w:val="bottom"/>
          </w:tcPr>
          <w:p>
            <w:pPr>
              <w:ind w:left="220"/>
              <w:spacing w:after="0"/>
              <w:rPr>
                <w:sz w:val="20"/>
                <w:szCs w:val="20"/>
                <w:color w:val="auto"/>
              </w:rPr>
            </w:pPr>
            <w:r>
              <w:rPr>
                <w:rFonts w:ascii="Arial" w:cs="Arial" w:eastAsia="Arial" w:hAnsi="Arial"/>
                <w:sz w:val="17"/>
                <w:szCs w:val="17"/>
                <w:color w:val="auto"/>
              </w:rPr>
              <w:t>Salary:</w:t>
            </w:r>
          </w:p>
        </w:tc>
        <w:tc>
          <w:tcPr>
            <w:tcW w:w="9080" w:type="dxa"/>
            <w:vAlign w:val="bottom"/>
          </w:tcPr>
          <w:p>
            <w:pPr>
              <w:ind w:left="1220"/>
              <w:spacing w:after="0"/>
              <w:rPr>
                <w:sz w:val="20"/>
                <w:szCs w:val="20"/>
                <w:color w:val="auto"/>
              </w:rPr>
            </w:pPr>
            <w:r>
              <w:rPr>
                <w:rFonts w:ascii="Arial" w:cs="Arial" w:eastAsia="Arial" w:hAnsi="Arial"/>
                <w:sz w:val="17"/>
                <w:szCs w:val="17"/>
                <w:color w:val="auto"/>
              </w:rPr>
              <w:t>NIS 25,000 (Gross)</w:t>
            </w:r>
          </w:p>
        </w:tc>
      </w:tr>
      <w:tr>
        <w:trPr>
          <w:trHeight w:val="401"/>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80" w:type="dxa"/>
            <w:vAlign w:val="bottom"/>
          </w:tcPr>
          <w:p>
            <w:pPr>
              <w:ind w:left="1220"/>
              <w:spacing w:after="0"/>
              <w:rPr>
                <w:sz w:val="20"/>
                <w:szCs w:val="20"/>
                <w:color w:val="auto"/>
              </w:rPr>
            </w:pPr>
            <w:r>
              <w:rPr>
                <w:rFonts w:ascii="Arial" w:cs="Arial" w:eastAsia="Arial" w:hAnsi="Arial"/>
                <w:sz w:val="17"/>
                <w:szCs w:val="17"/>
                <w:color w:val="auto"/>
                <w:w w:val="92"/>
              </w:rPr>
              <w:t>50,000 options. For the avoidance of doubt, the aforementioned number of options has already been promised to</w:t>
            </w:r>
          </w:p>
        </w:tc>
      </w:tr>
      <w:tr>
        <w:trPr>
          <w:trHeight w:val="206"/>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8.</w:t>
            </w:r>
          </w:p>
        </w:tc>
        <w:tc>
          <w:tcPr>
            <w:tcW w:w="1980" w:type="dxa"/>
            <w:vAlign w:val="bottom"/>
          </w:tcPr>
          <w:p>
            <w:pPr>
              <w:ind w:left="220"/>
              <w:spacing w:after="0"/>
              <w:rPr>
                <w:sz w:val="20"/>
                <w:szCs w:val="20"/>
                <w:color w:val="auto"/>
              </w:rPr>
            </w:pPr>
            <w:r>
              <w:rPr>
                <w:rFonts w:ascii="Arial" w:cs="Arial" w:eastAsia="Arial" w:hAnsi="Arial"/>
                <w:sz w:val="17"/>
                <w:szCs w:val="17"/>
                <w:color w:val="auto"/>
              </w:rPr>
              <w:t>Options</w:t>
            </w:r>
          </w:p>
        </w:tc>
        <w:tc>
          <w:tcPr>
            <w:tcW w:w="9080" w:type="dxa"/>
            <w:vAlign w:val="bottom"/>
          </w:tcPr>
          <w:p>
            <w:pPr>
              <w:ind w:left="1220"/>
              <w:spacing w:after="0"/>
              <w:rPr>
                <w:sz w:val="20"/>
                <w:szCs w:val="20"/>
                <w:color w:val="auto"/>
              </w:rPr>
            </w:pPr>
            <w:r>
              <w:rPr>
                <w:rFonts w:ascii="Arial" w:cs="Arial" w:eastAsia="Arial" w:hAnsi="Arial"/>
                <w:sz w:val="17"/>
                <w:szCs w:val="17"/>
                <w:color w:val="auto"/>
                <w:w w:val="98"/>
              </w:rPr>
              <w:t xml:space="preserve">you by BioLineRx directly pursuant to a past employment agreement with BioLineRx, and this </w:t>
            </w:r>
            <w:r>
              <w:rPr>
                <w:rFonts w:ascii="Arial" w:cs="Arial" w:eastAsia="Arial" w:hAnsi="Arial"/>
                <w:sz w:val="17"/>
                <w:szCs w:val="17"/>
                <w:b w:val="1"/>
                <w:bCs w:val="1"/>
                <w:i w:val="1"/>
                <w:iCs w:val="1"/>
                <w:color w:val="auto"/>
                <w:w w:val="98"/>
              </w:rPr>
              <w:t>DOES NOT</w:t>
            </w:r>
          </w:p>
        </w:tc>
      </w:tr>
      <w:tr>
        <w:trPr>
          <w:trHeight w:val="217"/>
        </w:trPr>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80" w:type="dxa"/>
            <w:vAlign w:val="bottom"/>
          </w:tcPr>
          <w:p>
            <w:pPr>
              <w:ind w:left="1220"/>
              <w:spacing w:after="0"/>
              <w:rPr>
                <w:sz w:val="20"/>
                <w:szCs w:val="20"/>
                <w:color w:val="auto"/>
              </w:rPr>
            </w:pPr>
            <w:r>
              <w:rPr>
                <w:rFonts w:ascii="Arial" w:cs="Arial" w:eastAsia="Arial" w:hAnsi="Arial"/>
                <w:sz w:val="17"/>
                <w:szCs w:val="17"/>
                <w:color w:val="auto"/>
              </w:rPr>
              <w:t>constitute an additional promise of options.</w:t>
            </w:r>
          </w:p>
        </w:tc>
      </w:tr>
      <w:tr>
        <w:trPr>
          <w:trHeight w:val="412"/>
        </w:trPr>
        <w:tc>
          <w:tcPr>
            <w:tcW w:w="360" w:type="dxa"/>
            <w:vAlign w:val="bottom"/>
          </w:tcPr>
          <w:p>
            <w:pPr>
              <w:jc w:val="right"/>
              <w:ind w:right="134"/>
              <w:spacing w:after="0"/>
              <w:rPr>
                <w:sz w:val="20"/>
                <w:szCs w:val="20"/>
                <w:color w:val="auto"/>
              </w:rPr>
            </w:pPr>
            <w:r>
              <w:rPr>
                <w:rFonts w:ascii="Arial" w:cs="Arial" w:eastAsia="Arial" w:hAnsi="Arial"/>
                <w:sz w:val="17"/>
                <w:szCs w:val="17"/>
                <w:color w:val="auto"/>
                <w:w w:val="84"/>
              </w:rPr>
              <w:t>9.</w:t>
            </w:r>
          </w:p>
        </w:tc>
        <w:tc>
          <w:tcPr>
            <w:tcW w:w="1980" w:type="dxa"/>
            <w:vAlign w:val="bottom"/>
          </w:tcPr>
          <w:p>
            <w:pPr>
              <w:ind w:left="220"/>
              <w:spacing w:after="0"/>
              <w:rPr>
                <w:sz w:val="20"/>
                <w:szCs w:val="20"/>
                <w:color w:val="auto"/>
              </w:rPr>
            </w:pPr>
            <w:r>
              <w:rPr>
                <w:rFonts w:ascii="Arial" w:cs="Arial" w:eastAsia="Arial" w:hAnsi="Arial"/>
                <w:sz w:val="17"/>
                <w:szCs w:val="17"/>
                <w:color w:val="auto"/>
                <w:w w:val="93"/>
              </w:rPr>
              <w:t>Vacation Days Per Year:</w:t>
            </w:r>
          </w:p>
        </w:tc>
        <w:tc>
          <w:tcPr>
            <w:tcW w:w="9080" w:type="dxa"/>
            <w:vAlign w:val="bottom"/>
          </w:tcPr>
          <w:p>
            <w:pPr>
              <w:ind w:left="1220"/>
              <w:spacing w:after="0"/>
              <w:rPr>
                <w:sz w:val="20"/>
                <w:szCs w:val="20"/>
                <w:color w:val="auto"/>
              </w:rPr>
            </w:pPr>
            <w:r>
              <w:rPr>
                <w:rFonts w:ascii="Arial" w:cs="Arial" w:eastAsia="Arial" w:hAnsi="Arial"/>
                <w:sz w:val="17"/>
                <w:szCs w:val="17"/>
                <w:color w:val="auto"/>
              </w:rPr>
              <w:t>21 days</w:t>
            </w:r>
          </w:p>
        </w:tc>
      </w:tr>
      <w:tr>
        <w:trPr>
          <w:trHeight w:val="628"/>
        </w:trPr>
        <w:tc>
          <w:tcPr>
            <w:tcW w:w="3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49" w:name="page650"/>
    <w:bookmarkEnd w:id="649"/>
    <w:p>
      <w:pPr>
        <w:jc w:val="center"/>
        <w:spacing w:after="0"/>
        <w:rPr>
          <w:sz w:val="20"/>
          <w:szCs w:val="20"/>
          <w:color w:val="auto"/>
        </w:rPr>
      </w:pPr>
      <w:r>
        <w:rPr>
          <w:rFonts w:ascii="Arial" w:cs="Arial" w:eastAsia="Arial" w:hAnsi="Arial"/>
          <w:sz w:val="17"/>
          <w:szCs w:val="17"/>
          <w:color w:val="auto"/>
        </w:rPr>
        <w:t>-7-</w:t>
      </w:r>
    </w:p>
    <w:p>
      <w:pPr>
        <w:spacing w:after="0" w:line="236"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B</w:t>
      </w:r>
    </w:p>
    <w:p>
      <w:pPr>
        <w:spacing w:after="0" w:line="27" w:lineRule="exact"/>
        <w:rPr>
          <w:sz w:val="20"/>
          <w:szCs w:val="20"/>
          <w:color w:val="auto"/>
        </w:rPr>
      </w:pPr>
    </w:p>
    <w:p>
      <w:pPr>
        <w:ind w:left="2420"/>
        <w:spacing w:after="0"/>
        <w:rPr>
          <w:sz w:val="20"/>
          <w:szCs w:val="20"/>
          <w:color w:val="auto"/>
        </w:rPr>
      </w:pPr>
      <w:r>
        <w:rPr>
          <w:rFonts w:ascii="Arial" w:cs="Arial" w:eastAsia="Arial" w:hAnsi="Arial"/>
          <w:sz w:val="15"/>
          <w:szCs w:val="15"/>
          <w:b w:val="1"/>
          <w:bCs w:val="1"/>
          <w:color w:val="auto"/>
        </w:rPr>
        <w:t>To Personal Employment Agreement by and between BioLine Innovations Jerusalem, L.P.</w:t>
      </w:r>
    </w:p>
    <w:p>
      <w:pPr>
        <w:spacing w:after="0" w:line="3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and the Employee whose name is set forth herein</w:t>
      </w:r>
    </w:p>
    <w:p>
      <w:pPr>
        <w:sectPr>
          <w:pgSz w:w="11900" w:h="16838" w:orient="portrait"/>
          <w:cols w:equalWidth="0" w:num="1">
            <w:col w:w="11420"/>
          </w:cols>
          <w:pgMar w:left="240" w:top="269"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Name of Employee: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Leah Klapper</w:t>
      </w:r>
    </w:p>
    <w:p>
      <w:pPr>
        <w:spacing w:after="0" w:line="200" w:lineRule="exact"/>
        <w:rPr>
          <w:sz w:val="20"/>
          <w:szCs w:val="20"/>
          <w:color w:val="auto"/>
        </w:rPr>
      </w:pPr>
    </w:p>
    <w:p>
      <w:pPr>
        <w:sectPr>
          <w:pgSz w:w="11900" w:h="16838" w:orient="portrait"/>
          <w:cols w:equalWidth="0" w:num="2">
            <w:col w:w="3920" w:space="720"/>
            <w:col w:w="6780"/>
          </w:cols>
          <w:pgMar w:left="240" w:top="269"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ID No. of Employee: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069474898</w:t>
      </w:r>
    </w:p>
    <w:p>
      <w:pPr>
        <w:spacing w:after="0" w:line="211" w:lineRule="exact"/>
        <w:rPr>
          <w:sz w:val="20"/>
          <w:szCs w:val="20"/>
          <w:color w:val="auto"/>
        </w:rPr>
      </w:pPr>
    </w:p>
    <w:p>
      <w:pPr>
        <w:sectPr>
          <w:pgSz w:w="11900" w:h="16838" w:orient="portrait"/>
          <w:cols w:equalWidth="0" w:num="2">
            <w:col w:w="3920" w:space="720"/>
            <w:col w:w="6780"/>
          </w:cols>
          <w:pgMar w:left="240" w:top="269" w:right="239" w:bottom="1440" w:gutter="0" w:footer="0" w:header="0"/>
          <w:type w:val="continuous"/>
        </w:sectPr>
      </w:pPr>
    </w:p>
    <w:p>
      <w:pPr>
        <w:spacing w:after="0" w:line="47" w:lineRule="exact"/>
        <w:rPr>
          <w:sz w:val="20"/>
          <w:szCs w:val="20"/>
          <w:color w:val="auto"/>
        </w:rPr>
      </w:pPr>
    </w:p>
    <w:p>
      <w:pPr>
        <w:ind w:left="640" w:hanging="637"/>
        <w:spacing w:after="0"/>
        <w:tabs>
          <w:tab w:leader="none" w:pos="640" w:val="left"/>
        </w:tabs>
        <w:numPr>
          <w:ilvl w:val="0"/>
          <w:numId w:val="575"/>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p>
    <w:p>
      <w:pPr>
        <w:spacing w:after="0" w:line="27"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color w:val="auto"/>
        </w:rPr>
        <w:t>All the capitalized terms herein shall have the meanings ascribed to them in the Letter of Agreement to which this Exhibit is attached (the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any undertaking of the Employee toward BIJ, the term BIJ shall specifically include BioLineRX Ltd., BioLine Innovations Jerusalem Ltd. and any and all subsidiaries and affiliates of BIJ.</w:t>
      </w:r>
    </w:p>
    <w:p>
      <w:pPr>
        <w:spacing w:after="0" w:line="205" w:lineRule="exact"/>
        <w:rPr>
          <w:sz w:val="20"/>
          <w:szCs w:val="20"/>
          <w:color w:val="auto"/>
        </w:rPr>
      </w:pPr>
    </w:p>
    <w:p>
      <w:pPr>
        <w:jc w:val="both"/>
        <w:ind w:firstLine="617"/>
        <w:spacing w:after="0" w:line="347" w:lineRule="auto"/>
        <w:rPr>
          <w:sz w:val="20"/>
          <w:szCs w:val="20"/>
          <w:color w:val="auto"/>
        </w:rPr>
      </w:pPr>
      <w:r>
        <w:rPr>
          <w:rFonts w:ascii="Arial" w:cs="Arial" w:eastAsia="Arial" w:hAnsi="Arial"/>
          <w:sz w:val="15"/>
          <w:szCs w:val="15"/>
          <w:color w:val="auto"/>
        </w:rPr>
        <w:t>The Employee’s obligations and representations and BIJ’s rights under this Exhibit shall apply as of the Commencement Date of the employment relationship between BIJ and the Employee, and as of the first time the Employee became engaged with BIJ, regardless of the date of execution of the Agreement.</w:t>
      </w:r>
    </w:p>
    <w:p>
      <w:pPr>
        <w:spacing w:after="0" w:line="138" w:lineRule="exact"/>
        <w:rPr>
          <w:sz w:val="20"/>
          <w:szCs w:val="20"/>
          <w:color w:val="auto"/>
        </w:rPr>
      </w:pPr>
    </w:p>
    <w:p>
      <w:pPr>
        <w:ind w:left="600" w:hanging="597"/>
        <w:spacing w:after="0"/>
        <w:tabs>
          <w:tab w:leader="none" w:pos="600" w:val="left"/>
        </w:tabs>
        <w:numPr>
          <w:ilvl w:val="0"/>
          <w:numId w:val="576"/>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Proprietary Information</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Proprietary Information</w:t>
      </w:r>
      <w:r>
        <w:rPr>
          <w:rFonts w:ascii="Arial" w:cs="Arial" w:eastAsia="Arial" w:hAnsi="Arial"/>
          <w:sz w:val="16"/>
          <w:szCs w:val="16"/>
          <w:color w:val="auto"/>
        </w:rPr>
        <w:t>” means confidential and proprietary information concerning the business and financial activities of BIJ, including</w:t>
      </w:r>
    </w:p>
    <w:p>
      <w:pPr>
        <w:spacing w:after="0" w:line="1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patents, patent applications, trademarks, copyrights and other intellectual property, and information relating to the same, technologies and products (actual or planned), know 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information of the same nature which BIJ may obtain or receive from third parties.</w:t>
      </w:r>
    </w:p>
    <w:p>
      <w:pPr>
        <w:spacing w:after="0" w:line="210" w:lineRule="exact"/>
        <w:rPr>
          <w:sz w:val="20"/>
          <w:szCs w:val="20"/>
          <w:color w:val="auto"/>
        </w:rPr>
      </w:pPr>
    </w:p>
    <w:p>
      <w:pPr>
        <w:jc w:val="both"/>
        <w:ind w:firstLine="617"/>
        <w:spacing w:after="0" w:line="282" w:lineRule="auto"/>
        <w:rPr>
          <w:sz w:val="20"/>
          <w:szCs w:val="20"/>
          <w:color w:val="auto"/>
        </w:rPr>
      </w:pPr>
      <w:r>
        <w:rPr>
          <w:rFonts w:ascii="Arial" w:cs="Arial" w:eastAsia="Arial" w:hAnsi="Arial"/>
          <w:sz w:val="16"/>
          <w:szCs w:val="16"/>
          <w:color w:val="auto"/>
        </w:rPr>
        <w:t>2.2. Proprietary Information shall be deemed to include any and all proprietary information disclosed by or on behalf of BIJ and irrespective of form but excluding information that (i) was known to Employee prior to Employee’s association with BIJ and can be so proven; (ii) is or shall become part of the public knowledge except as a result of the breach of the Agreement or this Exhibit by the Employee; (iii) reflects general skills and experience gained during Employee’s engagement by BIJ; or (iv) reflects information and data generally known in the industries or trades in which BIJ operates.</w:t>
      </w:r>
    </w:p>
    <w:p>
      <w:pPr>
        <w:spacing w:after="0" w:line="190"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 xml:space="preserve">2.3. Employee recognizes that BIJ received and will receive confidential or proprietary information from third parties (specifically including the entities referred to in Section 1 above), subject to a duty on BIJ’s part to maintain the confidentiality of such information and to use it only for certain limited purposes. In connection with such duties, such information shall be deemed Proprietary Information hereunder,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01" w:lineRule="exact"/>
        <w:rPr>
          <w:sz w:val="20"/>
          <w:szCs w:val="20"/>
          <w:color w:val="auto"/>
        </w:rPr>
      </w:pPr>
    </w:p>
    <w:p>
      <w:pPr>
        <w:jc w:val="both"/>
        <w:ind w:firstLine="617"/>
        <w:spacing w:after="0" w:line="282" w:lineRule="auto"/>
        <w:rPr>
          <w:sz w:val="20"/>
          <w:szCs w:val="20"/>
          <w:color w:val="auto"/>
        </w:rPr>
      </w:pPr>
      <w:r>
        <w:rPr>
          <w:rFonts w:ascii="Arial" w:cs="Arial" w:eastAsia="Arial" w:hAnsi="Arial"/>
          <w:sz w:val="16"/>
          <w:szCs w:val="16"/>
          <w:color w:val="auto"/>
        </w:rPr>
        <w:t>2.4 Employee agrees that all Proprietary Information, and patents, trademarks, copyrights and other intellectual property and ownership rights in connection therewith shall be the sole property of BIJ and its assigns. At all times, both during Employee’s engagement by BIJ and after Employee’s termination, Employee will keep in confidence and trust all Proprietary Information, and the Employee will not use or disclose any Proprietary Information or anything relating to it without the written consent of BIJ, except as may be necessary in the ordinary course of performing Employee’s duties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650" w:name="page651"/>
    <w:bookmarkEnd w:id="650"/>
    <w:p>
      <w:pPr>
        <w:jc w:val="center"/>
        <w:spacing w:after="0"/>
        <w:rPr>
          <w:sz w:val="20"/>
          <w:szCs w:val="20"/>
          <w:color w:val="auto"/>
        </w:rPr>
      </w:pPr>
      <w:r>
        <w:rPr>
          <w:rFonts w:ascii="Arial" w:cs="Arial" w:eastAsia="Arial" w:hAnsi="Arial"/>
          <w:sz w:val="17"/>
          <w:szCs w:val="17"/>
          <w:color w:val="auto"/>
        </w:rPr>
        <w:t>-8-</w:t>
      </w:r>
    </w:p>
    <w:p>
      <w:pPr>
        <w:spacing w:after="0" w:line="242" w:lineRule="exact"/>
        <w:rPr>
          <w:sz w:val="20"/>
          <w:szCs w:val="20"/>
          <w:color w:val="auto"/>
        </w:rPr>
      </w:pPr>
    </w:p>
    <w:p>
      <w:pPr>
        <w:ind w:firstLine="617"/>
        <w:spacing w:after="0" w:line="311" w:lineRule="auto"/>
        <w:rPr>
          <w:sz w:val="20"/>
          <w:szCs w:val="20"/>
          <w:color w:val="auto"/>
        </w:rPr>
      </w:pPr>
      <w:r>
        <w:rPr>
          <w:rFonts w:ascii="Arial" w:cs="Arial" w:eastAsia="Arial" w:hAnsi="Arial"/>
          <w:sz w:val="16"/>
          <w:szCs w:val="16"/>
          <w:color w:val="auto"/>
        </w:rPr>
        <w:t>2.5. Upon termination of Employee’s employment with BIJ, Employee will promptly deliver to BIJ all documents and materials of any nature pertaining to Employee’s work with BIJ, and will not take with Employee any documents or materials or copies thereof containing any Proprietary Information.</w:t>
      </w:r>
    </w:p>
    <w:p>
      <w:pPr>
        <w:spacing w:after="0" w:line="166"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Employee’s undertakings set forth in this Section 2 shall remain in full force and effect after termination of this Agreement or any renewal thereof.</w:t>
      </w:r>
    </w:p>
    <w:p>
      <w:pPr>
        <w:spacing w:after="0" w:line="236" w:lineRule="exact"/>
        <w:rPr>
          <w:sz w:val="20"/>
          <w:szCs w:val="20"/>
          <w:color w:val="auto"/>
        </w:rPr>
      </w:pPr>
    </w:p>
    <w:p>
      <w:pPr>
        <w:ind w:left="600" w:hanging="597"/>
        <w:spacing w:after="0"/>
        <w:tabs>
          <w:tab w:leader="none" w:pos="600" w:val="left"/>
        </w:tabs>
        <w:numPr>
          <w:ilvl w:val="0"/>
          <w:numId w:val="577"/>
        </w:numPr>
        <w:rPr>
          <w:rFonts w:ascii="Arial" w:cs="Arial" w:eastAsia="Arial" w:hAnsi="Arial"/>
          <w:sz w:val="17"/>
          <w:szCs w:val="17"/>
          <w:color w:val="auto"/>
        </w:rPr>
      </w:pPr>
      <w:r>
        <w:rPr>
          <w:rFonts w:ascii="Arial" w:cs="Arial" w:eastAsia="Arial" w:hAnsi="Arial"/>
          <w:sz w:val="17"/>
          <w:szCs w:val="17"/>
          <w:b w:val="1"/>
          <w:bCs w:val="1"/>
          <w:u w:val="single" w:color="auto"/>
          <w:color w:val="auto"/>
        </w:rPr>
        <w:t>Disclosure and Assignment of Inventions</w:t>
      </w:r>
    </w:p>
    <w:p>
      <w:pPr>
        <w:spacing w:after="0" w:line="27"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color w:val="auto"/>
        </w:rPr>
        <w:t>3.1. “</w:t>
      </w:r>
      <w:r>
        <w:rPr>
          <w:rFonts w:ascii="Arial" w:cs="Arial" w:eastAsia="Arial" w:hAnsi="Arial"/>
          <w:sz w:val="16"/>
          <w:szCs w:val="16"/>
          <w:b w:val="1"/>
          <w:bCs w:val="1"/>
          <w:color w:val="auto"/>
        </w:rPr>
        <w:t>Inventions</w:t>
      </w:r>
      <w:r>
        <w:rPr>
          <w:rFonts w:ascii="Arial" w:cs="Arial" w:eastAsia="Arial" w:hAnsi="Arial"/>
          <w:sz w:val="16"/>
          <w:szCs w:val="16"/>
          <w:color w:val="auto"/>
        </w:rPr>
        <w:t>” means any and all inventions, improvements, designs, concepts, techniques, methods, systems, processes, know how, computer software programs, databases, mask works and trade secrets, whether or not patentable, copyrightable or protectible as trade secrets; “</w:t>
      </w:r>
      <w:r>
        <w:rPr>
          <w:rFonts w:ascii="Arial" w:cs="Arial" w:eastAsia="Arial" w:hAnsi="Arial"/>
          <w:sz w:val="16"/>
          <w:szCs w:val="16"/>
          <w:b w:val="1"/>
          <w:bCs w:val="1"/>
          <w:color w:val="auto"/>
        </w:rPr>
        <w:t>BIJ Inventions</w:t>
      </w:r>
      <w:r>
        <w:rPr>
          <w:rFonts w:ascii="Arial" w:cs="Arial" w:eastAsia="Arial" w:hAnsi="Arial"/>
          <w:sz w:val="16"/>
          <w:szCs w:val="16"/>
          <w:color w:val="auto"/>
        </w:rPr>
        <w:t>” means any Inventions that are made or conceived or first reduced to practice or created by Employee, whether alone or jointly with others, during the period of Employee’s employment with BIJ, and which: (i) are developed using equipment, supplies, facilities or Proprietary Information of BIJ, (ii) result from work performed by Employee for BIJ, or (iii) related to the field of business of BIJ, or to specific fields of research and development undertake by BIJ.</w:t>
      </w:r>
    </w:p>
    <w:p>
      <w:pPr>
        <w:spacing w:after="0" w:line="196"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Employee undertakes and covenants that Employee will promptly disclose in confidence to BIJ all Inventions deemed as BIJ Inventions.</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3.3. Employee hereby irrevocably transfers and assigns to BIJ all worldwide patents, patent applications, copyrights, mask works, trade secrets and other intellectual property rights in any BIJ Invention, and any and all moral rights that Employee may have in or with respect to any BIJ Invention.</w:t>
      </w:r>
    </w:p>
    <w:p>
      <w:pPr>
        <w:spacing w:after="0" w:line="190" w:lineRule="exact"/>
        <w:rPr>
          <w:sz w:val="20"/>
          <w:szCs w:val="20"/>
          <w:color w:val="auto"/>
        </w:rPr>
      </w:pPr>
    </w:p>
    <w:p>
      <w:pPr>
        <w:jc w:val="both"/>
        <w:ind w:firstLine="617"/>
        <w:spacing w:after="0" w:line="295" w:lineRule="auto"/>
        <w:rPr>
          <w:sz w:val="20"/>
          <w:szCs w:val="20"/>
          <w:color w:val="auto"/>
        </w:rPr>
      </w:pPr>
      <w:r>
        <w:rPr>
          <w:rFonts w:ascii="Arial" w:cs="Arial" w:eastAsia="Arial" w:hAnsi="Arial"/>
          <w:sz w:val="15"/>
          <w:szCs w:val="15"/>
          <w:color w:val="auto"/>
        </w:rPr>
        <w:t>3.4. Employee agrees to assist BIJ, at BIJ’s expense, in every proper way to obtain for BIJ and enforce patents, copyrights, mask work rights, and other legal protections for BIJ Inventions in any and all countries. Employee will execute any documents that BIJ may reasonably request for use in obtaining or enforcing such patents, copyrights, mask work rights, trade secrets and other legal protections. Such obligation shall continue beyond the termination of Employee’s employment with BIJ. Employee hereby irrevocably designates and appoints BIJ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BIJ Inventions), and to do all other lawfully permitted acts to further the prosecution and issuance of patents, copyrights, trademarks, trade secrets or any other right or protection relating to any Proprietary Information (including BIJ Inventions), with the same legal force and effect as if executed by Employee himself.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57415" cy="209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51" w:name="page652"/>
    <w:bookmarkEnd w:id="651"/>
    <w:p>
      <w:pPr>
        <w:jc w:val="center"/>
        <w:spacing w:after="0"/>
        <w:rPr>
          <w:sz w:val="20"/>
          <w:szCs w:val="20"/>
          <w:color w:val="auto"/>
        </w:rPr>
      </w:pPr>
      <w:r>
        <w:rPr>
          <w:rFonts w:ascii="Arial" w:cs="Arial" w:eastAsia="Arial" w:hAnsi="Arial"/>
          <w:sz w:val="17"/>
          <w:szCs w:val="17"/>
          <w:color w:val="auto"/>
        </w:rPr>
        <w:t>-9-</w:t>
      </w:r>
    </w:p>
    <w:p>
      <w:pPr>
        <w:spacing w:after="0" w:line="236" w:lineRule="exact"/>
        <w:rPr>
          <w:sz w:val="20"/>
          <w:szCs w:val="20"/>
          <w:color w:val="auto"/>
        </w:rPr>
      </w:pPr>
    </w:p>
    <w:p>
      <w:pPr>
        <w:ind w:left="600" w:hanging="597"/>
        <w:spacing w:after="0"/>
        <w:tabs>
          <w:tab w:leader="none" w:pos="600" w:val="left"/>
        </w:tabs>
        <w:numPr>
          <w:ilvl w:val="0"/>
          <w:numId w:val="578"/>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w:t>
      </w:r>
    </w:p>
    <w:p>
      <w:pPr>
        <w:spacing w:after="0" w:line="27"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color w:val="auto"/>
        </w:rPr>
        <w:t xml:space="preserve">4.1. In consideration of Employee’s terms of employment, which include special compensation for Employee’s undertakings under this Section 4, and in order to enable BIJ to effectively protect its Proprietary Information, Employee agrees and undertakes that she will not, so long as she is employed by BIJ and for a period of 12 months following termination of his employment for whatever reason, directly or indirectly, be engaged in, or employed by, any business or venture that is engaged in any activities competing with BIJ and its business activities in which Employee was involved, or by providing products or services substantially similar to products or services offered by BIJ;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may own securities of any corporation which is engaged in such business and is publicly owned and traded but in an amount not to exceed at any one time one percent (1%) of any class of stock or securities of such corporation, and so long as Employee has no active role in such corporation as director, employee, consultant or otherwise.</w:t>
      </w:r>
    </w:p>
    <w:p>
      <w:pPr>
        <w:spacing w:after="0" w:line="196"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color w:val="auto"/>
        </w:rPr>
        <w:t>4.2. Employee agrees and undertakes that during the period of Employee’s employment and for a period of twelve (12) months following termination of his employment for whatever reason, Employee will not, directly or indirectly, including personally or in any business in which Employee may be an officer, director or shareholder, solicit for employment any person who is employed by BIJ, or retained by BIJ as a consultant, advisor or the like service provider (collectively, “</w:t>
      </w:r>
      <w:r>
        <w:rPr>
          <w:rFonts w:ascii="Arial" w:cs="Arial" w:eastAsia="Arial" w:hAnsi="Arial"/>
          <w:sz w:val="17"/>
          <w:szCs w:val="17"/>
          <w:b w:val="1"/>
          <w:bCs w:val="1"/>
          <w:color w:val="auto"/>
        </w:rPr>
        <w:t>Consultant</w:t>
      </w:r>
      <w:r>
        <w:rPr>
          <w:rFonts w:ascii="Arial" w:cs="Arial" w:eastAsia="Arial" w:hAnsi="Arial"/>
          <w:sz w:val="17"/>
          <w:szCs w:val="17"/>
          <w:color w:val="auto"/>
        </w:rPr>
        <w:t>”), if such Consultant is prevented thereby from continuing to render its services to BIJ, on the date of such termination or during the preceding twelve (12) months.</w:t>
      </w:r>
    </w:p>
    <w:p>
      <w:pPr>
        <w:spacing w:after="0" w:line="200" w:lineRule="exact"/>
        <w:rPr>
          <w:sz w:val="20"/>
          <w:szCs w:val="20"/>
          <w:color w:val="auto"/>
        </w:rPr>
      </w:pPr>
    </w:p>
    <w:p>
      <w:pPr>
        <w:ind w:left="600" w:hanging="597"/>
        <w:spacing w:after="0"/>
        <w:tabs>
          <w:tab w:leader="none" w:pos="600" w:val="left"/>
        </w:tabs>
        <w:numPr>
          <w:ilvl w:val="0"/>
          <w:numId w:val="579"/>
        </w:numPr>
        <w:rPr>
          <w:rFonts w:ascii="Arial" w:cs="Arial" w:eastAsia="Arial" w:hAnsi="Arial"/>
          <w:sz w:val="17"/>
          <w:szCs w:val="17"/>
          <w:color w:val="auto"/>
        </w:rPr>
      </w:pPr>
      <w:r>
        <w:rPr>
          <w:rFonts w:ascii="Arial" w:cs="Arial" w:eastAsia="Arial" w:hAnsi="Arial"/>
          <w:sz w:val="17"/>
          <w:szCs w:val="17"/>
          <w:b w:val="1"/>
          <w:bCs w:val="1"/>
          <w:u w:val="single" w:color="auto"/>
          <w:color w:val="auto"/>
        </w:rPr>
        <w:t>Reasonableness of Protective Covenants</w:t>
      </w:r>
    </w:p>
    <w:p>
      <w:pPr>
        <w:spacing w:after="0" w:line="27" w:lineRule="exact"/>
        <w:rPr>
          <w:sz w:val="20"/>
          <w:szCs w:val="20"/>
          <w:color w:val="auto"/>
        </w:rPr>
      </w:pPr>
    </w:p>
    <w:p>
      <w:pPr>
        <w:ind w:firstLine="617"/>
        <w:spacing w:after="0" w:line="286" w:lineRule="auto"/>
        <w:rPr>
          <w:sz w:val="20"/>
          <w:szCs w:val="20"/>
          <w:color w:val="auto"/>
        </w:rPr>
      </w:pPr>
      <w:r>
        <w:rPr>
          <w:rFonts w:ascii="Arial" w:cs="Arial" w:eastAsia="Arial" w:hAnsi="Arial"/>
          <w:sz w:val="15"/>
          <w:szCs w:val="15"/>
          <w:color w:val="auto"/>
        </w:rPr>
        <w:t>Insofar as the protective covenants set forth in this Agreement are concerned, Employee specifically acknowledges, stipulates and agrees as follows: (i) the protective covenants are reasonable and necessary to protect the goodwill, property and Proprietary Information of BIJ, and the operations and business of BIJ; and</w:t>
      </w:r>
    </w:p>
    <w:p>
      <w:pPr>
        <w:spacing w:after="0" w:line="1" w:lineRule="exact"/>
        <w:rPr>
          <w:sz w:val="20"/>
          <w:szCs w:val="20"/>
          <w:color w:val="auto"/>
        </w:rPr>
      </w:pPr>
    </w:p>
    <w:p>
      <w:pPr>
        <w:jc w:val="both"/>
        <w:ind w:firstLine="3"/>
        <w:spacing w:after="0" w:line="255" w:lineRule="auto"/>
        <w:tabs>
          <w:tab w:leader="none" w:pos="262" w:val="left"/>
        </w:tabs>
        <w:numPr>
          <w:ilvl w:val="0"/>
          <w:numId w:val="580"/>
        </w:numPr>
        <w:rPr>
          <w:rFonts w:ascii="Arial" w:cs="Arial" w:eastAsia="Arial" w:hAnsi="Arial"/>
          <w:sz w:val="17"/>
          <w:szCs w:val="17"/>
          <w:color w:val="auto"/>
        </w:rPr>
      </w:pPr>
      <w:r>
        <w:rPr>
          <w:rFonts w:ascii="Arial" w:cs="Arial" w:eastAsia="Arial" w:hAnsi="Arial"/>
          <w:sz w:val="17"/>
          <w:szCs w:val="17"/>
          <w:color w:val="auto"/>
        </w:rPr>
        <w:t>the time duration of the protective covenants is reasonable and necessary to protect the goodwill and the operations and business of BIJ, and does not impose a greater restrain than is necessary to protect the goodwill or other business interests of BIJ. Nevertheless, if any of the restrictions set forth in this Exhibit is found by a court having jurisdiction to be unreasonable or overly-broad as to geographic area, scope or time or to be otherwise unenforceable, the parties intend for the restrictions set forth in this Exhibit to be reformed, modified and redefined by such court so as to be reasonable and enforceable and, as so modified by such court, to be fully enforced.</w:t>
      </w:r>
    </w:p>
    <w:p>
      <w:pPr>
        <w:spacing w:after="0" w:line="205" w:lineRule="exact"/>
        <w:rPr>
          <w:sz w:val="20"/>
          <w:szCs w:val="20"/>
          <w:color w:val="auto"/>
        </w:rPr>
      </w:pPr>
    </w:p>
    <w:p>
      <w:pPr>
        <w:ind w:left="600" w:hanging="597"/>
        <w:spacing w:after="0"/>
        <w:tabs>
          <w:tab w:leader="none" w:pos="600" w:val="left"/>
        </w:tabs>
        <w:numPr>
          <w:ilvl w:val="0"/>
          <w:numId w:val="581"/>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for Breach</w:t>
      </w:r>
    </w:p>
    <w:p>
      <w:pPr>
        <w:spacing w:after="0" w:line="27"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5"/>
          <w:szCs w:val="15"/>
          <w:color w:val="auto"/>
        </w:rPr>
        <w:t>Employee acknowledges that the legal remedies for breach of the provisions of this Exhibit may be found inadequate and therefore agrees that, in addition to</w:t>
      </w:r>
    </w:p>
    <w:p>
      <w:pPr>
        <w:spacing w:after="0" w:line="3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all of the remedies available to BIJ in the event of a breach or a threatened breach of any of such provisions, BIJ may also, in addition to any other remedies which may be available under applicable law, obtain temporary, preliminary and permanent injunctions against any and all such actions.</w:t>
      </w:r>
    </w:p>
    <w:p>
      <w:pPr>
        <w:spacing w:after="0" w:line="195" w:lineRule="exact"/>
        <w:rPr>
          <w:sz w:val="20"/>
          <w:szCs w:val="20"/>
          <w:color w:val="auto"/>
        </w:rPr>
      </w:pPr>
    </w:p>
    <w:p>
      <w:pPr>
        <w:ind w:left="600" w:hanging="597"/>
        <w:spacing w:after="0"/>
        <w:tabs>
          <w:tab w:leader="none" w:pos="600" w:val="left"/>
        </w:tabs>
        <w:numPr>
          <w:ilvl w:val="0"/>
          <w:numId w:val="582"/>
        </w:numPr>
        <w:rPr>
          <w:rFonts w:ascii="Arial" w:cs="Arial" w:eastAsia="Arial" w:hAnsi="Arial"/>
          <w:sz w:val="17"/>
          <w:szCs w:val="17"/>
          <w:color w:val="auto"/>
        </w:rPr>
      </w:pPr>
      <w:r>
        <w:rPr>
          <w:rFonts w:ascii="Arial" w:cs="Arial" w:eastAsia="Arial" w:hAnsi="Arial"/>
          <w:sz w:val="17"/>
          <w:szCs w:val="17"/>
          <w:b w:val="1"/>
          <w:bCs w:val="1"/>
          <w:u w:val="single" w:color="auto"/>
          <w:color w:val="auto"/>
        </w:rPr>
        <w:t>Intent of Parties</w:t>
      </w:r>
    </w:p>
    <w:p>
      <w:pPr>
        <w:spacing w:after="0" w:line="27" w:lineRule="exact"/>
        <w:rPr>
          <w:sz w:val="20"/>
          <w:szCs w:val="20"/>
          <w:color w:val="auto"/>
        </w:rPr>
      </w:pPr>
    </w:p>
    <w:p>
      <w:pPr>
        <w:jc w:val="both"/>
        <w:ind w:firstLine="617"/>
        <w:spacing w:after="0" w:line="282" w:lineRule="auto"/>
        <w:rPr>
          <w:sz w:val="20"/>
          <w:szCs w:val="20"/>
          <w:color w:val="auto"/>
        </w:rPr>
      </w:pPr>
      <w:r>
        <w:rPr>
          <w:rFonts w:ascii="Arial" w:cs="Arial" w:eastAsia="Arial" w:hAnsi="Arial"/>
          <w:sz w:val="16"/>
          <w:szCs w:val="16"/>
          <w:color w:val="auto"/>
        </w:rPr>
        <w:t>Employee recognizes and agrees that: (i) this Exhibit is necessary and essential to protect the business of BIJ and to realize and derive all the benefits, rights and expectations of conducting BIJ’s business; (ii) the area and duration of the protective covenants contained herein are in all things reasonable; and (iii) good and valuable consideration exists under the Agreement, for Employee’s agreement to be bound by the provisions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57415" cy="209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52" w:name="page653"/>
    <w:bookmarkEnd w:id="652"/>
    <w:p>
      <w:pPr>
        <w:jc w:val="center"/>
        <w:spacing w:after="0"/>
        <w:rPr>
          <w:sz w:val="20"/>
          <w:szCs w:val="20"/>
          <w:color w:val="auto"/>
        </w:rPr>
      </w:pPr>
      <w:r>
        <w:rPr>
          <w:rFonts w:ascii="Arial" w:cs="Arial" w:eastAsia="Arial" w:hAnsi="Arial"/>
          <w:sz w:val="17"/>
          <w:szCs w:val="17"/>
          <w:color w:val="auto"/>
        </w:rPr>
        <w:t>-10-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TRANSLATION FROM HEBREW</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Personal Employment Agreement by and between BioLine Innovations Jerusalem,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the Employee whose name is set forth herein.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 under Section 14 of the Severance Pay Law</w:t>
      </w:r>
    </w:p>
    <w:p>
      <w:pPr>
        <w:spacing w:after="0" w:line="24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 the undersigned, hereby confirm that I agree to incorporate the terms and conditions detailed in the foregoing regarding only ongoing payments of the employee to the insurance fund (Managers Insurance) for an allowance and/or severance fund, as published in the Official Announcement Gazette of the State of Israel 4659 on June 30, 1998, on page 4394 (Last Amended as — Official Announcement Gazette of the State of Israel 4970, on 1949):</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By virtue of my power under Section 14 of the Severance Pay Law, 5723-1963 (hereinafter: the “</w:t>
      </w:r>
      <w:r>
        <w:rPr>
          <w:rFonts w:ascii="Arial" w:cs="Arial" w:eastAsia="Arial" w:hAnsi="Arial"/>
          <w:sz w:val="16"/>
          <w:szCs w:val="16"/>
          <w:b w:val="1"/>
          <w:bCs w:val="1"/>
          <w:color w:val="auto"/>
        </w:rPr>
        <w:t>Law</w:t>
      </w:r>
      <w:r>
        <w:rPr>
          <w:rFonts w:ascii="Arial" w:cs="Arial" w:eastAsia="Arial" w:hAnsi="Arial"/>
          <w:sz w:val="16"/>
          <w:szCs w:val="16"/>
          <w:color w:val="auto"/>
        </w:rPr>
        <w:t>”),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6"/>
          <w:szCs w:val="16"/>
          <w:b w:val="1"/>
          <w:bCs w:val="1"/>
          <w:color w:val="auto"/>
        </w:rPr>
        <w:t>Pension Fund</w:t>
      </w:r>
      <w:r>
        <w:rPr>
          <w:rFonts w:ascii="Arial" w:cs="Arial" w:eastAsia="Arial" w:hAnsi="Arial"/>
          <w:sz w:val="16"/>
          <w:szCs w:val="16"/>
          <w:color w:val="auto"/>
        </w:rPr>
        <w:t>”) or to managers’ insurance which includes the possibility to receive annuity payments under an insurance fund as aforesaid, (hereinafter: the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made by the employer by a combination of payments to a Pension Fund and an Insurance Fund (hereinafter: “</w:t>
      </w:r>
      <w:r>
        <w:rPr>
          <w:rFonts w:ascii="Arial" w:cs="Arial" w:eastAsia="Arial" w:hAnsi="Arial"/>
          <w:sz w:val="16"/>
          <w:szCs w:val="16"/>
          <w:b w:val="1"/>
          <w:bCs w:val="1"/>
          <w:color w:val="auto"/>
        </w:rPr>
        <w:t>Employer’s Payments</w:t>
      </w:r>
      <w:r>
        <w:rPr>
          <w:rFonts w:ascii="Arial" w:cs="Arial" w:eastAsia="Arial" w:hAnsi="Arial"/>
          <w:sz w:val="16"/>
          <w:szCs w:val="16"/>
          <w:color w:val="auto"/>
        </w:rPr>
        <w:t>”), shall be made in lieu of severance pay due to said employee with respect to the salary from which said payments were made and for the period they were paid (hereinafter: the “</w:t>
      </w:r>
      <w:r>
        <w:rPr>
          <w:rFonts w:ascii="Arial" w:cs="Arial" w:eastAsia="Arial" w:hAnsi="Arial"/>
          <w:sz w:val="16"/>
          <w:szCs w:val="16"/>
          <w:b w:val="1"/>
          <w:bCs w:val="1"/>
          <w:color w:val="auto"/>
        </w:rPr>
        <w:t>Exempt Salary</w:t>
      </w:r>
      <w:r>
        <w:rPr>
          <w:rFonts w:ascii="Arial" w:cs="Arial" w:eastAsia="Arial" w:hAnsi="Arial"/>
          <w:sz w:val="16"/>
          <w:szCs w:val="16"/>
          <w:color w:val="auto"/>
        </w:rPr>
        <w:t>”), provided that all the following conditions are fulfilled: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(1)  The Employer’s Payments –</w:t>
      </w:r>
    </w:p>
    <w:p>
      <w:pPr>
        <w:spacing w:after="0" w:line="210" w:lineRule="exact"/>
        <w:rPr>
          <w:sz w:val="20"/>
          <w:szCs w:val="20"/>
          <w:color w:val="auto"/>
        </w:rPr>
      </w:pPr>
    </w:p>
    <w:p>
      <w:pPr>
        <w:ind w:right="200" w:firstLine="3"/>
        <w:spacing w:after="0" w:line="274" w:lineRule="auto"/>
        <w:tabs>
          <w:tab w:leader="none" w:pos="319"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194" w:lineRule="exact"/>
        <w:rPr>
          <w:rFonts w:ascii="Arial" w:cs="Arial" w:eastAsia="Arial" w:hAnsi="Arial"/>
          <w:sz w:val="17"/>
          <w:szCs w:val="17"/>
          <w:color w:val="auto"/>
        </w:rPr>
      </w:pPr>
    </w:p>
    <w:p>
      <w:pPr>
        <w:ind w:left="340" w:hanging="337"/>
        <w:spacing w:after="0"/>
        <w:tabs>
          <w:tab w:leader="none" w:pos="34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to the Insurance Fund are not less than one of the following:</w:t>
      </w:r>
    </w:p>
    <w:p>
      <w:pPr>
        <w:spacing w:after="0" w:line="210" w:lineRule="exact"/>
        <w:rPr>
          <w:sz w:val="20"/>
          <w:szCs w:val="20"/>
          <w:color w:val="auto"/>
        </w:rPr>
      </w:pPr>
    </w:p>
    <w:p>
      <w:pPr>
        <w:ind w:right="60" w:firstLine="3"/>
        <w:spacing w:after="0" w:line="274" w:lineRule="auto"/>
        <w:tabs>
          <w:tab w:leader="none" w:pos="29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194" w:lineRule="exact"/>
        <w:rPr>
          <w:rFonts w:ascii="Arial" w:cs="Arial" w:eastAsia="Arial" w:hAnsi="Arial"/>
          <w:sz w:val="17"/>
          <w:szCs w:val="17"/>
          <w:color w:val="auto"/>
        </w:rPr>
      </w:pPr>
    </w:p>
    <w:p>
      <w:pPr>
        <w:ind w:right="140" w:firstLine="3"/>
        <w:spacing w:after="0" w:line="261" w:lineRule="auto"/>
        <w:tabs>
          <w:tab w:leader="none" w:pos="338" w:val="left"/>
        </w:tabs>
        <w:numPr>
          <w:ilvl w:val="0"/>
          <w:numId w:val="584"/>
        </w:numPr>
        <w:rPr>
          <w:rFonts w:ascii="Arial" w:cs="Arial" w:eastAsia="Arial" w:hAnsi="Arial"/>
          <w:sz w:val="17"/>
          <w:szCs w:val="17"/>
          <w:color w:val="auto"/>
        </w:rPr>
      </w:pPr>
      <w:r>
        <w:rPr>
          <w:rFonts w:ascii="Arial" w:cs="Arial" w:eastAsia="Arial" w:hAnsi="Arial"/>
          <w:sz w:val="17"/>
          <w:szCs w:val="17"/>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204" w:lineRule="exact"/>
        <w:rPr>
          <w:sz w:val="20"/>
          <w:szCs w:val="20"/>
          <w:color w:val="auto"/>
        </w:rPr>
      </w:pPr>
    </w:p>
    <w:p>
      <w:pPr>
        <w:ind w:right="320" w:firstLine="3"/>
        <w:spacing w:after="0" w:line="278" w:lineRule="auto"/>
        <w:tabs>
          <w:tab w:leader="none" w:pos="328" w:val="left"/>
        </w:tabs>
        <w:numPr>
          <w:ilvl w:val="0"/>
          <w:numId w:val="585"/>
        </w:numPr>
        <w:rPr>
          <w:rFonts w:ascii="Arial" w:cs="Arial" w:eastAsia="Arial" w:hAnsi="Arial"/>
          <w:sz w:val="17"/>
          <w:szCs w:val="17"/>
          <w:color w:val="auto"/>
        </w:rPr>
      </w:pPr>
      <w:r>
        <w:rPr>
          <w:rFonts w:ascii="Arial" w:cs="Arial" w:eastAsia="Arial" w:hAnsi="Arial"/>
          <w:sz w:val="17"/>
          <w:szCs w:val="17"/>
          <w:color w:val="auto"/>
        </w:rPr>
        <w:t>No later than three months from the commencement of the Employer’s Payment, a written agreement was executed between the employer and the employee, which includes:</w:t>
      </w:r>
    </w:p>
    <w:p>
      <w:pPr>
        <w:spacing w:after="0" w:line="190" w:lineRule="exact"/>
        <w:rPr>
          <w:sz w:val="20"/>
          <w:szCs w:val="20"/>
          <w:color w:val="auto"/>
        </w:rPr>
      </w:pPr>
    </w:p>
    <w:p>
      <w:pPr>
        <w:ind w:right="160" w:firstLine="3"/>
        <w:spacing w:after="0" w:line="278" w:lineRule="auto"/>
        <w:tabs>
          <w:tab w:leader="none" w:pos="319" w:val="left"/>
        </w:tabs>
        <w:numPr>
          <w:ilvl w:val="0"/>
          <w:numId w:val="586"/>
        </w:numPr>
        <w:rPr>
          <w:rFonts w:ascii="Arial" w:cs="Arial" w:eastAsia="Arial" w:hAnsi="Arial"/>
          <w:sz w:val="17"/>
          <w:szCs w:val="17"/>
          <w:color w:val="auto"/>
        </w:rPr>
      </w:pPr>
      <w:r>
        <w:rPr>
          <w:rFonts w:ascii="Arial" w:cs="Arial" w:eastAsia="Arial" w:hAnsi="Arial"/>
          <w:sz w:val="17"/>
          <w:szCs w:val="17"/>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0" w:lineRule="exact"/>
        <w:rPr>
          <w:rFonts w:ascii="Arial" w:cs="Arial" w:eastAsia="Arial" w:hAnsi="Arial"/>
          <w:sz w:val="17"/>
          <w:szCs w:val="17"/>
          <w:color w:val="auto"/>
        </w:rPr>
      </w:pPr>
    </w:p>
    <w:p>
      <w:pPr>
        <w:ind w:firstLine="3"/>
        <w:spacing w:after="0" w:line="261" w:lineRule="auto"/>
        <w:tabs>
          <w:tab w:leader="none" w:pos="328" w:val="left"/>
        </w:tabs>
        <w:numPr>
          <w:ilvl w:val="0"/>
          <w:numId w:val="586"/>
        </w:numPr>
        <w:rPr>
          <w:rFonts w:ascii="Arial" w:cs="Arial" w:eastAsia="Arial" w:hAnsi="Arial"/>
          <w:sz w:val="17"/>
          <w:szCs w:val="17"/>
          <w:color w:val="auto"/>
        </w:rPr>
      </w:pPr>
      <w:r>
        <w:rPr>
          <w:rFonts w:ascii="Arial" w:cs="Arial" w:eastAsia="Arial" w:hAnsi="Arial"/>
          <w:sz w:val="17"/>
          <w:szCs w:val="17"/>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7415" cy="209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53" w:name="page654"/>
    <w:bookmarkEnd w:id="653"/>
    <w:p>
      <w:pPr>
        <w:jc w:val="center"/>
        <w:spacing w:after="0"/>
        <w:rPr>
          <w:sz w:val="20"/>
          <w:szCs w:val="20"/>
          <w:color w:val="auto"/>
        </w:rPr>
      </w:pPr>
      <w:r>
        <w:rPr>
          <w:rFonts w:ascii="Arial" w:cs="Arial" w:eastAsia="Arial" w:hAnsi="Arial"/>
          <w:sz w:val="17"/>
          <w:szCs w:val="17"/>
          <w:color w:val="auto"/>
        </w:rPr>
        <w:t>-11-</w:t>
      </w:r>
    </w:p>
    <w:p>
      <w:pPr>
        <w:spacing w:after="0" w:line="242" w:lineRule="exact"/>
        <w:rPr>
          <w:sz w:val="20"/>
          <w:szCs w:val="20"/>
          <w:color w:val="auto"/>
        </w:rPr>
      </w:pPr>
    </w:p>
    <w:p>
      <w:pPr>
        <w:ind w:firstLine="3"/>
        <w:spacing w:after="0" w:line="278" w:lineRule="auto"/>
        <w:tabs>
          <w:tab w:leader="none" w:pos="325"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This approval shall not derogate from the employee’s right to severance pay pursuant to any law, collective agreement, extension order or employment agreement with respect to compensation in excess of the Exempt Salary.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551180</wp:posOffset>
            </wp:positionV>
            <wp:extent cx="7257415" cy="209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54" w:name="page655"/>
    <w:bookmarkEnd w:id="654"/>
    <w:p>
      <w:pPr>
        <w:jc w:val="right"/>
        <w:spacing w:after="0"/>
        <w:rPr>
          <w:sz w:val="20"/>
          <w:szCs w:val="20"/>
          <w:color w:val="auto"/>
        </w:rPr>
      </w:pPr>
      <w:r>
        <w:rPr>
          <w:rFonts w:ascii="Arial" w:cs="Arial" w:eastAsia="Arial" w:hAnsi="Arial"/>
          <w:sz w:val="17"/>
          <w:szCs w:val="17"/>
          <w:color w:val="auto"/>
        </w:rPr>
        <w:t>January 30, 2005</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Dr. Leah Klapper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 Shapira 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Apartment #38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Ramat-Gan, 52506</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Dear Dr. Klapper,</w:t>
      </w:r>
    </w:p>
    <w:p>
      <w:pPr>
        <w:spacing w:after="0" w:line="236" w:lineRule="exact"/>
        <w:rPr>
          <w:sz w:val="20"/>
          <w:szCs w:val="20"/>
          <w:color w:val="auto"/>
        </w:rPr>
      </w:pPr>
    </w:p>
    <w:p>
      <w:pPr>
        <w:ind w:left="1240"/>
        <w:spacing w:after="0"/>
        <w:tabs>
          <w:tab w:leader="none" w:pos="194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u w:val="single" w:color="auto"/>
          <w:color w:val="auto"/>
        </w:rPr>
        <w:t>Engagement with BioLine Innovations Jerusalem, L.P.</w:t>
      </w: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Further to our discussions, this is to set forth in writing our agreement with respect to the termination of your employment with BioLineRx Ltd.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BLRX</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your engagement with BioLine Innovations Jerusalem, L.P.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BIJLP</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 limited partnership in which BLRX is a limited partner.</w:t>
      </w:r>
    </w:p>
    <w:p>
      <w:pPr>
        <w:spacing w:after="0" w:line="183" w:lineRule="exact"/>
        <w:rPr>
          <w:sz w:val="20"/>
          <w:szCs w:val="20"/>
          <w:color w:val="auto"/>
        </w:rPr>
      </w:pPr>
    </w:p>
    <w:p>
      <w:pPr>
        <w:jc w:val="both"/>
        <w:ind w:firstLine="3"/>
        <w:spacing w:after="0" w:line="261" w:lineRule="auto"/>
        <w:tabs>
          <w:tab w:leader="none" w:pos="648" w:val="left"/>
        </w:tabs>
        <w:numPr>
          <w:ilvl w:val="0"/>
          <w:numId w:val="588"/>
        </w:numPr>
        <w:rPr>
          <w:rFonts w:ascii="Arial" w:cs="Arial" w:eastAsia="Arial" w:hAnsi="Arial"/>
          <w:sz w:val="17"/>
          <w:szCs w:val="17"/>
          <w:color w:val="auto"/>
        </w:rPr>
      </w:pPr>
      <w:r>
        <w:rPr>
          <w:rFonts w:ascii="Arial" w:cs="Arial" w:eastAsia="Arial" w:hAnsi="Arial"/>
          <w:sz w:val="17"/>
          <w:szCs w:val="17"/>
          <w:color w:val="auto"/>
        </w:rPr>
        <w:t xml:space="preserve">Your employment with BLRX pursuant to the employment agreement between BLRX and yourself, a copy of which is attached as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letter agreement (the “</w:t>
      </w:r>
      <w:r>
        <w:rPr>
          <w:rFonts w:ascii="Arial" w:cs="Arial" w:eastAsia="Arial" w:hAnsi="Arial"/>
          <w:sz w:val="17"/>
          <w:szCs w:val="17"/>
          <w:b w:val="1"/>
          <w:bCs w:val="1"/>
          <w:color w:val="auto"/>
        </w:rPr>
        <w:t>BLRX Employment Agreement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shall terminate as of the date of December 31, 2004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immediately as of such date you shall commence employment with BIJLP, in accordance with the terms and conditions set forth in the employment agreement between BIJLP and yourself, a copy of which is attached as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to this letter agreement (the “</w:t>
      </w:r>
      <w:r>
        <w:rPr>
          <w:rFonts w:ascii="Arial" w:cs="Arial" w:eastAsia="Arial" w:hAnsi="Arial"/>
          <w:sz w:val="17"/>
          <w:szCs w:val="17"/>
          <w:b w:val="1"/>
          <w:bCs w:val="1"/>
          <w:color w:val="auto"/>
        </w:rPr>
        <w:t>BIJLP Employment Agreement</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4"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BIJLP takes upon itself all rights accrued to your benefit during the term of your employment with BLRX, as if, with respect to such rights, you were employed with BIJLP as of the date on which you commenced employment with BLRX.</w:t>
      </w:r>
    </w:p>
    <w:p>
      <w:pPr>
        <w:spacing w:after="0" w:line="190" w:lineRule="exact"/>
        <w:rPr>
          <w:sz w:val="20"/>
          <w:szCs w:val="20"/>
          <w:color w:val="auto"/>
        </w:rPr>
      </w:pPr>
    </w:p>
    <w:p>
      <w:pPr>
        <w:ind w:firstLine="3"/>
        <w:spacing w:after="0" w:line="278" w:lineRule="auto"/>
        <w:tabs>
          <w:tab w:leader="none" w:pos="806" w:val="left"/>
        </w:tabs>
        <w:numPr>
          <w:ilvl w:val="0"/>
          <w:numId w:val="589"/>
        </w:numPr>
        <w:rPr>
          <w:rFonts w:ascii="Arial" w:cs="Arial" w:eastAsia="Arial" w:hAnsi="Arial"/>
          <w:sz w:val="17"/>
          <w:szCs w:val="17"/>
          <w:color w:val="auto"/>
        </w:rPr>
      </w:pPr>
      <w:r>
        <w:rPr>
          <w:rFonts w:ascii="Arial" w:cs="Arial" w:eastAsia="Arial" w:hAnsi="Arial"/>
          <w:sz w:val="17"/>
          <w:szCs w:val="17"/>
          <w:color w:val="auto"/>
        </w:rPr>
        <w:t>You agree and confirm that no prior notice and Notice Period (as such term is defined in the BLRX Employment Agreement) are due, since you are immediately continuing your employment with BIJLP.</w:t>
      </w:r>
    </w:p>
    <w:p>
      <w:pPr>
        <w:spacing w:after="0" w:line="190" w:lineRule="exact"/>
        <w:rPr>
          <w:rFonts w:ascii="Arial" w:cs="Arial" w:eastAsia="Arial" w:hAnsi="Arial"/>
          <w:sz w:val="17"/>
          <w:szCs w:val="17"/>
          <w:color w:val="auto"/>
        </w:rPr>
      </w:pPr>
    </w:p>
    <w:p>
      <w:pPr>
        <w:ind w:firstLine="3"/>
        <w:spacing w:after="0" w:line="347" w:lineRule="auto"/>
        <w:tabs>
          <w:tab w:leader="none" w:pos="648" w:val="left"/>
        </w:tabs>
        <w:numPr>
          <w:ilvl w:val="0"/>
          <w:numId w:val="589"/>
        </w:numPr>
        <w:rPr>
          <w:rFonts w:ascii="Arial" w:cs="Arial" w:eastAsia="Arial" w:hAnsi="Arial"/>
          <w:sz w:val="15"/>
          <w:szCs w:val="15"/>
          <w:color w:val="auto"/>
        </w:rPr>
      </w:pPr>
      <w:r>
        <w:rPr>
          <w:rFonts w:ascii="Arial" w:cs="Arial" w:eastAsia="Arial" w:hAnsi="Arial"/>
          <w:sz w:val="15"/>
          <w:szCs w:val="15"/>
          <w:color w:val="auto"/>
        </w:rPr>
        <w:t>As of the Effective Date, BLRX shall take all required action in order to transfer the Insurance Scheme referred to in Section 11 of the BLRX Employment Agreement to BIJLP, and BIJLP shall continue all payments related to such Insurance Scheme in accordance with Section 11 of the BIJLP Employment Agreement.</w:t>
      </w:r>
    </w:p>
    <w:p>
      <w:pPr>
        <w:spacing w:after="0" w:line="144" w:lineRule="exact"/>
        <w:rPr>
          <w:rFonts w:ascii="Arial" w:cs="Arial" w:eastAsia="Arial" w:hAnsi="Arial"/>
          <w:sz w:val="15"/>
          <w:szCs w:val="15"/>
          <w:color w:val="auto"/>
        </w:rPr>
      </w:pPr>
    </w:p>
    <w:p>
      <w:pPr>
        <w:jc w:val="both"/>
        <w:ind w:firstLine="3"/>
        <w:spacing w:after="0" w:line="265" w:lineRule="auto"/>
        <w:tabs>
          <w:tab w:leader="none" w:pos="598" w:val="left"/>
        </w:tabs>
        <w:numPr>
          <w:ilvl w:val="0"/>
          <w:numId w:val="589"/>
        </w:numPr>
        <w:rPr>
          <w:rFonts w:ascii="Arial" w:cs="Arial" w:eastAsia="Arial" w:hAnsi="Arial"/>
          <w:sz w:val="17"/>
          <w:szCs w:val="17"/>
          <w:color w:val="auto"/>
        </w:rPr>
      </w:pPr>
      <w:r>
        <w:rPr>
          <w:rFonts w:ascii="Arial" w:cs="Arial" w:eastAsia="Arial" w:hAnsi="Arial"/>
          <w:sz w:val="17"/>
          <w:szCs w:val="17"/>
          <w:color w:val="auto"/>
        </w:rPr>
        <w:t>As of the Effective Date, BLRX shall take all required action in order to transfer the advanced study fund referred to in Section 11 of the BLRX Employment Agreement to BIJLP, and BIJLP shall continue all contributions related to such advanced study fund in accordance with Section 11 of the BIJLP Employment Agreement.</w:t>
      </w:r>
    </w:p>
    <w:p>
      <w:pPr>
        <w:spacing w:after="0" w:line="201" w:lineRule="exact"/>
        <w:rPr>
          <w:rFonts w:ascii="Arial" w:cs="Arial" w:eastAsia="Arial" w:hAnsi="Arial"/>
          <w:sz w:val="17"/>
          <w:szCs w:val="17"/>
          <w:color w:val="auto"/>
        </w:rPr>
      </w:pPr>
    </w:p>
    <w:p>
      <w:pPr>
        <w:jc w:val="both"/>
        <w:ind w:firstLine="3"/>
        <w:spacing w:after="0" w:line="261" w:lineRule="auto"/>
        <w:tabs>
          <w:tab w:leader="none" w:pos="727" w:val="left"/>
        </w:tabs>
        <w:numPr>
          <w:ilvl w:val="0"/>
          <w:numId w:val="589"/>
        </w:numPr>
        <w:rPr>
          <w:rFonts w:ascii="Arial" w:cs="Arial" w:eastAsia="Arial" w:hAnsi="Arial"/>
          <w:sz w:val="17"/>
          <w:szCs w:val="17"/>
          <w:color w:val="auto"/>
        </w:rPr>
      </w:pPr>
      <w:r>
        <w:rPr>
          <w:rFonts w:ascii="Arial" w:cs="Arial" w:eastAsia="Arial" w:hAnsi="Arial"/>
          <w:sz w:val="17"/>
          <w:szCs w:val="17"/>
          <w:color w:val="auto"/>
        </w:rPr>
        <w:t xml:space="preserve">You shall continue to be entitled to all options granted to you in accordance with the provisions of Section 15 of the BLRX Employment Agreement, in accordance with the provisions of Section 15 of the BIJLP Employment Agreement. For the avoidance of any doubt, the number of options specified in the BIJLP Employment Agreement refers and relates to the number of options granted to you under and pursuant to the BLRX Employment Agreement, and </w:t>
      </w:r>
      <w:r>
        <w:rPr>
          <w:rFonts w:ascii="Arial" w:cs="Arial" w:eastAsia="Arial" w:hAnsi="Arial"/>
          <w:sz w:val="17"/>
          <w:szCs w:val="17"/>
          <w:b w:val="1"/>
          <w:bCs w:val="1"/>
          <w:i w:val="1"/>
          <w:iCs w:val="1"/>
          <w:color w:val="auto"/>
        </w:rPr>
        <w:t>DOES NOT</w:t>
      </w:r>
      <w:r>
        <w:rPr>
          <w:rFonts w:ascii="Arial" w:cs="Arial" w:eastAsia="Arial" w:hAnsi="Arial"/>
          <w:sz w:val="17"/>
          <w:szCs w:val="17"/>
          <w:color w:val="auto"/>
        </w:rPr>
        <w:t xml:space="preserve"> constitute an additional grant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257415" cy="209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55" w:name="page656"/>
    <w:bookmarkEnd w:id="655"/>
    <w:p>
      <w:pPr>
        <w:ind w:left="-3" w:firstLine="3"/>
        <w:spacing w:after="0" w:line="278" w:lineRule="auto"/>
        <w:tabs>
          <w:tab w:leader="none" w:pos="626" w:val="left"/>
        </w:tabs>
        <w:numPr>
          <w:ilvl w:val="0"/>
          <w:numId w:val="590"/>
        </w:numPr>
        <w:rPr>
          <w:rFonts w:ascii="Arial" w:cs="Arial" w:eastAsia="Arial" w:hAnsi="Arial"/>
          <w:sz w:val="17"/>
          <w:szCs w:val="17"/>
          <w:color w:val="auto"/>
        </w:rPr>
      </w:pPr>
      <w:r>
        <w:rPr>
          <w:rFonts w:ascii="Arial" w:cs="Arial" w:eastAsia="Arial" w:hAnsi="Arial"/>
          <w:sz w:val="17"/>
          <w:szCs w:val="17"/>
          <w:color w:val="auto"/>
        </w:rPr>
        <w:t>You shall continue to be entitled to the Leased Car made available to you pursuant to Section 16 of the BLRX Employment Agreement, at the responsibility of BIJLP.</w:t>
      </w:r>
    </w:p>
    <w:p>
      <w:pPr>
        <w:spacing w:after="0" w:line="190" w:lineRule="exact"/>
        <w:rPr>
          <w:rFonts w:ascii="Arial" w:cs="Arial" w:eastAsia="Arial" w:hAnsi="Arial"/>
          <w:sz w:val="17"/>
          <w:szCs w:val="17"/>
          <w:color w:val="auto"/>
        </w:rPr>
      </w:pPr>
    </w:p>
    <w:p>
      <w:pPr>
        <w:ind w:left="-3" w:firstLine="3"/>
        <w:spacing w:after="0" w:line="311" w:lineRule="auto"/>
        <w:tabs>
          <w:tab w:leader="none" w:pos="746" w:val="left"/>
        </w:tabs>
        <w:numPr>
          <w:ilvl w:val="0"/>
          <w:numId w:val="590"/>
        </w:numPr>
        <w:rPr>
          <w:rFonts w:ascii="Arial" w:cs="Arial" w:eastAsia="Arial" w:hAnsi="Arial"/>
          <w:sz w:val="16"/>
          <w:szCs w:val="16"/>
          <w:color w:val="auto"/>
        </w:rPr>
      </w:pPr>
      <w:r>
        <w:rPr>
          <w:rFonts w:ascii="Arial" w:cs="Arial" w:eastAsia="Arial" w:hAnsi="Arial"/>
          <w:sz w:val="16"/>
          <w:szCs w:val="16"/>
          <w:color w:val="auto"/>
        </w:rPr>
        <w:t>You agree and confirm that you shall continue to be bound by the provisions of BLRX’s Proprietary Information, Confidentiality and Non-Competition Agreement attached in Exhibit B to the BLRX Employment Agreement, which provisions shall continue to apply in accordance with their terms.</w:t>
      </w:r>
    </w:p>
    <w:p>
      <w:pPr>
        <w:spacing w:after="0" w:line="166" w:lineRule="exact"/>
        <w:rPr>
          <w:rFonts w:ascii="Arial" w:cs="Arial" w:eastAsia="Arial" w:hAnsi="Arial"/>
          <w:sz w:val="16"/>
          <w:szCs w:val="16"/>
          <w:color w:val="auto"/>
        </w:rPr>
      </w:pPr>
    </w:p>
    <w:p>
      <w:pPr>
        <w:ind w:left="-3" w:firstLine="3"/>
        <w:spacing w:after="0" w:line="347" w:lineRule="auto"/>
        <w:tabs>
          <w:tab w:leader="none" w:pos="634" w:val="left"/>
        </w:tabs>
        <w:numPr>
          <w:ilvl w:val="0"/>
          <w:numId w:val="590"/>
        </w:numPr>
        <w:rPr>
          <w:rFonts w:ascii="Arial" w:cs="Arial" w:eastAsia="Arial" w:hAnsi="Arial"/>
          <w:sz w:val="15"/>
          <w:szCs w:val="15"/>
          <w:color w:val="auto"/>
        </w:rPr>
      </w:pPr>
      <w:r>
        <w:rPr>
          <w:rFonts w:ascii="Arial" w:cs="Arial" w:eastAsia="Arial" w:hAnsi="Arial"/>
          <w:sz w:val="15"/>
          <w:szCs w:val="15"/>
          <w:color w:val="auto"/>
        </w:rPr>
        <w:t>On the Effective Date, you shall return to BLRX all property, assets and materials of BLRX which are in your possession, as well as any and all documents, files, records, memoranda, computer hardware and software, and all other property or information provided by BLRX, and you shall not retain any BLRX property.</w:t>
      </w:r>
    </w:p>
    <w:p>
      <w:pPr>
        <w:spacing w:after="0" w:line="144" w:lineRule="exact"/>
        <w:rPr>
          <w:rFonts w:ascii="Arial" w:cs="Arial" w:eastAsia="Arial" w:hAnsi="Arial"/>
          <w:sz w:val="15"/>
          <w:szCs w:val="15"/>
          <w:color w:val="auto"/>
        </w:rPr>
      </w:pPr>
    </w:p>
    <w:p>
      <w:pPr>
        <w:jc w:val="both"/>
        <w:ind w:left="-3" w:firstLine="3"/>
        <w:spacing w:after="0" w:line="298" w:lineRule="auto"/>
        <w:tabs>
          <w:tab w:leader="none" w:pos="608" w:val="left"/>
        </w:tabs>
        <w:numPr>
          <w:ilvl w:val="0"/>
          <w:numId w:val="590"/>
        </w:numPr>
        <w:rPr>
          <w:rFonts w:ascii="Arial" w:cs="Arial" w:eastAsia="Arial" w:hAnsi="Arial"/>
          <w:sz w:val="15"/>
          <w:szCs w:val="15"/>
          <w:color w:val="auto"/>
        </w:rPr>
      </w:pPr>
      <w:r>
        <w:rPr>
          <w:rFonts w:ascii="Arial" w:cs="Arial" w:eastAsia="Arial" w:hAnsi="Arial"/>
          <w:sz w:val="15"/>
          <w:szCs w:val="15"/>
          <w:color w:val="auto"/>
        </w:rPr>
        <w:t>By signing below, you shall represent and warrant that upon the performance of the BLRX’s undertakings set forth above, you shall have been paid in full all payments owed to you due to your employment with BLRX, in accordance with the BLRX Employment Agreement and/or in accordance with the provisions of any collective agreement, and/or any statute, and/or regulation applicable to her, including but not limited to employment wages, supplements to wages, additional hours, grants, vacation redemption, recreation pay, reimbursements, expenses, and any other payment in accordance with any other right, even if not specifically mentioned in this letter agreement, and you shall declare and affirm that you do not have now and will not have in the future any claims and/or prosecutions against BLRX, and its shareholders, directors, officers, managers, employees and agents, in connection with your employment with BLRX and/or its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257415" cy="209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500" w:right="239" w:bottom="1440" w:gutter="0" w:footer="0" w:header="0"/>
        </w:sectPr>
      </w:pPr>
    </w:p>
    <w:bookmarkStart w:id="656" w:name="page657"/>
    <w:bookmarkEnd w:id="656"/>
    <w:p>
      <w:pPr>
        <w:spacing w:after="0"/>
        <w:rPr>
          <w:sz w:val="20"/>
          <w:szCs w:val="20"/>
          <w:color w:val="auto"/>
        </w:rPr>
      </w:pPr>
      <w:r>
        <w:rPr>
          <w:rFonts w:ascii="Arial" w:cs="Arial" w:eastAsia="Arial" w:hAnsi="Arial"/>
          <w:sz w:val="17"/>
          <w:szCs w:val="17"/>
          <w:color w:val="auto"/>
        </w:rPr>
        <w:t>Please indicate your acceptance to the terms of this letter by signing and dating them and returning a counterpart hereof to us.</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Sincerely yours,</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BioLineRx Ltd.</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14605</wp:posOffset>
            </wp:positionV>
            <wp:extent cx="3438525" cy="1651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438525" cy="1651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Title:Yuri Shoshan, 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14605</wp:posOffset>
            </wp:positionV>
            <wp:extent cx="3389630" cy="1651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389630" cy="1651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Jerusalem, 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By its General Partner, BioLine Innovations Jerusalem Ltd.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By:  /s/ Yuri Shoshan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14605</wp:posOffset>
            </wp:positionV>
            <wp:extent cx="3389630" cy="1651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389630" cy="16510"/>
                    </a:xfrm>
                    <a:prstGeom prst="rect">
                      <a:avLst/>
                    </a:prstGeom>
                    <a:noFill/>
                  </pic:spPr>
                </pic:pic>
              </a:graphicData>
            </a:graphic>
          </wp:anchor>
        </w:drawing>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Yuri Shoshan,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4865" cy="1651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364865" cy="16510"/>
                    </a:xfrm>
                    <a:prstGeom prst="rect">
                      <a:avLst/>
                    </a:prstGeom>
                    <a:noFill/>
                  </pic:spPr>
                </pic:pic>
              </a:graphicData>
            </a:graphic>
          </wp:anchor>
        </w:drawing>
      </w:r>
    </w:p>
    <w:p>
      <w:pPr>
        <w:spacing w:after="0" w:line="248" w:lineRule="exact"/>
        <w:rPr>
          <w:sz w:val="20"/>
          <w:szCs w:val="20"/>
          <w:color w:val="auto"/>
        </w:rPr>
      </w:pPr>
    </w:p>
    <w:p>
      <w:pPr>
        <w:spacing w:after="0" w:line="563" w:lineRule="auto"/>
        <w:rPr>
          <w:sz w:val="20"/>
          <w:szCs w:val="20"/>
          <w:color w:val="auto"/>
        </w:rPr>
      </w:pPr>
      <w:r>
        <w:rPr>
          <w:rFonts w:ascii="Arial" w:cs="Arial" w:eastAsia="Arial" w:hAnsi="Arial"/>
          <w:sz w:val="17"/>
          <w:szCs w:val="17"/>
          <w:color w:val="auto"/>
        </w:rPr>
        <w:t>I, the undersigned, Leah Klapper hereby agree to all terms of this letter agreement, and in witness hereof have signed this letter agreement on this date of 17/2, 2005. Signature: /s/ Leah Klapper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57415" cy="209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-189865</wp:posOffset>
            </wp:positionV>
            <wp:extent cx="116078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ectPr>
          <w:pgSz w:w="11900" w:h="16838" w:orient="portrait"/>
          <w:cols w:equalWidth="0" w:num="1">
            <w:col w:w="11300"/>
          </w:cols>
          <w:pgMar w:left="240" w:top="500" w:right="359" w:bottom="1440" w:gutter="0" w:footer="0" w:header="0"/>
        </w:sectPr>
      </w:pPr>
    </w:p>
    <w:bookmarkStart w:id="657" w:name="page658"/>
    <w:bookmarkEnd w:id="657"/>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REACQUISITION AGREEMENT</w:t>
      </w:r>
    </w:p>
    <w:p>
      <w:pPr>
        <w:spacing w:after="0" w:line="242"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R</w:t>
      </w:r>
      <w:r>
        <w:rPr>
          <w:rFonts w:ascii="Arial" w:cs="Arial" w:eastAsia="Arial" w:hAnsi="Arial"/>
          <w:sz w:val="11"/>
          <w:szCs w:val="11"/>
          <w:b w:val="1"/>
          <w:bCs w:val="1"/>
          <w:color w:val="auto"/>
        </w:rPr>
        <w:t>IGHTS</w:t>
      </w:r>
      <w:r>
        <w:rPr>
          <w:rFonts w:ascii="Arial" w:cs="Arial" w:eastAsia="Arial" w:hAnsi="Arial"/>
          <w:sz w:val="17"/>
          <w:szCs w:val="17"/>
          <w:color w:val="auto"/>
        </w:rPr>
        <w:t xml:space="preserve"> </w:t>
      </w:r>
      <w:r>
        <w:rPr>
          <w:rFonts w:ascii="Arial" w:cs="Arial" w:eastAsia="Arial" w:hAnsi="Arial"/>
          <w:sz w:val="17"/>
          <w:szCs w:val="17"/>
          <w:b w:val="1"/>
          <w:bCs w:val="1"/>
          <w:color w:val="auto"/>
        </w:rPr>
        <w:t>R</w:t>
      </w:r>
      <w:r>
        <w:rPr>
          <w:rFonts w:ascii="Arial" w:cs="Arial" w:eastAsia="Arial" w:hAnsi="Arial"/>
          <w:sz w:val="11"/>
          <w:szCs w:val="11"/>
          <w:b w:val="1"/>
          <w:bCs w:val="1"/>
          <w:color w:val="auto"/>
        </w:rPr>
        <w:t>EACQUISITION</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on May 5, 2011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C</w:t>
      </w:r>
      <w:r>
        <w:rPr>
          <w:rFonts w:ascii="Arial" w:cs="Arial" w:eastAsia="Arial" w:hAnsi="Arial"/>
          <w:sz w:val="11"/>
          <w:szCs w:val="11"/>
          <w:b w:val="1"/>
          <w:bCs w:val="1"/>
          <w:color w:val="auto"/>
        </w:rPr>
        <w:t>YPRESS</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1"/>
          <w:szCs w:val="11"/>
          <w:b w:val="1"/>
          <w:bCs w:val="1"/>
          <w:color w:val="auto"/>
        </w:rPr>
        <w:t>IOSCIENCE</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corporation organized and existing under the laws of the State of Delaware and having its principal place of business at 4350 Executive Drive, Suite 325, San Diego, CA 92121(</w:t>
      </w:r>
      <w:r>
        <w:rPr>
          <w:rFonts w:ascii="Arial" w:cs="Arial" w:eastAsia="Arial" w:hAnsi="Arial"/>
          <w:sz w:val="17"/>
          <w:szCs w:val="17"/>
          <w:b w:val="1"/>
          <w:bCs w:val="1"/>
          <w:color w:val="auto"/>
        </w:rPr>
        <w:t>“Cypress”</w:t>
      </w:r>
      <w:r>
        <w:rPr>
          <w:rFonts w:ascii="Arial" w:cs="Arial" w:eastAsia="Arial" w:hAnsi="Arial"/>
          <w:sz w:val="17"/>
          <w:szCs w:val="17"/>
          <w:color w:val="auto"/>
        </w:rPr>
        <w:t xml:space="preserve">), and </w:t>
      </w:r>
      <w:r>
        <w:rPr>
          <w:rFonts w:ascii="Arial" w:cs="Arial" w:eastAsia="Arial" w:hAnsi="Arial"/>
          <w:sz w:val="17"/>
          <w:szCs w:val="17"/>
          <w:b w:val="1"/>
          <w:bCs w:val="1"/>
          <w:color w:val="auto"/>
        </w:rPr>
        <w:t>B</w:t>
      </w:r>
      <w:r>
        <w:rPr>
          <w:rFonts w:ascii="Arial" w:cs="Arial" w:eastAsia="Arial" w:hAnsi="Arial"/>
          <w:sz w:val="11"/>
          <w:szCs w:val="11"/>
          <w:b w:val="1"/>
          <w:bCs w:val="1"/>
          <w:color w:val="auto"/>
        </w:rPr>
        <w:t>IO</w:t>
      </w:r>
      <w:r>
        <w:rPr>
          <w:rFonts w:ascii="Arial" w:cs="Arial" w:eastAsia="Arial" w:hAnsi="Arial"/>
          <w:sz w:val="17"/>
          <w:szCs w:val="17"/>
          <w:b w:val="1"/>
          <w:bCs w:val="1"/>
          <w:color w:val="auto"/>
        </w:rPr>
        <w:t>L</w:t>
      </w:r>
      <w:r>
        <w:rPr>
          <w:rFonts w:ascii="Arial" w:cs="Arial" w:eastAsia="Arial" w:hAnsi="Arial"/>
          <w:sz w:val="11"/>
          <w:szCs w:val="11"/>
          <w:b w:val="1"/>
          <w:bCs w:val="1"/>
          <w:color w:val="auto"/>
        </w:rPr>
        <w:t>INE</w:t>
      </w:r>
      <w:r>
        <w:rPr>
          <w:rFonts w:ascii="Arial" w:cs="Arial" w:eastAsia="Arial" w:hAnsi="Arial"/>
          <w:sz w:val="17"/>
          <w:szCs w:val="17"/>
          <w:b w:val="1"/>
          <w:bCs w:val="1"/>
          <w:color w:val="auto"/>
        </w:rPr>
        <w:t>R</w:t>
      </w:r>
      <w:r>
        <w:rPr>
          <w:rFonts w:ascii="Arial" w:cs="Arial" w:eastAsia="Arial" w:hAnsi="Arial"/>
          <w:sz w:val="11"/>
          <w:szCs w:val="11"/>
          <w:b w:val="1"/>
          <w:bCs w:val="1"/>
          <w:color w:val="auto"/>
        </w:rPr>
        <w:t>X</w:t>
      </w:r>
      <w:r>
        <w:rPr>
          <w:rFonts w:ascii="Arial" w:cs="Arial" w:eastAsia="Arial" w:hAnsi="Arial"/>
          <w:sz w:val="17"/>
          <w:szCs w:val="17"/>
          <w:color w:val="auto"/>
        </w:rPr>
        <w:t xml:space="preserve"> </w:t>
      </w:r>
      <w:r>
        <w:rPr>
          <w:rFonts w:ascii="Arial" w:cs="Arial" w:eastAsia="Arial" w:hAnsi="Arial"/>
          <w:sz w:val="17"/>
          <w:szCs w:val="17"/>
          <w:b w:val="1"/>
          <w:bCs w:val="1"/>
          <w:color w:val="auto"/>
        </w:rPr>
        <w:t>L</w:t>
      </w:r>
      <w:r>
        <w:rPr>
          <w:rFonts w:ascii="Arial" w:cs="Arial" w:eastAsia="Arial" w:hAnsi="Arial"/>
          <w:sz w:val="11"/>
          <w:szCs w:val="11"/>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xml:space="preserve">, a corporation organized and existing under the laws of the State of Israel and having a principal place of business at 19 Hartum Street, P.O. Box 45158, Jerusalem 91450, Israel (collectively, </w:t>
      </w:r>
      <w:r>
        <w:rPr>
          <w:rFonts w:ascii="Arial" w:cs="Arial" w:eastAsia="Arial" w:hAnsi="Arial"/>
          <w:sz w:val="17"/>
          <w:szCs w:val="17"/>
          <w:b w:val="1"/>
          <w:bCs w:val="1"/>
          <w:color w:val="auto"/>
        </w:rPr>
        <w:t>“BioLineRx”</w:t>
      </w:r>
      <w:r>
        <w:rPr>
          <w:rFonts w:ascii="Arial" w:cs="Arial" w:eastAsia="Arial" w:hAnsi="Arial"/>
          <w:sz w:val="17"/>
          <w:szCs w:val="17"/>
          <w:color w:val="auto"/>
        </w:rPr>
        <w:t xml:space="preserve">). BioLineRx and Cypress are sometimes referred to herein individually as a </w:t>
      </w:r>
      <w:r>
        <w:rPr>
          <w:rFonts w:ascii="Arial" w:cs="Arial" w:eastAsia="Arial" w:hAnsi="Arial"/>
          <w:sz w:val="17"/>
          <w:szCs w:val="17"/>
          <w:b w:val="1"/>
          <w:bCs w:val="1"/>
          <w:color w:val="auto"/>
        </w:rPr>
        <w:t xml:space="preserve">“Party” </w:t>
      </w:r>
      <w:r>
        <w:rPr>
          <w:rFonts w:ascii="Arial" w:cs="Arial" w:eastAsia="Arial" w:hAnsi="Arial"/>
          <w:sz w:val="17"/>
          <w:szCs w:val="17"/>
          <w:color w:val="auto"/>
        </w:rPr>
        <w:t>and collectively as the</w:t>
      </w:r>
      <w:r>
        <w:rPr>
          <w:rFonts w:ascii="Arial" w:cs="Arial" w:eastAsia="Arial" w:hAnsi="Arial"/>
          <w:sz w:val="17"/>
          <w:szCs w:val="17"/>
          <w:b w:val="1"/>
          <w:bCs w:val="1"/>
          <w:color w:val="auto"/>
        </w:rPr>
        <w:t xml:space="preserve"> “Parties.”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BioLineRx and Cypress are parties to that certain License Agreement dated June 20, 2010 (the “License Agreement”); and</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the Parties now desire to terminate the License Agreement on the terms and conditions set forth herein.</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foregoing premises and the mutual promises, covenants and conditions contained in this Agreement,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48"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Initially capitalized terms used herein shall have the meaning provided in this Article 1; provided that if no definition is provided herein for a particular term, then such term shall have the meaning provided in the License Agreement.</w:t>
      </w:r>
    </w:p>
    <w:p>
      <w:pPr>
        <w:spacing w:after="0" w:line="18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 xml:space="preserve">“BioLineRx” </w:t>
      </w:r>
      <w:r>
        <w:rPr>
          <w:rFonts w:ascii="Arial" w:cs="Arial" w:eastAsia="Arial" w:hAnsi="Arial"/>
          <w:sz w:val="15"/>
          <w:szCs w:val="15"/>
          <w:color w:val="auto"/>
        </w:rPr>
        <w:t>has the meaning provided in the introductory paragraph.</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1.2 “BL-1020” </w:t>
      </w:r>
      <w:r>
        <w:rPr>
          <w:rFonts w:ascii="Arial" w:cs="Arial" w:eastAsia="Arial" w:hAnsi="Arial"/>
          <w:sz w:val="17"/>
          <w:szCs w:val="17"/>
          <w:color w:val="auto"/>
        </w:rPr>
        <w:t>means BioLineRx’s proprietary compound known as BL-1020, having the chemical structure set forth on</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or salt, solvate,</w:t>
      </w:r>
      <w:r>
        <w:rPr>
          <w:rFonts w:ascii="Arial" w:cs="Arial" w:eastAsia="Arial" w:hAnsi="Arial"/>
          <w:sz w:val="17"/>
          <w:szCs w:val="17"/>
          <w:b w:val="1"/>
          <w:bCs w:val="1"/>
          <w:color w:val="auto"/>
        </w:rPr>
        <w:t xml:space="preserve"> </w:t>
      </w:r>
      <w:r>
        <w:rPr>
          <w:rFonts w:ascii="Arial" w:cs="Arial" w:eastAsia="Arial" w:hAnsi="Arial"/>
          <w:sz w:val="17"/>
          <w:szCs w:val="17"/>
          <w:color w:val="auto"/>
        </w:rPr>
        <w:t>polymorph, or other non-covalent derivate thereof.</w:t>
      </w:r>
    </w:p>
    <w:p>
      <w:pPr>
        <w:spacing w:after="0" w:line="177" w:lineRule="exact"/>
        <w:rPr>
          <w:sz w:val="20"/>
          <w:szCs w:val="20"/>
          <w:color w:val="auto"/>
        </w:rPr>
      </w:pPr>
    </w:p>
    <w:p>
      <w:pPr>
        <w:jc w:val="both"/>
        <w:ind w:firstLine="617"/>
        <w:spacing w:after="0" w:line="281" w:lineRule="auto"/>
        <w:rPr>
          <w:sz w:val="20"/>
          <w:szCs w:val="20"/>
          <w:color w:val="auto"/>
        </w:rPr>
      </w:pPr>
      <w:r>
        <w:rPr>
          <w:rFonts w:ascii="Arial" w:cs="Arial" w:eastAsia="Arial" w:hAnsi="Arial"/>
          <w:sz w:val="16"/>
          <w:szCs w:val="16"/>
          <w:b w:val="1"/>
          <w:bCs w:val="1"/>
          <w:color w:val="auto"/>
        </w:rPr>
        <w:t xml:space="preserve">1.3 “Commercialization,” </w:t>
      </w:r>
      <w:r>
        <w:rPr>
          <w:rFonts w:ascii="Arial" w:cs="Arial" w:eastAsia="Arial" w:hAnsi="Arial"/>
          <w:sz w:val="16"/>
          <w:szCs w:val="16"/>
          <w:color w:val="auto"/>
        </w:rPr>
        <w:t>with a correlative meaning for</w:t>
      </w:r>
      <w:r>
        <w:rPr>
          <w:rFonts w:ascii="Arial" w:cs="Arial" w:eastAsia="Arial" w:hAnsi="Arial"/>
          <w:sz w:val="16"/>
          <w:szCs w:val="16"/>
          <w:b w:val="1"/>
          <w:bCs w:val="1"/>
          <w:color w:val="auto"/>
        </w:rPr>
        <w:t xml:space="preserve"> “Commercialize” </w:t>
      </w:r>
      <w:r>
        <w:rPr>
          <w:rFonts w:ascii="Arial" w:cs="Arial" w:eastAsia="Arial" w:hAnsi="Arial"/>
          <w:sz w:val="16"/>
          <w:szCs w:val="16"/>
          <w:color w:val="auto"/>
        </w:rPr>
        <w:t>and</w:t>
      </w:r>
      <w:r>
        <w:rPr>
          <w:rFonts w:ascii="Arial" w:cs="Arial" w:eastAsia="Arial" w:hAnsi="Arial"/>
          <w:sz w:val="16"/>
          <w:szCs w:val="16"/>
          <w:b w:val="1"/>
          <w:bCs w:val="1"/>
          <w:color w:val="auto"/>
        </w:rPr>
        <w:t xml:space="preserve"> “Commercializing,” </w:t>
      </w:r>
      <w:r>
        <w:rPr>
          <w:rFonts w:ascii="Arial" w:cs="Arial" w:eastAsia="Arial" w:hAnsi="Arial"/>
          <w:sz w:val="16"/>
          <w:szCs w:val="16"/>
          <w:color w:val="auto"/>
        </w:rPr>
        <w:t>means all activities undertaken before and after</w:t>
      </w:r>
      <w:r>
        <w:rPr>
          <w:rFonts w:ascii="Arial" w:cs="Arial" w:eastAsia="Arial" w:hAnsi="Arial"/>
          <w:sz w:val="16"/>
          <w:szCs w:val="16"/>
          <w:b w:val="1"/>
          <w:bCs w:val="1"/>
          <w:color w:val="auto"/>
        </w:rPr>
        <w:t xml:space="preserve"> </w:t>
      </w:r>
      <w:r>
        <w:rPr>
          <w:rFonts w:ascii="Arial" w:cs="Arial" w:eastAsia="Arial" w:hAnsi="Arial"/>
          <w:sz w:val="16"/>
          <w:szCs w:val="16"/>
          <w:color w:val="auto"/>
        </w:rPr>
        <w:t>obtaining Regulatory Approvals relating specifically to the pre-launch, launch, promotion, detailing, medical education and medical liaison activities, marketing, pricing, reimbursement, sale, and distribution of the Products, including: (a) strategic marketing, sales force detailing, advertising, medical education and liaison, and market and Product support; (b) any post-marketing clinical studies (other than those included in Pre-Commercialization) for use in generating data to be submitted to Regulatory Authorities (and all associated reporting requirements); and (c) all customer support, Product distribution, invoicing and sales activities.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658" w:name="page659"/>
    <w:bookmarkEnd w:id="658"/>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1.4 “Confidential Information” </w:t>
      </w:r>
      <w:r>
        <w:rPr>
          <w:rFonts w:ascii="Arial" w:cs="Arial" w:eastAsia="Arial" w:hAnsi="Arial"/>
          <w:sz w:val="17"/>
          <w:szCs w:val="17"/>
          <w:color w:val="auto"/>
        </w:rPr>
        <w:t>means, with respect to a Party, all reports and other Information of such Party that is disclosed to the other Party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whether in oral, written, graphic, or electronic form. All Information disclosed by a Party in the negotiation of this Agreement or the matters relating hereto shall be deemed to be such Party’s Confidential Information disclosed hereunder.</w:t>
      </w:r>
    </w:p>
    <w:p>
      <w:pPr>
        <w:spacing w:after="0" w:line="19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 xml:space="preserve">“Cypress” </w:t>
      </w:r>
      <w:r>
        <w:rPr>
          <w:rFonts w:ascii="Arial" w:cs="Arial" w:eastAsia="Arial" w:hAnsi="Arial"/>
          <w:sz w:val="15"/>
          <w:szCs w:val="15"/>
          <w:color w:val="auto"/>
        </w:rPr>
        <w:t>has the meaning provided in the introductory paragraph.</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 xml:space="preserve">“Cypress Indemnitees” </w:t>
      </w:r>
      <w:r>
        <w:rPr>
          <w:rFonts w:ascii="Arial" w:cs="Arial" w:eastAsia="Arial" w:hAnsi="Arial"/>
          <w:sz w:val="15"/>
          <w:szCs w:val="15"/>
          <w:color w:val="auto"/>
        </w:rPr>
        <w:t>has the meaning provided in Section 6.1.</w:t>
      </w:r>
    </w:p>
    <w:p>
      <w:pPr>
        <w:spacing w:after="0" w:line="242"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1.7 “Cypress Know-How” </w:t>
      </w:r>
      <w:r>
        <w:rPr>
          <w:rFonts w:ascii="Arial" w:cs="Arial" w:eastAsia="Arial" w:hAnsi="Arial"/>
          <w:sz w:val="17"/>
          <w:szCs w:val="17"/>
          <w:color w:val="auto"/>
        </w:rPr>
        <w:t>means all Information that is Controlled by Cypress or its Affiliates as of the Effective Date or at any time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Cypress’ interest in any Joint Inventions) and is necessary or useful for the Pre-Commercialization, Commercialization or manufacture of the Products in the Field in accordance with the terms of this Agreement. For clarity, Cypress Know-How excludes the Cypress Patents. Notwithstanding the foregoing, Cypress Know-How shall not include Information controlled by an acquiror or merger partner of Cypress that: (a) such acquiror or merger partner of Cypress controlled prior to the date of closing of such acquisition or merger; or (b) was developed after the date of closing of such acquisition or merger without using BioLineRx Know-How, Cypress Know-How, Joint Know-How or inventions claimed in BioLineRx Patents, Cypress Patents or Joint Patents, and in the case of (b) is not used in connection with Pre-Commercialization or Commercialization.</w:t>
      </w:r>
    </w:p>
    <w:p>
      <w:pPr>
        <w:spacing w:after="0" w:line="201"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1.8 “Cypress Patents” </w:t>
      </w:r>
      <w:r>
        <w:rPr>
          <w:rFonts w:ascii="Arial" w:cs="Arial" w:eastAsia="Arial" w:hAnsi="Arial"/>
          <w:sz w:val="16"/>
          <w:szCs w:val="16"/>
          <w:color w:val="auto"/>
        </w:rPr>
        <w:t>means all Patents (a) that are Controlled by Cypress or its Affiliates as of the Effective Date or at any time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Cypress’ interest in any Joint Patents) and (b) with a Valid Claim covering the Pre-Commercialization, Commercialization or manufacture of the Products in the Field in the Cypress Territory. Notwithstanding the foregoing, Cypress Patents shall not include Patents controlled by an acquiror or merger partner of Cypress that: (i) such acquiror or merger partner of Cypress controlled prior to the date of closing of such acquisition or merger; or (ii) were developed after the date of closing of such acquisition or merger without using BioLineRx Know-How, Cypress Know-How, Joint Know-How or inventions claimed in BioLineRx Patents, Cypress Patents or Joint Patents, and in the case of (ii) are not used in connection with Pre-Commercialization or Commercialization.</w:t>
      </w:r>
    </w:p>
    <w:p>
      <w:pPr>
        <w:spacing w:after="0" w:line="18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1.9</w:t>
      </w:r>
      <w:r>
        <w:rPr>
          <w:sz w:val="20"/>
          <w:szCs w:val="20"/>
          <w:color w:val="auto"/>
        </w:rPr>
        <w:tab/>
      </w:r>
      <w:r>
        <w:rPr>
          <w:rFonts w:ascii="Arial" w:cs="Arial" w:eastAsia="Arial" w:hAnsi="Arial"/>
          <w:sz w:val="15"/>
          <w:szCs w:val="15"/>
          <w:b w:val="1"/>
          <w:bCs w:val="1"/>
          <w:color w:val="auto"/>
        </w:rPr>
        <w:t xml:space="preserve">“Cypress Technology” </w:t>
      </w:r>
      <w:r>
        <w:rPr>
          <w:rFonts w:ascii="Arial" w:cs="Arial" w:eastAsia="Arial" w:hAnsi="Arial"/>
          <w:sz w:val="15"/>
          <w:szCs w:val="15"/>
          <w:color w:val="auto"/>
        </w:rPr>
        <w:t>means the Cypress Patents and Cypress Know-How.</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1.10</w:t>
      </w:r>
      <w:r>
        <w:rPr>
          <w:sz w:val="20"/>
          <w:szCs w:val="20"/>
          <w:color w:val="auto"/>
        </w:rPr>
        <w:tab/>
      </w:r>
      <w:r>
        <w:rPr>
          <w:rFonts w:ascii="Arial" w:cs="Arial" w:eastAsia="Arial" w:hAnsi="Arial"/>
          <w:sz w:val="15"/>
          <w:szCs w:val="15"/>
          <w:b w:val="1"/>
          <w:bCs w:val="1"/>
          <w:color w:val="auto"/>
        </w:rPr>
        <w:t xml:space="preserve">“Dollar” </w:t>
      </w:r>
      <w:r>
        <w:rPr>
          <w:rFonts w:ascii="Arial" w:cs="Arial" w:eastAsia="Arial" w:hAnsi="Arial"/>
          <w:sz w:val="15"/>
          <w:szCs w:val="15"/>
          <w:color w:val="auto"/>
        </w:rPr>
        <w:t>means a U.S. dollar, and “$” shall be interpreted accordingly.</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has the meaning provided in the introductory paragraph.</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5"/>
          <w:szCs w:val="15"/>
          <w:b w:val="1"/>
          <w:bCs w:val="1"/>
          <w:color w:val="auto"/>
        </w:rPr>
        <w:t xml:space="preserve">“Indemnify” </w:t>
      </w:r>
      <w:r>
        <w:rPr>
          <w:rFonts w:ascii="Arial" w:cs="Arial" w:eastAsia="Arial" w:hAnsi="Arial"/>
          <w:sz w:val="15"/>
          <w:szCs w:val="15"/>
          <w:color w:val="auto"/>
        </w:rPr>
        <w:t>has the meaning set forth in Section 6.1.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59" w:name="page660"/>
    <w:bookmarkEnd w:id="659"/>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1.13 “Information” </w:t>
      </w:r>
      <w:r>
        <w:rPr>
          <w:rFonts w:ascii="Arial" w:cs="Arial" w:eastAsia="Arial" w:hAnsi="Arial"/>
          <w:sz w:val="17"/>
          <w:szCs w:val="17"/>
          <w:color w:val="auto"/>
        </w:rPr>
        <w:t>means any data, results, technology, business information and information of any type whatsoever, in any tangible or intangible</w:t>
      </w:r>
      <w:r>
        <w:rPr>
          <w:rFonts w:ascii="Arial" w:cs="Arial" w:eastAsia="Arial" w:hAnsi="Arial"/>
          <w:sz w:val="17"/>
          <w:szCs w:val="17"/>
          <w:b w:val="1"/>
          <w:bCs w:val="1"/>
          <w:color w:val="auto"/>
        </w:rPr>
        <w:t xml:space="preserve"> </w:t>
      </w:r>
      <w:r>
        <w:rPr>
          <w:rFonts w:ascii="Arial" w:cs="Arial" w:eastAsia="Arial" w:hAnsi="Arial"/>
          <w:sz w:val="17"/>
          <w:szCs w:val="17"/>
          <w:color w:val="auto"/>
        </w:rPr>
        <w:t>form, including know-how, trade secrets, practices, techniques, methods, processes, inventions, developments, specifications, formulations, formulae, materials or compositions of matter of any type or kind (patentable or otherwise), software, algorithms, marketing reports, expertise, test data (including pharmacological, biological, chemical, biochemical, toxicological, preclinical and clinical test data), manufacturing know-how and data, analytical and quality control data, stability data, other study data and procedures.</w:t>
      </w:r>
    </w:p>
    <w:p>
      <w:pPr>
        <w:spacing w:after="0" w:line="19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5"/>
          <w:szCs w:val="15"/>
          <w:b w:val="1"/>
          <w:bCs w:val="1"/>
          <w:color w:val="auto"/>
        </w:rPr>
        <w:t xml:space="preserve">“JAMS Rules” </w:t>
      </w:r>
      <w:r>
        <w:rPr>
          <w:rFonts w:ascii="Arial" w:cs="Arial" w:eastAsia="Arial" w:hAnsi="Arial"/>
          <w:sz w:val="15"/>
          <w:szCs w:val="15"/>
          <w:color w:val="auto"/>
        </w:rPr>
        <w:t>has the meaning set forth in Section 9.3.</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1.15 “Laws” </w:t>
      </w:r>
      <w:r>
        <w:rPr>
          <w:rFonts w:ascii="Arial" w:cs="Arial" w:eastAsia="Arial" w:hAnsi="Arial"/>
          <w:sz w:val="17"/>
          <w:szCs w:val="17"/>
          <w:color w:val="auto"/>
        </w:rPr>
        <w:t>means all laws, statutes, rules, regulations, ordinances and other pronouncements having the effect of law of any federal,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multinational, state, provincial, county, city or other political subdivision, domestic or foreign.</w:t>
      </w:r>
    </w:p>
    <w:p>
      <w:pPr>
        <w:spacing w:after="0" w:line="17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5"/>
          <w:szCs w:val="15"/>
          <w:b w:val="1"/>
          <w:bCs w:val="1"/>
          <w:color w:val="auto"/>
        </w:rPr>
        <w:t xml:space="preserve">“License Agreement” </w:t>
      </w:r>
      <w:r>
        <w:rPr>
          <w:rFonts w:ascii="Arial" w:cs="Arial" w:eastAsia="Arial" w:hAnsi="Arial"/>
          <w:sz w:val="15"/>
          <w:szCs w:val="15"/>
          <w:color w:val="auto"/>
        </w:rPr>
        <w:t>has the meaning provided in the recitals.</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5"/>
          <w:szCs w:val="15"/>
          <w:b w:val="1"/>
          <w:bCs w:val="1"/>
          <w:color w:val="auto"/>
        </w:rPr>
        <w:t xml:space="preserve">“Losses” </w:t>
      </w:r>
      <w:r>
        <w:rPr>
          <w:rFonts w:ascii="Arial" w:cs="Arial" w:eastAsia="Arial" w:hAnsi="Arial"/>
          <w:sz w:val="15"/>
          <w:szCs w:val="15"/>
          <w:color w:val="auto"/>
        </w:rPr>
        <w:t>has the meaning set forth in Section 6.1.</w:t>
      </w:r>
    </w:p>
    <w:p>
      <w:pPr>
        <w:spacing w:after="0" w:line="24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1.18</w:t>
      </w:r>
      <w:r>
        <w:rPr>
          <w:sz w:val="20"/>
          <w:szCs w:val="20"/>
          <w:color w:val="auto"/>
        </w:rPr>
        <w:tab/>
      </w:r>
      <w:r>
        <w:rPr>
          <w:rFonts w:ascii="Arial" w:cs="Arial" w:eastAsia="Arial" w:hAnsi="Arial"/>
          <w:sz w:val="15"/>
          <w:szCs w:val="15"/>
          <w:b w:val="1"/>
          <w:bCs w:val="1"/>
          <w:color w:val="auto"/>
        </w:rPr>
        <w:t xml:space="preserve">“Net Sales” </w:t>
      </w:r>
      <w:r>
        <w:rPr>
          <w:rFonts w:ascii="Arial" w:cs="Arial" w:eastAsia="Arial" w:hAnsi="Arial"/>
          <w:sz w:val="15"/>
          <w:szCs w:val="15"/>
          <w:color w:val="auto"/>
        </w:rPr>
        <w:t>means, with respect to a particular time period, the total amounts invoiced by BioLineRx and its Affiliates or sublicensees for sales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Products made during such time period to unrelated Third Parties, less the following deductions to the extent actually allowed or incurred with respect to such sales:</w:t>
      </w:r>
    </w:p>
    <w:p>
      <w:pPr>
        <w:spacing w:after="0" w:line="254" w:lineRule="exact"/>
        <w:rPr>
          <w:sz w:val="20"/>
          <w:szCs w:val="20"/>
          <w:color w:val="auto"/>
        </w:rPr>
      </w:pPr>
    </w:p>
    <w:p>
      <w:pPr>
        <w:ind w:firstLine="1238"/>
        <w:spacing w:after="0" w:line="278" w:lineRule="auto"/>
        <w:tabs>
          <w:tab w:leader="none" w:pos="1911" w:val="left"/>
        </w:tabs>
        <w:numPr>
          <w:ilvl w:val="0"/>
          <w:numId w:val="591"/>
        </w:numPr>
        <w:rPr>
          <w:rFonts w:ascii="Arial" w:cs="Arial" w:eastAsia="Arial" w:hAnsi="Arial"/>
          <w:sz w:val="17"/>
          <w:szCs w:val="17"/>
          <w:b w:val="1"/>
          <w:bCs w:val="1"/>
          <w:color w:val="auto"/>
        </w:rPr>
      </w:pPr>
      <w:r>
        <w:rPr>
          <w:rFonts w:ascii="Arial" w:cs="Arial" w:eastAsia="Arial" w:hAnsi="Arial"/>
          <w:sz w:val="17"/>
          <w:szCs w:val="17"/>
          <w:color w:val="auto"/>
        </w:rPr>
        <w:t>trade discounts, credits or allowances including cash and quantity discounts provided by means of chargebacks, rebates and administrative fees charged by customers or health care organizations determined based upon sales;</w:t>
      </w:r>
    </w:p>
    <w:p>
      <w:pPr>
        <w:spacing w:after="0" w:line="190" w:lineRule="exact"/>
        <w:rPr>
          <w:rFonts w:ascii="Arial" w:cs="Arial" w:eastAsia="Arial" w:hAnsi="Arial"/>
          <w:sz w:val="17"/>
          <w:szCs w:val="17"/>
          <w:b w:val="1"/>
          <w:bCs w:val="1"/>
          <w:color w:val="auto"/>
        </w:rPr>
      </w:pPr>
    </w:p>
    <w:p>
      <w:pPr>
        <w:ind w:left="2060" w:hanging="822"/>
        <w:spacing w:after="0"/>
        <w:tabs>
          <w:tab w:leader="none" w:pos="2060" w:val="left"/>
        </w:tabs>
        <w:numPr>
          <w:ilvl w:val="0"/>
          <w:numId w:val="591"/>
        </w:numPr>
        <w:rPr>
          <w:rFonts w:ascii="Arial" w:cs="Arial" w:eastAsia="Arial" w:hAnsi="Arial"/>
          <w:sz w:val="15"/>
          <w:szCs w:val="15"/>
          <w:b w:val="1"/>
          <w:bCs w:val="1"/>
          <w:color w:val="auto"/>
        </w:rPr>
      </w:pPr>
      <w:r>
        <w:rPr>
          <w:rFonts w:ascii="Arial" w:cs="Arial" w:eastAsia="Arial" w:hAnsi="Arial"/>
          <w:sz w:val="15"/>
          <w:szCs w:val="15"/>
          <w:color w:val="auto"/>
        </w:rPr>
        <w:t>credits or allowances additionally granted for damaged, outdated, spoiled, returned or rejected Products, including in connection with</w:t>
      </w:r>
    </w:p>
    <w:p>
      <w:pPr>
        <w:spacing w:after="0" w:line="4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recalls;</w:t>
      </w:r>
    </w:p>
    <w:p>
      <w:pPr>
        <w:spacing w:after="0" w:line="230" w:lineRule="exact"/>
        <w:rPr>
          <w:rFonts w:ascii="Arial" w:cs="Arial" w:eastAsia="Arial" w:hAnsi="Arial"/>
          <w:sz w:val="15"/>
          <w:szCs w:val="15"/>
          <w:b w:val="1"/>
          <w:bCs w:val="1"/>
          <w:color w:val="auto"/>
        </w:rPr>
      </w:pPr>
    </w:p>
    <w:p>
      <w:pPr>
        <w:ind w:left="1900" w:hanging="662"/>
        <w:spacing w:after="0"/>
        <w:tabs>
          <w:tab w:leader="none" w:pos="1900" w:val="left"/>
        </w:tabs>
        <w:numPr>
          <w:ilvl w:val="0"/>
          <w:numId w:val="591"/>
        </w:numPr>
        <w:rPr>
          <w:rFonts w:ascii="Arial" w:cs="Arial" w:eastAsia="Arial" w:hAnsi="Arial"/>
          <w:sz w:val="17"/>
          <w:szCs w:val="17"/>
          <w:b w:val="1"/>
          <w:bCs w:val="1"/>
          <w:color w:val="auto"/>
        </w:rPr>
      </w:pPr>
      <w:r>
        <w:rPr>
          <w:rFonts w:ascii="Arial" w:cs="Arial" w:eastAsia="Arial" w:hAnsi="Arial"/>
          <w:sz w:val="17"/>
          <w:szCs w:val="17"/>
          <w:color w:val="auto"/>
        </w:rPr>
        <w:t>freight, shipping and insurance charges, to the extent included in the invoiced amount;</w:t>
      </w:r>
    </w:p>
    <w:p>
      <w:pPr>
        <w:spacing w:after="0" w:line="241" w:lineRule="exact"/>
        <w:rPr>
          <w:rFonts w:ascii="Arial" w:cs="Arial" w:eastAsia="Arial" w:hAnsi="Arial"/>
          <w:sz w:val="17"/>
          <w:szCs w:val="17"/>
          <w:b w:val="1"/>
          <w:bCs w:val="1"/>
          <w:color w:val="auto"/>
        </w:rPr>
      </w:pPr>
    </w:p>
    <w:p>
      <w:pPr>
        <w:jc w:val="both"/>
        <w:ind w:firstLine="1238"/>
        <w:spacing w:after="0" w:line="265" w:lineRule="auto"/>
        <w:tabs>
          <w:tab w:leader="none" w:pos="2008" w:val="left"/>
        </w:tabs>
        <w:numPr>
          <w:ilvl w:val="0"/>
          <w:numId w:val="591"/>
        </w:numPr>
        <w:rPr>
          <w:rFonts w:ascii="Arial" w:cs="Arial" w:eastAsia="Arial" w:hAnsi="Arial"/>
          <w:sz w:val="17"/>
          <w:szCs w:val="17"/>
          <w:b w:val="1"/>
          <w:bCs w:val="1"/>
          <w:color w:val="auto"/>
        </w:rPr>
      </w:pPr>
      <w:r>
        <w:rPr>
          <w:rFonts w:ascii="Arial" w:cs="Arial" w:eastAsia="Arial" w:hAnsi="Arial"/>
          <w:sz w:val="17"/>
          <w:szCs w:val="17"/>
          <w:color w:val="auto"/>
        </w:rPr>
        <w:t>Taxes, tariffs, duties or other governmental charges (other than income taxes) levied on, absorbed or otherwise imposed on sales of the Products in the Cypress Territory, as adjusted by any refunds, provided that such Taxes, tariffs, duties and other governmental charges are included in the applicable invoiced amount and identified in the applicable invoice; and</w:t>
      </w:r>
    </w:p>
    <w:p>
      <w:pPr>
        <w:spacing w:after="0" w:line="201" w:lineRule="exact"/>
        <w:rPr>
          <w:rFonts w:ascii="Arial" w:cs="Arial" w:eastAsia="Arial" w:hAnsi="Arial"/>
          <w:sz w:val="17"/>
          <w:szCs w:val="17"/>
          <w:b w:val="1"/>
          <w:bCs w:val="1"/>
          <w:color w:val="auto"/>
        </w:rPr>
      </w:pPr>
    </w:p>
    <w:p>
      <w:pPr>
        <w:ind w:left="1900" w:hanging="662"/>
        <w:spacing w:after="0"/>
        <w:tabs>
          <w:tab w:leader="none" w:pos="1900" w:val="left"/>
        </w:tabs>
        <w:numPr>
          <w:ilvl w:val="0"/>
          <w:numId w:val="591"/>
        </w:numPr>
        <w:rPr>
          <w:rFonts w:ascii="Arial" w:cs="Arial" w:eastAsia="Arial" w:hAnsi="Arial"/>
          <w:sz w:val="17"/>
          <w:szCs w:val="17"/>
          <w:b w:val="1"/>
          <w:bCs w:val="1"/>
          <w:color w:val="auto"/>
        </w:rPr>
      </w:pPr>
      <w:r>
        <w:rPr>
          <w:rFonts w:ascii="Arial" w:cs="Arial" w:eastAsia="Arial" w:hAnsi="Arial"/>
          <w:sz w:val="17"/>
          <w:szCs w:val="17"/>
          <w:color w:val="auto"/>
        </w:rPr>
        <w:t>rebates, discounts or other payments on sales of Products that are mandated by a Governmental Authority.</w:t>
      </w:r>
    </w:p>
    <w:p>
      <w:pPr>
        <w:spacing w:after="0" w:line="24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Notwithstanding the foregoing, amounts invoiced by BioLineRx and its Affiliates or sublicensees for the sale of Products between BioLineRx and its Affiliates or sublicensees for resale shall not be included in the computation of Net Sales hereunder. For purposes of determining Net Sales, a “sale” shall not include reasonable transfers or dispositions, at no cost, as samples or for charitable purposes, or transfers or dispositions at no cost for preclinical, clinical or regulatory purposes.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60" w:name="page661"/>
    <w:bookmarkEnd w:id="660"/>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5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Each of the deductions set forth above shall be reasonable and customary, and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For the purpose of determining royalties due to Cypress, BioLineRx shall calculate Net Sales of Combination Products (as defined below) by multiplying Net Sales of such Combination Product by a fraction A/A+B, where A is the sale price of the Product portion of such Combination Product when sold separately and B is the sale price of the other active ingredient(s) in such Combination Product when sold separately;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Product portion of such Combination Product or any of the other active ingredients in such Combination Product is not then sold separately, then BioLineRx shall calculate Net Sales of such Combination Products by the fraction C/C+D, where C is a reasonable estimate of the fair market value of the Product portion of such Combination Product, D is a reasonable estimate of the fair market value of the other active ingredients in such Combination Product, and the estimates of C and D are determined by mutual agreement of the Parties. As used in this Section 1.18, </w:t>
      </w:r>
      <w:r>
        <w:rPr>
          <w:rFonts w:ascii="Arial" w:cs="Arial" w:eastAsia="Arial" w:hAnsi="Arial"/>
          <w:sz w:val="17"/>
          <w:szCs w:val="17"/>
          <w:b w:val="1"/>
          <w:bCs w:val="1"/>
          <w:color w:val="auto"/>
        </w:rPr>
        <w:t>“Combination Product”</w:t>
      </w:r>
      <w:r>
        <w:rPr>
          <w:rFonts w:ascii="Arial" w:cs="Arial" w:eastAsia="Arial" w:hAnsi="Arial"/>
          <w:sz w:val="17"/>
          <w:szCs w:val="17"/>
          <w:color w:val="auto"/>
        </w:rPr>
        <w:t xml:space="preserve"> means a product in which one or more active ingredients that are not Products are sold in a single formulation with a Product.</w:t>
      </w:r>
    </w:p>
    <w:p>
      <w:pPr>
        <w:spacing w:after="0" w:line="204"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1.19</w:t>
      </w:r>
      <w:r>
        <w:rPr>
          <w:sz w:val="20"/>
          <w:szCs w:val="20"/>
          <w:color w:val="auto"/>
        </w:rPr>
        <w:tab/>
      </w:r>
      <w:r>
        <w:rPr>
          <w:rFonts w:ascii="Arial" w:cs="Arial" w:eastAsia="Arial" w:hAnsi="Arial"/>
          <w:sz w:val="15"/>
          <w:szCs w:val="15"/>
          <w:b w:val="1"/>
          <w:bCs w:val="1"/>
          <w:color w:val="auto"/>
        </w:rPr>
        <w:t xml:space="preserve">“Party” </w:t>
      </w:r>
      <w:r>
        <w:rPr>
          <w:rFonts w:ascii="Arial" w:cs="Arial" w:eastAsia="Arial" w:hAnsi="Arial"/>
          <w:sz w:val="15"/>
          <w:szCs w:val="15"/>
          <w:color w:val="auto"/>
        </w:rPr>
        <w:t>and</w:t>
      </w:r>
      <w:r>
        <w:rPr>
          <w:rFonts w:ascii="Arial" w:cs="Arial" w:eastAsia="Arial" w:hAnsi="Arial"/>
          <w:sz w:val="15"/>
          <w:szCs w:val="15"/>
          <w:b w:val="1"/>
          <w:bCs w:val="1"/>
          <w:color w:val="auto"/>
        </w:rPr>
        <w:t xml:space="preserve"> “Parties” </w:t>
      </w:r>
      <w:r>
        <w:rPr>
          <w:rFonts w:ascii="Arial" w:cs="Arial" w:eastAsia="Arial" w:hAnsi="Arial"/>
          <w:sz w:val="15"/>
          <w:szCs w:val="15"/>
          <w:color w:val="auto"/>
        </w:rPr>
        <w:t>has the meaning provided in the introductory paragraph.</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1.20 “Patents” </w:t>
      </w:r>
      <w:r>
        <w:rPr>
          <w:rFonts w:ascii="Arial" w:cs="Arial" w:eastAsia="Arial" w:hAnsi="Arial"/>
          <w:sz w:val="17"/>
          <w:szCs w:val="17"/>
          <w:color w:val="auto"/>
        </w:rPr>
        <w:t>means (a) pending patent applications, issued patents, utility models and designs; (b) reissues, renewals, substitutions, confirmations,</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registrations, validations, re-examinations, additions, extensions, continuations, continued prosecution applications, continuations-in-part, or divisions of or to any patent applications, issued patents, utility models or designs; and (c) the equivalent or counterpart of the foregoing.</w:t>
      </w:r>
    </w:p>
    <w:p>
      <w:pPr>
        <w:spacing w:after="0" w:line="19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5"/>
          <w:szCs w:val="15"/>
          <w:b w:val="1"/>
          <w:bCs w:val="1"/>
          <w:color w:val="auto"/>
        </w:rPr>
        <w:t xml:space="preserve">“Prime” </w:t>
      </w:r>
      <w:r>
        <w:rPr>
          <w:rFonts w:ascii="Arial" w:cs="Arial" w:eastAsia="Arial" w:hAnsi="Arial"/>
          <w:sz w:val="15"/>
          <w:szCs w:val="15"/>
          <w:color w:val="auto"/>
        </w:rPr>
        <w:t>means the then-current prime rate reported by JPMorgan Chase in New York City.</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1.22 “Product” </w:t>
      </w:r>
      <w:r>
        <w:rPr>
          <w:rFonts w:ascii="Arial" w:cs="Arial" w:eastAsia="Arial" w:hAnsi="Arial"/>
          <w:sz w:val="17"/>
          <w:szCs w:val="17"/>
          <w:color w:val="auto"/>
        </w:rPr>
        <w:t>means a product containing BL-1020 in any dosage form or formulation or mode of administration, alone or in combination with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therapeutically active ingredients.</w:t>
      </w:r>
    </w:p>
    <w:p>
      <w:pPr>
        <w:spacing w:after="0" w:line="17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5"/>
          <w:szCs w:val="15"/>
          <w:b w:val="1"/>
          <w:bCs w:val="1"/>
          <w:color w:val="auto"/>
        </w:rPr>
        <w:t xml:space="preserve">“Product Rights Agreements” </w:t>
      </w:r>
      <w:r>
        <w:rPr>
          <w:rFonts w:ascii="Arial" w:cs="Arial" w:eastAsia="Arial" w:hAnsi="Arial"/>
          <w:sz w:val="15"/>
          <w:szCs w:val="15"/>
          <w:color w:val="auto"/>
        </w:rPr>
        <w:t>has the meaning set forth in Section 3.1.</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5"/>
          <w:szCs w:val="15"/>
          <w:b w:val="1"/>
          <w:bCs w:val="1"/>
          <w:color w:val="auto"/>
        </w:rPr>
        <w:t xml:space="preserve">“Term” </w:t>
      </w:r>
      <w:r>
        <w:rPr>
          <w:rFonts w:ascii="Arial" w:cs="Arial" w:eastAsia="Arial" w:hAnsi="Arial"/>
          <w:sz w:val="15"/>
          <w:szCs w:val="15"/>
          <w:color w:val="auto"/>
        </w:rPr>
        <w:t>has the meaning set forth in Section 8.1.</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1.25</w:t>
      </w:r>
      <w:r>
        <w:rPr>
          <w:sz w:val="20"/>
          <w:szCs w:val="20"/>
          <w:color w:val="auto"/>
        </w:rPr>
        <w:tab/>
      </w:r>
      <w:r>
        <w:rPr>
          <w:rFonts w:ascii="Arial" w:cs="Arial" w:eastAsia="Arial" w:hAnsi="Arial"/>
          <w:sz w:val="15"/>
          <w:szCs w:val="15"/>
          <w:b w:val="1"/>
          <w:bCs w:val="1"/>
          <w:color w:val="auto"/>
        </w:rPr>
        <w:t xml:space="preserve">“Third Party” </w:t>
      </w:r>
      <w:r>
        <w:rPr>
          <w:rFonts w:ascii="Arial" w:cs="Arial" w:eastAsia="Arial" w:hAnsi="Arial"/>
          <w:sz w:val="15"/>
          <w:szCs w:val="15"/>
          <w:color w:val="auto"/>
        </w:rPr>
        <w:t>means any person or entity other than BioLineRx or Cypress or an Affiliate of either of them.</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1.26</w:t>
      </w:r>
      <w:r>
        <w:rPr>
          <w:sz w:val="20"/>
          <w:szCs w:val="20"/>
          <w:color w:val="auto"/>
        </w:rPr>
        <w:tab/>
      </w:r>
      <w:r>
        <w:rPr>
          <w:rFonts w:ascii="Arial" w:cs="Arial" w:eastAsia="Arial" w:hAnsi="Arial"/>
          <w:sz w:val="15"/>
          <w:szCs w:val="15"/>
          <w:b w:val="1"/>
          <w:bCs w:val="1"/>
          <w:color w:val="auto"/>
        </w:rPr>
        <w:t xml:space="preserve">“Third Party Claim” </w:t>
      </w:r>
      <w:r>
        <w:rPr>
          <w:rFonts w:ascii="Arial" w:cs="Arial" w:eastAsia="Arial" w:hAnsi="Arial"/>
          <w:sz w:val="15"/>
          <w:szCs w:val="15"/>
          <w:color w:val="auto"/>
        </w:rPr>
        <w:t>has the meaning set forth in Section 6.1.</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1.27</w:t>
      </w:r>
      <w:r>
        <w:rPr>
          <w:sz w:val="20"/>
          <w:szCs w:val="20"/>
          <w:color w:val="auto"/>
        </w:rPr>
        <w:tab/>
      </w:r>
      <w:r>
        <w:rPr>
          <w:rFonts w:ascii="Arial" w:cs="Arial" w:eastAsia="Arial" w:hAnsi="Arial"/>
          <w:sz w:val="15"/>
          <w:szCs w:val="15"/>
          <w:b w:val="1"/>
          <w:bCs w:val="1"/>
          <w:color w:val="auto"/>
        </w:rPr>
        <w:t xml:space="preserve">“Transfer Date” </w:t>
      </w:r>
      <w:r>
        <w:rPr>
          <w:rFonts w:ascii="Arial" w:cs="Arial" w:eastAsia="Arial" w:hAnsi="Arial"/>
          <w:sz w:val="15"/>
          <w:szCs w:val="15"/>
          <w:color w:val="auto"/>
        </w:rPr>
        <w:t>means May 31, 2011, or sooner if BioLineRx so determines and so notifies Cypress in advance.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61" w:name="page662"/>
    <w:bookmarkEnd w:id="661"/>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 xml:space="preserve">1.28 Construction. </w:t>
      </w:r>
      <w:r>
        <w:rPr>
          <w:rFonts w:ascii="Arial" w:cs="Arial" w:eastAsia="Arial" w:hAnsi="Arial"/>
          <w:sz w:val="16"/>
          <w:szCs w:val="16"/>
          <w:color w:val="auto"/>
        </w:rPr>
        <w:t>Except where expressly stated otherwise in this Agreement, the following rules of interpretation apply to this Agreement: (a)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“includes” and “including” are not limiting and shall be deemed to be followed by “without limitation”; (b) definitions contained in this Agreement are applicable to the singular as well as the plural forms of such terms; (c) references to an agreement, statute or instrument mean such agreement, statute or instrument as from time to time amended, modified or supplemented; (d) references to a Person are also to its permitted successors and assigns; (e) the plain meaning of the description for a defined term, and other headings to this Agreement are for convenience only, and shall have no force or effect in construing or interpreting any of the provisions of this Agreement or any other legal effect; (f) references to “Parties”, “Article”, “Section”, “Exhibit” or “Schedule” refer to the Parties to, an Article or Section of, or any Exhibit or Schedule to, this Agreement, unless otherwise indicated; (g) the word “will” shall be construed to have the same meaning and effect as the word “shall” and vice versa; (h) the word “or” has, except where otherwise indicated or where the context otherwise requires, the inclusive meaning represented by the phrase “and/or”; and (i) references to dollars are references to U.S. Dollars.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42"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CONTINUED PERFORMANCE;EFFECTS OF TERMINATION AND TRANSITION SERVICES</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Termination.</w:t>
      </w:r>
    </w:p>
    <w:p>
      <w:pPr>
        <w:spacing w:after="0" w:line="242" w:lineRule="exact"/>
        <w:rPr>
          <w:sz w:val="20"/>
          <w:szCs w:val="20"/>
          <w:color w:val="auto"/>
        </w:rPr>
      </w:pPr>
    </w:p>
    <w:p>
      <w:pPr>
        <w:ind w:firstLine="1238"/>
        <w:spacing w:after="0" w:line="286" w:lineRule="auto"/>
        <w:tabs>
          <w:tab w:leader="none" w:pos="2034"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License Agreement is hereby terminated as of May 31, 2011. Except as provided in Article 3 below, all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undertaken by Cypress under this Section shall be performed at its own expense.</w:t>
      </w:r>
    </w:p>
    <w:p>
      <w:pPr>
        <w:spacing w:after="0" w:line="177" w:lineRule="exact"/>
        <w:rPr>
          <w:rFonts w:ascii="Arial" w:cs="Arial" w:eastAsia="Arial" w:hAnsi="Arial"/>
          <w:sz w:val="17"/>
          <w:szCs w:val="17"/>
          <w:b w:val="1"/>
          <w:bCs w:val="1"/>
          <w:color w:val="auto"/>
        </w:rPr>
      </w:pPr>
    </w:p>
    <w:p>
      <w:pPr>
        <w:ind w:left="2040" w:hanging="802"/>
        <w:spacing w:after="0"/>
        <w:tabs>
          <w:tab w:leader="none" w:pos="2040" w:val="left"/>
        </w:tabs>
        <w:numPr>
          <w:ilvl w:val="0"/>
          <w:numId w:val="5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Efforts. Information of Upcoming Clinical Trial. </w:t>
      </w:r>
      <w:r>
        <w:rPr>
          <w:rFonts w:ascii="Arial" w:cs="Arial" w:eastAsia="Arial" w:hAnsi="Arial"/>
          <w:sz w:val="16"/>
          <w:szCs w:val="16"/>
          <w:color w:val="auto"/>
        </w:rPr>
        <w:t>During the period between the Effective Date and the Transfer Date,</w:t>
      </w:r>
    </w:p>
    <w:p>
      <w:pPr>
        <w:spacing w:after="0" w:line="38" w:lineRule="exact"/>
        <w:rPr>
          <w:rFonts w:ascii="Arial" w:cs="Arial" w:eastAsia="Arial" w:hAnsi="Arial"/>
          <w:sz w:val="16"/>
          <w:szCs w:val="16"/>
          <w:b w:val="1"/>
          <w:bCs w:val="1"/>
          <w:color w:val="auto"/>
        </w:rPr>
      </w:pPr>
    </w:p>
    <w:p>
      <w:pPr>
        <w:jc w:val="both"/>
        <w:spacing w:after="0" w:line="297" w:lineRule="auto"/>
        <w:rPr>
          <w:rFonts w:ascii="Arial" w:cs="Arial" w:eastAsia="Arial" w:hAnsi="Arial"/>
          <w:sz w:val="16"/>
          <w:szCs w:val="16"/>
          <w:b w:val="1"/>
          <w:bCs w:val="1"/>
          <w:color w:val="auto"/>
        </w:rPr>
      </w:pPr>
      <w:r>
        <w:rPr>
          <w:rFonts w:ascii="Arial" w:cs="Arial" w:eastAsia="Arial" w:hAnsi="Arial"/>
          <w:sz w:val="15"/>
          <w:szCs w:val="15"/>
          <w:color w:val="auto"/>
        </w:rPr>
        <w:t>Cypress shall: (i) continue efforts to obtain the Regulatory Approvals needed to commence and conduct the clinical trial of BL-1020 at sites in India and Romania (the “Upcoming Clinical Trial”). During the period between the Effective Date and the Transfer Date, Cypress shall provide BioLineRx with access to all documentation of any kind (scientific, financial or other) in Cypress’s possession or any person and/or entity acting on its behalf, that relates to the Upcoming Clinical Trial, including full details of the estimation of future costs of the Trial as previously provided to BioLineRx (the “Trial Transition Data”). In addition, upon reasonable request by BioLineRx, Cypress shall provide access at its facility(ies) to the extent necessary to enable BioLineRx to review such Trial Transition Data.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62" w:name="page663"/>
    <w:bookmarkEnd w:id="662"/>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91" w:lineRule="auto"/>
        <w:tabs>
          <w:tab w:leader="none" w:pos="2141" w:val="left"/>
        </w:tabs>
        <w:numPr>
          <w:ilvl w:val="1"/>
          <w:numId w:val="5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Transition Support. </w:t>
      </w:r>
      <w:r>
        <w:rPr>
          <w:rFonts w:ascii="Arial" w:cs="Arial" w:eastAsia="Arial" w:hAnsi="Arial"/>
          <w:sz w:val="15"/>
          <w:szCs w:val="15"/>
          <w:color w:val="auto"/>
        </w:rPr>
        <w:t>Promptly following the Effective Date, Cypress shall disclose to BioLineRx all currently-effective contracts</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Cypress and Third Party service providers in connection with the Upcoming Clinical Trial (each a “Third Party Contract”) and shall assign each such Third Party Contract, or request that such Third Party agree to an assignment (if so required by the relevant contract) of each such Third Party Contract, to BioLineRx, as and to the extent so requested by BioLineRx. BioLineRx shall assume all rights and obligations under each such Third Party Contract as and when it is assigned to BioLineRx in accordance with this Section 2.1, provided that the effective date of any relevant assignment shall not be prior to the Transfer Date, and including that:</w:t>
      </w:r>
    </w:p>
    <w:p>
      <w:pPr>
        <w:jc w:val="both"/>
        <w:ind w:firstLine="3"/>
        <w:spacing w:after="0" w:line="292" w:lineRule="auto"/>
        <w:tabs>
          <w:tab w:leader="none" w:pos="239" w:val="left"/>
        </w:tabs>
        <w:numPr>
          <w:ilvl w:val="0"/>
          <w:numId w:val="594"/>
        </w:numPr>
        <w:rPr>
          <w:rFonts w:ascii="Arial" w:cs="Arial" w:eastAsia="Arial" w:hAnsi="Arial"/>
          <w:sz w:val="15"/>
          <w:szCs w:val="15"/>
          <w:color w:val="auto"/>
        </w:rPr>
      </w:pPr>
      <w:r>
        <w:rPr>
          <w:rFonts w:ascii="Arial" w:cs="Arial" w:eastAsia="Arial" w:hAnsi="Arial"/>
          <w:sz w:val="15"/>
          <w:szCs w:val="15"/>
          <w:color w:val="auto"/>
        </w:rPr>
        <w:t>BioLineRx shall assume the obligation to pay all amounts that (i) become due and payable after the Transfer Date and after the effective date of such assignment or (ii) are first invoiced by such service provider to BioLineRx or Cypress after the Transfer Date and after the effective date of such assignment and (b) Cypress shall have no further obligations under any such assigned Third Party Contract as of the effective date of the relevant assignment. Cypress shall remain liable for payment of all amounts that are due and payable and invoiced to Cypress prior to the effective date of the relevant assignment of each Third Party Contract and for all payments that may become due under any Third Party Contracts that are not so assigned to BioLineRx. Promptly following the Effective Date, the Parties agree to execute and deliver such assignment agreements or other documents as are reasonably required to give effect to the assignment and allocation of rights and obligations with respect to such Third Party Agreements described in this Section 2.1, effective as of the Transfer Date. For avoidance of doubt, except as expressly set forth in this Section 2.1, Cypress shall have no obligations with respect to the Development or Commercialization of BL-1020 after the Effective Date and in no event will Cypress be required or permitted to initiate or authorize the initiation of enrollment of patients in the Upcoming Clinical Trial.</w:t>
      </w:r>
    </w:p>
    <w:p>
      <w:pPr>
        <w:spacing w:after="0" w:line="178"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Certain Effects of License Termination.</w:t>
      </w:r>
    </w:p>
    <w:p>
      <w:pPr>
        <w:spacing w:after="0" w:line="242" w:lineRule="exact"/>
        <w:rPr>
          <w:sz w:val="20"/>
          <w:szCs w:val="20"/>
          <w:color w:val="auto"/>
        </w:rPr>
      </w:pPr>
    </w:p>
    <w:p>
      <w:pPr>
        <w:ind w:firstLine="1238"/>
        <w:spacing w:after="0" w:line="286" w:lineRule="auto"/>
        <w:tabs>
          <w:tab w:leader="none" w:pos="2060" w:val="left"/>
        </w:tabs>
        <w:numPr>
          <w:ilvl w:val="0"/>
          <w:numId w:val="595"/>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Filings; Data</w:t>
      </w:r>
      <w:r>
        <w:rPr>
          <w:rFonts w:ascii="Arial" w:cs="Arial" w:eastAsia="Arial" w:hAnsi="Arial"/>
          <w:sz w:val="17"/>
          <w:szCs w:val="17"/>
          <w:color w:val="auto"/>
        </w:rPr>
        <w:t>. To the extent permitted by applicable Laws, promptly after the Transfer Date, Cypress shall transfer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to BioLineRx all Regulatory Filings, Regulatory Approvals, and Cypress Product Data.</w:t>
      </w:r>
    </w:p>
    <w:p>
      <w:pPr>
        <w:spacing w:after="0" w:line="177" w:lineRule="exact"/>
        <w:rPr>
          <w:rFonts w:ascii="Arial" w:cs="Arial" w:eastAsia="Arial" w:hAnsi="Arial"/>
          <w:sz w:val="17"/>
          <w:szCs w:val="17"/>
          <w:b w:val="1"/>
          <w:bCs w:val="1"/>
          <w:color w:val="auto"/>
        </w:rPr>
      </w:pPr>
    </w:p>
    <w:p>
      <w:pPr>
        <w:jc w:val="both"/>
        <w:ind w:firstLine="1238"/>
        <w:spacing w:after="0" w:line="269" w:lineRule="auto"/>
        <w:tabs>
          <w:tab w:leader="none" w:pos="2134" w:val="left"/>
        </w:tabs>
        <w:numPr>
          <w:ilvl w:val="0"/>
          <w:numId w:val="595"/>
        </w:numPr>
        <w:rPr>
          <w:rFonts w:ascii="Arial" w:cs="Arial" w:eastAsia="Arial" w:hAnsi="Arial"/>
          <w:sz w:val="17"/>
          <w:szCs w:val="17"/>
          <w:b w:val="1"/>
          <w:bCs w:val="1"/>
          <w:color w:val="auto"/>
        </w:rPr>
      </w:pPr>
      <w:r>
        <w:rPr>
          <w:rFonts w:ascii="Arial" w:cs="Arial" w:eastAsia="Arial" w:hAnsi="Arial"/>
          <w:sz w:val="17"/>
          <w:szCs w:val="17"/>
          <w:b w:val="1"/>
          <w:bCs w:val="1"/>
          <w:color w:val="auto"/>
        </w:rPr>
        <w:t>Cypress License and Assignment</w:t>
      </w:r>
      <w:r>
        <w:rPr>
          <w:rFonts w:ascii="Arial" w:cs="Arial" w:eastAsia="Arial" w:hAnsi="Arial"/>
          <w:sz w:val="17"/>
          <w:szCs w:val="17"/>
          <w:color w:val="auto"/>
        </w:rPr>
        <w:t>. Cypress hereby grants to BioLineRx an exclusive, royalty-free license, with the right to grant</w:t>
      </w:r>
      <w:r>
        <w:rPr>
          <w:rFonts w:ascii="Arial" w:cs="Arial" w:eastAsia="Arial" w:hAnsi="Arial"/>
          <w:sz w:val="17"/>
          <w:szCs w:val="17"/>
          <w:b w:val="1"/>
          <w:bCs w:val="1"/>
          <w:color w:val="auto"/>
        </w:rPr>
        <w:t xml:space="preserve"> </w:t>
      </w:r>
      <w:r>
        <w:rPr>
          <w:rFonts w:ascii="Arial" w:cs="Arial" w:eastAsia="Arial" w:hAnsi="Arial"/>
          <w:sz w:val="17"/>
          <w:szCs w:val="17"/>
          <w:color w:val="auto"/>
        </w:rPr>
        <w:t>multiple tiers of sublicenses, under Cypress Technology to Pre-Commercialize, make, have made, use, sell, offer for sale, have sold, import and otherwise Commercialize the Products in the Cypress Territory, which license shall be effective as of the Transfer Date.</w:t>
      </w:r>
    </w:p>
    <w:p>
      <w:pPr>
        <w:spacing w:after="0" w:line="191" w:lineRule="exact"/>
        <w:rPr>
          <w:rFonts w:ascii="Arial" w:cs="Arial" w:eastAsia="Arial" w:hAnsi="Arial"/>
          <w:sz w:val="17"/>
          <w:szCs w:val="17"/>
          <w:b w:val="1"/>
          <w:bCs w:val="1"/>
          <w:color w:val="auto"/>
        </w:rPr>
      </w:pPr>
    </w:p>
    <w:p>
      <w:pPr>
        <w:ind w:firstLine="1238"/>
        <w:spacing w:after="0" w:line="286" w:lineRule="auto"/>
        <w:tabs>
          <w:tab w:leader="none" w:pos="1960" w:val="left"/>
        </w:tabs>
        <w:numPr>
          <w:ilvl w:val="0"/>
          <w:numId w:val="5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Licenses. </w:t>
      </w:r>
      <w:r>
        <w:rPr>
          <w:rFonts w:ascii="Arial" w:cs="Arial" w:eastAsia="Arial" w:hAnsi="Arial"/>
          <w:sz w:val="17"/>
          <w:szCs w:val="17"/>
          <w:color w:val="auto"/>
        </w:rPr>
        <w:t>The licenses granted in Article 2 of the License Agreement shall terminate, and the other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License Agreement also shall terminate as of the Effective Date.</w:t>
      </w:r>
    </w:p>
    <w:p>
      <w:pPr>
        <w:spacing w:after="0" w:line="177" w:lineRule="exact"/>
        <w:rPr>
          <w:rFonts w:ascii="Arial" w:cs="Arial" w:eastAsia="Arial" w:hAnsi="Arial"/>
          <w:sz w:val="17"/>
          <w:szCs w:val="17"/>
          <w:b w:val="1"/>
          <w:bCs w:val="1"/>
          <w:color w:val="auto"/>
        </w:rPr>
      </w:pPr>
    </w:p>
    <w:p>
      <w:pPr>
        <w:ind w:firstLine="1238"/>
        <w:spacing w:after="0" w:line="286" w:lineRule="auto"/>
        <w:tabs>
          <w:tab w:leader="none" w:pos="2018" w:val="left"/>
        </w:tabs>
        <w:numPr>
          <w:ilvl w:val="0"/>
          <w:numId w:val="5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option granted to Cypress. </w:t>
      </w:r>
      <w:r>
        <w:rPr>
          <w:rFonts w:ascii="Arial" w:cs="Arial" w:eastAsia="Arial" w:hAnsi="Arial"/>
          <w:sz w:val="17"/>
          <w:szCs w:val="17"/>
          <w:color w:val="auto"/>
        </w:rPr>
        <w:t>For avoidance of doubt, the stock option granted to Cypress in connection with the first milestone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under the License Agreement shall terminate as of the Effective Date.</w:t>
      </w:r>
    </w:p>
    <w:p>
      <w:pPr>
        <w:spacing w:after="0" w:line="17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2.3 Business Development Transition. </w:t>
      </w:r>
      <w:r>
        <w:rPr>
          <w:rFonts w:ascii="Arial" w:cs="Arial" w:eastAsia="Arial" w:hAnsi="Arial"/>
          <w:sz w:val="17"/>
          <w:szCs w:val="17"/>
          <w:color w:val="auto"/>
        </w:rPr>
        <w:t>Promptly following the Effective Date, Cypress shall transfer to BioLineRx documentation that relates to</w:t>
      </w:r>
      <w:r>
        <w:rPr>
          <w:rFonts w:ascii="Arial" w:cs="Arial" w:eastAsia="Arial" w:hAnsi="Arial"/>
          <w:sz w:val="17"/>
          <w:szCs w:val="17"/>
          <w:b w:val="1"/>
          <w:bCs w:val="1"/>
          <w:color w:val="auto"/>
        </w:rPr>
        <w:t xml:space="preserve"> </w:t>
      </w:r>
      <w:r>
        <w:rPr>
          <w:rFonts w:ascii="Arial" w:cs="Arial" w:eastAsia="Arial" w:hAnsi="Arial"/>
          <w:sz w:val="17"/>
          <w:szCs w:val="17"/>
          <w:color w:val="auto"/>
        </w:rPr>
        <w:t>Cypress’s efforts to out-license rights in BL-1020 to Third Parties to enable BioLineRx to continue such efforts. In addition, Cypress will be reasonably available to BioLineRx, for consultation by telephone, to explain or discuss Cypress’s out-licensing efforts, as requested by BioLineRx, during the 180 days after the Transfer Date.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3" w:name="page664"/>
    <w:bookmarkEnd w:id="663"/>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PROVISIONS</w:t>
      </w:r>
    </w:p>
    <w:p>
      <w:pPr>
        <w:spacing w:after="0" w:line="242" w:lineRule="exact"/>
        <w:rPr>
          <w:sz w:val="20"/>
          <w:szCs w:val="20"/>
          <w:color w:val="auto"/>
        </w:rPr>
      </w:pPr>
    </w:p>
    <w:p>
      <w:pPr>
        <w:jc w:val="both"/>
        <w:ind w:firstLine="617"/>
        <w:spacing w:after="0" w:line="272" w:lineRule="auto"/>
        <w:rPr>
          <w:sz w:val="20"/>
          <w:szCs w:val="20"/>
          <w:color w:val="auto"/>
        </w:rPr>
      </w:pPr>
      <w:r>
        <w:rPr>
          <w:rFonts w:ascii="Arial" w:cs="Arial" w:eastAsia="Arial" w:hAnsi="Arial"/>
          <w:sz w:val="16"/>
          <w:szCs w:val="16"/>
          <w:b w:val="1"/>
          <w:bCs w:val="1"/>
          <w:color w:val="auto"/>
        </w:rPr>
        <w:t xml:space="preserve">3.1 Expense Reimbursement. </w:t>
      </w:r>
      <w:r>
        <w:rPr>
          <w:rFonts w:ascii="Arial" w:cs="Arial" w:eastAsia="Arial" w:hAnsi="Arial"/>
          <w:sz w:val="16"/>
          <w:szCs w:val="16"/>
          <w:color w:val="auto"/>
        </w:rPr>
        <w:t>In partial consideration of the execution and delivery of this Agreement, BioLineRx shall pay Cypress ten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($10,000,000) as reimbursement for expenses incurred by Cypress during the term of the License Agreement and this Agreement in connection with BL-1020. Such payment shall be made solely from amounts received by BioLineRx pursuant to agreements relating to the further development or commercialization of a Product (“Product Rights Agreements”), including without limitation, upfront payments, milestone payments and royalties. BioLineRx shall pay to Cypress ten percent (10%) of each such payment, within thirty (30) days after receipt thereof, until BioLineRx has paid ten million Dollars ($10,000,000) to Cypress. Within ten</w:t>
      </w:r>
    </w:p>
    <w:p>
      <w:pPr>
        <w:spacing w:after="0" w:line="3" w:lineRule="exact"/>
        <w:rPr>
          <w:sz w:val="20"/>
          <w:szCs w:val="20"/>
          <w:color w:val="auto"/>
        </w:rPr>
      </w:pPr>
    </w:p>
    <w:p>
      <w:pPr>
        <w:jc w:val="both"/>
        <w:ind w:firstLine="3"/>
        <w:spacing w:after="0" w:line="291" w:lineRule="auto"/>
        <w:tabs>
          <w:tab w:leader="none" w:pos="330" w:val="left"/>
        </w:tabs>
        <w:numPr>
          <w:ilvl w:val="0"/>
          <w:numId w:val="596"/>
        </w:numPr>
        <w:rPr>
          <w:rFonts w:ascii="Arial" w:cs="Arial" w:eastAsia="Arial" w:hAnsi="Arial"/>
          <w:sz w:val="15"/>
          <w:szCs w:val="15"/>
          <w:color w:val="auto"/>
        </w:rPr>
      </w:pPr>
      <w:r>
        <w:rPr>
          <w:rFonts w:ascii="Arial" w:cs="Arial" w:eastAsia="Arial" w:hAnsi="Arial"/>
          <w:sz w:val="15"/>
          <w:szCs w:val="15"/>
          <w:color w:val="auto"/>
        </w:rPr>
        <w:t>days after entering into each Product Rights Agreement, BioLineRx shall provide Cypress with a complete, accurate and unredacted copy of such Product Rights Agreement to Cypress. Notwithstanding the foregoing, if BioLineRx enters into a Product Rights Agreement that requires that BioLineRx conduct the Upcoming Clinical Trial at its own expense, then BioLineRx shall be permitted to defer the payments to Cypress that would otherwise have been due and payable hereunder in connection with the receipt by BioLineRx of up to twelve million Dollars under such Product Rights Agreement, provided that BioLineRx shall pay to Cypress all (i.e., one hundred percent (100%)) of the amounts received under any Product Rights Agreements after such twelve million Dollars of funding has been received by BioLineRx, as and when such amounts are received by BioLineRx, until one hundred and eleven percent (111%) of such deferred amount has been paid in full to Cypress. For clarity, the greater percentage that is applicable solely to the deferred amount (i.e., the one hundred and eleven percent (111%)) is required to provide Cypress with the agreed-upon ten percent (10%) of certain payments received by BioLineRx under such Product Rights Agreement as described above, including the amounts which are received by BioLineRx and are paid to Cypress as payment of the deferred amount. After any such deferral has been repaid, a percentage of certain amounts received by BioLineRx under Product Rights Agreements shall again be payable to Cypress as and when provided under this Section 3.1.</w:t>
      </w:r>
    </w:p>
    <w:p>
      <w:pPr>
        <w:spacing w:after="0" w:line="181"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3.2 Royalties. </w:t>
      </w:r>
      <w:r>
        <w:rPr>
          <w:rFonts w:ascii="Arial" w:cs="Arial" w:eastAsia="Arial" w:hAnsi="Arial"/>
          <w:sz w:val="17"/>
          <w:szCs w:val="17"/>
          <w:color w:val="auto"/>
        </w:rPr>
        <w:t>In partial consideration of the execution and delivery of this Agreement, BioLineRx shall pay Cypress a royalty equal to one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(1%) of worldwide Net Sales of Product by BioLineRx, its Affiliates and sublicensees up to a cap of eighty million Dollars ($80,000,000). Thereafter, BioLineRx will have a fully paid license.</w:t>
      </w:r>
    </w:p>
    <w:p>
      <w:pPr>
        <w:spacing w:after="0" w:line="19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3.3 Payments and Reports. </w:t>
      </w:r>
      <w:r>
        <w:rPr>
          <w:rFonts w:ascii="Arial" w:cs="Arial" w:eastAsia="Arial" w:hAnsi="Arial"/>
          <w:sz w:val="17"/>
          <w:szCs w:val="17"/>
          <w:color w:val="auto"/>
        </w:rPr>
        <w:t>Within sixty (60) days after the end of each calendar quarter, BioLineRx shall deliver to Cypress a report containing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information for the prior calendar quarter: (i) the gross sales associated with each Product sold by BioLineRx, its Affiliates and its sublicensees; (ii) a calculation of Net Sales of each Products that are sold by BioLineRx, its Affiliates and its sublicensees; (iii) a description (including the amount) of all payments received in connection with all Product Rights Agreements during such period and (iv) a calculation of payments due to Cypress with respect to the foregoing. Concurrent with these reports, BioLineRx shall remit to Cypress any royalty payment due for the applicable calendar quarter. If no royalties are due to Cypress for such reporting period, the report shall so state.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4" w:name="page665"/>
    <w:bookmarkEnd w:id="664"/>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3.4 Foreign Exchange. </w:t>
      </w:r>
      <w:r>
        <w:rPr>
          <w:rFonts w:ascii="Arial" w:cs="Arial" w:eastAsia="Arial" w:hAnsi="Arial"/>
          <w:sz w:val="17"/>
          <w:szCs w:val="17"/>
          <w:color w:val="auto"/>
        </w:rPr>
        <w:t>Net Sales made in currencies other than Dollars will be converted into Dollars using the closing exchange rates reported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Wall Street Journal </w:t>
      </w:r>
      <w:r>
        <w:rPr>
          <w:rFonts w:ascii="Arial" w:cs="Arial" w:eastAsia="Arial" w:hAnsi="Arial"/>
          <w:sz w:val="17"/>
          <w:szCs w:val="17"/>
          <w:color w:val="auto"/>
        </w:rPr>
        <w:t>(U.S., Western Edition) on the last business day of the applicable calendar quarter.</w:t>
      </w:r>
    </w:p>
    <w:p>
      <w:pPr>
        <w:spacing w:after="0" w:line="177" w:lineRule="exact"/>
        <w:rPr>
          <w:sz w:val="20"/>
          <w:szCs w:val="20"/>
          <w:color w:val="auto"/>
        </w:rPr>
      </w:pPr>
    </w:p>
    <w:p>
      <w:pPr>
        <w:jc w:val="both"/>
        <w:ind w:firstLine="617"/>
        <w:spacing w:after="0" w:line="321" w:lineRule="auto"/>
        <w:rPr>
          <w:sz w:val="20"/>
          <w:szCs w:val="20"/>
          <w:color w:val="auto"/>
        </w:rPr>
      </w:pPr>
      <w:r>
        <w:rPr>
          <w:rFonts w:ascii="Arial" w:cs="Arial" w:eastAsia="Arial" w:hAnsi="Arial"/>
          <w:sz w:val="15"/>
          <w:szCs w:val="15"/>
          <w:b w:val="1"/>
          <w:bCs w:val="1"/>
          <w:color w:val="auto"/>
        </w:rPr>
        <w:t xml:space="preserve">3.5 Payment Method; Late Payments. </w:t>
      </w:r>
      <w:r>
        <w:rPr>
          <w:rFonts w:ascii="Arial" w:cs="Arial" w:eastAsia="Arial" w:hAnsi="Arial"/>
          <w:sz w:val="15"/>
          <w:szCs w:val="15"/>
          <w:color w:val="auto"/>
        </w:rPr>
        <w:t>All payments due hereunder shall be made by wire transfer of immediately available funds into an account</w:t>
      </w:r>
      <w:r>
        <w:rPr>
          <w:rFonts w:ascii="Arial" w:cs="Arial" w:eastAsia="Arial" w:hAnsi="Arial"/>
          <w:sz w:val="15"/>
          <w:szCs w:val="15"/>
          <w:b w:val="1"/>
          <w:bCs w:val="1"/>
          <w:color w:val="auto"/>
        </w:rPr>
        <w:t xml:space="preserve"> </w:t>
      </w:r>
      <w:r>
        <w:rPr>
          <w:rFonts w:ascii="Arial" w:cs="Arial" w:eastAsia="Arial" w:hAnsi="Arial"/>
          <w:sz w:val="15"/>
          <w:szCs w:val="15"/>
          <w:color w:val="auto"/>
        </w:rPr>
        <w:t>designated by Cypress. If Cypress does not receive payment of any sum due to it on or before the due date, simple interest shall thereafter accrue on the sum due Cypress until the date of payment at the per annum rate of two percent (2%) over Prime or the maximum rate allowable by applicable Law, whichever is lower.</w:t>
      </w:r>
    </w:p>
    <w:p>
      <w:pPr>
        <w:spacing w:after="0" w:line="157"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 xml:space="preserve">3.6 Records; Audits. </w:t>
      </w:r>
      <w:r>
        <w:rPr>
          <w:rFonts w:ascii="Arial" w:cs="Arial" w:eastAsia="Arial" w:hAnsi="Arial"/>
          <w:sz w:val="16"/>
          <w:szCs w:val="16"/>
          <w:color w:val="auto"/>
        </w:rPr>
        <w:t>BioLineRx will maintain complete and accurate records in sufficient detail to permit Cypress to confirm the accuracy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of payments under this Agreement. Upon reasonable prior notice, such records shall be available during regular business hours for a period of three (3) years from the end of the calendar year to which they pertain for examination at the expense of Cypress, and not more often than once each calendar year, by an independent certified public accountant selected by Cypress and reasonably acceptable to BioLineRx, for the sole purpose of verifying the accuracy of the financial reports or payments furnished by BioLineRx to Cypress pursuant to this Agreement. Any such auditor shall not disclose to Cypress any of BioLineRx’s Confidential Information. Any amounts shown to be owed but unpaid shall be paid within thirty (30) days from the accountant’s report, plus interest (as set forth in Section 3.5) from the original due date. The auditing Party shall bear the full cost of such audit unless such audit discloses an underpayment by the audited Party of more than five percent (5%) of the amount due, in which case the audited Party shall bear the full cost of such audit.</w:t>
      </w:r>
    </w:p>
    <w:p>
      <w:pPr>
        <w:spacing w:after="0" w:line="191"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3.7</w:t>
      </w:r>
      <w:r>
        <w:rPr>
          <w:sz w:val="20"/>
          <w:szCs w:val="20"/>
          <w:color w:val="auto"/>
        </w:rPr>
        <w:tab/>
      </w:r>
      <w:r>
        <w:rPr>
          <w:rFonts w:ascii="Arial" w:cs="Arial" w:eastAsia="Arial" w:hAnsi="Arial"/>
          <w:sz w:val="14"/>
          <w:szCs w:val="14"/>
          <w:b w:val="1"/>
          <w:bCs w:val="1"/>
          <w:color w:val="auto"/>
        </w:rPr>
        <w:t>Taxes.</w:t>
      </w:r>
    </w:p>
    <w:p>
      <w:pPr>
        <w:spacing w:after="0" w:line="242" w:lineRule="exact"/>
        <w:rPr>
          <w:sz w:val="20"/>
          <w:szCs w:val="20"/>
          <w:color w:val="auto"/>
        </w:rPr>
      </w:pPr>
    </w:p>
    <w:p>
      <w:pPr>
        <w:jc w:val="both"/>
        <w:ind w:firstLine="1238"/>
        <w:spacing w:after="0" w:line="276" w:lineRule="auto"/>
        <w:tabs>
          <w:tab w:leader="none" w:pos="1932" w:val="left"/>
        </w:tabs>
        <w:numPr>
          <w:ilvl w:val="0"/>
          <w:numId w:val="5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from BioLineRx. </w:t>
      </w:r>
      <w:r>
        <w:rPr>
          <w:rFonts w:ascii="Arial" w:cs="Arial" w:eastAsia="Arial" w:hAnsi="Arial"/>
          <w:sz w:val="16"/>
          <w:szCs w:val="16"/>
          <w:color w:val="auto"/>
        </w:rPr>
        <w:t>If any of the payments required to be made by BioLineRx to Cypress hereunder is subject to a deduction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Tax or withholding Tax, then, subject to Section 3.7(b) below, the sum payable by BioLineRx (in respect of which such deduction or withholding is required to be made) shall be made to Cypress after deduction of the amount required to be so deducted or withheld, which deducted or withheld amount shall be remitted in accordance with applicable Laws. In all events, it is acknowledged that BioLineRx may deduct and withhold the required Taxes from payments due to Cypress in the event of any changes in Tax law, administrative interpretations or treaties that may change current rules as applicable to such payments, subject to BioLineRx providing Cypress with at least sixty (60) days’ advance notification of the intention to withhold such Taxes and giving Cypress an opportunity to provide a written Tax opinion or other form of evidence that such Taxes should not be withheld, which will be given reasonable consideration by BioLineRx.</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5" w:name="page666"/>
    <w:bookmarkEnd w:id="665"/>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73" w:lineRule="auto"/>
        <w:tabs>
          <w:tab w:leader="none" w:pos="1980" w:val="left"/>
        </w:tabs>
        <w:numPr>
          <w:ilvl w:val="0"/>
          <w:numId w:val="5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Cooperation. </w:t>
      </w:r>
      <w:r>
        <w:rPr>
          <w:rFonts w:ascii="Arial" w:cs="Arial" w:eastAsia="Arial" w:hAnsi="Arial"/>
          <w:sz w:val="16"/>
          <w:szCs w:val="16"/>
          <w:color w:val="auto"/>
        </w:rPr>
        <w:t>The Parties shall use all reasonable and legal efforts to reduce or eliminate Tax withholding or similar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payments made by BioLineRx to Cypress under this Agreement. To the extent BioLineRx is required to deduct and withhold taxes on any payment to Cypress, BioLineRx shall pay the amounts of such Taxes to the proper Governmental Authority in a timely manner and promptly transmit to Cypress an official Tax certificate or other documentation of the payment of any such withholding Taxes, including copies of receipts or other evidence reasonably required and sufficient to enable Cypress to document such tax withholdings adequately for purposes of claiming foreign tax credits and similar benefits. Cypress shall provide BioLineRx any Tax forms that may be reasonably necessary in order for BioLineRx to not withhold tax or to withhold Tax at a reduced rate under an applicable bilateral income Tax treaty. Cypress shall use reasonable efforts to provide any such tax forms to BioLineRx at least thirty (30) days prior to the due date for any payment for which Cypress desires that BioLineRx apply a reduced withholding rate. Each Party shall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 BioLineRx shall require its sublicensees to cooperate with Cypress in a manner consistent with this Section 3.7(b).</w:t>
      </w:r>
    </w:p>
    <w:p>
      <w:pPr>
        <w:spacing w:after="0" w:line="193" w:lineRule="exact"/>
        <w:rPr>
          <w:rFonts w:ascii="Arial" w:cs="Arial" w:eastAsia="Arial" w:hAnsi="Arial"/>
          <w:sz w:val="16"/>
          <w:szCs w:val="16"/>
          <w:b w:val="1"/>
          <w:bCs w:val="1"/>
          <w:color w:val="auto"/>
        </w:rPr>
      </w:pPr>
    </w:p>
    <w:p>
      <w:pPr>
        <w:jc w:val="both"/>
        <w:ind w:firstLine="1238"/>
        <w:spacing w:after="0" w:line="298" w:lineRule="auto"/>
        <w:tabs>
          <w:tab w:leader="none" w:pos="2051" w:val="left"/>
        </w:tabs>
        <w:numPr>
          <w:ilvl w:val="0"/>
          <w:numId w:val="59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Characterization for U.S. Tax Purposes </w:t>
      </w:r>
      <w:r>
        <w:rPr>
          <w:rFonts w:ascii="Arial" w:cs="Arial" w:eastAsia="Arial" w:hAnsi="Arial"/>
          <w:sz w:val="15"/>
          <w:szCs w:val="15"/>
          <w:color w:val="auto"/>
        </w:rPr>
        <w:t>The Parties agree that, inasmuch as, following the termination of the License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Section 2.1 hereof, Cypress shall have no rights with respect to BL-1020 or with respect to any of Cypress’ Regulatory Filings, Regulatory Approvals, or Cypress Product Data, or to any other items of value created by Cypress in connection with its development, Pre-Commercialization Activities, Commercialization Activities or any other similar or related activities performed by Cypress with respect to the Product, other than the right to receive payments under Sections 3.1 and 3.2 hereof (the “</w:t>
      </w:r>
      <w:r>
        <w:rPr>
          <w:rFonts w:ascii="Arial" w:cs="Arial" w:eastAsia="Arial" w:hAnsi="Arial"/>
          <w:sz w:val="15"/>
          <w:szCs w:val="15"/>
          <w:b w:val="1"/>
          <w:bCs w:val="1"/>
          <w:color w:val="auto"/>
        </w:rPr>
        <w:t>Payments</w:t>
      </w:r>
      <w:r>
        <w:rPr>
          <w:rFonts w:ascii="Arial" w:cs="Arial" w:eastAsia="Arial" w:hAnsi="Arial"/>
          <w:sz w:val="15"/>
          <w:szCs w:val="15"/>
          <w:color w:val="auto"/>
        </w:rPr>
        <w:t>”), the transactions effected by and pursuant to this Agreement are economically consistent with a sale or transfer by Cypress of such rights to BioLineRx in consideration for the right to receive the Payments, and the Parties further agree that, for U.S. federal, state, and local income tax purposes, they shall report the transactions effected by and pursuant to this Agreement in a manner consistent with such economic characterization.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242"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Mutual Representations and Warranties</w:t>
      </w:r>
      <w:r>
        <w:rPr>
          <w:rFonts w:ascii="Arial" w:cs="Arial" w:eastAsia="Arial" w:hAnsi="Arial"/>
          <w:sz w:val="15"/>
          <w:szCs w:val="15"/>
          <w:color w:val="auto"/>
        </w:rPr>
        <w:t>. Each Party hereby represents and warrants to the other Party that, as of the Effective Date:</w:t>
      </w:r>
    </w:p>
    <w:p>
      <w:pPr>
        <w:spacing w:after="0" w:line="242" w:lineRule="exact"/>
        <w:rPr>
          <w:sz w:val="20"/>
          <w:szCs w:val="20"/>
          <w:color w:val="auto"/>
        </w:rPr>
      </w:pPr>
    </w:p>
    <w:p>
      <w:pPr>
        <w:jc w:val="both"/>
        <w:ind w:firstLine="1238"/>
        <w:spacing w:after="0" w:line="293" w:lineRule="auto"/>
        <w:tabs>
          <w:tab w:leader="none" w:pos="1906" w:val="left"/>
        </w:tabs>
        <w:numPr>
          <w:ilvl w:val="0"/>
          <w:numId w:val="599"/>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Existence and Power</w:t>
      </w:r>
      <w:r>
        <w:rPr>
          <w:rFonts w:ascii="Arial" w:cs="Arial" w:eastAsia="Arial" w:hAnsi="Arial"/>
          <w:sz w:val="16"/>
          <w:szCs w:val="16"/>
          <w:color w:val="auto"/>
        </w:rPr>
        <w:t>. It is a company or corporation duly organized, validly existing, and in good standing under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6" w:name="page667"/>
    <w:bookmarkEnd w:id="666"/>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81" w:lineRule="auto"/>
        <w:tabs>
          <w:tab w:leader="none" w:pos="2108" w:val="left"/>
        </w:tabs>
        <w:numPr>
          <w:ilvl w:val="0"/>
          <w:numId w:val="600"/>
        </w:numPr>
        <w:rPr>
          <w:rFonts w:ascii="Arial" w:cs="Arial" w:eastAsia="Arial" w:hAnsi="Arial"/>
          <w:sz w:val="16"/>
          <w:szCs w:val="16"/>
          <w:b w:val="1"/>
          <w:bCs w:val="1"/>
          <w:color w:val="auto"/>
        </w:rPr>
      </w:pPr>
      <w:r>
        <w:rPr>
          <w:rFonts w:ascii="Arial" w:cs="Arial" w:eastAsia="Arial" w:hAnsi="Arial"/>
          <w:sz w:val="16"/>
          <w:szCs w:val="16"/>
          <w:b w:val="1"/>
          <w:bCs w:val="1"/>
          <w:color w:val="auto"/>
        </w:rPr>
        <w:t>Authority and Binding Agreement</w:t>
      </w:r>
      <w:r>
        <w:rPr>
          <w:rFonts w:ascii="Arial" w:cs="Arial" w:eastAsia="Arial" w:hAnsi="Arial"/>
          <w:sz w:val="16"/>
          <w:szCs w:val="16"/>
          <w:color w:val="auto"/>
        </w:rPr>
        <w:t>. It has the corporate power and authority and the legal right to enter into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its obligations hereunder; it has taken all necessary corporate action on its part required to authorize the execution and delivery of the Agreement and the performance of its obligations hereunder; and the Agreement has been duly executed and delivered on behalf of such Party, and constitutes a legal, valid, and binding obligation of such Party that is enforceable against it in accordance with its terms, subject to and limited by: (i) applicable bankruptcy, insolvency, reorganization, moratorium, and other laws generally applicable to creditors’ rights; and (ii) judicial discretion in the availability of equitable relief.</w:t>
      </w:r>
    </w:p>
    <w:p>
      <w:pPr>
        <w:spacing w:after="0" w:line="183" w:lineRule="exact"/>
        <w:rPr>
          <w:rFonts w:ascii="Arial" w:cs="Arial" w:eastAsia="Arial" w:hAnsi="Arial"/>
          <w:sz w:val="16"/>
          <w:szCs w:val="16"/>
          <w:b w:val="1"/>
          <w:bCs w:val="1"/>
          <w:color w:val="auto"/>
        </w:rPr>
      </w:pPr>
    </w:p>
    <w:p>
      <w:pPr>
        <w:jc w:val="both"/>
        <w:ind w:firstLine="1238"/>
        <w:spacing w:after="0" w:line="259" w:lineRule="auto"/>
        <w:tabs>
          <w:tab w:leader="none" w:pos="1948" w:val="left"/>
        </w:tabs>
        <w:numPr>
          <w:ilvl w:val="0"/>
          <w:numId w:val="600"/>
        </w:numPr>
        <w:rPr>
          <w:rFonts w:ascii="Arial" w:cs="Arial" w:eastAsia="Arial" w:hAnsi="Arial"/>
          <w:sz w:val="17"/>
          <w:szCs w:val="17"/>
          <w:b w:val="1"/>
          <w:bCs w:val="1"/>
          <w:color w:val="auto"/>
        </w:rPr>
      </w:pPr>
      <w:r>
        <w:rPr>
          <w:rFonts w:ascii="Arial" w:cs="Arial" w:eastAsia="Arial" w:hAnsi="Arial"/>
          <w:sz w:val="17"/>
          <w:szCs w:val="17"/>
          <w:b w:val="1"/>
          <w:bCs w:val="1"/>
          <w:color w:val="auto"/>
        </w:rPr>
        <w:t>No Conflict</w:t>
      </w:r>
      <w:r>
        <w:rPr>
          <w:rFonts w:ascii="Arial" w:cs="Arial" w:eastAsia="Arial" w:hAnsi="Arial"/>
          <w:sz w:val="17"/>
          <w:szCs w:val="17"/>
          <w:color w:val="auto"/>
        </w:rPr>
        <w:t>. The execution and delivery of this Agreement, and the performance by such Party of its obligations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grant of rights to the other Party pursuant to this Agreement, does not and will not: (i) conflict with, nor result in any violation of or default under any instrument, judgment, order, writ, decree, contract or provision to which such Party is otherwise bound; (ii) give rise to any lien, charge or encumbrance upon any assets of such Party or the suspension, revocation, impairment, forfeiture or non-renewal of any material permit, license, authorization or approval that applies to such Party, its business or operations or any of its assets or properties; or (iii) conflict with any rights granted by such Party to any Third Party or breach any obligation that such Party has to any Third Party.</w:t>
      </w:r>
    </w:p>
    <w:p>
      <w:pPr>
        <w:spacing w:after="0" w:line="200" w:lineRule="exact"/>
        <w:rPr>
          <w:rFonts w:ascii="Arial" w:cs="Arial" w:eastAsia="Arial" w:hAnsi="Arial"/>
          <w:sz w:val="17"/>
          <w:szCs w:val="17"/>
          <w:b w:val="1"/>
          <w:bCs w:val="1"/>
          <w:color w:val="auto"/>
        </w:rPr>
      </w:pPr>
    </w:p>
    <w:p>
      <w:pPr>
        <w:jc w:val="both"/>
        <w:ind w:firstLine="1238"/>
        <w:spacing w:after="0" w:line="263" w:lineRule="auto"/>
        <w:tabs>
          <w:tab w:leader="none" w:pos="1941" w:val="left"/>
        </w:tabs>
        <w:numPr>
          <w:ilvl w:val="0"/>
          <w:numId w:val="6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Required Consents. </w:t>
      </w:r>
      <w:r>
        <w:rPr>
          <w:rFonts w:ascii="Arial" w:cs="Arial" w:eastAsia="Arial" w:hAnsi="Arial"/>
          <w:sz w:val="17"/>
          <w:szCs w:val="17"/>
          <w:color w:val="auto"/>
        </w:rPr>
        <w:t>It has obtained, or is not required to obtain, the consent, approval, order, or authorization of any Third Party, or has</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or is not required to complete, any registration, qualification, designation, declaration or filing with, any Governmental Authority, in connection with the execution and delivery of this Agreement and the performance by such Party of its obligations under this Agreement, including any grant of rights to the other Party pursuant to this Agreement.</w:t>
      </w:r>
    </w:p>
    <w:p>
      <w:pPr>
        <w:spacing w:after="0" w:line="198"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4.2 No Other Representations or Warranties</w:t>
      </w:r>
      <w:r>
        <w:rPr>
          <w:rFonts w:ascii="Arial" w:cs="Arial" w:eastAsia="Arial" w:hAnsi="Arial"/>
          <w:sz w:val="17"/>
          <w:szCs w:val="17"/>
          <w:color w:val="auto"/>
        </w:rPr>
        <w:t>. EXCEPT AS EXPRESSLY STATED IN THIS AGREEMENT, NO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WHATSOEVER, WHETHER EXPRESS OR IMPLIED, INCLUDING WARRANTIES OF MERCHANTABILITY, FITNESS FOR A PARTICULAR PURPOSE, NON-INFRINGEMENT, OR NON-MISAPPROPRIATION OF THIRD PARTY INTELLECTUAL PROPERTY RIGHTS, IS MADE OR GIVEN BY OR ON BEHALF OF A PARTY.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MUTUAL RELEASES; NON-DISPARAGEMENT; INDEMNIFICATION</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BioLineRx, on behalf of itself and its Affiliates, and its and their respective predecessors, successors, assigns, agents, officers,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employees and representatives, hereby fully, finally and irrevocably relinquishes, releases and discharges Cypress, the Royalty Pharma entities identified on the signature page hereto and their respective Affiliates, and their respective predecessors, successors, assigns, agents, officers, directors, shareholders, employees and representatives, from any and all claims, demands, damages, liabilities, obligations, and causes of action known or unknown, suspected or unsuspected, in law or equity, that were asserted, or that could have been asserted, by BioLineRx in connection with the Products or the License Agreement, or matters relating thereto, including the termination of the License Agreement, all to the extent arising before or on Effective Date.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7" w:name="page668"/>
    <w:bookmarkEnd w:id="667"/>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color w:val="auto"/>
        </w:rPr>
        <w:t>Cypress and the Royalty Pharma entities identified on the signature page hereto, on behalf of themselves and their respective Affiliates,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predecessors, successors, assigns, agents, officers, directors, shareholders, employees and representatives, hereby fully, finally and irrevocably relinquishes, releases and discharges BioLineRx and its Affiliates, and its and their respective predecessors, successors, assigns, agents, officers, directors, shareholders, employees and representatives, from any and all claims, demands, damages, liabilities, obligations, and causes of action known or unknown, suspected or unsuspected, in law or equity, that were asserted, or that could have been asserted, by Cypress or the Royalty Pharma entities identified on the signature page hereto in connection with the Products or the License Agreement, or matters relating thereto, including the termination of the License Agreement, all to the extent arising before or on Effective Date.</w:t>
      </w:r>
    </w:p>
    <w:p>
      <w:pPr>
        <w:spacing w:after="0" w:line="201"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color w:val="auto"/>
        </w:rPr>
        <w:t>For the avoidance of ambiguity, the releases set forth in this Article 5 do not apply to actions arising out of a breach of this Agreement,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action to enforce any requirements or provisions of this Settlement Agreement.</w:t>
      </w:r>
    </w:p>
    <w:p>
      <w:pPr>
        <w:spacing w:after="0" w:line="177"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color w:val="auto"/>
        </w:rPr>
        <w:t>The Parties agree not to make any public statements, written or verbal, or cause or encourage others to make any statements, written or verbal, that</w:t>
      </w:r>
      <w:r>
        <w:rPr>
          <w:rFonts w:ascii="Arial" w:cs="Arial" w:eastAsia="Arial" w:hAnsi="Arial"/>
          <w:sz w:val="16"/>
          <w:szCs w:val="16"/>
          <w:b w:val="1"/>
          <w:bCs w:val="1"/>
          <w:color w:val="auto"/>
        </w:rPr>
        <w:t xml:space="preserve"> </w:t>
      </w:r>
      <w:r>
        <w:rPr>
          <w:rFonts w:ascii="Arial" w:cs="Arial" w:eastAsia="Arial" w:hAnsi="Arial"/>
          <w:sz w:val="16"/>
          <w:szCs w:val="16"/>
          <w:color w:val="auto"/>
        </w:rPr>
        <w:t>defame or disparage the personal or business reputation, practices, or conduct of the other Party, its employees, directors, and officers. The Parties acknowledge and agree that this prohibition extends to statements, written or verbal, made to anyone, including but not limited to, the news media, investors, potential investors, any board of directors or advisory board or directors, industry analysts, competitors, strategic partners, vendors and employees (past and present).</w:t>
      </w:r>
    </w:p>
    <w:p>
      <w:pPr>
        <w:spacing w:after="0" w:line="181" w:lineRule="exact"/>
        <w:rPr>
          <w:sz w:val="20"/>
          <w:szCs w:val="20"/>
          <w:color w:val="auto"/>
        </w:rPr>
      </w:pPr>
    </w:p>
    <w:p>
      <w:pPr>
        <w:jc w:val="both"/>
        <w:ind w:firstLine="617"/>
        <w:spacing w:after="0" w:line="276" w:lineRule="auto"/>
        <w:rPr>
          <w:sz w:val="20"/>
          <w:szCs w:val="20"/>
          <w:color w:val="auto"/>
        </w:rPr>
      </w:pPr>
      <w:r>
        <w:rPr>
          <w:rFonts w:ascii="Arial" w:cs="Arial" w:eastAsia="Arial" w:hAnsi="Arial"/>
          <w:sz w:val="16"/>
          <w:szCs w:val="16"/>
          <w:b w:val="1"/>
          <w:bCs w:val="1"/>
          <w:color w:val="auto"/>
        </w:rPr>
        <w:t xml:space="preserve">5.5 Indemnification by BioLineRx. </w:t>
      </w:r>
      <w:r>
        <w:rPr>
          <w:rFonts w:ascii="Arial" w:cs="Arial" w:eastAsia="Arial" w:hAnsi="Arial"/>
          <w:sz w:val="16"/>
          <w:szCs w:val="16"/>
          <w:color w:val="auto"/>
        </w:rPr>
        <w:t>BioLineRx hereby agrees to defend, hold harmless and indemnify (collectively, “Indemnify”) Cypress 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agents, directors, officers and employees (the “Cypress Indemnitees”) from and against any and all liabilities, expenses or losses, including reasonable legal expenses and attorneys’ fees (collectively “Losses”) in each case resulting from Third Party suits, claims, actions and demands (each, a “Third Party Claim”) arising directly or indirectly out of the research, development, manufacture, use, handling, storage, sale or other commercialization or disposition of Products by BioLineRx, its Affiliates or agents. BioLineRx’s obligation to Indemnify the Cypress Indemnitees pursuant to this Section 5.5 shall not apply to the extent that (i) the Cypress Indemnitees fail to comply with the indemnification procedures set forth in Section 5.6 and BioLineRx’s defense of the relevant Losses is materially prejudiced by such failure, or (ii) any Losses arise from, are based on, or result from the negligence or willful misconduct of any Cypress Indemnitee.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8" w:name="page669"/>
    <w:bookmarkEnd w:id="668"/>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b w:val="1"/>
          <w:bCs w:val="1"/>
          <w:color w:val="auto"/>
        </w:rPr>
        <w:t xml:space="preserve">5.6 Procedure. </w:t>
      </w:r>
      <w:r>
        <w:rPr>
          <w:rFonts w:ascii="Arial" w:cs="Arial" w:eastAsia="Arial" w:hAnsi="Arial"/>
          <w:sz w:val="16"/>
          <w:szCs w:val="16"/>
          <w:color w:val="auto"/>
        </w:rPr>
        <w:t>The Cypress Indemnitee shall provide BioLineRx with prompt notice of the Third Party Claim which might give rise to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indemnification obligation pursuant to Article 5.5 indicating the nature of the claim and the basis therefore. BioLineRx shall have the right, at its option, to assume the defense of, at its own cost and by its own counsel, any such Third Party Claim involving the asserted liability of the Cypress Indemnitee. If BioLineRx shall undertake to compromise or defend any such asserted liability, it shall promptly notify the Cypress Indemnitee of its intention to do so, and the Cypress Indemnitee shall agree to cooperate with BioLineRx and its counsel in the compromise of, or defense against, any such asserted liability;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BioLineRx shall not, as part of any settlement or other compromise, admit to liability for which BioLineRx is not fully indemnifying the Cypress Indemnitee or agree to an injunction with respect to activities of the Cypress Indemnitee without the written consent of the Cypress Indemnitee, not to be unreasonably withheld, conditioned or delayed. Notwithstanding an election by BioLineRx to assume the defense of any Third Party Claim as set forth above, such Indemnified Party shall have the right (at its own cost if BioLineRx has elected to assume such defense) to employ separate counsel and to participate in the defense of any Third Party Claim. All costs incurred by a Cypress Indemnitee in connection with enforcement of its rights under Section 6.1, as applicable, shall also be reimbursed by BioLineRx promptly after final determination that such Cypress Indemnitee is entitled to such indemnification by BioLineRx.</w:t>
      </w:r>
    </w:p>
    <w:p>
      <w:pPr>
        <w:spacing w:after="0" w:line="193"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5.7 Limitation of Liability</w:t>
      </w:r>
      <w:r>
        <w:rPr>
          <w:rFonts w:ascii="Arial" w:cs="Arial" w:eastAsia="Arial" w:hAnsi="Arial"/>
          <w:sz w:val="17"/>
          <w:szCs w:val="17"/>
          <w:color w:val="auto"/>
        </w:rPr>
        <w:t>. NEITHER PARTY SHALL BE LIABLE TO THE OTHER FOR ANY SPECIAL, INCIDENTAL, PUNITIVE,</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 OR CONSEQUENTIAL DAMAGES OR LOSS OF PROFITS ARISING FROM OR RELATING TO ANY BREACH OF THIS AGREEMENT, REGARDLESS OF ANY NOTICE OF THE POSSIBILITY OF SUCH DAMAGES. NOTWITHSTANDING THE FOREGOING, NOTHING IN THIS SECTION 5.7 IS INTENDED TO OR SHALL LIMIT OR RESTRICT THE INDEMNIFICATION RIGHTS OR OBLIGATIONS OF ANY PARTY UNDER SECTIONS 5.5 OR 5.6, OR DAMAGES AVAILABLE FOR A PARTY’S BREACH OF CONFIDENTIALITY OBLIGATIONS IN ARTICLE 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42"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6.1 Confidentiality</w:t>
      </w:r>
      <w:r>
        <w:rPr>
          <w:rFonts w:ascii="Arial" w:cs="Arial" w:eastAsia="Arial" w:hAnsi="Arial"/>
          <w:sz w:val="17"/>
          <w:szCs w:val="17"/>
          <w:color w:val="auto"/>
        </w:rPr>
        <w:t>. Except to the extent expressly authorized by this Agreement or otherwise agreed in writing by the Parties, each Party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Term and for a period of five (5) years thereafter, it shall keep confidential and shall not publish or otherwise disclose and shall not use for any purpose other than as provided for in this Agreement (which includes the exercise of any rights or the performance of any obligations hereunder) any Confidential Information of the other Party. The foregoing confidentiality and non-use obligations shall not apply to any portion of the Confidential Information that the receiving Party can demonstrate by competent written proof:</w:t>
      </w:r>
    </w:p>
    <w:p>
      <w:pPr>
        <w:spacing w:after="0" w:line="204" w:lineRule="exact"/>
        <w:rPr>
          <w:sz w:val="20"/>
          <w:szCs w:val="20"/>
          <w:color w:val="auto"/>
        </w:rPr>
      </w:pPr>
    </w:p>
    <w:p>
      <w:pPr>
        <w:ind w:left="5620" w:right="260" w:hanging="4382"/>
        <w:spacing w:after="0" w:line="736" w:lineRule="auto"/>
        <w:tabs>
          <w:tab w:leader="none" w:pos="1901" w:val="left"/>
        </w:tabs>
        <w:numPr>
          <w:ilvl w:val="0"/>
          <w:numId w:val="601"/>
        </w:numPr>
        <w:rPr>
          <w:rFonts w:ascii="Arial" w:cs="Arial" w:eastAsia="Arial" w:hAnsi="Arial"/>
          <w:sz w:val="17"/>
          <w:szCs w:val="17"/>
          <w:b w:val="1"/>
          <w:bCs w:val="1"/>
          <w:color w:val="auto"/>
        </w:rPr>
      </w:pPr>
      <w:r>
        <w:rPr>
          <w:rFonts w:ascii="Arial" w:cs="Arial" w:eastAsia="Arial" w:hAnsi="Arial"/>
          <w:sz w:val="17"/>
          <w:szCs w:val="17"/>
          <w:color w:val="auto"/>
        </w:rPr>
        <w:t>was already known to the receiving Party, other than under an obligation of confidentiality, at the time of disclosure by the other Party;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7257415" cy="209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69" w:name="page670"/>
    <w:bookmarkEnd w:id="66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left="1920" w:hanging="682"/>
        <w:spacing w:after="0"/>
        <w:tabs>
          <w:tab w:leader="none" w:pos="1920"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41" w:lineRule="exact"/>
        <w:rPr>
          <w:rFonts w:ascii="Arial" w:cs="Arial" w:eastAsia="Arial" w:hAnsi="Arial"/>
          <w:sz w:val="17"/>
          <w:szCs w:val="17"/>
          <w:b w:val="1"/>
          <w:bCs w:val="1"/>
          <w:color w:val="auto"/>
        </w:rPr>
      </w:pPr>
    </w:p>
    <w:p>
      <w:pPr>
        <w:ind w:firstLine="1238"/>
        <w:spacing w:after="0" w:line="278" w:lineRule="auto"/>
        <w:tabs>
          <w:tab w:leader="none" w:pos="2051"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became generally available to the public or otherwise part of the public domain after its disclosure and other than through any act or omission of the receiving Party in breach of this Agreement;</w:t>
      </w:r>
    </w:p>
    <w:p>
      <w:pPr>
        <w:spacing w:after="0" w:line="190" w:lineRule="exact"/>
        <w:rPr>
          <w:rFonts w:ascii="Arial" w:cs="Arial" w:eastAsia="Arial" w:hAnsi="Arial"/>
          <w:sz w:val="17"/>
          <w:szCs w:val="17"/>
          <w:b w:val="1"/>
          <w:bCs w:val="1"/>
          <w:color w:val="auto"/>
        </w:rPr>
      </w:pPr>
    </w:p>
    <w:p>
      <w:pPr>
        <w:ind w:left="1920" w:hanging="682"/>
        <w:spacing w:after="0"/>
        <w:tabs>
          <w:tab w:leader="none" w:pos="1920"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is subsequently disclosed to the receiving Party by a Third Party who has a legal right to make such disclosure; or</w:t>
      </w:r>
    </w:p>
    <w:p>
      <w:pPr>
        <w:spacing w:after="0" w:line="241" w:lineRule="exact"/>
        <w:rPr>
          <w:rFonts w:ascii="Arial" w:cs="Arial" w:eastAsia="Arial" w:hAnsi="Arial"/>
          <w:sz w:val="17"/>
          <w:szCs w:val="17"/>
          <w:b w:val="1"/>
          <w:bCs w:val="1"/>
          <w:color w:val="auto"/>
        </w:rPr>
      </w:pPr>
    </w:p>
    <w:p>
      <w:pPr>
        <w:ind w:firstLine="1238"/>
        <w:spacing w:after="0" w:line="278" w:lineRule="auto"/>
        <w:tabs>
          <w:tab w:leader="none" w:pos="1920" w:val="left"/>
        </w:tabs>
        <w:numPr>
          <w:ilvl w:val="0"/>
          <w:numId w:val="602"/>
        </w:numPr>
        <w:rPr>
          <w:rFonts w:ascii="Arial" w:cs="Arial" w:eastAsia="Arial" w:hAnsi="Arial"/>
          <w:sz w:val="17"/>
          <w:szCs w:val="17"/>
          <w:b w:val="1"/>
          <w:bCs w:val="1"/>
          <w:color w:val="auto"/>
        </w:rPr>
      </w:pPr>
      <w:r>
        <w:rPr>
          <w:rFonts w:ascii="Arial" w:cs="Arial" w:eastAsia="Arial" w:hAnsi="Arial"/>
          <w:sz w:val="17"/>
          <w:szCs w:val="17"/>
          <w:color w:val="auto"/>
        </w:rPr>
        <w:t>is subsequently independently discovered or developed by the receiving Party without the aid, application, or use of the disclosing Party’s Confidential Information, as evidenced by a contemporaneous writing.</w:t>
      </w:r>
    </w:p>
    <w:p>
      <w:pPr>
        <w:spacing w:after="0" w:line="184"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6.2 Authorized Disclosure</w:t>
      </w:r>
      <w:r>
        <w:rPr>
          <w:rFonts w:ascii="Arial" w:cs="Arial" w:eastAsia="Arial" w:hAnsi="Arial"/>
          <w:sz w:val="17"/>
          <w:szCs w:val="17"/>
          <w:color w:val="auto"/>
        </w:rPr>
        <w:t>. Notwithstanding the obligations set forth in Section 7.1, a Party may disclose the other Party’s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terms of this Agreement (which terms shall be the Confidential Information of both Parties) to the extent:</w:t>
      </w:r>
    </w:p>
    <w:p>
      <w:pPr>
        <w:spacing w:after="0" w:line="183" w:lineRule="exact"/>
        <w:rPr>
          <w:sz w:val="20"/>
          <w:szCs w:val="20"/>
          <w:color w:val="auto"/>
        </w:rPr>
      </w:pPr>
    </w:p>
    <w:p>
      <w:pPr>
        <w:ind w:firstLine="1238"/>
        <w:spacing w:after="0" w:line="278" w:lineRule="auto"/>
        <w:tabs>
          <w:tab w:leader="none" w:pos="1933" w:val="left"/>
        </w:tabs>
        <w:numPr>
          <w:ilvl w:val="0"/>
          <w:numId w:val="603"/>
        </w:numPr>
        <w:rPr>
          <w:rFonts w:ascii="Arial" w:cs="Arial" w:eastAsia="Arial" w:hAnsi="Arial"/>
          <w:sz w:val="17"/>
          <w:szCs w:val="17"/>
          <w:b w:val="1"/>
          <w:bCs w:val="1"/>
          <w:color w:val="auto"/>
        </w:rPr>
      </w:pPr>
      <w:r>
        <w:rPr>
          <w:rFonts w:ascii="Arial" w:cs="Arial" w:eastAsia="Arial" w:hAnsi="Arial"/>
          <w:sz w:val="17"/>
          <w:szCs w:val="17"/>
          <w:color w:val="auto"/>
        </w:rPr>
        <w:t>such disclosure: (i) is reasonably necessary for filing or prosecuting Patent rights as contemplated by this Agreement; or (ii) is reasonably necessary for prosecuting or defending litigation as contemplated by this Agreement; or</w:t>
      </w:r>
    </w:p>
    <w:p>
      <w:pPr>
        <w:spacing w:after="0" w:line="190" w:lineRule="exact"/>
        <w:rPr>
          <w:rFonts w:ascii="Arial" w:cs="Arial" w:eastAsia="Arial" w:hAnsi="Arial"/>
          <w:sz w:val="17"/>
          <w:szCs w:val="17"/>
          <w:b w:val="1"/>
          <w:bCs w:val="1"/>
          <w:color w:val="auto"/>
        </w:rPr>
      </w:pPr>
    </w:p>
    <w:p>
      <w:pPr>
        <w:jc w:val="both"/>
        <w:ind w:firstLine="1238"/>
        <w:spacing w:after="0" w:line="257" w:lineRule="auto"/>
        <w:tabs>
          <w:tab w:leader="none" w:pos="1955" w:val="left"/>
        </w:tabs>
        <w:numPr>
          <w:ilvl w:val="0"/>
          <w:numId w:val="603"/>
        </w:numPr>
        <w:rPr>
          <w:rFonts w:ascii="Arial" w:cs="Arial" w:eastAsia="Arial" w:hAnsi="Arial"/>
          <w:sz w:val="17"/>
          <w:szCs w:val="17"/>
          <w:b w:val="1"/>
          <w:bCs w:val="1"/>
          <w:color w:val="auto"/>
        </w:rPr>
      </w:pPr>
      <w:r>
        <w:rPr>
          <w:rFonts w:ascii="Arial" w:cs="Arial" w:eastAsia="Arial" w:hAnsi="Arial"/>
          <w:sz w:val="17"/>
          <w:szCs w:val="17"/>
          <w:color w:val="auto"/>
        </w:rPr>
        <w:t>such disclosure is reasonably necessary: (i) to such Party’s directors, attorneys, independent accountants or financial advisors for the sole purpose of enabling such directors, attorneys, independent accountants or financial advisors to provide advice to the receiving Party, provided that in each such case on the condition that such directors, attorneys, independent accountants and financial advisors are bound by confidentiality and non-use obligations consistent with those contained in this Agreement; or (ii) to actual or potential investors or acquirors solely for the purpose of evaluating an actual or potential investment or acquisition; provided that in each such case on the condition that such actual or potential investors or acquirors are bound by confidentiality and non-use obligations consistent with those contained in the Agreement; or</w:t>
      </w:r>
    </w:p>
    <w:p>
      <w:pPr>
        <w:spacing w:after="0" w:line="210" w:lineRule="exact"/>
        <w:rPr>
          <w:rFonts w:ascii="Arial" w:cs="Arial" w:eastAsia="Arial" w:hAnsi="Arial"/>
          <w:sz w:val="17"/>
          <w:szCs w:val="17"/>
          <w:b w:val="1"/>
          <w:bCs w:val="1"/>
          <w:color w:val="auto"/>
        </w:rPr>
      </w:pPr>
    </w:p>
    <w:p>
      <w:pPr>
        <w:jc w:val="both"/>
        <w:ind w:firstLine="1238"/>
        <w:spacing w:after="0" w:line="259" w:lineRule="auto"/>
        <w:tabs>
          <w:tab w:leader="none" w:pos="1988" w:val="left"/>
        </w:tabs>
        <w:numPr>
          <w:ilvl w:val="0"/>
          <w:numId w:val="603"/>
        </w:numPr>
        <w:rPr>
          <w:rFonts w:ascii="Arial" w:cs="Arial" w:eastAsia="Arial" w:hAnsi="Arial"/>
          <w:sz w:val="17"/>
          <w:szCs w:val="17"/>
          <w:b w:val="1"/>
          <w:bCs w:val="1"/>
          <w:color w:val="auto"/>
        </w:rPr>
      </w:pPr>
      <w:r>
        <w:rPr>
          <w:rFonts w:ascii="Arial" w:cs="Arial" w:eastAsia="Arial" w:hAnsi="Arial"/>
          <w:sz w:val="17"/>
          <w:szCs w:val="17"/>
          <w:color w:val="auto"/>
        </w:rPr>
        <w:t>such disclosure is required by judicial or administrative process, provided that in such event such Party shall promptly inform the other Party of such required disclosure and provide the other Party an opportunity to challenge or limit the disclosure obligations. Confidential Information that is disclosed by judicial or administrative process shall remain otherwise subject to the confidentiality and non-use provisions of this Article 7, and the Party disclosing Confidential Information pursuant to law or court order shall take all steps reasonably necessary, including seeking of confidential treatment or a protective order, to ensure the continued confidential treatment of such Confidential Information; or</w:t>
      </w:r>
    </w:p>
    <w:p>
      <w:pPr>
        <w:spacing w:after="0" w:line="205" w:lineRule="exact"/>
        <w:rPr>
          <w:rFonts w:ascii="Arial" w:cs="Arial" w:eastAsia="Arial" w:hAnsi="Arial"/>
          <w:sz w:val="17"/>
          <w:szCs w:val="17"/>
          <w:b w:val="1"/>
          <w:bCs w:val="1"/>
          <w:color w:val="auto"/>
        </w:rPr>
      </w:pPr>
    </w:p>
    <w:p>
      <w:pPr>
        <w:ind w:firstLine="1238"/>
        <w:spacing w:after="0" w:line="311" w:lineRule="auto"/>
        <w:tabs>
          <w:tab w:leader="none" w:pos="2164" w:val="left"/>
        </w:tabs>
        <w:numPr>
          <w:ilvl w:val="0"/>
          <w:numId w:val="603"/>
        </w:numPr>
        <w:rPr>
          <w:rFonts w:ascii="Arial" w:cs="Arial" w:eastAsia="Arial" w:hAnsi="Arial"/>
          <w:sz w:val="16"/>
          <w:szCs w:val="16"/>
          <w:b w:val="1"/>
          <w:bCs w:val="1"/>
          <w:color w:val="auto"/>
        </w:rPr>
      </w:pPr>
      <w:r>
        <w:rPr>
          <w:rFonts w:ascii="Arial" w:cs="Arial" w:eastAsia="Arial" w:hAnsi="Arial"/>
          <w:sz w:val="16"/>
          <w:szCs w:val="16"/>
          <w:color w:val="auto"/>
        </w:rPr>
        <w:t>such disclosure is reasonably necessary for a sublicensee to exercise its rights under the applicable Sublicense Agreement, on the condition that such sublicensee is bound by confidentiality and non-use obligations consistent with those contained in the Agreement; or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0" w:name="page671"/>
    <w:bookmarkEnd w:id="670"/>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firstLine="1238"/>
        <w:spacing w:after="0" w:line="278" w:lineRule="auto"/>
        <w:tabs>
          <w:tab w:leader="none" w:pos="1928" w:val="left"/>
        </w:tabs>
        <w:numPr>
          <w:ilvl w:val="0"/>
          <w:numId w:val="604"/>
        </w:numPr>
        <w:rPr>
          <w:rFonts w:ascii="Arial" w:cs="Arial" w:eastAsia="Arial" w:hAnsi="Arial"/>
          <w:sz w:val="17"/>
          <w:szCs w:val="17"/>
          <w:b w:val="1"/>
          <w:bCs w:val="1"/>
          <w:color w:val="auto"/>
        </w:rPr>
      </w:pPr>
      <w:r>
        <w:rPr>
          <w:rFonts w:ascii="Arial" w:cs="Arial" w:eastAsia="Arial" w:hAnsi="Arial"/>
          <w:sz w:val="17"/>
          <w:szCs w:val="17"/>
          <w:color w:val="auto"/>
        </w:rPr>
        <w:t>such disclosure is reasonably necessary for the performance of work relating to BL-1020 by any subcontractor, on the condition that such subcontractor is bound by confidentiality and non-use obligations consistent with those contained in the Agreement.</w:t>
      </w:r>
    </w:p>
    <w:p>
      <w:pPr>
        <w:spacing w:after="0" w:line="184"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6.3 Publicity; Use of Names. </w:t>
      </w:r>
      <w:r>
        <w:rPr>
          <w:rFonts w:ascii="Arial" w:cs="Arial" w:eastAsia="Arial" w:hAnsi="Arial"/>
          <w:sz w:val="17"/>
          <w:szCs w:val="17"/>
          <w:color w:val="auto"/>
        </w:rPr>
        <w:t>Subject to Section 7.2 and the rest of this Section 7.3, no disclosure of the terms of this Agreement may be made by</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or its Affiliates, and no Party shall use the name, trademark, trade name or logo of the other Party, its Affiliates or their respective employee(s) in any publicity, promotion, news release or other public disclosure relating to this Agreement or its subject matter, without the prior express written permission of the other Party, except as may be required by Law.</w:t>
      </w:r>
    </w:p>
    <w:p>
      <w:pPr>
        <w:spacing w:after="0" w:line="204" w:lineRule="exact"/>
        <w:rPr>
          <w:sz w:val="20"/>
          <w:szCs w:val="20"/>
          <w:color w:val="auto"/>
        </w:rPr>
      </w:pPr>
    </w:p>
    <w:p>
      <w:pPr>
        <w:jc w:val="both"/>
        <w:ind w:firstLine="1238"/>
        <w:spacing w:after="0" w:line="274" w:lineRule="auto"/>
        <w:tabs>
          <w:tab w:leader="none" w:pos="2052" w:val="left"/>
        </w:tabs>
        <w:numPr>
          <w:ilvl w:val="0"/>
          <w:numId w:val="605"/>
        </w:numPr>
        <w:rPr>
          <w:rFonts w:ascii="Arial" w:cs="Arial" w:eastAsia="Arial" w:hAnsi="Arial"/>
          <w:sz w:val="16"/>
          <w:szCs w:val="16"/>
          <w:b w:val="1"/>
          <w:bCs w:val="1"/>
          <w:color w:val="auto"/>
        </w:rPr>
      </w:pPr>
      <w:r>
        <w:rPr>
          <w:rFonts w:ascii="Arial" w:cs="Arial" w:eastAsia="Arial" w:hAnsi="Arial"/>
          <w:sz w:val="16"/>
          <w:szCs w:val="16"/>
          <w:color w:val="auto"/>
        </w:rPr>
        <w:t>A Party may disclose this Agreement and its terms in securities filings with the Securities Exchange Commission or other regulatory agency (“</w:t>
      </w:r>
      <w:r>
        <w:rPr>
          <w:rFonts w:ascii="Arial" w:cs="Arial" w:eastAsia="Arial" w:hAnsi="Arial"/>
          <w:sz w:val="16"/>
          <w:szCs w:val="16"/>
          <w:b w:val="1"/>
          <w:bCs w:val="1"/>
          <w:color w:val="auto"/>
        </w:rPr>
        <w:t>SEC</w:t>
      </w:r>
      <w:r>
        <w:rPr>
          <w:rFonts w:ascii="Arial" w:cs="Arial" w:eastAsia="Arial" w:hAnsi="Arial"/>
          <w:sz w:val="16"/>
          <w:szCs w:val="16"/>
          <w:color w:val="auto"/>
        </w:rPr>
        <w:t>”) (or equivalent foreign agency, including the Israel Securities Authority or the Tel Aviv Stock Exchange) to the extent required by Law after complying with the procedure set forth in this Section 7.3. In such event, the Party seeking such disclosure will prepare a draft confidential treatment request and a proposed redacted version of this Agreement to request confidential treatment for this Agreement, and the other Party agrees to promptly (and in any event, no more than seven (7) days after receipt of such confidential treatment request and proposed redactions (or such lesser period of time as required by Law)) give its input in a reasonable manner in order to allow the Party seeking disclosure to file its request within the time lines proscribed by applicable SEC regulations or equivalent foreign agency regulations. The Party seeking such disclosure shall exercise Commercially Reasonable Efforts to obtain confidential treatment of the Agreement from the SEC or equivalent foreign agency as represented by the redacted version reviewed by the other Party.</w:t>
      </w:r>
    </w:p>
    <w:p>
      <w:pPr>
        <w:spacing w:after="0" w:line="197" w:lineRule="exact"/>
        <w:rPr>
          <w:rFonts w:ascii="Arial" w:cs="Arial" w:eastAsia="Arial" w:hAnsi="Arial"/>
          <w:sz w:val="16"/>
          <w:szCs w:val="16"/>
          <w:b w:val="1"/>
          <w:bCs w:val="1"/>
          <w:color w:val="auto"/>
        </w:rPr>
      </w:pPr>
    </w:p>
    <w:p>
      <w:pPr>
        <w:jc w:val="both"/>
        <w:ind w:firstLine="1238"/>
        <w:spacing w:after="0" w:line="274" w:lineRule="auto"/>
        <w:tabs>
          <w:tab w:leader="none" w:pos="2021" w:val="left"/>
        </w:tabs>
        <w:numPr>
          <w:ilvl w:val="0"/>
          <w:numId w:val="605"/>
        </w:numPr>
        <w:rPr>
          <w:rFonts w:ascii="Arial" w:cs="Arial" w:eastAsia="Arial" w:hAnsi="Arial"/>
          <w:sz w:val="16"/>
          <w:szCs w:val="16"/>
          <w:b w:val="1"/>
          <w:bCs w:val="1"/>
          <w:color w:val="auto"/>
        </w:rPr>
      </w:pPr>
      <w:r>
        <w:rPr>
          <w:rFonts w:ascii="Arial" w:cs="Arial" w:eastAsia="Arial" w:hAnsi="Arial"/>
          <w:sz w:val="16"/>
          <w:szCs w:val="16"/>
          <w:color w:val="auto"/>
        </w:rPr>
        <w:t xml:space="preserve">Further, each Party acknowledges that the other Party may be legally required to make public disclosures (including in filings with the SEC or other agency) of the execution and delivery of this Agreement as well as certain material developments or material information generated under this Agreement and agrees that each Party may make such disclosures as required by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Party seeking such disclosure first provides the other Party a copy of the proposed disclosure,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to the extent that the Party seeking disclosure is required to disclose such information to comply with applicable Law) if the other Party demonstrates to the reasonable satisfaction of the Party seeking disclosure, within two (2) business days of such Party’s providing the copy, that the public disclosure of previously undisclosed information will materially adversely affect the pre-commercialization or commercialization of a Product being pre-commercialized or commercialized in the applicable Territory, the Party seeking disclosure will remove from the disclosure such specific previously undisclosed information as the other Party shall reasonably request to be removed.</w:t>
      </w:r>
    </w:p>
    <w:p>
      <w:pPr>
        <w:spacing w:after="0" w:line="197" w:lineRule="exact"/>
        <w:rPr>
          <w:rFonts w:ascii="Arial" w:cs="Arial" w:eastAsia="Arial" w:hAnsi="Arial"/>
          <w:sz w:val="16"/>
          <w:szCs w:val="16"/>
          <w:b w:val="1"/>
          <w:bCs w:val="1"/>
          <w:color w:val="auto"/>
        </w:rPr>
      </w:pPr>
    </w:p>
    <w:p>
      <w:pPr>
        <w:jc w:val="both"/>
        <w:ind w:firstLine="1238"/>
        <w:spacing w:after="0" w:line="265" w:lineRule="auto"/>
        <w:tabs>
          <w:tab w:leader="none" w:pos="1950" w:val="left"/>
        </w:tabs>
        <w:numPr>
          <w:ilvl w:val="0"/>
          <w:numId w:val="605"/>
        </w:numPr>
        <w:rPr>
          <w:rFonts w:ascii="Arial" w:cs="Arial" w:eastAsia="Arial" w:hAnsi="Arial"/>
          <w:sz w:val="17"/>
          <w:szCs w:val="17"/>
          <w:b w:val="1"/>
          <w:bCs w:val="1"/>
          <w:color w:val="auto"/>
        </w:rPr>
      </w:pPr>
      <w:r>
        <w:rPr>
          <w:rFonts w:ascii="Arial" w:cs="Arial" w:eastAsia="Arial" w:hAnsi="Arial"/>
          <w:sz w:val="17"/>
          <w:szCs w:val="17"/>
          <w:color w:val="auto"/>
        </w:rPr>
        <w:t>The Parties agree that after a public disclosure pursuant to Sections 7.3 (a) (b) or (c) has been reviewed and approved by the other Party, the disclosing Party may make subsequent public disclosures or issue a press release disclosing the same content as was contained in such public disclosure without having to obtain the other Party’s prior consent and approval.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71" w:name="page672"/>
    <w:bookmarkEnd w:id="671"/>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6.4 Equitable Relief. </w:t>
      </w:r>
      <w:r>
        <w:rPr>
          <w:rFonts w:ascii="Arial" w:cs="Arial" w:eastAsia="Arial" w:hAnsi="Arial"/>
          <w:sz w:val="16"/>
          <w:szCs w:val="16"/>
          <w:color w:val="auto"/>
        </w:rPr>
        <w:t>Each Party acknowledges that a breach of this Article 7 may not reasonably or adequately be compensated in damages in an</w:t>
      </w:r>
      <w:r>
        <w:rPr>
          <w:rFonts w:ascii="Arial" w:cs="Arial" w:eastAsia="Arial" w:hAnsi="Arial"/>
          <w:sz w:val="16"/>
          <w:szCs w:val="16"/>
          <w:b w:val="1"/>
          <w:bCs w:val="1"/>
          <w:color w:val="auto"/>
        </w:rPr>
        <w:t xml:space="preserve"> </w:t>
      </w:r>
      <w:r>
        <w:rPr>
          <w:rFonts w:ascii="Arial" w:cs="Arial" w:eastAsia="Arial" w:hAnsi="Arial"/>
          <w:sz w:val="16"/>
          <w:szCs w:val="16"/>
          <w:color w:val="auto"/>
        </w:rPr>
        <w:t>action at law and that such a breach shall cause the other Party irreparable injury and damage. By reason thereof, each Party agrees that the other Party may be entitled, in addition to any other remedies it may have under this Agreement or otherwise, to seek preliminary and permanent injunctive and other equitable relief to prevent or curtail any breach of the obligations relating to Confidential Information set forth herein by the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AND TERMINATION</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7.1 Term</w:t>
      </w:r>
      <w:r>
        <w:rPr>
          <w:rFonts w:ascii="Arial" w:cs="Arial" w:eastAsia="Arial" w:hAnsi="Arial"/>
          <w:sz w:val="17"/>
          <w:szCs w:val="17"/>
          <w:color w:val="auto"/>
        </w:rPr>
        <w:t>. The term of this Agreement will commence on the Effective Date and, unless earlier terminated pursuant to this Article 8, shall remain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 until the cessation of all Commercialization of the Products (the </w:t>
      </w: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177"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Termination for Breach.</w:t>
      </w:r>
    </w:p>
    <w:p>
      <w:pPr>
        <w:spacing w:after="0" w:line="242" w:lineRule="exact"/>
        <w:rPr>
          <w:sz w:val="20"/>
          <w:szCs w:val="20"/>
          <w:color w:val="auto"/>
        </w:rPr>
      </w:pPr>
    </w:p>
    <w:p>
      <w:pPr>
        <w:jc w:val="both"/>
        <w:ind w:firstLine="1238"/>
        <w:spacing w:after="0" w:line="263" w:lineRule="auto"/>
        <w:tabs>
          <w:tab w:leader="none" w:pos="1932" w:val="left"/>
        </w:tabs>
        <w:numPr>
          <w:ilvl w:val="0"/>
          <w:numId w:val="6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If either Party believes that the other Party is in material breach of this Agreement, then the Party holding such belief (the “</w:t>
      </w:r>
      <w:r>
        <w:rPr>
          <w:rFonts w:ascii="Arial" w:cs="Arial" w:eastAsia="Arial" w:hAnsi="Arial"/>
          <w:sz w:val="17"/>
          <w:szCs w:val="17"/>
          <w:b w:val="1"/>
          <w:bCs w:val="1"/>
          <w:color w:val="auto"/>
        </w:rPr>
        <w:t>Non-breaching Party</w:t>
      </w:r>
      <w:r>
        <w:rPr>
          <w:rFonts w:ascii="Arial" w:cs="Arial" w:eastAsia="Arial" w:hAnsi="Arial"/>
          <w:sz w:val="17"/>
          <w:szCs w:val="17"/>
          <w:color w:val="auto"/>
        </w:rPr>
        <w:t>”) may deliver notice of such breach to the other Party (the “</w:t>
      </w:r>
      <w:r>
        <w:rPr>
          <w:rFonts w:ascii="Arial" w:cs="Arial" w:eastAsia="Arial" w:hAnsi="Arial"/>
          <w:sz w:val="17"/>
          <w:szCs w:val="17"/>
          <w:b w:val="1"/>
          <w:bCs w:val="1"/>
          <w:color w:val="auto"/>
        </w:rPr>
        <w:t>Notified Party</w:t>
      </w:r>
      <w:r>
        <w:rPr>
          <w:rFonts w:ascii="Arial" w:cs="Arial" w:eastAsia="Arial" w:hAnsi="Arial"/>
          <w:sz w:val="17"/>
          <w:szCs w:val="17"/>
          <w:color w:val="auto"/>
        </w:rPr>
        <w:t>”). The Notified Party shall have thirty (30) days after receipt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cure such breach, or, if such breach is not susceptible of cure within the stated 30-day period and the Notified Party uses diligent good faith efforts to cure such breach, the stated 30-day period shall be extended by an additional thirty (30) days.</w:t>
      </w:r>
    </w:p>
    <w:p>
      <w:pPr>
        <w:spacing w:after="0" w:line="197" w:lineRule="exact"/>
        <w:rPr>
          <w:rFonts w:ascii="Arial" w:cs="Arial" w:eastAsia="Arial" w:hAnsi="Arial"/>
          <w:sz w:val="17"/>
          <w:szCs w:val="17"/>
          <w:b w:val="1"/>
          <w:bCs w:val="1"/>
          <w:color w:val="auto"/>
        </w:rPr>
      </w:pPr>
    </w:p>
    <w:p>
      <w:pPr>
        <w:ind w:firstLine="1238"/>
        <w:spacing w:after="0" w:line="286" w:lineRule="auto"/>
        <w:tabs>
          <w:tab w:leader="none" w:pos="1941" w:val="left"/>
        </w:tabs>
        <w:numPr>
          <w:ilvl w:val="0"/>
          <w:numId w:val="6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Failure to Cure. </w:t>
      </w:r>
      <w:r>
        <w:rPr>
          <w:rFonts w:ascii="Arial" w:cs="Arial" w:eastAsia="Arial" w:hAnsi="Arial"/>
          <w:sz w:val="17"/>
          <w:szCs w:val="17"/>
          <w:color w:val="auto"/>
        </w:rPr>
        <w:t>If the Notified Party fails to cure a material breach of this Agreement as provided for in this Section 8.2, then the Non-Breaching Party may terminate this Agreement immediately upon written notice to the Notified Party.</w:t>
      </w:r>
    </w:p>
    <w:p>
      <w:pPr>
        <w:spacing w:after="0" w:line="177" w:lineRule="exact"/>
        <w:rPr>
          <w:rFonts w:ascii="Arial" w:cs="Arial" w:eastAsia="Arial" w:hAnsi="Arial"/>
          <w:sz w:val="17"/>
          <w:szCs w:val="17"/>
          <w:b w:val="1"/>
          <w:bCs w:val="1"/>
          <w:color w:val="auto"/>
        </w:rPr>
      </w:pPr>
    </w:p>
    <w:p>
      <w:pPr>
        <w:jc w:val="both"/>
        <w:ind w:firstLine="1238"/>
        <w:spacing w:after="0" w:line="259" w:lineRule="auto"/>
        <w:tabs>
          <w:tab w:leader="none" w:pos="1999" w:val="left"/>
        </w:tabs>
        <w:numPr>
          <w:ilvl w:val="0"/>
          <w:numId w:val="6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Disputes. </w:t>
      </w:r>
      <w:r>
        <w:rPr>
          <w:rFonts w:ascii="Arial" w:cs="Arial" w:eastAsia="Arial" w:hAnsi="Arial"/>
          <w:sz w:val="17"/>
          <w:szCs w:val="17"/>
          <w:color w:val="auto"/>
        </w:rPr>
        <w:t>If a Party gives notice of termination under this Section 8.2 and the other Party disputes whether such termination is proper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Section 8.2, then the issue of whether this Agreement may properly be terminated (i.e., whether a material breach occurred or whether a material breach was cured) shall be resolved in accordance with Article 9. If as a result of such dispute resolution process it is determined that the notice of termination was proper, then such termination shall be deemed to have been effective thirty (30) days following the date of the notice of breach (or such other time period applicable pursuant to this Section 8.2). If, as a result of such dispute resolution process, it is determined that the notice of termination was improper, then no termination shall have occurred and this Agreement shall remain in effect.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2" w:name="page673"/>
    <w:bookmarkEnd w:id="672"/>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63" w:lineRule="auto"/>
        <w:tabs>
          <w:tab w:leader="none" w:pos="2096" w:val="left"/>
        </w:tabs>
        <w:numPr>
          <w:ilvl w:val="0"/>
          <w:numId w:val="6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Obligations. </w:t>
      </w:r>
      <w:r>
        <w:rPr>
          <w:rFonts w:ascii="Arial" w:cs="Arial" w:eastAsia="Arial" w:hAnsi="Arial"/>
          <w:sz w:val="17"/>
          <w:szCs w:val="17"/>
          <w:color w:val="auto"/>
        </w:rPr>
        <w:t>In any event, expiration or termination of this Agreement shall not relieve the Parties of any liability which</w:t>
      </w:r>
      <w:r>
        <w:rPr>
          <w:rFonts w:ascii="Arial" w:cs="Arial" w:eastAsia="Arial" w:hAnsi="Arial"/>
          <w:sz w:val="17"/>
          <w:szCs w:val="17"/>
          <w:b w:val="1"/>
          <w:bCs w:val="1"/>
          <w:color w:val="auto"/>
        </w:rPr>
        <w:t xml:space="preserve"> </w:t>
      </w:r>
      <w:r>
        <w:rPr>
          <w:rFonts w:ascii="Arial" w:cs="Arial" w:eastAsia="Arial" w:hAnsi="Arial"/>
          <w:sz w:val="17"/>
          <w:szCs w:val="17"/>
          <w:color w:val="auto"/>
        </w:rPr>
        <w:t>accrued hereunder prior to the effective date of such expiration or termination or to which a Party may be contractually committed as of such effective date nor preclude either Party from pursuing all rights and remedies it may have hereunder or at law or in equity with respect to any breach of this Agreement, nor prejudice either Party’s right to obtain performance of any obligation.</w:t>
      </w:r>
    </w:p>
    <w:p>
      <w:pPr>
        <w:spacing w:after="0" w:line="198"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7.3 Survival</w:t>
      </w:r>
      <w:r>
        <w:rPr>
          <w:rFonts w:ascii="Arial" w:cs="Arial" w:eastAsia="Arial" w:hAnsi="Arial"/>
          <w:sz w:val="16"/>
          <w:szCs w:val="16"/>
          <w:color w:val="auto"/>
        </w:rPr>
        <w:t>. The following provisions shall survive any expiration or termination of this Agreement: Articles 1, 2, 5, 6, 7, 8, 9 and 10 and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4.2. In addition, any other provisions required to interpret or enforce the Parties’ rights and obligations under this Agreement shall also survive, but only to the extent required for the full observation and performance of this Agreement, or which by their express terms, survive such expiration or termination of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242" w:lineRule="exact"/>
        <w:rPr>
          <w:sz w:val="20"/>
          <w:szCs w:val="20"/>
          <w:color w:val="auto"/>
        </w:rPr>
      </w:pPr>
    </w:p>
    <w:p>
      <w:pPr>
        <w:jc w:val="both"/>
        <w:ind w:firstLine="617"/>
        <w:spacing w:after="0" w:line="309" w:lineRule="auto"/>
        <w:rPr>
          <w:sz w:val="20"/>
          <w:szCs w:val="20"/>
          <w:color w:val="auto"/>
        </w:rPr>
      </w:pPr>
      <w:r>
        <w:rPr>
          <w:rFonts w:ascii="Arial" w:cs="Arial" w:eastAsia="Arial" w:hAnsi="Arial"/>
          <w:sz w:val="15"/>
          <w:szCs w:val="15"/>
          <w:b w:val="1"/>
          <w:bCs w:val="1"/>
          <w:color w:val="auto"/>
        </w:rPr>
        <w:t>8.1 Disputes</w:t>
      </w:r>
      <w:r>
        <w:rPr>
          <w:rFonts w:ascii="Arial" w:cs="Arial" w:eastAsia="Arial" w:hAnsi="Arial"/>
          <w:sz w:val="15"/>
          <w:szCs w:val="15"/>
          <w:color w:val="auto"/>
        </w:rPr>
        <w:t>. The Parties recognize that disputes as to certain matters may from time to time arise during the Term which relate to either Party’s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Article 9 to resolve any controversy or claim arising out of, relating to or in connection with any provision of this Agreement, if and when a dispute arises under this Agreement.</w:t>
      </w:r>
    </w:p>
    <w:p>
      <w:pPr>
        <w:spacing w:after="0" w:line="166"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8.2 Binding Arbitration. </w:t>
      </w:r>
      <w:r>
        <w:rPr>
          <w:rFonts w:ascii="Arial" w:cs="Arial" w:eastAsia="Arial" w:hAnsi="Arial"/>
          <w:sz w:val="17"/>
          <w:szCs w:val="17"/>
          <w:color w:val="auto"/>
        </w:rPr>
        <w:t>Each dispute, controversy or claim arising under this Agreement shall be finally resolved by binding arbitration administered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JAMS pursuant to JAMS’ Streamlined Arbitration Rules and Procedures then in effect (the </w:t>
      </w:r>
      <w:r>
        <w:rPr>
          <w:rFonts w:ascii="Arial" w:cs="Arial" w:eastAsia="Arial" w:hAnsi="Arial"/>
          <w:sz w:val="17"/>
          <w:szCs w:val="17"/>
          <w:b w:val="1"/>
          <w:bCs w:val="1"/>
          <w:color w:val="auto"/>
        </w:rPr>
        <w:t>“JAMS Rules”</w:t>
      </w:r>
      <w:r>
        <w:rPr>
          <w:rFonts w:ascii="Arial" w:cs="Arial" w:eastAsia="Arial" w:hAnsi="Arial"/>
          <w:sz w:val="17"/>
          <w:szCs w:val="17"/>
          <w:color w:val="auto"/>
        </w:rPr>
        <w:t>), and judgment on the arbitration award may be entered in any court having jurisdiction thereof. The Parties agree that:</w:t>
      </w:r>
    </w:p>
    <w:p>
      <w:pPr>
        <w:spacing w:after="0" w:line="198" w:lineRule="exact"/>
        <w:rPr>
          <w:sz w:val="20"/>
          <w:szCs w:val="20"/>
          <w:color w:val="auto"/>
        </w:rPr>
      </w:pPr>
    </w:p>
    <w:p>
      <w:pPr>
        <w:jc w:val="both"/>
        <w:ind w:firstLine="1238"/>
        <w:spacing w:after="0" w:line="301" w:lineRule="auto"/>
        <w:tabs>
          <w:tab w:leader="none" w:pos="2003" w:val="left"/>
        </w:tabs>
        <w:numPr>
          <w:ilvl w:val="0"/>
          <w:numId w:val="608"/>
        </w:numPr>
        <w:rPr>
          <w:rFonts w:ascii="Arial" w:cs="Arial" w:eastAsia="Arial" w:hAnsi="Arial"/>
          <w:sz w:val="15"/>
          <w:szCs w:val="15"/>
          <w:b w:val="1"/>
          <w:bCs w:val="1"/>
          <w:color w:val="auto"/>
        </w:rPr>
      </w:pPr>
      <w:r>
        <w:rPr>
          <w:rFonts w:ascii="Arial" w:cs="Arial" w:eastAsia="Arial" w:hAnsi="Arial"/>
          <w:sz w:val="15"/>
          <w:szCs w:val="15"/>
          <w:color w:val="auto"/>
        </w:rPr>
        <w:t>The arbitration shall be conducted by a panel of three persons experienced in the pharmaceutical business: within thirty (30) days after initiation of arbitration, each Party shall select one person to act as arbitrator and the two Party-selected arbitrators shall select a third arbitrator within thirty (30) days of their appointment. If the arbitrators selected by the Parties are unable or fail to agree upon the third arbitrator, the third arbitrator shall be appointed by JAMS. The place of arbitration shall be New York, New York U.S.A., and all proceedings and communications shall be in English. The panel of arbitrators shall decide the issue within thirty (30) days after appointment of the third arbitrator, and shall render this decision in writing and provide reasons for the decision and any award.</w:t>
      </w:r>
    </w:p>
    <w:p>
      <w:pPr>
        <w:spacing w:after="0" w:line="178" w:lineRule="exact"/>
        <w:rPr>
          <w:rFonts w:ascii="Arial" w:cs="Arial" w:eastAsia="Arial" w:hAnsi="Arial"/>
          <w:sz w:val="15"/>
          <w:szCs w:val="15"/>
          <w:b w:val="1"/>
          <w:bCs w:val="1"/>
          <w:color w:val="auto"/>
        </w:rPr>
      </w:pPr>
    </w:p>
    <w:p>
      <w:pPr>
        <w:jc w:val="both"/>
        <w:ind w:firstLine="1238"/>
        <w:spacing w:after="0" w:line="259" w:lineRule="auto"/>
        <w:tabs>
          <w:tab w:leader="none" w:pos="1929" w:val="left"/>
        </w:tabs>
        <w:numPr>
          <w:ilvl w:val="0"/>
          <w:numId w:val="608"/>
        </w:numPr>
        <w:rPr>
          <w:rFonts w:ascii="Arial" w:cs="Arial" w:eastAsia="Arial" w:hAnsi="Arial"/>
          <w:sz w:val="17"/>
          <w:szCs w:val="17"/>
          <w:b w:val="1"/>
          <w:bCs w:val="1"/>
          <w:color w:val="auto"/>
        </w:rPr>
      </w:pPr>
      <w:r>
        <w:rPr>
          <w:rFonts w:ascii="Arial" w:cs="Arial" w:eastAsia="Arial" w:hAnsi="Arial"/>
          <w:sz w:val="17"/>
          <w:szCs w:val="17"/>
          <w:color w:val="auto"/>
        </w:rPr>
        <w:t>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punitive or any other type of damages not measured by a Party’s compensatory damage. Each Party shall bear its own costs and expenses and attorneys’ fees and an equal share of the arbitrators’ fees and any administrative fees of arbitration regardless of the outcome of such arbitration.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73" w:name="page674"/>
    <w:bookmarkEnd w:id="673"/>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firstLine="1238"/>
        <w:spacing w:after="0" w:line="278" w:lineRule="auto"/>
        <w:tabs>
          <w:tab w:leader="none" w:pos="1940" w:val="left"/>
        </w:tabs>
        <w:numPr>
          <w:ilvl w:val="0"/>
          <w:numId w:val="609"/>
        </w:numPr>
        <w:rPr>
          <w:rFonts w:ascii="Arial" w:cs="Arial" w:eastAsia="Arial" w:hAnsi="Arial"/>
          <w:sz w:val="17"/>
          <w:szCs w:val="17"/>
          <w:b w:val="1"/>
          <w:bCs w:val="1"/>
          <w:color w:val="auto"/>
        </w:rPr>
      </w:pPr>
      <w:r>
        <w:rPr>
          <w:rFonts w:ascii="Arial" w:cs="Arial" w:eastAsia="Arial" w:hAnsi="Arial"/>
          <w:sz w:val="17"/>
          <w:szCs w:val="17"/>
          <w:color w:val="auto"/>
        </w:rPr>
        <w:t>A Party shall be entitled to deduct or otherwise offset any damage finally awarded under a proceeding initiated under Section 9.2 against payments due under this Agreement.</w:t>
      </w:r>
    </w:p>
    <w:p>
      <w:pPr>
        <w:spacing w:after="0" w:line="190" w:lineRule="exact"/>
        <w:rPr>
          <w:rFonts w:ascii="Arial" w:cs="Arial" w:eastAsia="Arial" w:hAnsi="Arial"/>
          <w:sz w:val="17"/>
          <w:szCs w:val="17"/>
          <w:b w:val="1"/>
          <w:bCs w:val="1"/>
          <w:color w:val="auto"/>
        </w:rPr>
      </w:pPr>
    </w:p>
    <w:p>
      <w:pPr>
        <w:jc w:val="both"/>
        <w:ind w:firstLine="1238"/>
        <w:spacing w:after="0" w:line="289" w:lineRule="auto"/>
        <w:tabs>
          <w:tab w:leader="none" w:pos="2089" w:val="left"/>
        </w:tabs>
        <w:numPr>
          <w:ilvl w:val="0"/>
          <w:numId w:val="609"/>
        </w:numPr>
        <w:rPr>
          <w:rFonts w:ascii="Arial" w:cs="Arial" w:eastAsia="Arial" w:hAnsi="Arial"/>
          <w:sz w:val="16"/>
          <w:szCs w:val="16"/>
          <w:b w:val="1"/>
          <w:bCs w:val="1"/>
          <w:color w:val="auto"/>
        </w:rPr>
      </w:pPr>
      <w:r>
        <w:rPr>
          <w:rFonts w:ascii="Arial" w:cs="Arial" w:eastAsia="Arial" w:hAnsi="Arial"/>
          <w:sz w:val="16"/>
          <w:szCs w:val="16"/>
          <w:color w:val="auto"/>
        </w:rPr>
        <w:t>Except to the extent necessary to confirm an award or as may be required by law,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New York statute of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4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9.1 Entire Agreement; Amendment</w:t>
      </w:r>
      <w:r>
        <w:rPr>
          <w:rFonts w:ascii="Arial" w:cs="Arial" w:eastAsia="Arial" w:hAnsi="Arial"/>
          <w:sz w:val="17"/>
          <w:szCs w:val="17"/>
          <w:color w:val="auto"/>
        </w:rPr>
        <w:t>. This Agreement, including the Exhibits hereto, sets forth the complete, final and exclusive agreement and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201"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9.2 Force Majeure</w:t>
      </w:r>
      <w:r>
        <w:rPr>
          <w:rFonts w:ascii="Arial" w:cs="Arial" w:eastAsia="Arial" w:hAnsi="Arial"/>
          <w:sz w:val="16"/>
          <w:szCs w:val="16"/>
          <w:color w:val="auto"/>
        </w:rPr>
        <w:t>. Each Party shall be excused from the performance of its obligations under this Agreement to the extent that such performance is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reasonable control of the nonperforming Party, including an act of God or terrorism, involuntary compliance with any regulation, law or order of any government, war, civil commotion, epidemic, failure or default of public utilities or common carriers, destruction of production facilities or materials by fire, earthquake, storm or like catastrophe.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4" w:name="page675"/>
    <w:bookmarkEnd w:id="674"/>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309" w:lineRule="auto"/>
        <w:rPr>
          <w:sz w:val="20"/>
          <w:szCs w:val="20"/>
          <w:color w:val="auto"/>
        </w:rPr>
      </w:pPr>
      <w:r>
        <w:rPr>
          <w:rFonts w:ascii="Arial" w:cs="Arial" w:eastAsia="Arial" w:hAnsi="Arial"/>
          <w:sz w:val="15"/>
          <w:szCs w:val="15"/>
          <w:b w:val="1"/>
          <w:bCs w:val="1"/>
          <w:color w:val="auto"/>
        </w:rPr>
        <w:t>9.3 Notices</w:t>
      </w:r>
      <w:r>
        <w:rPr>
          <w:rFonts w:ascii="Arial" w:cs="Arial" w:eastAsia="Arial" w:hAnsi="Arial"/>
          <w:sz w:val="15"/>
          <w:szCs w:val="15"/>
          <w:color w:val="auto"/>
        </w:rPr>
        <w:t>. Any notice required or permitted to be given under this Agreement shall be in writing, shall specifically refer to this Agreement,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addressed to the appropriate Party at the address specified below or such other address as may be specified by such Party in writing in accordance with this Section 10.3, and shall be deemed to have been sufficiently given for all purposes when received, if in writing and personally delivered, facsimile transmission (receipt verified) or overnight express courier service (signature required), prepaid, to the Party for which such notice is intended, at the address set forth for such Party below.</w:t>
      </w:r>
    </w:p>
    <w:p>
      <w:pPr>
        <w:sectPr>
          <w:pgSz w:w="11900" w:h="16838" w:orient="portrait"/>
          <w:cols w:equalWidth="0" w:num="1">
            <w:col w:w="11420"/>
          </w:cols>
          <w:pgMar w:left="240" w:top="500" w:right="239" w:bottom="1440" w:gutter="0" w:footer="0" w:header="0"/>
        </w:sectPr>
      </w:pP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BioLineRx: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Cypress: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right="80"/>
        <w:spacing w:after="0" w:line="265" w:lineRule="auto"/>
        <w:rPr>
          <w:sz w:val="20"/>
          <w:szCs w:val="20"/>
          <w:color w:val="auto"/>
        </w:rPr>
      </w:pPr>
      <w:r>
        <w:rPr>
          <w:rFonts w:ascii="Arial" w:cs="Arial" w:eastAsia="Arial" w:hAnsi="Arial"/>
          <w:sz w:val="17"/>
          <w:szCs w:val="17"/>
          <w:color w:val="auto"/>
        </w:rPr>
        <w:t>If to the Royalty Pharma entities identified on the signature page hereto: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91450, Israel</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Attention: Dr. Kinneret Savitsky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 CFO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 (2) 548-9101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Cypress Bioscience,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4350 Executive Drive, Suite 325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 92121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Attention: Jeffrey Meckler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+1 (858) 452-1222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RP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110 East 59th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Suite 3300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Attention: Pablo Legorreta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+1 (212) 883-2260</w:t>
      </w:r>
    </w:p>
    <w:p>
      <w:pPr>
        <w:spacing w:after="0" w:line="200" w:lineRule="exact"/>
        <w:rPr>
          <w:sz w:val="20"/>
          <w:szCs w:val="20"/>
          <w:color w:val="auto"/>
        </w:rPr>
      </w:pPr>
    </w:p>
    <w:p>
      <w:pPr>
        <w:sectPr>
          <w:pgSz w:w="11900" w:h="16838" w:orient="portrait"/>
          <w:cols w:equalWidth="0" w:num="2">
            <w:col w:w="2940" w:space="720"/>
            <w:col w:w="7760"/>
          </w:cols>
          <w:pgMar w:left="240" w:top="500" w:right="239" w:bottom="1440" w:gutter="0" w:footer="0" w:header="0"/>
          <w:type w:val="continuous"/>
        </w:sectPr>
      </w:pPr>
    </w:p>
    <w:p>
      <w:pPr>
        <w:spacing w:after="0" w:line="25"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9.4 No Strict Construction; Headings</w:t>
      </w:r>
      <w:r>
        <w:rPr>
          <w:rFonts w:ascii="Arial" w:cs="Arial" w:eastAsia="Arial" w:hAnsi="Arial"/>
          <w:sz w:val="17"/>
          <w:szCs w:val="17"/>
          <w:color w:val="auto"/>
        </w:rPr>
        <w:t>. This Agreement has been prepared jointly and shall not be strictly construed against either Party. Ambiguities,</w:t>
      </w:r>
      <w:r>
        <w:rPr>
          <w:rFonts w:ascii="Arial" w:cs="Arial" w:eastAsia="Arial" w:hAnsi="Arial"/>
          <w:sz w:val="17"/>
          <w:szCs w:val="17"/>
          <w:b w:val="1"/>
          <w:bCs w:val="1"/>
          <w:color w:val="auto"/>
        </w:rPr>
        <w:t xml:space="preserve"> </w:t>
      </w:r>
      <w:r>
        <w:rPr>
          <w:rFonts w:ascii="Arial" w:cs="Arial" w:eastAsia="Arial" w:hAnsi="Arial"/>
          <w:sz w:val="17"/>
          <w:szCs w:val="17"/>
          <w:color w:val="auto"/>
        </w:rPr>
        <w:t>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type w:val="continuous"/>
        </w:sectPr>
      </w:pPr>
    </w:p>
    <w:bookmarkStart w:id="675" w:name="page676"/>
    <w:bookmarkEnd w:id="675"/>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6" w:lineRule="auto"/>
        <w:rPr>
          <w:sz w:val="20"/>
          <w:szCs w:val="20"/>
          <w:color w:val="auto"/>
        </w:rPr>
      </w:pPr>
      <w:r>
        <w:rPr>
          <w:rFonts w:ascii="Arial" w:cs="Arial" w:eastAsia="Arial" w:hAnsi="Arial"/>
          <w:sz w:val="16"/>
          <w:szCs w:val="16"/>
          <w:b w:val="1"/>
          <w:bCs w:val="1"/>
          <w:color w:val="auto"/>
        </w:rPr>
        <w:t>9.5 Assignment</w:t>
      </w:r>
      <w:r>
        <w:rPr>
          <w:rFonts w:ascii="Arial" w:cs="Arial" w:eastAsia="Arial" w:hAnsi="Arial"/>
          <w:sz w:val="16"/>
          <w:szCs w:val="16"/>
          <w:color w:val="auto"/>
        </w:rPr>
        <w:t>. Neither Party may assign or transfer this Agreement or any rights or obligations hereunder without the prior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except that: (i) a Party may make such an assignment without the other Party’s consent to Affiliates or to a successor to substantially all of the business of such Party to which this Agreement relates (whether by merger, sale of stock, sale of assets or other transaction) (the “</w:t>
      </w:r>
      <w:r>
        <w:rPr>
          <w:rFonts w:ascii="Arial" w:cs="Arial" w:eastAsia="Arial" w:hAnsi="Arial"/>
          <w:sz w:val="16"/>
          <w:szCs w:val="16"/>
          <w:b w:val="1"/>
          <w:bCs w:val="1"/>
          <w:color w:val="auto"/>
        </w:rPr>
        <w:t>Acquisition</w:t>
      </w:r>
      <w:r>
        <w:rPr>
          <w:rFonts w:ascii="Arial" w:cs="Arial" w:eastAsia="Arial" w:hAnsi="Arial"/>
          <w:sz w:val="16"/>
          <w:szCs w:val="16"/>
          <w:color w:val="auto"/>
        </w:rPr>
        <w:t>”) and (ii) Cypress may assign or transfer this Agreement or any rights or obligations hereunder after the Transfer Date to any of the Royalty Pharma entities identified on the signature page hereto, or to one of Royalty Pharma’s Affiliates, without the consent of BioLineRx. Any permitted successor or assignee of rights or obligations hereunder shall, in writing to the other Party, expressly assume performance of such rights or obligations. Any permitted assignment shall be binding on the successors of the assigning Party. Any assignment or attempted assignment by either Party in violation of the terms of this Section 10.5 shall be null, void and of no legal effect.</w:t>
      </w:r>
    </w:p>
    <w:p>
      <w:pPr>
        <w:spacing w:after="0" w:line="191"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9.6 Performance by Affiliates</w:t>
      </w:r>
      <w:r>
        <w:rPr>
          <w:rFonts w:ascii="Arial" w:cs="Arial" w:eastAsia="Arial" w:hAnsi="Arial"/>
          <w:sz w:val="17"/>
          <w:szCs w:val="17"/>
          <w:color w:val="auto"/>
        </w:rPr>
        <w:t>. Each Party may discharge any obligations and exercise any right hereunder through any of its Affiliates, and when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Affiliate is discharging such obligations or exercising such right, the terms and conditions of this Agreement applicable to such Party also shall be applicable to such Affiliate.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201"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9.7 Further Actions</w:t>
      </w:r>
      <w:r>
        <w:rPr>
          <w:rFonts w:ascii="Arial" w:cs="Arial" w:eastAsia="Arial" w:hAnsi="Arial"/>
          <w:sz w:val="17"/>
          <w:szCs w:val="17"/>
          <w:color w:val="auto"/>
        </w:rPr>
        <w:t>. Each Party agrees to execute, acknowledge and deliver such further instruments, and to do all such other acts,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appropriate in order to carry out the purposes and intent of this Agreement.</w:t>
      </w:r>
    </w:p>
    <w:p>
      <w:pPr>
        <w:spacing w:after="0" w:line="17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9.8 Severability</w:t>
      </w:r>
      <w:r>
        <w:rPr>
          <w:rFonts w:ascii="Arial" w:cs="Arial" w:eastAsia="Arial" w:hAnsi="Arial"/>
          <w:sz w:val="17"/>
          <w:szCs w:val="17"/>
          <w:color w:val="auto"/>
        </w:rPr>
        <w:t>. If any one or more of the provisions of this Agreement is held to be invalid or unenforceable by any court of competent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98"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9.9 No Waiver</w:t>
      </w:r>
      <w:r>
        <w:rPr>
          <w:rFonts w:ascii="Arial" w:cs="Arial" w:eastAsia="Arial" w:hAnsi="Arial"/>
          <w:sz w:val="17"/>
          <w:szCs w:val="17"/>
          <w:color w:val="auto"/>
        </w:rPr>
        <w:t>. Any delay in enforcing a Party’s rights under this Agreement or any waiver as to a particular default or other matter shall not constitute</w:t>
      </w:r>
      <w:r>
        <w:rPr>
          <w:rFonts w:ascii="Arial" w:cs="Arial" w:eastAsia="Arial" w:hAnsi="Arial"/>
          <w:sz w:val="17"/>
          <w:szCs w:val="17"/>
          <w:b w:val="1"/>
          <w:bCs w:val="1"/>
          <w:color w:val="auto"/>
        </w:rPr>
        <w:t xml:space="preserve"> </w:t>
      </w:r>
      <w:r>
        <w:rPr>
          <w:rFonts w:ascii="Arial" w:cs="Arial" w:eastAsia="Arial" w:hAnsi="Arial"/>
          <w:sz w:val="17"/>
          <w:szCs w:val="17"/>
          <w:color w:val="auto"/>
        </w:rPr>
        <w:t>a waiver of such Party’s rights to the future enforcement of its rights under this Agreement, except with respect to an express written and signed waiver relating to a particular matter for a particular period of time.</w:t>
      </w:r>
    </w:p>
    <w:p>
      <w:pPr>
        <w:spacing w:after="0" w:line="19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9.10 Independent Contractors</w:t>
      </w:r>
      <w:r>
        <w:rPr>
          <w:rFonts w:ascii="Arial" w:cs="Arial" w:eastAsia="Arial" w:hAnsi="Arial"/>
          <w:sz w:val="17"/>
          <w:szCs w:val="17"/>
          <w:color w:val="auto"/>
        </w:rPr>
        <w:t>. Each Party shall act solely as an independent contractor, and nothing in this Agreement shall be construed to give 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the power or authority to act for, bind, or commit the other Party in any way. Nothing herein shall be construed to create the relationship of partners, principal and agent, or joint-venture partners between the Parties.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76" w:name="page677"/>
    <w:bookmarkEnd w:id="676"/>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9.11 Third Party Beneficiaries. </w:t>
      </w:r>
      <w:r>
        <w:rPr>
          <w:rFonts w:ascii="Arial" w:cs="Arial" w:eastAsia="Arial" w:hAnsi="Arial"/>
          <w:sz w:val="17"/>
          <w:szCs w:val="17"/>
          <w:color w:val="auto"/>
        </w:rPr>
        <w:t>Except for rights and obligations specifically referred to herein that apply to Affiliates, sublicenses, licensees,</w:t>
      </w:r>
      <w:r>
        <w:rPr>
          <w:rFonts w:ascii="Arial" w:cs="Arial" w:eastAsia="Arial" w:hAnsi="Arial"/>
          <w:sz w:val="17"/>
          <w:szCs w:val="17"/>
          <w:b w:val="1"/>
          <w:bCs w:val="1"/>
          <w:color w:val="auto"/>
        </w:rPr>
        <w:t xml:space="preserve"> </w:t>
      </w:r>
      <w:r>
        <w:rPr>
          <w:rFonts w:ascii="Arial" w:cs="Arial" w:eastAsia="Arial" w:hAnsi="Arial"/>
          <w:sz w:val="17"/>
          <w:szCs w:val="17"/>
          <w:color w:val="auto"/>
        </w:rPr>
        <w:t>predecessors, successors, assigns, agents, officers, directors, shareholders, employees and representatives of the Parties, and except for the rights and obligations under Article 5 above that pertain to releases granted by and to the Royalty Pharma entities identified on the signature page hereto and their respective Affiliates and their predecessors, successors, assigns, agents, officers, directors, shareholders, employees and representatives, nothing in this Agreement is intended to confer on any Person other than BioLineRx or Cypress any rights or obligations under this Agreement. The Royalty Pharma entities identified on the signature page hereto and their Affiliates and their predecessors, successors, assigns, agents, officers, directors, shareholders, employees and representatives are intended Third Party beneficiaries to the releases granted in Article 5 of this Agreement.</w:t>
      </w:r>
    </w:p>
    <w:p>
      <w:pPr>
        <w:spacing w:after="0" w:line="201"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9.12 English Language. </w:t>
      </w:r>
      <w:r>
        <w:rPr>
          <w:rFonts w:ascii="Arial" w:cs="Arial" w:eastAsia="Arial" w:hAnsi="Arial"/>
          <w:sz w:val="16"/>
          <w:szCs w:val="16"/>
          <w:color w:val="auto"/>
        </w:rPr>
        <w:t>This Agreement was prepared in the English language, which language shall govern the interpretation of, and any dispute</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terms of this Agreement. To the extent this Agreement requires a Party to provide to the other Party Information, correspondence, notice or other documentation, such Party shall provide such Information, correspondence, notice or other documentation in the English language.</w:t>
      </w:r>
    </w:p>
    <w:p>
      <w:pPr>
        <w:spacing w:after="0" w:line="175"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9.13 Governing Law</w:t>
      </w:r>
      <w:r>
        <w:rPr>
          <w:rFonts w:ascii="Arial" w:cs="Arial" w:eastAsia="Arial" w:hAnsi="Arial"/>
          <w:sz w:val="17"/>
          <w:szCs w:val="17"/>
          <w:color w:val="auto"/>
        </w:rPr>
        <w:t>. This Agreement and all disputes arising out of or related to this Agreement or any breach hereof shall be governed by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under the laws of the State of New York, without giving effect to any choice of law principles that would require the application of the laws of a different state.</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9.14 Counterparts</w:t>
      </w:r>
      <w:r>
        <w:rPr>
          <w:rFonts w:ascii="Arial" w:cs="Arial" w:eastAsia="Arial" w:hAnsi="Arial"/>
          <w:sz w:val="17"/>
          <w:szCs w:val="17"/>
          <w:color w:val="auto"/>
        </w:rPr>
        <w:t>. This Agreement may be executed in one (1) or more counterparts by original or facsimile signature, each of which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an original, but all of which together shall constitute one and the same instrument.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77" w:name="page678"/>
    <w:bookmarkEnd w:id="677"/>
    <w:p>
      <w:pPr>
        <w:ind w:left="62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have executed this Agreement in duplicate originals by their duly authorized officers as of the Execution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gridSpan w:val="2"/>
          </w:tcPr>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IO</w:t>
            </w:r>
            <w:r>
              <w:rPr>
                <w:rFonts w:ascii="Arial" w:cs="Arial" w:eastAsia="Arial" w:hAnsi="Arial"/>
                <w:sz w:val="17"/>
                <w:szCs w:val="17"/>
                <w:b w:val="1"/>
                <w:bCs w:val="1"/>
                <w:color w:val="auto"/>
              </w:rPr>
              <w:t>L</w:t>
            </w:r>
            <w:r>
              <w:rPr>
                <w:rFonts w:ascii="Arial" w:cs="Arial" w:eastAsia="Arial" w:hAnsi="Arial"/>
                <w:sz w:val="11"/>
                <w:szCs w:val="11"/>
                <w:b w:val="1"/>
                <w:bCs w:val="1"/>
                <w:color w:val="auto"/>
              </w:rPr>
              <w:t>INE</w:t>
            </w:r>
            <w:r>
              <w:rPr>
                <w:rFonts w:ascii="Arial" w:cs="Arial" w:eastAsia="Arial" w:hAnsi="Arial"/>
                <w:sz w:val="17"/>
                <w:szCs w:val="17"/>
                <w:b w:val="1"/>
                <w:bCs w:val="1"/>
                <w:color w:val="auto"/>
              </w:rPr>
              <w:t>R</w:t>
            </w:r>
            <w:r>
              <w:rPr>
                <w:rFonts w:ascii="Arial" w:cs="Arial" w:eastAsia="Arial" w:hAnsi="Arial"/>
                <w:sz w:val="11"/>
                <w:szCs w:val="11"/>
                <w:b w:val="1"/>
                <w:bCs w:val="1"/>
                <w:color w:val="auto"/>
              </w:rPr>
              <w:t>X</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TD</w:t>
            </w:r>
            <w:r>
              <w:rPr>
                <w:rFonts w:ascii="Arial" w:cs="Arial" w:eastAsia="Arial" w:hAnsi="Arial"/>
                <w:sz w:val="17"/>
                <w:szCs w:val="17"/>
                <w:b w:val="1"/>
                <w:bCs w:val="1"/>
                <w:color w:val="auto"/>
              </w:rPr>
              <w:t>.</w:t>
            </w:r>
          </w:p>
        </w:tc>
        <w:tc>
          <w:tcPr>
            <w:tcW w:w="6280" w:type="dxa"/>
            <w:vAlign w:val="bottom"/>
            <w:gridSpan w:val="2"/>
          </w:tcPr>
          <w:p>
            <w:pPr>
              <w:ind w:left="116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YPRESS</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IOSCIENCE</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r>
      <w:tr>
        <w:trPr>
          <w:trHeight w:val="412"/>
        </w:trPr>
        <w:tc>
          <w:tcPr>
            <w:tcW w:w="5140" w:type="dxa"/>
            <w:vAlign w:val="bottom"/>
            <w:gridSpan w:val="2"/>
          </w:tcPr>
          <w:p>
            <w:pPr>
              <w:spacing w:after="0"/>
              <w:rPr>
                <w:sz w:val="20"/>
                <w:szCs w:val="20"/>
                <w:color w:val="auto"/>
              </w:rPr>
            </w:pPr>
            <w:r>
              <w:rPr>
                <w:rFonts w:ascii="Arial" w:cs="Arial" w:eastAsia="Arial" w:hAnsi="Arial"/>
                <w:sz w:val="17"/>
                <w:szCs w:val="17"/>
                <w:color w:val="auto"/>
              </w:rPr>
              <w:t>By: /s/ Kinneret Livnat-Savitsky</w:t>
            </w:r>
          </w:p>
        </w:tc>
        <w:tc>
          <w:tcPr>
            <w:tcW w:w="6280" w:type="dxa"/>
            <w:vAlign w:val="bottom"/>
            <w:gridSpan w:val="2"/>
          </w:tcPr>
          <w:p>
            <w:pPr>
              <w:ind w:left="1160"/>
              <w:spacing w:after="0"/>
              <w:rPr>
                <w:sz w:val="20"/>
                <w:szCs w:val="20"/>
                <w:color w:val="auto"/>
              </w:rPr>
            </w:pPr>
            <w:r>
              <w:rPr>
                <w:rFonts w:ascii="Arial" w:cs="Arial" w:eastAsia="Arial" w:hAnsi="Arial"/>
                <w:sz w:val="17"/>
                <w:szCs w:val="17"/>
                <w:color w:val="auto"/>
              </w:rPr>
              <w:t>By: /s/ Jeffrey Meckler</w:t>
            </w:r>
          </w:p>
        </w:tc>
      </w:tr>
      <w:tr>
        <w:trPr>
          <w:trHeight w:val="26"/>
        </w:trPr>
        <w:tc>
          <w:tcPr>
            <w:tcW w:w="360" w:type="dxa"/>
            <w:vAlign w:val="bottom"/>
          </w:tcPr>
          <w:p>
            <w:pPr>
              <w:spacing w:after="0"/>
              <w:rPr>
                <w:sz w:val="2"/>
                <w:szCs w:val="2"/>
                <w:color w:val="auto"/>
              </w:rPr>
            </w:pPr>
          </w:p>
        </w:tc>
        <w:tc>
          <w:tcPr>
            <w:tcW w:w="47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4780" w:type="dxa"/>
            <w:vAlign w:val="bottom"/>
            <w:shd w:val="clear" w:color="auto" w:fill="000000"/>
          </w:tcPr>
          <w:p>
            <w:pPr>
              <w:spacing w:after="0"/>
              <w:rPr>
                <w:sz w:val="2"/>
                <w:szCs w:val="2"/>
                <w:color w:val="auto"/>
              </w:rPr>
            </w:pPr>
          </w:p>
        </w:tc>
      </w:tr>
      <w:tr>
        <w:trPr>
          <w:trHeight w:val="410"/>
        </w:trPr>
        <w:tc>
          <w:tcPr>
            <w:tcW w:w="5140" w:type="dxa"/>
            <w:vAlign w:val="bottom"/>
            <w:gridSpan w:val="2"/>
          </w:tcPr>
          <w:p>
            <w:pPr>
              <w:spacing w:after="0"/>
              <w:rPr>
                <w:sz w:val="20"/>
                <w:szCs w:val="20"/>
                <w:color w:val="auto"/>
              </w:rPr>
            </w:pPr>
            <w:r>
              <w:rPr>
                <w:rFonts w:ascii="Arial" w:cs="Arial" w:eastAsia="Arial" w:hAnsi="Arial"/>
                <w:sz w:val="17"/>
                <w:szCs w:val="17"/>
                <w:color w:val="auto"/>
              </w:rPr>
              <w:t>Name: Kinneret Livnat-Savitsky, PhD</w:t>
            </w:r>
          </w:p>
        </w:tc>
        <w:tc>
          <w:tcPr>
            <w:tcW w:w="6280" w:type="dxa"/>
            <w:vAlign w:val="bottom"/>
            <w:gridSpan w:val="2"/>
          </w:tcPr>
          <w:p>
            <w:pPr>
              <w:ind w:left="1160"/>
              <w:spacing w:after="0"/>
              <w:rPr>
                <w:sz w:val="20"/>
                <w:szCs w:val="20"/>
                <w:color w:val="auto"/>
              </w:rPr>
            </w:pPr>
            <w:r>
              <w:rPr>
                <w:rFonts w:ascii="Arial" w:cs="Arial" w:eastAsia="Arial" w:hAnsi="Arial"/>
                <w:sz w:val="17"/>
                <w:szCs w:val="17"/>
                <w:color w:val="auto"/>
              </w:rPr>
              <w:t>Name: Jeffrey Meckler</w:t>
            </w:r>
          </w:p>
        </w:tc>
      </w:tr>
      <w:tr>
        <w:trPr>
          <w:trHeight w:val="412"/>
        </w:trPr>
        <w:tc>
          <w:tcPr>
            <w:tcW w:w="5140" w:type="dxa"/>
            <w:vAlign w:val="bottom"/>
            <w:gridSpan w:val="2"/>
          </w:tcPr>
          <w:p>
            <w:pPr>
              <w:spacing w:after="0"/>
              <w:rPr>
                <w:sz w:val="20"/>
                <w:szCs w:val="20"/>
                <w:color w:val="auto"/>
              </w:rPr>
            </w:pPr>
            <w:r>
              <w:rPr>
                <w:rFonts w:ascii="Arial" w:cs="Arial" w:eastAsia="Arial" w:hAnsi="Arial"/>
                <w:sz w:val="17"/>
                <w:szCs w:val="17"/>
                <w:color w:val="auto"/>
              </w:rPr>
              <w:t>Title: Chief Executive Officer</w:t>
            </w:r>
          </w:p>
        </w:tc>
        <w:tc>
          <w:tcPr>
            <w:tcW w:w="6280" w:type="dxa"/>
            <w:vAlign w:val="bottom"/>
            <w:gridSpan w:val="2"/>
          </w:tcPr>
          <w:p>
            <w:pPr>
              <w:ind w:left="1160"/>
              <w:spacing w:after="0"/>
              <w:rPr>
                <w:sz w:val="20"/>
                <w:szCs w:val="20"/>
                <w:color w:val="auto"/>
              </w:rPr>
            </w:pPr>
            <w:r>
              <w:rPr>
                <w:rFonts w:ascii="Arial" w:cs="Arial" w:eastAsia="Arial" w:hAnsi="Arial"/>
                <w:sz w:val="17"/>
                <w:szCs w:val="17"/>
                <w:color w:val="auto"/>
              </w:rPr>
              <w:t>Title: Chief Executive Officer</w:t>
            </w:r>
          </w:p>
        </w:tc>
      </w:tr>
    </w:tbl>
    <w:p>
      <w:pPr>
        <w:spacing w:after="0" w:line="215" w:lineRule="exact"/>
        <w:rPr>
          <w:sz w:val="20"/>
          <w:szCs w:val="20"/>
          <w:color w:val="auto"/>
        </w:rPr>
      </w:pPr>
    </w:p>
    <w:p>
      <w:pPr>
        <w:jc w:val="both"/>
        <w:ind w:firstLine="617"/>
        <w:spacing w:after="0" w:line="356" w:lineRule="auto"/>
        <w:rPr>
          <w:sz w:val="20"/>
          <w:szCs w:val="20"/>
          <w:color w:val="auto"/>
        </w:rPr>
      </w:pPr>
      <w:r>
        <w:rPr>
          <w:rFonts w:ascii="Arial" w:cs="Arial" w:eastAsia="Arial" w:hAnsi="Arial"/>
          <w:sz w:val="15"/>
          <w:szCs w:val="15"/>
          <w:b w:val="1"/>
          <w:bCs w:val="1"/>
          <w:color w:val="auto"/>
        </w:rPr>
        <w:t xml:space="preserve">Acknowledged and agreed </w:t>
      </w:r>
      <w:r>
        <w:rPr>
          <w:rFonts w:ascii="Arial" w:cs="Arial" w:eastAsia="Arial" w:hAnsi="Arial"/>
          <w:sz w:val="15"/>
          <w:szCs w:val="15"/>
          <w:b w:val="1"/>
          <w:bCs w:val="1"/>
          <w:i w:val="1"/>
          <w:iCs w:val="1"/>
          <w:color w:val="auto"/>
        </w:rPr>
        <w:t>solely</w:t>
      </w:r>
      <w:r>
        <w:rPr>
          <w:rFonts w:ascii="Arial" w:cs="Arial" w:eastAsia="Arial" w:hAnsi="Arial"/>
          <w:sz w:val="15"/>
          <w:szCs w:val="15"/>
          <w:b w:val="1"/>
          <w:bCs w:val="1"/>
          <w:color w:val="auto"/>
        </w:rPr>
        <w:t xml:space="preserve"> as to the rights and obligations pertaining to the following Royalty Pharma entities and their respective Affiliates and their respective predecessors, successors, assigns, agents, officers, directors, shareholders, employees and representatives under Article 5:</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ROYALTY PHARMA US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PHARMACEUTICAL INVESTORS, LP, its general partner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Pharma Management, LLC, its general partner</w:t>
      </w:r>
    </w:p>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14605</wp:posOffset>
            </wp:positionV>
            <wp:extent cx="2964815" cy="1651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2964815" cy="1651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Pablo Legorreta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Managing Member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ROYALTY PHARMA US PARTNERS 2008,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PHARMACEUTICAL INVESTORS, LP, its general partner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Pharma Management, LLC, its general partner</w:t>
      </w:r>
    </w:p>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14605</wp:posOffset>
            </wp:positionV>
            <wp:extent cx="2964815" cy="1651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964815" cy="1651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Pablo Legorreta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Managing Member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ROYALTY PHARMA CAYMAN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PHARMACEUTICAL INVESTORS, LP, its general partner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Pharma Management, LLC, its general partner</w:t>
      </w:r>
    </w:p>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14605</wp:posOffset>
            </wp:positionV>
            <wp:extent cx="2964815" cy="1651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964815" cy="1651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Pablo Legorreta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78" w:name="page679"/>
    <w:bookmarkEnd w:id="678"/>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ROYALTY PHARMA CAYMAN PARTNERS 2008,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PHARMACEUTICAL INVESTORS, LP, its general partner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Pharma Management, LLC, its general partner</w:t>
      </w:r>
    </w:p>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14605</wp:posOffset>
            </wp:positionV>
            <wp:extent cx="2964815" cy="1651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964815" cy="1651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Pablo Legorreta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Managing Member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ROYALTY PHARMA CAYMAN HOLDINGS,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PHARMA MANAGEMENT (CAYMAN) LTD., its general partner</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14605</wp:posOffset>
            </wp:positionV>
            <wp:extent cx="2964815" cy="1651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964815" cy="1651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Pablo Legorreta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Managing Member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ROYALTY PHARMA CAYMAN HOLDINGS 2008,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PHARMA MANAGEMENT (CAYMAN) LTD., its general partner</w:t>
      </w:r>
    </w:p>
    <w:p>
      <w:pPr>
        <w:spacing w:after="0" w:line="23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/s/ Pablo Legorreta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981325" cy="1651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981325" cy="1651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Pablo Legorreta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9" w:name="page680"/>
    <w:bookmarkEnd w:id="67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00" w:lineRule="exact"/>
        <w:rPr>
          <w:sz w:val="20"/>
          <w:szCs w:val="20"/>
          <w:color w:val="auto"/>
        </w:rPr>
      </w:pP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Exhibit A</w:t>
      </w:r>
    </w:p>
    <w:p>
      <w:pPr>
        <w:spacing w:after="0" w:line="242"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Chemical Structure of BL-1020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1543685</wp:posOffset>
            </wp:positionV>
            <wp:extent cx="7257415" cy="209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165100</wp:posOffset>
            </wp:positionV>
            <wp:extent cx="2442210" cy="98806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442210" cy="988060"/>
                    </a:xfrm>
                    <a:prstGeom prst="rect">
                      <a:avLst/>
                    </a:prstGeom>
                    <a:noFill/>
                  </pic:spPr>
                </pic:pic>
              </a:graphicData>
            </a:graphic>
          </wp:anchor>
        </w:drawing>
      </w:r>
    </w:p>
    <w:p>
      <w:pPr>
        <w:sectPr>
          <w:pgSz w:w="11900" w:h="16838" w:orient="portrait"/>
          <w:cols w:equalWidth="0" w:num="1">
            <w:col w:w="10220"/>
          </w:cols>
          <w:pgMar w:left="1440" w:top="501" w:right="239" w:bottom="1440" w:gutter="0" w:footer="0" w:header="0"/>
        </w:sectPr>
      </w:pPr>
    </w:p>
    <w:bookmarkStart w:id="680" w:name="page681"/>
    <w:bookmarkEnd w:id="680"/>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BiolineRx Letterhead</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4.23</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March 30, 2011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Mr. Nir Gamliel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16 Treworthy Road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North Potomac, MD 20878</w:t>
      </w:r>
    </w:p>
    <w:p>
      <w:pPr>
        <w:spacing w:after="0" w:line="23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Mutual Agreement Regarding Termination Terms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Dear Nir:</w:t>
      </w:r>
    </w:p>
    <w:p>
      <w:pPr>
        <w:spacing w:after="0" w:line="24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Following the notice of termination of your employment, delivered to you by BioLineRx USA Inc. (“the Company”) on January 13, 2011 in accordance with section 3.1 of your employment agreement dated as of January 2, 2008 (“the “Employment Agreement”), this letter sets forth the terms and conditions that were mutually agreed upon between the Company and you regarding the termination, in addition to the termination terms provided in the Employment Agreement (the “Additional Terms”).</w:t>
      </w:r>
    </w:p>
    <w:p>
      <w:pPr>
        <w:spacing w:after="0" w:line="204"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It is hereby clarified that the Company has agreed to the Additional Terms as a gesture of goodwill and beyond the letter of the law, and your entitlement for such terms is subject to your signature of confirmation at the end of this letter.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Following are the agreed-upon Additional Terms:</w:t>
      </w:r>
    </w:p>
    <w:p>
      <w:pPr>
        <w:spacing w:after="0" w:line="242" w:lineRule="exact"/>
        <w:rPr>
          <w:sz w:val="20"/>
          <w:szCs w:val="20"/>
          <w:color w:val="auto"/>
        </w:rPr>
      </w:pPr>
    </w:p>
    <w:p>
      <w:pPr>
        <w:ind w:left="620" w:right="340" w:hanging="617"/>
        <w:spacing w:after="0" w:line="278" w:lineRule="auto"/>
        <w:tabs>
          <w:tab w:leader="none" w:pos="620" w:val="left"/>
        </w:tabs>
        <w:numPr>
          <w:ilvl w:val="0"/>
          <w:numId w:val="610"/>
        </w:numPr>
        <w:rPr>
          <w:rFonts w:ascii="Arial" w:cs="Arial" w:eastAsia="Arial" w:hAnsi="Arial"/>
          <w:sz w:val="17"/>
          <w:szCs w:val="17"/>
          <w:color w:val="auto"/>
        </w:rPr>
      </w:pPr>
      <w:r>
        <w:rPr>
          <w:rFonts w:ascii="Arial" w:cs="Arial" w:eastAsia="Arial" w:hAnsi="Arial"/>
          <w:sz w:val="17"/>
          <w:szCs w:val="17"/>
          <w:color w:val="auto"/>
        </w:rPr>
        <w:t>The date of the termination of your employment with the Company shall be extended to July 13, 2011 (the “Termination Date”), subject to the following conditions:</w:t>
      </w:r>
    </w:p>
    <w:p>
      <w:pPr>
        <w:spacing w:after="0" w:line="190" w:lineRule="exact"/>
        <w:rPr>
          <w:rFonts w:ascii="Arial" w:cs="Arial" w:eastAsia="Arial" w:hAnsi="Arial"/>
          <w:sz w:val="17"/>
          <w:szCs w:val="17"/>
          <w:color w:val="auto"/>
        </w:rPr>
      </w:pPr>
    </w:p>
    <w:p>
      <w:pPr>
        <w:ind w:left="1240" w:right="160" w:hanging="617"/>
        <w:spacing w:after="0" w:line="278" w:lineRule="auto"/>
        <w:rPr>
          <w:rFonts w:ascii="Arial" w:cs="Arial" w:eastAsia="Arial" w:hAnsi="Arial"/>
          <w:sz w:val="17"/>
          <w:szCs w:val="17"/>
          <w:color w:val="auto"/>
        </w:rPr>
      </w:pPr>
      <w:r>
        <w:rPr>
          <w:rFonts w:ascii="Arial" w:cs="Arial" w:eastAsia="Arial" w:hAnsi="Arial"/>
          <w:sz w:val="17"/>
          <w:szCs w:val="17"/>
          <w:color w:val="auto"/>
        </w:rPr>
        <w:t>1.1In the period of time from the execution of this agreement and until the Termination Date, only the following terms of the Employment agreement shall remain in effect:</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use of the term Base Salary shall mean the Base Salary that you have been receiving as of January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681" w:name="page682"/>
    <w:bookmarkEnd w:id="681"/>
    <w:p>
      <w:pPr>
        <w:ind w:left="40"/>
        <w:spacing w:after="0"/>
        <w:tabs>
          <w:tab w:leader="none" w:pos="64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Section 2.1 - Base Salary</w:t>
      </w:r>
    </w:p>
    <w:p>
      <w:pPr>
        <w:spacing w:after="0" w:line="242"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In addition, through the Termination Date you shall be entitled to keep using the Israeli mobile phone and laptop computer provided to you by the Company, under the same terms as previously provided. Upon the Termination Date and subject to the fulfillment of all your obligations as set hereunder, the ownership of the Israeli mobile phone and laptop computer shall be transferred to you.</w:t>
      </w:r>
    </w:p>
    <w:p>
      <w:pPr>
        <w:spacing w:after="0" w:line="184" w:lineRule="exact"/>
        <w:rPr>
          <w:sz w:val="20"/>
          <w:szCs w:val="20"/>
          <w:color w:val="auto"/>
        </w:rPr>
      </w:pPr>
    </w:p>
    <w:p>
      <w:pPr>
        <w:ind w:left="660" w:right="40" w:hanging="616"/>
        <w:spacing w:after="0" w:line="278" w:lineRule="auto"/>
        <w:tabs>
          <w:tab w:leader="none" w:pos="6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Sections 2.4 and 2.5 - Benefits and Expenses, provided that the amounts will not be significantly greater than the average amounts paid by the Company during your previous employment period.</w:t>
      </w:r>
    </w:p>
    <w:p>
      <w:pPr>
        <w:spacing w:after="0" w:line="190"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Sections 3.2 and 3.4 - Termination for Cause and Voluntary Termination.</w:t>
      </w:r>
    </w:p>
    <w:p>
      <w:pPr>
        <w:spacing w:after="0" w:line="24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color w:val="auto"/>
        </w:rPr>
        <w:t>Return of Property under section 4.1.</w:t>
      </w:r>
    </w:p>
    <w:p>
      <w:pPr>
        <w:spacing w:after="0" w:line="24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5"/>
          <w:szCs w:val="15"/>
          <w:color w:val="auto"/>
        </w:rPr>
        <w:t>Cooperation under section 4.2.</w:t>
      </w:r>
    </w:p>
    <w:p>
      <w:pPr>
        <w:spacing w:after="0" w:line="242" w:lineRule="exact"/>
        <w:rPr>
          <w:sz w:val="20"/>
          <w:szCs w:val="20"/>
          <w:color w:val="auto"/>
        </w:rPr>
      </w:pPr>
    </w:p>
    <w:p>
      <w:pPr>
        <w:ind w:left="660" w:right="60" w:hanging="616"/>
        <w:spacing w:after="0" w:line="347" w:lineRule="auto"/>
        <w:tabs>
          <w:tab w:leader="none" w:pos="64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5"/>
          <w:szCs w:val="15"/>
          <w:color w:val="auto"/>
        </w:rPr>
        <w:t>Sections 5.1 to 5.2 - your obligations regarding proprietary information, and non-disclosure. The Company waives your obligation regarding noncompetition, provided that in your future activities you shall refrain from any conflict of interests between you and BioLine.</w:t>
      </w:r>
    </w:p>
    <w:p>
      <w:pPr>
        <w:spacing w:after="0" w:line="144"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5"/>
          <w:szCs w:val="15"/>
          <w:color w:val="auto"/>
        </w:rPr>
        <w:t>The provisions regarding arbitration, amendments waivers and remedies, section 9.1 to 9.2 assignment and binding effect.</w:t>
      </w:r>
    </w:p>
    <w:p>
      <w:pPr>
        <w:spacing w:after="0" w:line="24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5"/>
          <w:szCs w:val="15"/>
          <w:color w:val="auto"/>
        </w:rPr>
        <w:t>Notices shall be effective by electronic transmission, fax or hand delivery.</w:t>
      </w:r>
    </w:p>
    <w:p>
      <w:pPr>
        <w:spacing w:after="0" w:line="242" w:lineRule="exact"/>
        <w:rPr>
          <w:sz w:val="20"/>
          <w:szCs w:val="20"/>
          <w:color w:val="auto"/>
        </w:rPr>
      </w:pPr>
    </w:p>
    <w:p>
      <w:pPr>
        <w:ind w:left="660" w:right="480" w:hanging="616"/>
        <w:spacing w:after="0" w:line="278" w:lineRule="auto"/>
        <w:tabs>
          <w:tab w:leader="none" w:pos="64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color w:val="auto"/>
        </w:rPr>
        <w:t>You shall be entitled to exercise all or part of your vested options through the Termination Date and/or within ninety (90) days from Termination Date.</w:t>
      </w:r>
    </w:p>
    <w:p>
      <w:pPr>
        <w:spacing w:after="0" w:line="190" w:lineRule="exact"/>
        <w:rPr>
          <w:sz w:val="20"/>
          <w:szCs w:val="20"/>
          <w:color w:val="auto"/>
        </w:rPr>
      </w:pPr>
    </w:p>
    <w:p>
      <w:pPr>
        <w:jc w:val="both"/>
        <w:ind w:left="660" w:right="300" w:hanging="616"/>
        <w:spacing w:after="0" w:line="265" w:lineRule="auto"/>
        <w:tabs>
          <w:tab w:leader="none" w:pos="640" w:val="left"/>
        </w:tabs>
        <w:rPr>
          <w:sz w:val="20"/>
          <w:szCs w:val="20"/>
          <w:color w:val="auto"/>
        </w:rPr>
      </w:pPr>
      <w:r>
        <w:rPr>
          <w:rFonts w:ascii="Arial" w:cs="Arial" w:eastAsia="Arial" w:hAnsi="Arial"/>
          <w:sz w:val="17"/>
          <w:szCs w:val="17"/>
          <w:color w:val="auto"/>
        </w:rPr>
        <w:t>1.1.10</w:t>
        <w:tab/>
        <w:t>The entitlement for Severance Pay as set in section 3.3 of the Employment Agreement shall not be applicable. It is hereby agreed that within 30 days from the Termination Date, and subject to the fulfillment of your obligations in accordance with section 1.1 above, you shall be entitled to receive Severance Pay in the amount equal to a Base Salary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378460</wp:posOffset>
            </wp:positionV>
            <wp:extent cx="7257415" cy="209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180"/>
          </w:cols>
          <w:pgMar w:left="1440" w:top="501" w:right="279" w:bottom="1440" w:gutter="0" w:footer="0" w:header="0"/>
        </w:sectPr>
      </w:pPr>
    </w:p>
    <w:bookmarkStart w:id="682" w:name="page683"/>
    <w:bookmarkEnd w:id="682"/>
    <w:p>
      <w:pPr>
        <w:ind w:left="1857" w:right="40" w:hanging="616"/>
        <w:spacing w:after="0" w:line="257" w:lineRule="auto"/>
        <w:tabs>
          <w:tab w:leader="none" w:pos="1837" w:val="left"/>
        </w:tabs>
        <w:rPr>
          <w:sz w:val="20"/>
          <w:szCs w:val="20"/>
          <w:color w:val="auto"/>
        </w:rPr>
      </w:pPr>
      <w:r>
        <w:rPr>
          <w:rFonts w:ascii="Arial" w:cs="Arial" w:eastAsia="Arial" w:hAnsi="Arial"/>
          <w:sz w:val="17"/>
          <w:szCs w:val="17"/>
          <w:color w:val="auto"/>
        </w:rPr>
        <w:t>1.1.11</w:t>
        <w:tab/>
        <w:t xml:space="preserve">The Deal Bonus entitlement in connection with termination, as set forth in section 3.1 of the Employment Agreement, shall not be applicable. It is hereby agreed that in the event that within one (1) year from the date of this letter of agreement, a Deal is signed, as such term is defined from time to time be the Company’s Board of Directors, in connection with the project BL-5010 or BL-6030 with one of the companies specified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of this agreement, you shall be entitled to receive: (a) in connection with the BL-5010 project - a Bonus equal to 35% (thirty five percent) of the Base Salary; (b) in connection with the BL-6030 project - a Bonus equal to 17.5% (seventeen and a half percent) of the Base Salary, payable within 30 days following the relevant Deal and subject to the fulfillment of your obligations in accordance with section 1.1.</w:t>
      </w:r>
    </w:p>
    <w:p>
      <w:pPr>
        <w:spacing w:after="0" w:line="207" w:lineRule="exact"/>
        <w:rPr>
          <w:sz w:val="20"/>
          <w:szCs w:val="20"/>
          <w:color w:val="auto"/>
        </w:rPr>
      </w:pPr>
    </w:p>
    <w:p>
      <w:pPr>
        <w:ind w:left="1857" w:right="20"/>
        <w:spacing w:after="0" w:line="306" w:lineRule="auto"/>
        <w:rPr>
          <w:sz w:val="20"/>
          <w:szCs w:val="20"/>
          <w:color w:val="auto"/>
        </w:rPr>
      </w:pPr>
      <w:r>
        <w:rPr>
          <w:rFonts w:ascii="Arial" w:cs="Arial" w:eastAsia="Arial" w:hAnsi="Arial"/>
          <w:sz w:val="15"/>
          <w:szCs w:val="15"/>
          <w:color w:val="auto"/>
        </w:rPr>
        <w:t>For the avoidance of doubt it is hereby clarified that, for purposes of the Deal Bonus set forth above, you shall only be entitled to approach the companies listed in Appendix A through the Termination Date. Any approach to a person or entity other than the companies listed in Appendix A and/or any approach to any person or entity (including those listed in Appendix A) after the Termination Date, in connection with any of 3 the Company’s projects, shall be subject to the prior written approval of the Company’s CEO.</w:t>
      </w:r>
    </w:p>
    <w:p>
      <w:pPr>
        <w:spacing w:after="0" w:line="175" w:lineRule="exact"/>
        <w:rPr>
          <w:sz w:val="20"/>
          <w:szCs w:val="20"/>
          <w:color w:val="auto"/>
        </w:rPr>
      </w:pPr>
    </w:p>
    <w:p>
      <w:pPr>
        <w:ind w:left="1237" w:hanging="616"/>
        <w:spacing w:after="0" w:line="265" w:lineRule="auto"/>
        <w:tabs>
          <w:tab w:leader="none" w:pos="1217"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During the period from March 2011 to July 2011, you shall be entitled to travel to Israel twice at the Company’s expense and in accordance with the applicable Company’s travel rules and procedures, provided that the dates and details of your travel shall be approved in writing and in advance by the Company’s CEO.</w:t>
      </w:r>
    </w:p>
    <w:p>
      <w:pPr>
        <w:spacing w:after="0" w:line="201" w:lineRule="exact"/>
        <w:rPr>
          <w:sz w:val="20"/>
          <w:szCs w:val="20"/>
          <w:color w:val="auto"/>
        </w:rPr>
      </w:pPr>
    </w:p>
    <w:p>
      <w:pPr>
        <w:ind w:left="617" w:right="20" w:hanging="617"/>
        <w:spacing w:after="0" w:line="296" w:lineRule="auto"/>
        <w:tabs>
          <w:tab w:leader="none" w:pos="617" w:val="left"/>
        </w:tabs>
        <w:numPr>
          <w:ilvl w:val="0"/>
          <w:numId w:val="611"/>
        </w:numPr>
        <w:rPr>
          <w:rFonts w:ascii="Arial" w:cs="Arial" w:eastAsia="Arial" w:hAnsi="Arial"/>
          <w:sz w:val="15"/>
          <w:szCs w:val="15"/>
          <w:color w:val="auto"/>
        </w:rPr>
      </w:pPr>
      <w:r>
        <w:rPr>
          <w:rFonts w:ascii="Arial" w:cs="Arial" w:eastAsia="Arial" w:hAnsi="Arial"/>
          <w:sz w:val="15"/>
          <w:szCs w:val="15"/>
          <w:color w:val="auto"/>
        </w:rPr>
        <w:t>You hereby warrant and undertake that, other than the satisfactory fulfillment of the abovementioned paragraphs and satisfaction of all payments described herein, neither you, nor anyone on your behalf, has, nor shall have: any claims, demands and/or causes of action against the Company and/or its affiliates, its assigns, agents, officers, directors, shareholders and/or affiliates, concerning your employment by the Company and/or the termination of such employment, including, without limitation, any and all claims, demands and/or causes of action in connection with severance pay, social or pension payments or deductions, salaries or wages of any kind, stock options, any advanced notice or pay in lieu thereof, overtime payment, payment for work on the weekly day of rest or during holidays, any and all reimbursements or refunds for expenses of any kind, including, without limitation, for travel, recreation pay, vacation pay or redemption of such, sick pay or payment for sick days not utilized, any payment and/or social benefit of any kind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257415" cy="209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97"/>
          </w:cols>
          <w:pgMar w:left="243" w:top="500" w:right="259" w:bottom="1440" w:gutter="0" w:footer="0" w:header="0"/>
        </w:sectPr>
      </w:pPr>
    </w:p>
    <w:bookmarkStart w:id="683" w:name="page684"/>
    <w:bookmarkEnd w:id="683"/>
    <w:p>
      <w:pPr>
        <w:spacing w:after="0"/>
        <w:rPr>
          <w:sz w:val="20"/>
          <w:szCs w:val="20"/>
          <w:color w:val="auto"/>
        </w:rPr>
      </w:pPr>
      <w:r>
        <w:rPr>
          <w:rFonts w:ascii="Arial" w:cs="Arial" w:eastAsia="Arial" w:hAnsi="Arial"/>
          <w:sz w:val="17"/>
          <w:szCs w:val="17"/>
          <w:b w:val="1"/>
          <w:bCs w:val="1"/>
          <w:color w:val="auto"/>
        </w:rPr>
        <w:t>BioLineRx USA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44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March 30, 2011</w:t>
            </w:r>
          </w:p>
        </w:tc>
      </w:tr>
      <w:tr>
        <w:trPr>
          <w:trHeight w:val="417"/>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4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Kinneret Savitsky</w:t>
            </w:r>
          </w:p>
        </w:tc>
      </w:tr>
      <w:tr>
        <w:trPr>
          <w:trHeight w:val="417"/>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4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CEO</w:t>
            </w:r>
          </w:p>
        </w:tc>
      </w:tr>
    </w:tbl>
    <w:p>
      <w:pPr>
        <w:spacing w:after="0" w:line="219"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I hereby declare that I have carefully read this statement and understood its content and have received appropriate legal advice, and I agree and accept its terms and conditions and undertake to comply with all of the undertakings included therein.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8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/s/ Nir Gamliel</w:t>
            </w:r>
          </w:p>
        </w:tc>
        <w:tc>
          <w:tcPr>
            <w:tcW w:w="6280" w:type="dxa"/>
            <w:vAlign w:val="bottom"/>
          </w:tcPr>
          <w:p>
            <w:pPr>
              <w:spacing w:after="0"/>
              <w:rPr>
                <w:sz w:val="19"/>
                <w:szCs w:val="19"/>
                <w:color w:val="auto"/>
              </w:rPr>
            </w:pPr>
          </w:p>
        </w:tc>
      </w:tr>
      <w:tr>
        <w:trPr>
          <w:trHeight w:val="443"/>
        </w:trPr>
        <w:tc>
          <w:tcPr>
            <w:tcW w:w="660" w:type="dxa"/>
            <w:vAlign w:val="bottom"/>
          </w:tcPr>
          <w:p>
            <w:pPr>
              <w:spacing w:after="0"/>
              <w:rPr>
                <w:sz w:val="20"/>
                <w:szCs w:val="20"/>
                <w:color w:val="auto"/>
              </w:rPr>
            </w:pPr>
            <w:r>
              <w:rPr>
                <w:rFonts w:ascii="Arial" w:cs="Arial" w:eastAsia="Arial" w:hAnsi="Arial"/>
                <w:sz w:val="17"/>
                <w:szCs w:val="17"/>
                <w:color w:val="auto"/>
              </w:rPr>
              <w:t>Date:</w:t>
            </w:r>
          </w:p>
        </w:tc>
        <w:tc>
          <w:tcPr>
            <w:tcW w:w="4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March 30, 2011</w:t>
            </w:r>
          </w:p>
        </w:tc>
        <w:tc>
          <w:tcPr>
            <w:tcW w:w="6280" w:type="dxa"/>
            <w:vAlign w:val="bottom"/>
          </w:tcPr>
          <w:p>
            <w:pPr>
              <w:spacing w:after="0"/>
              <w:rPr>
                <w:sz w:val="24"/>
                <w:szCs w:val="24"/>
                <w:color w:val="auto"/>
              </w:rPr>
            </w:pPr>
          </w:p>
        </w:tc>
      </w:tr>
      <w:tr>
        <w:trPr>
          <w:trHeight w:val="443"/>
        </w:trPr>
        <w:tc>
          <w:tcPr>
            <w:tcW w:w="1900" w:type="dxa"/>
            <w:vAlign w:val="bottom"/>
            <w:gridSpan w:val="4"/>
          </w:tcPr>
          <w:p>
            <w:pPr>
              <w:spacing w:after="0"/>
              <w:rPr>
                <w:sz w:val="20"/>
                <w:szCs w:val="20"/>
                <w:color w:val="auto"/>
              </w:rPr>
            </w:pPr>
            <w:r>
              <w:rPr>
                <w:rFonts w:ascii="Arial" w:cs="Arial" w:eastAsia="Arial" w:hAnsi="Arial"/>
                <w:sz w:val="17"/>
                <w:szCs w:val="17"/>
                <w:color w:val="auto"/>
              </w:rPr>
              <w:t>Employee’s name:</w:t>
            </w:r>
          </w:p>
        </w:tc>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Nir Gamliel</w:t>
            </w:r>
          </w:p>
        </w:tc>
        <w:tc>
          <w:tcPr>
            <w:tcW w:w="6280" w:type="dxa"/>
            <w:vAlign w:val="bottom"/>
          </w:tcPr>
          <w:p>
            <w:pPr>
              <w:spacing w:after="0"/>
              <w:rPr>
                <w:sz w:val="24"/>
                <w:szCs w:val="24"/>
                <w:color w:val="auto"/>
              </w:rPr>
            </w:pPr>
          </w:p>
        </w:tc>
      </w:tr>
      <w:tr>
        <w:trPr>
          <w:trHeight w:val="443"/>
        </w:trPr>
        <w:tc>
          <w:tcPr>
            <w:tcW w:w="1080" w:type="dxa"/>
            <w:vAlign w:val="bottom"/>
            <w:gridSpan w:val="2"/>
          </w:tcPr>
          <w:p>
            <w:pPr>
              <w:spacing w:after="0"/>
              <w:rPr>
                <w:sz w:val="20"/>
                <w:szCs w:val="20"/>
                <w:color w:val="auto"/>
              </w:rPr>
            </w:pPr>
            <w:r>
              <w:rPr>
                <w:rFonts w:ascii="Arial" w:cs="Arial" w:eastAsia="Arial" w:hAnsi="Arial"/>
                <w:sz w:val="17"/>
                <w:szCs w:val="17"/>
                <w:color w:val="auto"/>
              </w:rPr>
              <w:t>ID number:</w:t>
            </w: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280" w:type="dxa"/>
            <w:vAlign w:val="bottom"/>
          </w:tcPr>
          <w:p>
            <w:pPr>
              <w:spacing w:after="0"/>
              <w:rPr>
                <w:sz w:val="24"/>
                <w:szCs w:val="24"/>
                <w:color w:val="auto"/>
              </w:rPr>
            </w:pPr>
          </w:p>
        </w:tc>
      </w:tr>
      <w:tr>
        <w:trPr>
          <w:trHeight w:val="601"/>
        </w:trPr>
        <w:tc>
          <w:tcPr>
            <w:tcW w:w="6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84" w:name="page685"/>
    <w:bookmarkEnd w:id="684"/>
    <w:p>
      <w:pPr>
        <w:jc w:val="center"/>
        <w:ind w:right="-1217"/>
        <w:spacing w:after="0"/>
        <w:rPr>
          <w:sz w:val="20"/>
          <w:szCs w:val="20"/>
          <w:color w:val="auto"/>
        </w:rPr>
      </w:pPr>
      <w:r>
        <w:rPr>
          <w:rFonts w:ascii="Arial" w:cs="Arial" w:eastAsia="Arial" w:hAnsi="Arial"/>
          <w:sz w:val="17"/>
          <w:szCs w:val="17"/>
          <w:b w:val="1"/>
          <w:bCs w:val="1"/>
          <w:color w:val="auto"/>
        </w:rPr>
        <w:t>Appendix A – List of Companies</w:t>
      </w:r>
    </w:p>
    <w:p>
      <w:pPr>
        <w:spacing w:after="0" w:line="239" w:lineRule="exact"/>
        <w:rPr>
          <w:sz w:val="20"/>
          <w:szCs w:val="20"/>
          <w:color w:val="auto"/>
        </w:rPr>
      </w:pPr>
    </w:p>
    <w:p>
      <w:pPr>
        <w:ind w:left="5497"/>
        <w:spacing w:after="0"/>
        <w:rPr>
          <w:sz w:val="20"/>
          <w:szCs w:val="20"/>
          <w:color w:val="auto"/>
        </w:rPr>
      </w:pPr>
      <w:r>
        <w:rPr>
          <w:rFonts w:ascii="Arial" w:cs="Arial" w:eastAsia="Arial" w:hAnsi="Arial"/>
          <w:sz w:val="21"/>
          <w:szCs w:val="21"/>
          <w:color w:val="auto"/>
        </w:rPr>
        <w:t>[***]</w:t>
      </w:r>
    </w:p>
    <w:p>
      <w:pPr>
        <w:spacing w:after="0" w:line="224" w:lineRule="exact"/>
        <w:rPr>
          <w:sz w:val="20"/>
          <w:szCs w:val="20"/>
          <w:color w:val="auto"/>
        </w:rPr>
      </w:pPr>
    </w:p>
    <w:p>
      <w:pPr>
        <w:ind w:left="617" w:hanging="617"/>
        <w:spacing w:after="0"/>
        <w:tabs>
          <w:tab w:leader="none" w:pos="617" w:val="left"/>
        </w:tabs>
        <w:numPr>
          <w:ilvl w:val="0"/>
          <w:numId w:val="612"/>
        </w:numPr>
        <w:rPr>
          <w:rFonts w:ascii="Arial" w:cs="Arial" w:eastAsia="Arial" w:hAnsi="Arial"/>
          <w:sz w:val="15"/>
          <w:szCs w:val="15"/>
          <w:b w:val="1"/>
          <w:bCs w:val="1"/>
          <w:color w:val="auto"/>
        </w:rPr>
      </w:pPr>
      <w:r>
        <w:rPr>
          <w:rFonts w:ascii="Arial" w:cs="Arial" w:eastAsia="Arial" w:hAnsi="Arial"/>
          <w:sz w:val="15"/>
          <w:szCs w:val="15"/>
          <w:b w:val="1"/>
          <w:bCs w:val="1"/>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422910</wp:posOffset>
            </wp:positionV>
            <wp:extent cx="7257415" cy="209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6"/>
          </w:cols>
          <w:pgMar w:left="243" w:top="468" w:right="1440" w:bottom="1440" w:gutter="0" w:footer="0" w:header="0"/>
        </w:sectPr>
      </w:pPr>
    </w:p>
    <w:bookmarkStart w:id="685" w:name="page686"/>
    <w:bookmarkEnd w:id="685"/>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4.24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 AGREEMENT</w:t>
      </w:r>
    </w:p>
    <w:p>
      <w:pPr>
        <w:spacing w:after="0" w:line="242"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w:t>
      </w:r>
      <w:r>
        <w:rPr>
          <w:rFonts w:ascii="Arial" w:cs="Arial" w:eastAsia="Arial" w:hAnsi="Arial"/>
          <w:sz w:val="11"/>
          <w:szCs w:val="11"/>
          <w:b w:val="1"/>
          <w:bCs w:val="1"/>
          <w:color w:val="auto"/>
        </w:rPr>
        <w:t>ICENSE</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entered into on June 20, 2010 (the </w:t>
      </w:r>
      <w:r>
        <w:rPr>
          <w:rFonts w:ascii="Arial" w:cs="Arial" w:eastAsia="Arial" w:hAnsi="Arial"/>
          <w:sz w:val="17"/>
          <w:szCs w:val="17"/>
          <w:b w:val="1"/>
          <w:bCs w:val="1"/>
          <w:color w:val="auto"/>
        </w:rPr>
        <w:t>“Execution Date”</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C</w:t>
      </w:r>
      <w:r>
        <w:rPr>
          <w:rFonts w:ascii="Arial" w:cs="Arial" w:eastAsia="Arial" w:hAnsi="Arial"/>
          <w:sz w:val="11"/>
          <w:szCs w:val="11"/>
          <w:b w:val="1"/>
          <w:bCs w:val="1"/>
          <w:color w:val="auto"/>
        </w:rPr>
        <w:t>YPRESS</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1"/>
          <w:szCs w:val="11"/>
          <w:b w:val="1"/>
          <w:bCs w:val="1"/>
          <w:color w:val="auto"/>
        </w:rPr>
        <w:t>IOSCIENCE</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corporation organized and existing under the laws of the State of Delaware and having its principal place of business at 4350 Executive Drive, Suite 325, San Diego, CA 92121 (</w:t>
      </w:r>
      <w:r>
        <w:rPr>
          <w:rFonts w:ascii="Arial" w:cs="Arial" w:eastAsia="Arial" w:hAnsi="Arial"/>
          <w:sz w:val="17"/>
          <w:szCs w:val="17"/>
          <w:b w:val="1"/>
          <w:bCs w:val="1"/>
          <w:color w:val="auto"/>
        </w:rPr>
        <w:t>“Cypress”</w:t>
      </w:r>
      <w:r>
        <w:rPr>
          <w:rFonts w:ascii="Arial" w:cs="Arial" w:eastAsia="Arial" w:hAnsi="Arial"/>
          <w:sz w:val="17"/>
          <w:szCs w:val="17"/>
          <w:color w:val="auto"/>
        </w:rPr>
        <w:t xml:space="preserve">), and </w:t>
      </w:r>
      <w:r>
        <w:rPr>
          <w:rFonts w:ascii="Arial" w:cs="Arial" w:eastAsia="Arial" w:hAnsi="Arial"/>
          <w:sz w:val="17"/>
          <w:szCs w:val="17"/>
          <w:b w:val="1"/>
          <w:bCs w:val="1"/>
          <w:color w:val="auto"/>
        </w:rPr>
        <w:t>B</w:t>
      </w:r>
      <w:r>
        <w:rPr>
          <w:rFonts w:ascii="Arial" w:cs="Arial" w:eastAsia="Arial" w:hAnsi="Arial"/>
          <w:sz w:val="11"/>
          <w:szCs w:val="11"/>
          <w:b w:val="1"/>
          <w:bCs w:val="1"/>
          <w:color w:val="auto"/>
        </w:rPr>
        <w:t>IO</w:t>
      </w:r>
      <w:r>
        <w:rPr>
          <w:rFonts w:ascii="Arial" w:cs="Arial" w:eastAsia="Arial" w:hAnsi="Arial"/>
          <w:sz w:val="17"/>
          <w:szCs w:val="17"/>
          <w:b w:val="1"/>
          <w:bCs w:val="1"/>
          <w:color w:val="auto"/>
        </w:rPr>
        <w:t>L</w:t>
      </w:r>
      <w:r>
        <w:rPr>
          <w:rFonts w:ascii="Arial" w:cs="Arial" w:eastAsia="Arial" w:hAnsi="Arial"/>
          <w:sz w:val="11"/>
          <w:szCs w:val="11"/>
          <w:b w:val="1"/>
          <w:bCs w:val="1"/>
          <w:color w:val="auto"/>
        </w:rPr>
        <w:t>INE</w:t>
      </w:r>
      <w:r>
        <w:rPr>
          <w:rFonts w:ascii="Arial" w:cs="Arial" w:eastAsia="Arial" w:hAnsi="Arial"/>
          <w:sz w:val="17"/>
          <w:szCs w:val="17"/>
          <w:b w:val="1"/>
          <w:bCs w:val="1"/>
          <w:color w:val="auto"/>
        </w:rPr>
        <w:t>R</w:t>
      </w:r>
      <w:r>
        <w:rPr>
          <w:rFonts w:ascii="Arial" w:cs="Arial" w:eastAsia="Arial" w:hAnsi="Arial"/>
          <w:sz w:val="11"/>
          <w:szCs w:val="11"/>
          <w:b w:val="1"/>
          <w:bCs w:val="1"/>
          <w:color w:val="auto"/>
        </w:rPr>
        <w:t>X</w:t>
      </w:r>
      <w:r>
        <w:rPr>
          <w:rFonts w:ascii="Arial" w:cs="Arial" w:eastAsia="Arial" w:hAnsi="Arial"/>
          <w:sz w:val="17"/>
          <w:szCs w:val="17"/>
          <w:color w:val="auto"/>
        </w:rPr>
        <w:t xml:space="preserve"> </w:t>
      </w:r>
      <w:r>
        <w:rPr>
          <w:rFonts w:ascii="Arial" w:cs="Arial" w:eastAsia="Arial" w:hAnsi="Arial"/>
          <w:sz w:val="17"/>
          <w:szCs w:val="17"/>
          <w:b w:val="1"/>
          <w:bCs w:val="1"/>
          <w:color w:val="auto"/>
        </w:rPr>
        <w:t>L</w:t>
      </w:r>
      <w:r>
        <w:rPr>
          <w:rFonts w:ascii="Arial" w:cs="Arial" w:eastAsia="Arial" w:hAnsi="Arial"/>
          <w:sz w:val="11"/>
          <w:szCs w:val="11"/>
          <w:b w:val="1"/>
          <w:bCs w:val="1"/>
          <w:color w:val="auto"/>
        </w:rPr>
        <w:t>TD</w:t>
      </w:r>
      <w:r>
        <w:rPr>
          <w:rFonts w:ascii="Arial" w:cs="Arial" w:eastAsia="Arial" w:hAnsi="Arial"/>
          <w:sz w:val="17"/>
          <w:szCs w:val="17"/>
          <w:b w:val="1"/>
          <w:bCs w:val="1"/>
          <w:color w:val="auto"/>
        </w:rPr>
        <w:t>.</w:t>
      </w:r>
      <w:r>
        <w:rPr>
          <w:rFonts w:ascii="Arial" w:cs="Arial" w:eastAsia="Arial" w:hAnsi="Arial"/>
          <w:sz w:val="17"/>
          <w:szCs w:val="17"/>
          <w:color w:val="auto"/>
        </w:rPr>
        <w:t xml:space="preserve">, a corporation organized and existing under the laws of the State of Israel and having a principal place of business at 19 Hartum Street, P.O. Box 45158, Jerusalem 91450, Israel (collectively, </w:t>
      </w:r>
      <w:r>
        <w:rPr>
          <w:rFonts w:ascii="Arial" w:cs="Arial" w:eastAsia="Arial" w:hAnsi="Arial"/>
          <w:sz w:val="17"/>
          <w:szCs w:val="17"/>
          <w:b w:val="1"/>
          <w:bCs w:val="1"/>
          <w:color w:val="auto"/>
        </w:rPr>
        <w:t>“BioLineRx”</w:t>
      </w:r>
      <w:r>
        <w:rPr>
          <w:rFonts w:ascii="Arial" w:cs="Arial" w:eastAsia="Arial" w:hAnsi="Arial"/>
          <w:sz w:val="17"/>
          <w:szCs w:val="17"/>
          <w:color w:val="auto"/>
        </w:rPr>
        <w:t xml:space="preserve">). BioLineRx and Cypress are sometimes referred to herein individually as a </w:t>
      </w:r>
      <w:r>
        <w:rPr>
          <w:rFonts w:ascii="Arial" w:cs="Arial" w:eastAsia="Arial" w:hAnsi="Arial"/>
          <w:sz w:val="17"/>
          <w:szCs w:val="17"/>
          <w:b w:val="1"/>
          <w:bCs w:val="1"/>
          <w:color w:val="auto"/>
        </w:rPr>
        <w:t xml:space="preserve">“Party” </w:t>
      </w:r>
      <w:r>
        <w:rPr>
          <w:rFonts w:ascii="Arial" w:cs="Arial" w:eastAsia="Arial" w:hAnsi="Arial"/>
          <w:sz w:val="17"/>
          <w:szCs w:val="17"/>
          <w:color w:val="auto"/>
        </w:rPr>
        <w:t>and collectively as the</w:t>
      </w:r>
      <w:r>
        <w:rPr>
          <w:rFonts w:ascii="Arial" w:cs="Arial" w:eastAsia="Arial" w:hAnsi="Arial"/>
          <w:sz w:val="17"/>
          <w:szCs w:val="17"/>
          <w:b w:val="1"/>
          <w:bCs w:val="1"/>
          <w:color w:val="auto"/>
        </w:rPr>
        <w:t xml:space="preserve"> “Parties.”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BioLineRx is a clinical-stage biopharmaceutical company developing clinical and pre-clinical candidates for central nervous system diseases,</w:t>
      </w:r>
      <w:r>
        <w:rPr>
          <w:rFonts w:ascii="Arial" w:cs="Arial" w:eastAsia="Arial" w:hAnsi="Arial"/>
          <w:sz w:val="17"/>
          <w:szCs w:val="17"/>
          <w:b w:val="1"/>
          <w:bCs w:val="1"/>
          <w:color w:val="auto"/>
        </w:rPr>
        <w:t xml:space="preserve"> </w:t>
      </w:r>
      <w:r>
        <w:rPr>
          <w:rFonts w:ascii="Arial" w:cs="Arial" w:eastAsia="Arial" w:hAnsi="Arial"/>
          <w:sz w:val="17"/>
          <w:szCs w:val="17"/>
          <w:color w:val="auto"/>
        </w:rPr>
        <w:t>oncology, cardiovascular, auto-immune and metabolic diseases; and</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W</w:t>
      </w:r>
      <w:r>
        <w:rPr>
          <w:rFonts w:ascii="Arial" w:cs="Arial" w:eastAsia="Arial" w:hAnsi="Arial"/>
          <w:sz w:val="10"/>
          <w:szCs w:val="10"/>
          <w:b w:val="1"/>
          <w:bCs w:val="1"/>
          <w:color w:val="auto"/>
        </w:rPr>
        <w:t>HEREAS</w:t>
      </w:r>
      <w:r>
        <w:rPr>
          <w:rFonts w:ascii="Arial" w:cs="Arial" w:eastAsia="Arial" w:hAnsi="Arial"/>
          <w:sz w:val="15"/>
          <w:szCs w:val="15"/>
          <w:color w:val="auto"/>
        </w:rPr>
        <w:t>, Cypress has substantial expertise in the research, development, manufacture, distribution, sales and marketing of pharmaceutical products; and</w:t>
      </w:r>
    </w:p>
    <w:p>
      <w:pPr>
        <w:spacing w:after="0" w:line="265"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BioLineRx controls certain intellectual property covering BL-1020, a first in class antipsychotic that combines dopamine antagonism with</w:t>
      </w:r>
      <w:r>
        <w:rPr>
          <w:rFonts w:ascii="Arial" w:cs="Arial" w:eastAsia="Arial" w:hAnsi="Arial"/>
          <w:sz w:val="17"/>
          <w:szCs w:val="17"/>
          <w:b w:val="1"/>
          <w:bCs w:val="1"/>
          <w:color w:val="auto"/>
        </w:rPr>
        <w:t xml:space="preserve"> </w:t>
      </w:r>
      <w:r>
        <w:rPr>
          <w:rFonts w:ascii="Arial" w:cs="Arial" w:eastAsia="Arial" w:hAnsi="Arial"/>
          <w:sz w:val="17"/>
          <w:szCs w:val="17"/>
          <w:color w:val="auto"/>
        </w:rPr>
        <w:t>GABAergic activity, and is engaged in the development of BL-1020 for central nervous system diseases; and</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HEREAS</w:t>
      </w:r>
      <w:r>
        <w:rPr>
          <w:rFonts w:ascii="Arial" w:cs="Arial" w:eastAsia="Arial" w:hAnsi="Arial"/>
          <w:sz w:val="17"/>
          <w:szCs w:val="17"/>
          <w:color w:val="auto"/>
        </w:rPr>
        <w:t>, BioLineRx desires to grant to Cypress, and Cypress desires to obtain, exclusive rights to pre-commercialize, manufacture and commercialize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containing BL-1020, all on the terms and conditions set forth herein.</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foregoing premises and the mutual promises, covenants and conditions contained in this Agreement,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48"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7"/>
          <w:szCs w:val="17"/>
          <w:color w:val="auto"/>
        </w:rPr>
        <w:t>As used in this Agreement, the following initially capitalized terms, whether used in the singular or plural form, shall have the meanings set forth in this Article 1.</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 “Acceptance” </w:t>
      </w:r>
      <w:r>
        <w:rPr>
          <w:rFonts w:ascii="Arial" w:cs="Arial" w:eastAsia="Arial" w:hAnsi="Arial"/>
          <w:sz w:val="17"/>
          <w:szCs w:val="17"/>
          <w:color w:val="auto"/>
        </w:rPr>
        <w:t>has the meaning set forth in Section 8.2(b).</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6" w:name="page687"/>
    <w:bookmarkEnd w:id="686"/>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 “Acquisition” </w:t>
      </w:r>
      <w:r>
        <w:rPr>
          <w:rFonts w:ascii="Arial" w:cs="Arial" w:eastAsia="Arial" w:hAnsi="Arial"/>
          <w:sz w:val="17"/>
          <w:szCs w:val="17"/>
          <w:color w:val="auto"/>
        </w:rPr>
        <w:t>has the meaning set forth in Section 15.5.</w:t>
      </w:r>
    </w:p>
    <w:p>
      <w:pPr>
        <w:spacing w:after="0" w:line="242"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1.3 “Affiliate” </w:t>
      </w:r>
      <w:r>
        <w:rPr>
          <w:rFonts w:ascii="Arial" w:cs="Arial" w:eastAsia="Arial" w:hAnsi="Arial"/>
          <w:sz w:val="16"/>
          <w:szCs w:val="16"/>
          <w:color w:val="auto"/>
        </w:rPr>
        <w:t>means, with respect to a particular Party, a person, corporation, partnership, or other entity that controls, is controlled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 “BioLineRx Indemnitees” </w:t>
      </w:r>
      <w:r>
        <w:rPr>
          <w:rFonts w:ascii="Arial" w:cs="Arial" w:eastAsia="Arial" w:hAnsi="Arial"/>
          <w:sz w:val="17"/>
          <w:szCs w:val="17"/>
          <w:color w:val="auto"/>
        </w:rPr>
        <w:t>has the meaning set forth in Section 11.2.</w:t>
      </w:r>
    </w:p>
    <w:p>
      <w:pPr>
        <w:spacing w:after="0" w:line="242"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1.5 “BioLineRx Know-How” </w:t>
      </w:r>
      <w:r>
        <w:rPr>
          <w:rFonts w:ascii="Arial" w:cs="Arial" w:eastAsia="Arial" w:hAnsi="Arial"/>
          <w:sz w:val="17"/>
          <w:szCs w:val="17"/>
          <w:color w:val="auto"/>
        </w:rPr>
        <w:t>means all Information that is Controlled by BioLineRx or its Affiliates as of the Effective Date or at any time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BioLineRx’s interest in any Joint Inventions) and is necessary or useful for the Pre-Commercialization, Commercialization or manufacture of the Products in the Field in accordance with the terms of this Agreement. For clarity, BioLineRx Know-How excludes the BioLineRx Patents. Notwithstanding the foregoing, BioLineRx Know-How shall not include Information controlled by an acquiror or merger partner of BioLineRx that: (a) such acquiror or merger partner of BioLineRx controlled prior to the date of closing of such acquisition or merger; or (b) was developed after the date of closing of such acquisition or merger without using BioLineRx Know-How, Cypress Know-How, Joint Know-How or inventions claimed in BioLineRx Patents, Cypress Patents or Joint Patents, and in the case of (b) is not used in connection with Pre-Commercialization or Commercialization.</w:t>
      </w:r>
    </w:p>
    <w:p>
      <w:pPr>
        <w:spacing w:after="0" w:line="201" w:lineRule="exact"/>
        <w:rPr>
          <w:sz w:val="20"/>
          <w:szCs w:val="20"/>
          <w:color w:val="auto"/>
        </w:rPr>
      </w:pPr>
    </w:p>
    <w:p>
      <w:pPr>
        <w:jc w:val="both"/>
        <w:ind w:firstLine="617"/>
        <w:spacing w:after="0" w:line="276" w:lineRule="auto"/>
        <w:rPr>
          <w:sz w:val="20"/>
          <w:szCs w:val="20"/>
          <w:color w:val="auto"/>
        </w:rPr>
      </w:pPr>
      <w:r>
        <w:rPr>
          <w:rFonts w:ascii="Arial" w:cs="Arial" w:eastAsia="Arial" w:hAnsi="Arial"/>
          <w:sz w:val="16"/>
          <w:szCs w:val="16"/>
          <w:b w:val="1"/>
          <w:bCs w:val="1"/>
          <w:color w:val="auto"/>
        </w:rPr>
        <w:t xml:space="preserve">1.6 “BioLineRx Patents” </w:t>
      </w:r>
      <w:r>
        <w:rPr>
          <w:rFonts w:ascii="Arial" w:cs="Arial" w:eastAsia="Arial" w:hAnsi="Arial"/>
          <w:sz w:val="16"/>
          <w:szCs w:val="16"/>
          <w:color w:val="auto"/>
        </w:rPr>
        <w:t>means all Patents in the Cypress Territory (a) that are Controlled by BioLineRx or its Affiliates as of the Effective Date or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during the Term (including BioLineRx’s interest in any Joint Patents), and (b) directed to the Pre-Commercialization, Commercialization or manufacture of the Products in the Field in the Cypress Territory. Notwithstanding the foregoing, BioLineRx Patents shall not include Patents controlled by an acquiror or merger partner of BioLineRx that: (i) such acquiror or merger partner of BioLineRx controlled prior to the date of closing of such acquisition or merger; or (ii) were developed after the date of closing of such acquisition or merger without using BioLineRx Know-How, Cypress Know-How, Joint Know-How or inventions claimed in BioLineRx Patents, Cypress Patents or Joint Patents, and in the case of (ii) are not used in connection with Pre-Commercialization or Commercialization. The BioLineRx Patents existing as of the Effective Date are set forth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attached hereto, listed under UA Patents and BioLineRx Patents, as applicable.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 “BioLineRx Pre-Commercialization Activities” </w:t>
      </w:r>
      <w:r>
        <w:rPr>
          <w:rFonts w:ascii="Arial" w:cs="Arial" w:eastAsia="Arial" w:hAnsi="Arial"/>
          <w:sz w:val="17"/>
          <w:szCs w:val="17"/>
          <w:color w:val="auto"/>
        </w:rPr>
        <w:t>has the meaning set forth in Section 4.3(a).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 “BioLineRx Pre-Commercialization Expenses” </w:t>
      </w:r>
      <w:r>
        <w:rPr>
          <w:rFonts w:ascii="Arial" w:cs="Arial" w:eastAsia="Arial" w:hAnsi="Arial"/>
          <w:sz w:val="17"/>
          <w:szCs w:val="17"/>
          <w:color w:val="auto"/>
        </w:rPr>
        <w:t>has the meaning set forth in Section 4.7(c).</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1.9 “BioLineRx Product Data” </w:t>
      </w:r>
      <w:r>
        <w:rPr>
          <w:rFonts w:ascii="Arial" w:cs="Arial" w:eastAsia="Arial" w:hAnsi="Arial"/>
          <w:sz w:val="17"/>
          <w:szCs w:val="17"/>
          <w:color w:val="auto"/>
        </w:rPr>
        <w:t>has the meaning set forth in Section 4.7(c).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7" w:name="page688"/>
    <w:bookmarkEnd w:id="687"/>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1.10 “BioLineRx Prosecuted Patents” </w:t>
      </w:r>
      <w:r>
        <w:rPr>
          <w:rFonts w:ascii="Arial" w:cs="Arial" w:eastAsia="Arial" w:hAnsi="Arial"/>
          <w:sz w:val="17"/>
          <w:szCs w:val="17"/>
          <w:color w:val="auto"/>
        </w:rPr>
        <w:t>has the meaning set forth in Section 9.4(b).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1.11 “BioLineRx Technology” </w:t>
      </w:r>
      <w:r>
        <w:rPr>
          <w:rFonts w:ascii="Arial" w:cs="Arial" w:eastAsia="Arial" w:hAnsi="Arial"/>
          <w:sz w:val="17"/>
          <w:szCs w:val="17"/>
          <w:color w:val="auto"/>
        </w:rPr>
        <w:t>means the BioLineRx Patents and BioLineRx Know-How.</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1.12 “BL-1020” </w:t>
      </w:r>
      <w:r>
        <w:rPr>
          <w:rFonts w:ascii="Arial" w:cs="Arial" w:eastAsia="Arial" w:hAnsi="Arial"/>
          <w:sz w:val="17"/>
          <w:szCs w:val="17"/>
          <w:color w:val="auto"/>
        </w:rPr>
        <w:t>means BioLineRx’s proprietary compound known as BL-1020, having the chemical structure set forth on</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 or salt, solvate,</w:t>
      </w:r>
      <w:r>
        <w:rPr>
          <w:rFonts w:ascii="Arial" w:cs="Arial" w:eastAsia="Arial" w:hAnsi="Arial"/>
          <w:sz w:val="17"/>
          <w:szCs w:val="17"/>
          <w:b w:val="1"/>
          <w:bCs w:val="1"/>
          <w:color w:val="auto"/>
        </w:rPr>
        <w:t xml:space="preserve"> </w:t>
      </w:r>
      <w:r>
        <w:rPr>
          <w:rFonts w:ascii="Arial" w:cs="Arial" w:eastAsia="Arial" w:hAnsi="Arial"/>
          <w:sz w:val="17"/>
          <w:szCs w:val="17"/>
          <w:color w:val="auto"/>
        </w:rPr>
        <w:t>polymorph, or other non-covalent derivate thereof.</w:t>
      </w:r>
    </w:p>
    <w:p>
      <w:pPr>
        <w:spacing w:after="0" w:line="177"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1.13 “Commercialization,” </w:t>
      </w:r>
      <w:r>
        <w:rPr>
          <w:rFonts w:ascii="Arial" w:cs="Arial" w:eastAsia="Arial" w:hAnsi="Arial"/>
          <w:sz w:val="17"/>
          <w:szCs w:val="17"/>
          <w:color w:val="auto"/>
        </w:rPr>
        <w:t>with a correlative meaning for</w:t>
      </w:r>
      <w:r>
        <w:rPr>
          <w:rFonts w:ascii="Arial" w:cs="Arial" w:eastAsia="Arial" w:hAnsi="Arial"/>
          <w:sz w:val="17"/>
          <w:szCs w:val="17"/>
          <w:b w:val="1"/>
          <w:bCs w:val="1"/>
          <w:color w:val="auto"/>
        </w:rPr>
        <w:t xml:space="preserve"> “Commercialize” </w:t>
      </w:r>
      <w:r>
        <w:rPr>
          <w:rFonts w:ascii="Arial" w:cs="Arial" w:eastAsia="Arial" w:hAnsi="Arial"/>
          <w:sz w:val="17"/>
          <w:szCs w:val="17"/>
          <w:color w:val="auto"/>
        </w:rPr>
        <w:t>and</w:t>
      </w:r>
      <w:r>
        <w:rPr>
          <w:rFonts w:ascii="Arial" w:cs="Arial" w:eastAsia="Arial" w:hAnsi="Arial"/>
          <w:sz w:val="17"/>
          <w:szCs w:val="17"/>
          <w:b w:val="1"/>
          <w:bCs w:val="1"/>
          <w:color w:val="auto"/>
        </w:rPr>
        <w:t xml:space="preserve"> “Commercializing,” </w:t>
      </w:r>
      <w:r>
        <w:rPr>
          <w:rFonts w:ascii="Arial" w:cs="Arial" w:eastAsia="Arial" w:hAnsi="Arial"/>
          <w:sz w:val="17"/>
          <w:szCs w:val="17"/>
          <w:color w:val="auto"/>
        </w:rPr>
        <w:t>means all activities in the Cypress Territory</w:t>
      </w:r>
      <w:r>
        <w:rPr>
          <w:rFonts w:ascii="Arial" w:cs="Arial" w:eastAsia="Arial" w:hAnsi="Arial"/>
          <w:sz w:val="17"/>
          <w:szCs w:val="17"/>
          <w:b w:val="1"/>
          <w:bCs w:val="1"/>
          <w:color w:val="auto"/>
        </w:rPr>
        <w:t xml:space="preserve"> </w:t>
      </w:r>
      <w:r>
        <w:rPr>
          <w:rFonts w:ascii="Arial" w:cs="Arial" w:eastAsia="Arial" w:hAnsi="Arial"/>
          <w:sz w:val="17"/>
          <w:szCs w:val="17"/>
          <w:color w:val="auto"/>
        </w:rPr>
        <w:t>undertaken before and after obtaining Regulatory Approvals relating specifically to the pre-launch, launch, promotion, detailing, medical education and medical liaison activities, marketing, pricing, reimbursement, sale, and distribution of the Products in the Cypress Territory, including: (a) strategic marketing, sales force detailing, advertising, medical education and liaison, and market and Product support; (b) any post-marketing clinical studies (other than those included in Pre-Commercialization) for use in generating data to be submitted to Regulatory Authorities (and all associated reporting requirements); and (c) all customer support, Product distribution, invoicing and sales activities.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1.14 “Commercialization Plan” </w:t>
      </w:r>
      <w:r>
        <w:rPr>
          <w:rFonts w:ascii="Arial" w:cs="Arial" w:eastAsia="Arial" w:hAnsi="Arial"/>
          <w:sz w:val="17"/>
          <w:szCs w:val="17"/>
          <w:color w:val="auto"/>
        </w:rPr>
        <w:t>has the meaning set forth in Section 6.1(a).</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1.15 “Commercially Reasonable Efforts” </w:t>
      </w:r>
      <w:r>
        <w:rPr>
          <w:rFonts w:ascii="Arial" w:cs="Arial" w:eastAsia="Arial" w:hAnsi="Arial"/>
          <w:sz w:val="17"/>
          <w:szCs w:val="17"/>
          <w:color w:val="auto"/>
        </w:rPr>
        <w:t>means carrying out of obligations or tasks by a Party using a level of efforts consistent with the exercise of good</w:t>
      </w:r>
      <w:r>
        <w:rPr>
          <w:rFonts w:ascii="Arial" w:cs="Arial" w:eastAsia="Arial" w:hAnsi="Arial"/>
          <w:sz w:val="17"/>
          <w:szCs w:val="17"/>
          <w:b w:val="1"/>
          <w:bCs w:val="1"/>
          <w:color w:val="auto"/>
        </w:rPr>
        <w:t xml:space="preserve"> </w:t>
      </w:r>
      <w:r>
        <w:rPr>
          <w:rFonts w:ascii="Arial" w:cs="Arial" w:eastAsia="Arial" w:hAnsi="Arial"/>
          <w:sz w:val="17"/>
          <w:szCs w:val="17"/>
          <w:color w:val="auto"/>
        </w:rPr>
        <w:t>faith and prudent scientific and business judgment in an active and ongoing program as applied by a Party to the pre-commercialization and commercialization of its own pharmaceutical products at a similar stage of development and with similar market potential.</w:t>
      </w:r>
    </w:p>
    <w:p>
      <w:pPr>
        <w:spacing w:after="0" w:line="192" w:lineRule="exact"/>
        <w:rPr>
          <w:sz w:val="20"/>
          <w:szCs w:val="20"/>
          <w:color w:val="auto"/>
        </w:rPr>
      </w:pPr>
    </w:p>
    <w:p>
      <w:pPr>
        <w:jc w:val="both"/>
        <w:ind w:firstLine="617"/>
        <w:spacing w:after="0" w:line="321" w:lineRule="auto"/>
        <w:rPr>
          <w:sz w:val="20"/>
          <w:szCs w:val="20"/>
          <w:color w:val="auto"/>
        </w:rPr>
      </w:pPr>
      <w:r>
        <w:rPr>
          <w:rFonts w:ascii="Arial" w:cs="Arial" w:eastAsia="Arial" w:hAnsi="Arial"/>
          <w:sz w:val="15"/>
          <w:szCs w:val="15"/>
          <w:b w:val="1"/>
          <w:bCs w:val="1"/>
          <w:color w:val="auto"/>
        </w:rPr>
        <w:t xml:space="preserve">1.16 “Confidential Information” </w:t>
      </w:r>
      <w:r>
        <w:rPr>
          <w:rFonts w:ascii="Arial" w:cs="Arial" w:eastAsia="Arial" w:hAnsi="Arial"/>
          <w:sz w:val="15"/>
          <w:szCs w:val="15"/>
          <w:color w:val="auto"/>
        </w:rPr>
        <w:t>means, with respect to a Party, all reports and other Information of such Party that is disclosed to the other Party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whether in oral, written, graphic, or electronic form. All Information disclosed by a Party pursuant to the Mutual Non Disclosure Agreement between the Parties dated January 28, 2010, as amended through the Effective Date, shall be deemed to be such Party’s Confidential Information disclosed hereunder.</w:t>
      </w:r>
    </w:p>
    <w:p>
      <w:pPr>
        <w:spacing w:after="0" w:line="15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1.17 “Control” </w:t>
      </w:r>
      <w:r>
        <w:rPr>
          <w:rFonts w:ascii="Arial" w:cs="Arial" w:eastAsia="Arial" w:hAnsi="Arial"/>
          <w:sz w:val="17"/>
          <w:szCs w:val="17"/>
          <w:color w:val="auto"/>
        </w:rPr>
        <w:t>means, with respect to any material, Information, or intellectual property right, that a Party owns or has a license to such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or intellectual property right and, in each case, has the ability to grant to the other Party access, a license, or a sublicense (as applicable) to the foregoing on the terms and conditions set forth in this Agreement.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1.18 “Cypress Indemnitees” </w:t>
      </w:r>
      <w:r>
        <w:rPr>
          <w:rFonts w:ascii="Arial" w:cs="Arial" w:eastAsia="Arial" w:hAnsi="Arial"/>
          <w:sz w:val="17"/>
          <w:szCs w:val="17"/>
          <w:color w:val="auto"/>
        </w:rPr>
        <w:t>has the meaning set forth in Section 11.1.</w:t>
      </w:r>
    </w:p>
    <w:p>
      <w:pPr>
        <w:spacing w:after="0" w:line="242"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1.19 “Cypress Know-How” </w:t>
      </w:r>
      <w:r>
        <w:rPr>
          <w:rFonts w:ascii="Arial" w:cs="Arial" w:eastAsia="Arial" w:hAnsi="Arial"/>
          <w:sz w:val="17"/>
          <w:szCs w:val="17"/>
          <w:color w:val="auto"/>
        </w:rPr>
        <w:t>means all Information that is Controlled by Cypress or its Affiliates as of the Effective Date or at any time during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Cypress’ interest in any Joint Inventions) and is necessary or useful for the Pre-Commercialization, Commercialization or manufacture of the Products in the Field in accordance with the terms of this Agreement. For clarity, Cypress Know-How excludes the Cypress Patents. Notwithstanding the foregoing, Cypress Know-How shall not include Information controlled by an acquiror or merger partner of Cypress that: (a) such acquiror or merger partner of Cypress controlled prior to the date of closing of such acquisition or merger; or (b) was developed after the date of closing of such acquisition or merger without using BioLineRx Know-How, Cypress Know-How, Joint Know-How or inventions claimed in BioLineRx Patents, Cypress Patents or Joint Patents, and in the case of (b) is not used in connection with Pre-Commercialization or Commercialization.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8" w:name="page689"/>
    <w:bookmarkEnd w:id="688"/>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1.20 “Cypress Patents” </w:t>
      </w:r>
      <w:r>
        <w:rPr>
          <w:rFonts w:ascii="Arial" w:cs="Arial" w:eastAsia="Arial" w:hAnsi="Arial"/>
          <w:sz w:val="16"/>
          <w:szCs w:val="16"/>
          <w:color w:val="auto"/>
        </w:rPr>
        <w:t>means all Patents (a) that are Controlled by Cypress or its Affiliates as of the Effective Date or at any time during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Cypress’ interest in any Joint Patents) and (b) with a Valid Claim covering the Pre-Commercialization, Commercialization or manufacture of the Products in the Field in the Cypress Territory. Notwithstanding the foregoing, Cypress Patents shall not include Patents controlled by an acquiror or merger partner of Cypress that: (i) such acquiror or merger partner of Cypress controlled prior to the date of closing of such acquisition or merger; or (ii) were developed after the date of closing of such acquisition or merger without using BioLineRx Know-How, Cypress Know-How, Joint Know-How or inventions claimed in BioLineRx Patents, Cypress Patents or Joint Patents, and in the case of (ii) are not used in connection with Pre-Commercialization or Commercialization.</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1.21 “Cypress Pre-Commercialization Activities” </w:t>
      </w:r>
      <w:r>
        <w:rPr>
          <w:rFonts w:ascii="Arial" w:cs="Arial" w:eastAsia="Arial" w:hAnsi="Arial"/>
          <w:sz w:val="17"/>
          <w:szCs w:val="17"/>
          <w:color w:val="auto"/>
        </w:rPr>
        <w:t>has the meaning set forth in Section 4.4(b).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1.22 “Cypress Pre-Commercialization Expenses” </w:t>
      </w:r>
      <w:r>
        <w:rPr>
          <w:rFonts w:ascii="Arial" w:cs="Arial" w:eastAsia="Arial" w:hAnsi="Arial"/>
          <w:sz w:val="17"/>
          <w:szCs w:val="17"/>
          <w:color w:val="auto"/>
        </w:rPr>
        <w:t>has the meaning set forth in Section 4.7(b).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1.23 “Cypress Product Data” </w:t>
      </w:r>
      <w:r>
        <w:rPr>
          <w:rFonts w:ascii="Arial" w:cs="Arial" w:eastAsia="Arial" w:hAnsi="Arial"/>
          <w:sz w:val="17"/>
          <w:szCs w:val="17"/>
          <w:color w:val="auto"/>
        </w:rPr>
        <w:t>has the meaning set forth in Section 4.7(b).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1.24 “Cypress Prosecuted Patents” </w:t>
      </w:r>
      <w:r>
        <w:rPr>
          <w:rFonts w:ascii="Arial" w:cs="Arial" w:eastAsia="Arial" w:hAnsi="Arial"/>
          <w:sz w:val="17"/>
          <w:szCs w:val="17"/>
          <w:color w:val="auto"/>
        </w:rPr>
        <w:t>has the meaning set forth in Section 9.4(a)(2).</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1.25 “Cypress Technology” </w:t>
      </w:r>
      <w:r>
        <w:rPr>
          <w:rFonts w:ascii="Arial" w:cs="Arial" w:eastAsia="Arial" w:hAnsi="Arial"/>
          <w:sz w:val="17"/>
          <w:szCs w:val="17"/>
          <w:color w:val="auto"/>
        </w:rPr>
        <w:t>means the Cypress Patents and Cypress Know-How.</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1.26 “Cypress Territory” </w:t>
      </w:r>
      <w:r>
        <w:rPr>
          <w:rFonts w:ascii="Arial" w:cs="Arial" w:eastAsia="Arial" w:hAnsi="Arial"/>
          <w:sz w:val="15"/>
          <w:szCs w:val="15"/>
          <w:color w:val="auto"/>
        </w:rPr>
        <w:t>means the United States, Canada and Mexico, including each of their territories, possessions and provinces, as the case may be.</w:t>
      </w:r>
    </w:p>
    <w:p>
      <w:pPr>
        <w:spacing w:after="0" w:line="26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1.27 “Dollar” </w:t>
      </w:r>
      <w:r>
        <w:rPr>
          <w:rFonts w:ascii="Arial" w:cs="Arial" w:eastAsia="Arial" w:hAnsi="Arial"/>
          <w:sz w:val="17"/>
          <w:szCs w:val="17"/>
          <w:color w:val="auto"/>
        </w:rPr>
        <w:t>means a U.S. dollar, and “$” shall be interpreted accordingly.</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1.28 “Effective Date” </w:t>
      </w:r>
      <w:r>
        <w:rPr>
          <w:rFonts w:ascii="Arial" w:cs="Arial" w:eastAsia="Arial" w:hAnsi="Arial"/>
          <w:sz w:val="15"/>
          <w:szCs w:val="15"/>
          <w:color w:val="auto"/>
        </w:rPr>
        <w:t>means the date on which the written consent of the OCS with respect to this Agreement has been obtained in accordance with Section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2.1 (whether such OCS consent is granted for an associated form of Agreement modified in accordance with Section 2.1 or for the Execution Date Agreement).</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1.29 “Excluded Claim” </w:t>
      </w:r>
      <w:r>
        <w:rPr>
          <w:rFonts w:ascii="Arial" w:cs="Arial" w:eastAsia="Arial" w:hAnsi="Arial"/>
          <w:sz w:val="17"/>
          <w:szCs w:val="17"/>
          <w:color w:val="auto"/>
        </w:rPr>
        <w:t>has the meaning set forth in Section 14.4.</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1.30 “Execution Date Agreement” </w:t>
      </w:r>
      <w:r>
        <w:rPr>
          <w:rFonts w:ascii="Arial" w:cs="Arial" w:eastAsia="Arial" w:hAnsi="Arial"/>
          <w:sz w:val="17"/>
          <w:szCs w:val="17"/>
          <w:color w:val="auto"/>
        </w:rPr>
        <w:t>has the meaning set forth in Section 2.1.</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89" w:name="page690"/>
    <w:bookmarkEnd w:id="68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1.31 “Executives” </w:t>
      </w:r>
      <w:r>
        <w:rPr>
          <w:rFonts w:ascii="Arial" w:cs="Arial" w:eastAsia="Arial" w:hAnsi="Arial"/>
          <w:sz w:val="17"/>
          <w:szCs w:val="17"/>
          <w:color w:val="auto"/>
        </w:rPr>
        <w:t>has the meaning set forth in Section 3.1(d).</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1.32 “FDA” </w:t>
      </w:r>
      <w:r>
        <w:rPr>
          <w:rFonts w:ascii="Arial" w:cs="Arial" w:eastAsia="Arial" w:hAnsi="Arial"/>
          <w:sz w:val="17"/>
          <w:szCs w:val="17"/>
          <w:color w:val="auto"/>
        </w:rPr>
        <w:t>means the United States Food and Drug Administration and any successors thereof.</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1.33 “Field” </w:t>
      </w:r>
      <w:r>
        <w:rPr>
          <w:rFonts w:ascii="Arial" w:cs="Arial" w:eastAsia="Arial" w:hAnsi="Arial"/>
          <w:sz w:val="17"/>
          <w:szCs w:val="17"/>
          <w:color w:val="auto"/>
        </w:rPr>
        <w:t>means the use of the Product for the prevention, diagnosis and treatment of all human diseases.</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1.34 “First Commercial Sale” </w:t>
      </w:r>
      <w:r>
        <w:rPr>
          <w:rFonts w:ascii="Arial" w:cs="Arial" w:eastAsia="Arial" w:hAnsi="Arial"/>
          <w:sz w:val="17"/>
          <w:szCs w:val="17"/>
          <w:color w:val="auto"/>
        </w:rPr>
        <w:t>means the first sale of a Product by Cypress or its sublicensees to a Third Party in a given regulatory jurisdiction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Cypress Territory after Regulatory Approval for such Product has been obtained in such jurisdiction.</w:t>
      </w:r>
    </w:p>
    <w:p>
      <w:pPr>
        <w:spacing w:after="0" w:line="17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1.35 “Generic Product” </w:t>
      </w:r>
      <w:r>
        <w:rPr>
          <w:rFonts w:ascii="Arial" w:cs="Arial" w:eastAsia="Arial" w:hAnsi="Arial"/>
          <w:sz w:val="17"/>
          <w:szCs w:val="17"/>
          <w:color w:val="auto"/>
        </w:rPr>
        <w:t>means, with respect to a Product in the Field in the Cypress Territory, another pharmaceutical product that is: (a) a Product; (b) is</w:t>
      </w:r>
      <w:r>
        <w:rPr>
          <w:rFonts w:ascii="Arial" w:cs="Arial" w:eastAsia="Arial" w:hAnsi="Arial"/>
          <w:sz w:val="17"/>
          <w:szCs w:val="17"/>
          <w:b w:val="1"/>
          <w:bCs w:val="1"/>
          <w:color w:val="auto"/>
        </w:rPr>
        <w:t xml:space="preserve"> </w:t>
      </w:r>
      <w:r>
        <w:rPr>
          <w:rFonts w:ascii="Arial" w:cs="Arial" w:eastAsia="Arial" w:hAnsi="Arial"/>
          <w:sz w:val="17"/>
          <w:szCs w:val="17"/>
          <w:color w:val="auto"/>
        </w:rPr>
        <w:t>bioequivalent to such Product with respect to pharmacokinetic properties; and (c) is (i) either approved for use in the Cypress Territory by the Regulatory Authority, or (ii) launched by a Third Party in the Cypress Territory pursuant to Paragraph IV of the Drug Price Competition and Patent Term Restoration Act of 1984, as amended, or any successor regulations (or its comparable regulation in a jurisdiction within the Cypress Territory).</w:t>
      </w:r>
    </w:p>
    <w:p>
      <w:pPr>
        <w:spacing w:after="0" w:line="198" w:lineRule="exact"/>
        <w:rPr>
          <w:sz w:val="20"/>
          <w:szCs w:val="20"/>
          <w:color w:val="auto"/>
        </w:rPr>
      </w:pPr>
    </w:p>
    <w:p>
      <w:pPr>
        <w:jc w:val="both"/>
        <w:ind w:firstLine="617"/>
        <w:spacing w:after="0" w:line="319" w:lineRule="auto"/>
        <w:rPr>
          <w:sz w:val="20"/>
          <w:szCs w:val="20"/>
          <w:color w:val="auto"/>
        </w:rPr>
      </w:pPr>
      <w:r>
        <w:rPr>
          <w:rFonts w:ascii="Arial" w:cs="Arial" w:eastAsia="Arial" w:hAnsi="Arial"/>
          <w:sz w:val="16"/>
          <w:szCs w:val="16"/>
          <w:b w:val="1"/>
          <w:bCs w:val="1"/>
          <w:color w:val="auto"/>
        </w:rPr>
        <w:t xml:space="preserve">1.36 “Governmental Authority” </w:t>
      </w:r>
      <w:r>
        <w:rPr>
          <w:rFonts w:ascii="Arial" w:cs="Arial" w:eastAsia="Arial" w:hAnsi="Arial"/>
          <w:sz w:val="16"/>
          <w:szCs w:val="16"/>
          <w:color w:val="auto"/>
        </w:rPr>
        <w:t>means any multi-national, federal, state, local, municipal, provincial or other government authority of any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governmental division, prefecture, subdivision, department, agency, bureau, branch, office, commission, council, court or other tribunal).</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1.37 “Indemnify” </w:t>
      </w:r>
      <w:r>
        <w:rPr>
          <w:rFonts w:ascii="Arial" w:cs="Arial" w:eastAsia="Arial" w:hAnsi="Arial"/>
          <w:sz w:val="17"/>
          <w:szCs w:val="17"/>
          <w:color w:val="auto"/>
        </w:rPr>
        <w:t>has the meaning set forth in Section 11.1.</w:t>
      </w:r>
    </w:p>
    <w:p>
      <w:pPr>
        <w:spacing w:after="0" w:line="242" w:lineRule="exact"/>
        <w:rPr>
          <w:sz w:val="20"/>
          <w:szCs w:val="20"/>
          <w:color w:val="auto"/>
        </w:rPr>
      </w:pPr>
    </w:p>
    <w:p>
      <w:pPr>
        <w:jc w:val="both"/>
        <w:ind w:firstLine="617"/>
        <w:spacing w:after="0" w:line="257" w:lineRule="auto"/>
        <w:rPr>
          <w:sz w:val="20"/>
          <w:szCs w:val="20"/>
          <w:color w:val="auto"/>
        </w:rPr>
      </w:pPr>
      <w:r>
        <w:rPr>
          <w:rFonts w:ascii="Arial" w:cs="Arial" w:eastAsia="Arial" w:hAnsi="Arial"/>
          <w:sz w:val="16"/>
          <w:szCs w:val="16"/>
          <w:b w:val="1"/>
          <w:bCs w:val="1"/>
          <w:color w:val="auto"/>
        </w:rPr>
        <w:t xml:space="preserve">1.38 “Indication” </w:t>
      </w:r>
      <w:r>
        <w:rPr>
          <w:rFonts w:ascii="Arial" w:cs="Arial" w:eastAsia="Arial" w:hAnsi="Arial"/>
          <w:sz w:val="16"/>
          <w:szCs w:val="16"/>
          <w:color w:val="auto"/>
        </w:rPr>
        <w:t>means Initial Indication or Additional Indication. As used herein,</w:t>
      </w:r>
      <w:r>
        <w:rPr>
          <w:rFonts w:ascii="Arial" w:cs="Arial" w:eastAsia="Arial" w:hAnsi="Arial"/>
          <w:sz w:val="16"/>
          <w:szCs w:val="16"/>
          <w:b w:val="1"/>
          <w:bCs w:val="1"/>
          <w:color w:val="auto"/>
        </w:rPr>
        <w:t xml:space="preserve"> “Initial Indication” </w:t>
      </w:r>
      <w:r>
        <w:rPr>
          <w:rFonts w:ascii="Arial" w:cs="Arial" w:eastAsia="Arial" w:hAnsi="Arial"/>
          <w:sz w:val="16"/>
          <w:szCs w:val="16"/>
          <w:color w:val="auto"/>
        </w:rPr>
        <w:t>means a class of human disease or condition listed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Diagnostic and Statistical Manual of Mental Disorders,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Edition (“DSM-IV”) within the DSM-IV defined class of “Schizophrenia and Other Psychotic Disorders” (as the DSM-IV may be amended or updated during the Term), for which a Product has been approved by a Regulatory Authority; and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Indication” </w:t>
      </w:r>
      <w:r>
        <w:rPr>
          <w:rFonts w:ascii="Arial" w:cs="Arial" w:eastAsia="Arial" w:hAnsi="Arial"/>
          <w:sz w:val="16"/>
          <w:szCs w:val="16"/>
          <w:color w:val="auto"/>
        </w:rPr>
        <w:t>means a separately defined, well-categorized class of human disease or condition, other than the Initial Indication, for which a Product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a Regulatory Authority. For clarity, pediatric extension of the Initial Indication is not an Additional Indication.</w:t>
      </w:r>
    </w:p>
    <w:p>
      <w:pPr>
        <w:spacing w:after="0" w:line="202"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 xml:space="preserve">1.39 “Information” </w:t>
      </w:r>
      <w:r>
        <w:rPr>
          <w:rFonts w:ascii="Arial" w:cs="Arial" w:eastAsia="Arial" w:hAnsi="Arial"/>
          <w:sz w:val="17"/>
          <w:szCs w:val="17"/>
          <w:color w:val="auto"/>
        </w:rPr>
        <w:t>means any data, results, technology, business information and information of any type whatsoever, in any tangible or intangible form,</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know-how, trade secrets, practices, techniques, methods, processes, inventions, developments, specifications, formulations, formulae, materials or compositions of matter of any type or kind (patentable or otherwise), software, algorithms, marketing reports, expertise, test data (including pharmacological, biological, chemical, biochemical, toxicological, preclinical and clinical test data), manufacturing know-how and data, analytical and quality control data, stability data, other study data and procedures.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90" w:name="page691"/>
    <w:bookmarkEnd w:id="690"/>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1.40 “Initiation” </w:t>
      </w:r>
      <w:r>
        <w:rPr>
          <w:rFonts w:ascii="Arial" w:cs="Arial" w:eastAsia="Arial" w:hAnsi="Arial"/>
          <w:sz w:val="17"/>
          <w:szCs w:val="17"/>
          <w:color w:val="auto"/>
        </w:rPr>
        <w:t>has the meaning set forth in Section 8.2(b).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1.41 “JAMS Rules” </w:t>
      </w:r>
      <w:r>
        <w:rPr>
          <w:rFonts w:ascii="Arial" w:cs="Arial" w:eastAsia="Arial" w:hAnsi="Arial"/>
          <w:sz w:val="17"/>
          <w:szCs w:val="17"/>
          <w:color w:val="auto"/>
        </w:rPr>
        <w:t>has the meaning set forth in Section 14.3.</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1.42 “Joint Inventions” </w:t>
      </w:r>
      <w:r>
        <w:rPr>
          <w:rFonts w:ascii="Arial" w:cs="Arial" w:eastAsia="Arial" w:hAnsi="Arial"/>
          <w:sz w:val="17"/>
          <w:szCs w:val="17"/>
          <w:color w:val="auto"/>
        </w:rPr>
        <w:t>has the meaning set forth in Section 9.1(b).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1.43 “Joint Patents” </w:t>
      </w:r>
      <w:r>
        <w:rPr>
          <w:rFonts w:ascii="Arial" w:cs="Arial" w:eastAsia="Arial" w:hAnsi="Arial"/>
          <w:sz w:val="17"/>
          <w:szCs w:val="17"/>
          <w:color w:val="auto"/>
        </w:rPr>
        <w:t>has the meaning set forth in Section 9.1(b).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1.44 “Joint Steering Committee” </w:t>
      </w:r>
      <w:r>
        <w:rPr>
          <w:rFonts w:ascii="Arial" w:cs="Arial" w:eastAsia="Arial" w:hAnsi="Arial"/>
          <w:sz w:val="17"/>
          <w:szCs w:val="17"/>
          <w:color w:val="auto"/>
        </w:rPr>
        <w:t>or</w:t>
      </w:r>
      <w:r>
        <w:rPr>
          <w:rFonts w:ascii="Arial" w:cs="Arial" w:eastAsia="Arial" w:hAnsi="Arial"/>
          <w:sz w:val="17"/>
          <w:szCs w:val="17"/>
          <w:b w:val="1"/>
          <w:bCs w:val="1"/>
          <w:color w:val="auto"/>
        </w:rPr>
        <w:t xml:space="preserve"> “JSC” </w:t>
      </w:r>
      <w:r>
        <w:rPr>
          <w:rFonts w:ascii="Arial" w:cs="Arial" w:eastAsia="Arial" w:hAnsi="Arial"/>
          <w:sz w:val="17"/>
          <w:szCs w:val="17"/>
          <w:color w:val="auto"/>
        </w:rPr>
        <w:t>has the meaning set forth in Section 3.1(a)</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1.45 “Laws” </w:t>
      </w:r>
      <w:r>
        <w:rPr>
          <w:rFonts w:ascii="Arial" w:cs="Arial" w:eastAsia="Arial" w:hAnsi="Arial"/>
          <w:sz w:val="17"/>
          <w:szCs w:val="17"/>
          <w:color w:val="auto"/>
        </w:rPr>
        <w:t>means all laws, statutes, rules, regulations, ordinances and other pronouncements having the effect of law of any federal,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multinational, state, provincial, county, city or other political subdivision, domestic or foreign.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1.46 “Losses” </w:t>
      </w:r>
      <w:r>
        <w:rPr>
          <w:rFonts w:ascii="Arial" w:cs="Arial" w:eastAsia="Arial" w:hAnsi="Arial"/>
          <w:sz w:val="17"/>
          <w:szCs w:val="17"/>
          <w:color w:val="auto"/>
        </w:rPr>
        <w:t>has the meaning set forth in Section 11.1.</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1.47 “Major Country” </w:t>
      </w:r>
      <w:r>
        <w:rPr>
          <w:rFonts w:ascii="Arial" w:cs="Arial" w:eastAsia="Arial" w:hAnsi="Arial"/>
          <w:sz w:val="17"/>
          <w:szCs w:val="17"/>
          <w:color w:val="auto"/>
        </w:rPr>
        <w:t>means any one of the following countries: [***]</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1.48 “Meltzer Study” </w:t>
      </w:r>
      <w:r>
        <w:rPr>
          <w:rFonts w:ascii="Arial" w:cs="Arial" w:eastAsia="Arial" w:hAnsi="Arial"/>
          <w:sz w:val="17"/>
          <w:szCs w:val="17"/>
          <w:color w:val="auto"/>
        </w:rPr>
        <w:t>means the ongoing pre-clinical study which is being conducted by Professor Meltzer for BioLineRx, which is BioLineRx’s only</w:t>
      </w:r>
      <w:r>
        <w:rPr>
          <w:rFonts w:ascii="Arial" w:cs="Arial" w:eastAsia="Arial" w:hAnsi="Arial"/>
          <w:sz w:val="17"/>
          <w:szCs w:val="17"/>
          <w:b w:val="1"/>
          <w:bCs w:val="1"/>
          <w:color w:val="auto"/>
        </w:rPr>
        <w:t xml:space="preserve"> </w:t>
      </w:r>
      <w:r>
        <w:rPr>
          <w:rFonts w:ascii="Arial" w:cs="Arial" w:eastAsia="Arial" w:hAnsi="Arial"/>
          <w:sz w:val="17"/>
          <w:szCs w:val="17"/>
          <w:color w:val="auto"/>
        </w:rPr>
        <w:t>ongoing pre-clinical study concerning the Product as of the Execution Date.</w:t>
      </w:r>
    </w:p>
    <w:p>
      <w:pPr>
        <w:spacing w:after="0" w:line="17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1.49 “NDA” </w:t>
      </w:r>
      <w:r>
        <w:rPr>
          <w:rFonts w:ascii="Arial" w:cs="Arial" w:eastAsia="Arial" w:hAnsi="Arial"/>
          <w:sz w:val="17"/>
          <w:szCs w:val="17"/>
          <w:color w:val="auto"/>
        </w:rPr>
        <w:t>means a new drug application as defined in the United States Federal Food, Drug, and Cosmetic Act (and any successor acts thereto),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from time to time.</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1.50 “Net Sales” </w:t>
      </w:r>
      <w:r>
        <w:rPr>
          <w:rFonts w:ascii="Arial" w:cs="Arial" w:eastAsia="Arial" w:hAnsi="Arial"/>
          <w:sz w:val="17"/>
          <w:szCs w:val="17"/>
          <w:color w:val="auto"/>
        </w:rPr>
        <w:t>means, with respect to a particular time period, the total amounts invoiced by Cypress and its Affiliates or sublicensees for sales of</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made during such time period to unrelated Third Parties in the Cypress Territory, less the following deductions to the extent actually allowed or incurred with respect to such sales:</w:t>
      </w:r>
    </w:p>
    <w:p>
      <w:pPr>
        <w:spacing w:after="0" w:line="198" w:lineRule="exact"/>
        <w:rPr>
          <w:sz w:val="20"/>
          <w:szCs w:val="20"/>
          <w:color w:val="auto"/>
        </w:rPr>
      </w:pPr>
    </w:p>
    <w:p>
      <w:pPr>
        <w:ind w:firstLine="1238"/>
        <w:spacing w:after="0" w:line="278" w:lineRule="auto"/>
        <w:tabs>
          <w:tab w:leader="none" w:pos="1477" w:val="left"/>
        </w:tabs>
        <w:numPr>
          <w:ilvl w:val="1"/>
          <w:numId w:val="613"/>
        </w:numPr>
        <w:rPr>
          <w:rFonts w:ascii="Arial" w:cs="Arial" w:eastAsia="Arial" w:hAnsi="Arial"/>
          <w:sz w:val="17"/>
          <w:szCs w:val="17"/>
          <w:b w:val="1"/>
          <w:bCs w:val="1"/>
          <w:color w:val="auto"/>
        </w:rPr>
      </w:pPr>
      <w:r>
        <w:rPr>
          <w:rFonts w:ascii="Arial" w:cs="Arial" w:eastAsia="Arial" w:hAnsi="Arial"/>
          <w:sz w:val="17"/>
          <w:szCs w:val="17"/>
          <w:color w:val="auto"/>
        </w:rPr>
        <w:t>trade discounts, credits or allowances including cash and quantity discounts provided by means of chargebacks, rebates and administrative fees charged by customers or health care organizations determined based upon sales;</w:t>
      </w:r>
    </w:p>
    <w:p>
      <w:pPr>
        <w:spacing w:after="0" w:line="190" w:lineRule="exact"/>
        <w:rPr>
          <w:rFonts w:ascii="Arial" w:cs="Arial" w:eastAsia="Arial" w:hAnsi="Arial"/>
          <w:sz w:val="17"/>
          <w:szCs w:val="17"/>
          <w:b w:val="1"/>
          <w:bCs w:val="1"/>
          <w:color w:val="auto"/>
        </w:rPr>
      </w:pPr>
    </w:p>
    <w:p>
      <w:pPr>
        <w:ind w:left="1500" w:hanging="262"/>
        <w:spacing w:after="0"/>
        <w:tabs>
          <w:tab w:leader="none" w:pos="1500" w:val="left"/>
        </w:tabs>
        <w:numPr>
          <w:ilvl w:val="1"/>
          <w:numId w:val="613"/>
        </w:numPr>
        <w:rPr>
          <w:rFonts w:ascii="Arial" w:cs="Arial" w:eastAsia="Arial" w:hAnsi="Arial"/>
          <w:sz w:val="15"/>
          <w:szCs w:val="15"/>
          <w:b w:val="1"/>
          <w:bCs w:val="1"/>
          <w:color w:val="auto"/>
        </w:rPr>
      </w:pPr>
      <w:r>
        <w:rPr>
          <w:rFonts w:ascii="Arial" w:cs="Arial" w:eastAsia="Arial" w:hAnsi="Arial"/>
          <w:sz w:val="15"/>
          <w:szCs w:val="15"/>
          <w:color w:val="auto"/>
        </w:rPr>
        <w:t>credits or allowances additionally granted for damaged, outdated, spoiled, returned or rejected Products, including in connection with recalls;</w:t>
      </w:r>
    </w:p>
    <w:p>
      <w:pPr>
        <w:spacing w:after="0" w:line="258" w:lineRule="exact"/>
        <w:rPr>
          <w:rFonts w:ascii="Arial" w:cs="Arial" w:eastAsia="Arial" w:hAnsi="Arial"/>
          <w:sz w:val="15"/>
          <w:szCs w:val="15"/>
          <w:b w:val="1"/>
          <w:bCs w:val="1"/>
          <w:color w:val="auto"/>
        </w:rPr>
      </w:pPr>
    </w:p>
    <w:p>
      <w:pPr>
        <w:ind w:left="420" w:hanging="417"/>
        <w:spacing w:after="0"/>
        <w:tabs>
          <w:tab w:leader="none" w:pos="420" w:val="left"/>
        </w:tabs>
        <w:numPr>
          <w:ilvl w:val="0"/>
          <w:numId w:val="613"/>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1" w:name="page692"/>
    <w:bookmarkEnd w:id="691"/>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left="1480" w:hanging="242"/>
        <w:spacing w:after="0"/>
        <w:tabs>
          <w:tab w:leader="none" w:pos="1480" w:val="left"/>
        </w:tabs>
        <w:numPr>
          <w:ilvl w:val="0"/>
          <w:numId w:val="614"/>
        </w:numPr>
        <w:rPr>
          <w:rFonts w:ascii="Arial" w:cs="Arial" w:eastAsia="Arial" w:hAnsi="Arial"/>
          <w:sz w:val="17"/>
          <w:szCs w:val="17"/>
          <w:b w:val="1"/>
          <w:bCs w:val="1"/>
          <w:color w:val="auto"/>
        </w:rPr>
      </w:pPr>
      <w:r>
        <w:rPr>
          <w:rFonts w:ascii="Arial" w:cs="Arial" w:eastAsia="Arial" w:hAnsi="Arial"/>
          <w:sz w:val="17"/>
          <w:szCs w:val="17"/>
          <w:color w:val="auto"/>
        </w:rPr>
        <w:t>freight, shipping and insurance charges, to the extent included in the invoiced amount;</w:t>
      </w:r>
    </w:p>
    <w:p>
      <w:pPr>
        <w:spacing w:after="0" w:line="241" w:lineRule="exact"/>
        <w:rPr>
          <w:rFonts w:ascii="Arial" w:cs="Arial" w:eastAsia="Arial" w:hAnsi="Arial"/>
          <w:sz w:val="17"/>
          <w:szCs w:val="17"/>
          <w:b w:val="1"/>
          <w:bCs w:val="1"/>
          <w:color w:val="auto"/>
        </w:rPr>
      </w:pPr>
    </w:p>
    <w:p>
      <w:pPr>
        <w:jc w:val="both"/>
        <w:ind w:firstLine="1238"/>
        <w:spacing w:after="0" w:line="265" w:lineRule="auto"/>
        <w:tabs>
          <w:tab w:leader="none" w:pos="1487" w:val="left"/>
        </w:tabs>
        <w:numPr>
          <w:ilvl w:val="0"/>
          <w:numId w:val="614"/>
        </w:numPr>
        <w:rPr>
          <w:rFonts w:ascii="Arial" w:cs="Arial" w:eastAsia="Arial" w:hAnsi="Arial"/>
          <w:sz w:val="17"/>
          <w:szCs w:val="17"/>
          <w:b w:val="1"/>
          <w:bCs w:val="1"/>
          <w:color w:val="auto"/>
        </w:rPr>
      </w:pPr>
      <w:r>
        <w:rPr>
          <w:rFonts w:ascii="Arial" w:cs="Arial" w:eastAsia="Arial" w:hAnsi="Arial"/>
          <w:sz w:val="17"/>
          <w:szCs w:val="17"/>
          <w:color w:val="auto"/>
        </w:rPr>
        <w:t>Taxes, tariffs, duties or other governmental charges (other than income taxes) levied on, absorbed or otherwise imposed on sales of the Products in the Cypress Territory, as adjusted by any refunds, provided that such Taxes, tariffs, duties and other governmental charges are included in the applicable invoiced amount and identified in the applicable invoice; and</w:t>
      </w:r>
    </w:p>
    <w:p>
      <w:pPr>
        <w:spacing w:after="0" w:line="201" w:lineRule="exact"/>
        <w:rPr>
          <w:rFonts w:ascii="Arial" w:cs="Arial" w:eastAsia="Arial" w:hAnsi="Arial"/>
          <w:sz w:val="17"/>
          <w:szCs w:val="17"/>
          <w:b w:val="1"/>
          <w:bCs w:val="1"/>
          <w:color w:val="auto"/>
        </w:rPr>
      </w:pPr>
    </w:p>
    <w:p>
      <w:pPr>
        <w:ind w:left="1480" w:hanging="242"/>
        <w:spacing w:after="0"/>
        <w:tabs>
          <w:tab w:leader="none" w:pos="1480" w:val="left"/>
        </w:tabs>
        <w:numPr>
          <w:ilvl w:val="0"/>
          <w:numId w:val="614"/>
        </w:numPr>
        <w:rPr>
          <w:rFonts w:ascii="Arial" w:cs="Arial" w:eastAsia="Arial" w:hAnsi="Arial"/>
          <w:sz w:val="17"/>
          <w:szCs w:val="17"/>
          <w:b w:val="1"/>
          <w:bCs w:val="1"/>
          <w:color w:val="auto"/>
        </w:rPr>
      </w:pPr>
      <w:r>
        <w:rPr>
          <w:rFonts w:ascii="Arial" w:cs="Arial" w:eastAsia="Arial" w:hAnsi="Arial"/>
          <w:sz w:val="17"/>
          <w:szCs w:val="17"/>
          <w:color w:val="auto"/>
        </w:rPr>
        <w:t>rebates, discounts or other payments on sales of Products that are mandated by a Governmental Authority.</w:t>
      </w:r>
    </w:p>
    <w:p>
      <w:pPr>
        <w:spacing w:after="0" w:line="24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Notwithstanding the foregoing, amounts invoiced by Cypress and its Affiliates or sublicensees for the sale of Products between Cypress and its Affiliates or sublicensees for resale shall not be included in the computation of Net Sales hereunder. For purposes of determining Net Sales, a “sale” shall not include reasonable transfers or dispositions, at no cost, as samples or for charitable purposes, or transfers or dispositions at no cost for preclinical, clinical or regulatory purposes.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Each of the deductions set forth above shall be reasonable and customary, and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If Cypress proposes to Commercialize a Product as part of a Bundled Product (as defined below), Cypress shall inform BioLineRx of such proposal and the Parties will discuss in good faith whether, and under what conditions, such Bundled Product should be Commercialized. For purposes of this paragraph, </w:t>
      </w:r>
      <w:r>
        <w:rPr>
          <w:rFonts w:ascii="Arial" w:cs="Arial" w:eastAsia="Arial" w:hAnsi="Arial"/>
          <w:sz w:val="16"/>
          <w:szCs w:val="16"/>
          <w:b w:val="1"/>
          <w:bCs w:val="1"/>
          <w:color w:val="auto"/>
        </w:rPr>
        <w:t>“Bundled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Product” </w:t>
      </w:r>
      <w:r>
        <w:rPr>
          <w:rFonts w:ascii="Arial" w:cs="Arial" w:eastAsia="Arial" w:hAnsi="Arial"/>
          <w:sz w:val="16"/>
          <w:szCs w:val="16"/>
          <w:color w:val="auto"/>
        </w:rPr>
        <w:t>means products (including one or more Products) that are either (A) packaged together for sale or shipment as a single unit or sold at a single price or (B)</w:t>
      </w:r>
      <w:r>
        <w:rPr>
          <w:rFonts w:ascii="Arial" w:cs="Arial" w:eastAsia="Arial" w:hAnsi="Arial"/>
          <w:sz w:val="16"/>
          <w:szCs w:val="16"/>
          <w:b w:val="1"/>
          <w:bCs w:val="1"/>
          <w:color w:val="auto"/>
        </w:rPr>
        <w:t xml:space="preserve"> </w:t>
      </w:r>
      <w:r>
        <w:rPr>
          <w:rFonts w:ascii="Arial" w:cs="Arial" w:eastAsia="Arial" w:hAnsi="Arial"/>
          <w:sz w:val="16"/>
          <w:szCs w:val="16"/>
          <w:color w:val="auto"/>
        </w:rPr>
        <w:t>marketed or sold collectively as a single product. For clarity, a Bundled Product is not a Combination Product (as defined below).</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For the purpose of determining royalties due to BioLineRx, Cypress shall calculate Net Sales of Combination Products (as defined below) by multiplying Net Sales of such Combination Product by a fraction A/A+B, where A is the sale price of the Product portion of such Combination Product when sold separately and B is the sale price of the other active ingredient(s) in such Combination Product when sold separately;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Product portion of such Combination Product or any of the other active ingredients in such Combination Product is not then sold separately, then Cypress shall calculate Net Sales of such Combination Products by the fraction C/C+D, where C is a reasonable estimate of the fair market value of the Product portion of such Combination Product, D is a reasonable estimate of the fair market value of the other active ingredients in such Combination Product, and the estimates of C and D are determined by mutual agreement of the Parties. As used in this Section 1.50, </w:t>
      </w:r>
      <w:r>
        <w:rPr>
          <w:rFonts w:ascii="Arial" w:cs="Arial" w:eastAsia="Arial" w:hAnsi="Arial"/>
          <w:sz w:val="17"/>
          <w:szCs w:val="17"/>
          <w:b w:val="1"/>
          <w:bCs w:val="1"/>
          <w:color w:val="auto"/>
        </w:rPr>
        <w:t>“Combination Product”</w:t>
      </w:r>
      <w:r>
        <w:rPr>
          <w:rFonts w:ascii="Arial" w:cs="Arial" w:eastAsia="Arial" w:hAnsi="Arial"/>
          <w:sz w:val="17"/>
          <w:szCs w:val="17"/>
          <w:color w:val="auto"/>
        </w:rPr>
        <w:t xml:space="preserve"> means a product in which one or more active ingredients that are not Products are sold in a single formulation with a Product.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92" w:name="page693"/>
    <w:bookmarkEnd w:id="692"/>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1.51 “Non-Breaching Party” </w:t>
      </w:r>
      <w:r>
        <w:rPr>
          <w:rFonts w:ascii="Arial" w:cs="Arial" w:eastAsia="Arial" w:hAnsi="Arial"/>
          <w:sz w:val="17"/>
          <w:szCs w:val="17"/>
          <w:color w:val="auto"/>
        </w:rPr>
        <w:t>has the meaning set forth in Section 13.2(a).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1.52 “Notified Party” </w:t>
      </w:r>
      <w:r>
        <w:rPr>
          <w:rFonts w:ascii="Arial" w:cs="Arial" w:eastAsia="Arial" w:hAnsi="Arial"/>
          <w:sz w:val="17"/>
          <w:szCs w:val="17"/>
          <w:color w:val="auto"/>
        </w:rPr>
        <w:t>has the meaning set forth in Section 13.2(a).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1.53 “OCS” </w:t>
      </w:r>
      <w:r>
        <w:rPr>
          <w:rFonts w:ascii="Arial" w:cs="Arial" w:eastAsia="Arial" w:hAnsi="Arial"/>
          <w:sz w:val="17"/>
          <w:szCs w:val="17"/>
          <w:color w:val="auto"/>
        </w:rPr>
        <w:t>has the meaning set forth in Section 2.1.</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1.54 “Ordinary Shares” </w:t>
      </w:r>
      <w:r>
        <w:rPr>
          <w:rFonts w:ascii="Arial" w:cs="Arial" w:eastAsia="Arial" w:hAnsi="Arial"/>
          <w:sz w:val="17"/>
          <w:szCs w:val="17"/>
          <w:color w:val="auto"/>
        </w:rPr>
        <w:t>has the meaning set forth in Section 8.2(a).</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1.55 “Patents” </w:t>
      </w:r>
      <w:r>
        <w:rPr>
          <w:rFonts w:ascii="Arial" w:cs="Arial" w:eastAsia="Arial" w:hAnsi="Arial"/>
          <w:sz w:val="17"/>
          <w:szCs w:val="17"/>
          <w:color w:val="auto"/>
        </w:rPr>
        <w:t>means (a) pending patent applications, issued patents, utility models and designs; (b) reissues, renewals, substitutions, confirmations,</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registrations, validations, re-examinations, additions, extensions, continuations, continued prosecution applications, continuations-in-part, or divisions of or to any patent applications, issued patents, utility models or designs; and (c) the equivalent or counterpart of the foregoing.</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1.56 “Pharmacovigilance Agreement” </w:t>
      </w:r>
      <w:r>
        <w:rPr>
          <w:rFonts w:ascii="Arial" w:cs="Arial" w:eastAsia="Arial" w:hAnsi="Arial"/>
          <w:sz w:val="17"/>
          <w:szCs w:val="17"/>
          <w:color w:val="auto"/>
        </w:rPr>
        <w:t>has the meaning set forth in Section 5.3.</w:t>
      </w:r>
    </w:p>
    <w:p>
      <w:pPr>
        <w:spacing w:after="0" w:line="24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1.57 “Phase 3 Clinical Trial” </w:t>
      </w:r>
      <w:r>
        <w:rPr>
          <w:rFonts w:ascii="Arial" w:cs="Arial" w:eastAsia="Arial" w:hAnsi="Arial"/>
          <w:sz w:val="17"/>
          <w:szCs w:val="17"/>
          <w:color w:val="auto"/>
        </w:rPr>
        <w:t>means a pivotal human clinical trial on sufficient numbers of patients which is designed to (a) establish that a Product is safe</w:t>
      </w:r>
      <w:r>
        <w:rPr>
          <w:rFonts w:ascii="Arial" w:cs="Arial" w:eastAsia="Arial" w:hAnsi="Arial"/>
          <w:sz w:val="17"/>
          <w:szCs w:val="17"/>
          <w:b w:val="1"/>
          <w:bCs w:val="1"/>
          <w:color w:val="auto"/>
        </w:rPr>
        <w:t xml:space="preserve"> </w:t>
      </w:r>
      <w:r>
        <w:rPr>
          <w:rFonts w:ascii="Arial" w:cs="Arial" w:eastAsia="Arial" w:hAnsi="Arial"/>
          <w:sz w:val="17"/>
          <w:szCs w:val="17"/>
          <w:color w:val="auto"/>
        </w:rPr>
        <w:t>and efficacious for its intended use; (b) define warnings, precautions and adverse reactions that are associated with such Product in the dosage range to be prescribed; and (c) support Regulatory Approval of such Product, as further defined in 21 C.F.R. 312.21(c), as amended from time to time, or the corresponding regulation in jurisdictions within the Cypress Territory other than the United States. For clarity, a Phase 2/3 Clinical Trial shall be considered to be a Phase 3 Clinical Trial if it is considered by a Regulatory Authority to be a pivotal clinical trial for the Product as determined at the time of Acceptance by the FDA of an NDA for a Product in the United States.</w:t>
      </w:r>
    </w:p>
    <w:p>
      <w:pPr>
        <w:spacing w:after="0" w:line="201"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 xml:space="preserve">1.58 “Pre-Commercialization,” </w:t>
      </w:r>
      <w:r>
        <w:rPr>
          <w:rFonts w:ascii="Arial" w:cs="Arial" w:eastAsia="Arial" w:hAnsi="Arial"/>
          <w:sz w:val="16"/>
          <w:szCs w:val="16"/>
          <w:color w:val="auto"/>
        </w:rPr>
        <w:t>with a correlative meaning for</w:t>
      </w:r>
      <w:r>
        <w:rPr>
          <w:rFonts w:ascii="Arial" w:cs="Arial" w:eastAsia="Arial" w:hAnsi="Arial"/>
          <w:sz w:val="16"/>
          <w:szCs w:val="16"/>
          <w:b w:val="1"/>
          <w:bCs w:val="1"/>
          <w:color w:val="auto"/>
        </w:rPr>
        <w:t xml:space="preserve"> “Pre-Commercialize” </w:t>
      </w:r>
      <w:r>
        <w:rPr>
          <w:rFonts w:ascii="Arial" w:cs="Arial" w:eastAsia="Arial" w:hAnsi="Arial"/>
          <w:sz w:val="16"/>
          <w:szCs w:val="16"/>
          <w:color w:val="auto"/>
        </w:rPr>
        <w:t>and</w:t>
      </w:r>
      <w:r>
        <w:rPr>
          <w:rFonts w:ascii="Arial" w:cs="Arial" w:eastAsia="Arial" w:hAnsi="Arial"/>
          <w:sz w:val="16"/>
          <w:szCs w:val="16"/>
          <w:b w:val="1"/>
          <w:bCs w:val="1"/>
          <w:color w:val="auto"/>
        </w:rPr>
        <w:t xml:space="preserve"> “Pre-Commercializing,” </w:t>
      </w:r>
      <w:r>
        <w:rPr>
          <w:rFonts w:ascii="Arial" w:cs="Arial" w:eastAsia="Arial" w:hAnsi="Arial"/>
          <w:sz w:val="16"/>
          <w:szCs w:val="16"/>
          <w:color w:val="auto"/>
        </w:rPr>
        <w:t>means all activities in the Cypress</w:t>
      </w:r>
      <w:r>
        <w:rPr>
          <w:rFonts w:ascii="Arial" w:cs="Arial" w:eastAsia="Arial" w:hAnsi="Arial"/>
          <w:sz w:val="16"/>
          <w:szCs w:val="16"/>
          <w:b w:val="1"/>
          <w:bCs w:val="1"/>
          <w:color w:val="auto"/>
        </w:rPr>
        <w:t xml:space="preserve"> </w:t>
      </w:r>
      <w:r>
        <w:rPr>
          <w:rFonts w:ascii="Arial" w:cs="Arial" w:eastAsia="Arial" w:hAnsi="Arial"/>
          <w:sz w:val="16"/>
          <w:szCs w:val="16"/>
          <w:color w:val="auto"/>
        </w:rPr>
        <w:t>Territory relating to preparing and conducting preclinical testing, toxicology testing, human clinical studies, and regulatory activities (e.g., regulatory applications) with respect to the Products, together with the manufacturing of the Products for the purpose of conducting the foregoing activities and manufacturing scale-up of the Product necessary for Commercialization. This includes (a) preclinical testing, toxicology, formulation, and clinical studies of Products; and (b) preparation, submission, review, and development of data or information for the purpose of submission to a Governmental Authority in the Cypress Territory to obtain Regulatory Approval of Products. Pre-Commercialization shall include clinical development and regulatory activities for additional dosage forms or formulations of a Product after Regulatory Approval of such Product, including clinical trials initiated following receipt of Regulatory Approval or any clinical trial to be conducted after Regulatory Approval which was mandated by the applicable Regulatory Authority as a condition of such Regulatory Approval.</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1.59 “Pre-Commercialization Costs” </w:t>
      </w:r>
      <w:r>
        <w:rPr>
          <w:rFonts w:ascii="Arial" w:cs="Arial" w:eastAsia="Arial" w:hAnsi="Arial"/>
          <w:sz w:val="17"/>
          <w:szCs w:val="17"/>
          <w:color w:val="auto"/>
        </w:rPr>
        <w:t>has the meaning set forth in Section 4.6.</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1.60 “Pre-Commercialization Plan” </w:t>
      </w:r>
      <w:r>
        <w:rPr>
          <w:rFonts w:ascii="Arial" w:cs="Arial" w:eastAsia="Arial" w:hAnsi="Arial"/>
          <w:sz w:val="17"/>
          <w:szCs w:val="17"/>
          <w:color w:val="auto"/>
        </w:rPr>
        <w:t>has the meaning set forth in Section 4.2(a).</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3" w:name="page694"/>
    <w:bookmarkEnd w:id="693"/>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1.61 “Prime” </w:t>
      </w:r>
      <w:r>
        <w:rPr>
          <w:rFonts w:ascii="Arial" w:cs="Arial" w:eastAsia="Arial" w:hAnsi="Arial"/>
          <w:sz w:val="17"/>
          <w:szCs w:val="17"/>
          <w:color w:val="auto"/>
        </w:rPr>
        <w:t>means the then-current prime rate reported by JPMorgan Chase in New York City.</w:t>
      </w:r>
    </w:p>
    <w:p>
      <w:pPr>
        <w:spacing w:after="0" w:line="24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1.62 “Product(s)” </w:t>
      </w:r>
      <w:r>
        <w:rPr>
          <w:rFonts w:ascii="Arial" w:cs="Arial" w:eastAsia="Arial" w:hAnsi="Arial"/>
          <w:sz w:val="17"/>
          <w:szCs w:val="17"/>
          <w:color w:val="auto"/>
        </w:rPr>
        <w:t>means BL-1020 in any dosage form or formulation or mode of administration, alone or in combination with other therapeutically active</w:t>
      </w:r>
      <w:r>
        <w:rPr>
          <w:rFonts w:ascii="Arial" w:cs="Arial" w:eastAsia="Arial" w:hAnsi="Arial"/>
          <w:sz w:val="17"/>
          <w:szCs w:val="17"/>
          <w:b w:val="1"/>
          <w:bCs w:val="1"/>
          <w:color w:val="auto"/>
        </w:rPr>
        <w:t xml:space="preserve"> </w:t>
      </w:r>
      <w:r>
        <w:rPr>
          <w:rFonts w:ascii="Arial" w:cs="Arial" w:eastAsia="Arial" w:hAnsi="Arial"/>
          <w:sz w:val="17"/>
          <w:szCs w:val="17"/>
          <w:color w:val="auto"/>
        </w:rPr>
        <w:t>ingredients.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1.63 “Product Data” </w:t>
      </w:r>
      <w:r>
        <w:rPr>
          <w:rFonts w:ascii="Arial" w:cs="Arial" w:eastAsia="Arial" w:hAnsi="Arial"/>
          <w:sz w:val="17"/>
          <w:szCs w:val="17"/>
          <w:color w:val="auto"/>
        </w:rPr>
        <w:t>has the meaning set forth in Section 4.7(a).</w:t>
      </w:r>
    </w:p>
    <w:p>
      <w:pPr>
        <w:spacing w:after="0" w:line="242"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1.64 “Product Data Costs” </w:t>
      </w:r>
      <w:r>
        <w:rPr>
          <w:rFonts w:ascii="Arial" w:cs="Arial" w:eastAsia="Arial" w:hAnsi="Arial"/>
          <w:sz w:val="17"/>
          <w:szCs w:val="17"/>
          <w:color w:val="auto"/>
        </w:rPr>
        <w:t>means direct and indirect costs incurred or paid by a Party and reasonably attributable to the generation of Product Data,</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by way of example, costs incurred or paid in the conduct of associated clinical trials, statistical analysis of clinical data, manufacturing scale-up and patient recruitment. The Parties shall consult with each other and mutually agree on an appropriate mechanism for establishing Product Data Costs, which mechanism shall be approved by the JSC (or directly by the Parties if the JSC is disbanded).</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1.65 “Product Infringement” </w:t>
      </w:r>
      <w:r>
        <w:rPr>
          <w:rFonts w:ascii="Arial" w:cs="Arial" w:eastAsia="Arial" w:hAnsi="Arial"/>
          <w:sz w:val="17"/>
          <w:szCs w:val="17"/>
          <w:color w:val="auto"/>
        </w:rPr>
        <w:t>has the meaning set forth in Section 9.5(a).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1.66 “Product Inventions” </w:t>
      </w:r>
      <w:r>
        <w:rPr>
          <w:rFonts w:ascii="Arial" w:cs="Arial" w:eastAsia="Arial" w:hAnsi="Arial"/>
          <w:sz w:val="17"/>
          <w:szCs w:val="17"/>
          <w:color w:val="auto"/>
        </w:rPr>
        <w:t>has the meaning set forth in Section 9.3.</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1.67 “Product Marks” </w:t>
      </w:r>
      <w:r>
        <w:rPr>
          <w:rFonts w:ascii="Arial" w:cs="Arial" w:eastAsia="Arial" w:hAnsi="Arial"/>
          <w:sz w:val="17"/>
          <w:szCs w:val="17"/>
          <w:color w:val="auto"/>
        </w:rPr>
        <w:t>has the meaning set forth in Section 6.3.</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1.68 “Regulatory Approval” </w:t>
      </w:r>
      <w:r>
        <w:rPr>
          <w:rFonts w:ascii="Arial" w:cs="Arial" w:eastAsia="Arial" w:hAnsi="Arial"/>
          <w:sz w:val="17"/>
          <w:szCs w:val="17"/>
          <w:color w:val="auto"/>
        </w:rPr>
        <w:t>means, with respect to a Product in any country or jurisdiction in the Cypress Territory, all approvals, registrations, licenses or</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from the relevant Regulatory Authority in such country or jurisdiction that is specific to such Product and necessary to manufacture or market and sell such Product in such country or jurisdiction.</w:t>
      </w:r>
    </w:p>
    <w:p>
      <w:pPr>
        <w:spacing w:after="0" w:line="192"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1.69 “Regulatory Authority” </w:t>
      </w:r>
      <w:r>
        <w:rPr>
          <w:rFonts w:ascii="Arial" w:cs="Arial" w:eastAsia="Arial" w:hAnsi="Arial"/>
          <w:sz w:val="17"/>
          <w:szCs w:val="17"/>
          <w:color w:val="auto"/>
        </w:rPr>
        <w:t>means, in a particular country or regulatory jurisdiction in the Cypress Territory, any applicable Governmental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for granting Regulatory Approval.</w:t>
      </w:r>
    </w:p>
    <w:p>
      <w:pPr>
        <w:spacing w:after="0" w:line="17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1.70 “Regulatory Exclusivity” </w:t>
      </w:r>
      <w:r>
        <w:rPr>
          <w:rFonts w:ascii="Arial" w:cs="Arial" w:eastAsia="Arial" w:hAnsi="Arial"/>
          <w:sz w:val="17"/>
          <w:szCs w:val="17"/>
          <w:color w:val="auto"/>
        </w:rPr>
        <w:t>means market exclusivity granted by a Governmental Authority in the Cypress Territory designed to prevent the entry of</w:t>
      </w:r>
      <w:r>
        <w:rPr>
          <w:rFonts w:ascii="Arial" w:cs="Arial" w:eastAsia="Arial" w:hAnsi="Arial"/>
          <w:sz w:val="17"/>
          <w:szCs w:val="17"/>
          <w:b w:val="1"/>
          <w:bCs w:val="1"/>
          <w:color w:val="auto"/>
        </w:rPr>
        <w:t xml:space="preserve"> </w:t>
      </w:r>
      <w:r>
        <w:rPr>
          <w:rFonts w:ascii="Arial" w:cs="Arial" w:eastAsia="Arial" w:hAnsi="Arial"/>
          <w:sz w:val="17"/>
          <w:szCs w:val="17"/>
          <w:color w:val="auto"/>
        </w:rPr>
        <w:t>Generic Product(s) onto the market in the Field, including new chemical entity exclusivity, new use or indication exclusivity, new formulation exclusivity, orphan drug exclusivity and pediatric exclusivity, or any equivalent of the foregoing in the Cypress Territory.</w:t>
      </w:r>
    </w:p>
    <w:p>
      <w:pPr>
        <w:spacing w:after="0" w:line="192" w:lineRule="exact"/>
        <w:rPr>
          <w:sz w:val="20"/>
          <w:szCs w:val="20"/>
          <w:color w:val="auto"/>
        </w:rPr>
      </w:pPr>
    </w:p>
    <w:p>
      <w:pPr>
        <w:jc w:val="both"/>
        <w:ind w:firstLine="617"/>
        <w:spacing w:after="0" w:line="319" w:lineRule="auto"/>
        <w:rPr>
          <w:sz w:val="20"/>
          <w:szCs w:val="20"/>
          <w:color w:val="auto"/>
        </w:rPr>
      </w:pPr>
      <w:r>
        <w:rPr>
          <w:rFonts w:ascii="Arial" w:cs="Arial" w:eastAsia="Arial" w:hAnsi="Arial"/>
          <w:sz w:val="16"/>
          <w:szCs w:val="16"/>
          <w:b w:val="1"/>
          <w:bCs w:val="1"/>
          <w:color w:val="auto"/>
        </w:rPr>
        <w:t xml:space="preserve">1.71 “Regulatory Filings” </w:t>
      </w:r>
      <w:r>
        <w:rPr>
          <w:rFonts w:ascii="Arial" w:cs="Arial" w:eastAsia="Arial" w:hAnsi="Arial"/>
          <w:sz w:val="16"/>
          <w:szCs w:val="16"/>
          <w:color w:val="auto"/>
        </w:rPr>
        <w:t>means, with respect to the Products, any submission to a Regulatory Authority of any appropriate regulatory application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to Products, and shall include any submission to a regulatory advisory board in the Cypress Territory and any supplement or amendment thereto.</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1.72 “Retained Territory” </w:t>
      </w:r>
      <w:r>
        <w:rPr>
          <w:rFonts w:ascii="Arial" w:cs="Arial" w:eastAsia="Arial" w:hAnsi="Arial"/>
          <w:sz w:val="17"/>
          <w:szCs w:val="17"/>
          <w:color w:val="auto"/>
        </w:rPr>
        <w:t>means all countries and territories in the world outside the Cypress Territory.</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1.73 “Royalty Term” </w:t>
      </w:r>
      <w:r>
        <w:rPr>
          <w:rFonts w:ascii="Arial" w:cs="Arial" w:eastAsia="Arial" w:hAnsi="Arial"/>
          <w:sz w:val="17"/>
          <w:szCs w:val="17"/>
          <w:color w:val="auto"/>
        </w:rPr>
        <w:t>has the meaning set forth in Section 8.3(b).</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94" w:name="page695"/>
    <w:bookmarkEnd w:id="694"/>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1.74 “SEC” </w:t>
      </w:r>
      <w:r>
        <w:rPr>
          <w:rFonts w:ascii="Arial" w:cs="Arial" w:eastAsia="Arial" w:hAnsi="Arial"/>
          <w:sz w:val="17"/>
          <w:szCs w:val="17"/>
          <w:color w:val="auto"/>
        </w:rPr>
        <w:t>has the meaning set forth in Section 12.4(a).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1.75 “Share Amount” </w:t>
      </w:r>
      <w:r>
        <w:rPr>
          <w:rFonts w:ascii="Arial" w:cs="Arial" w:eastAsia="Arial" w:hAnsi="Arial"/>
          <w:sz w:val="17"/>
          <w:szCs w:val="17"/>
          <w:color w:val="auto"/>
        </w:rPr>
        <w:t>has the meaning set forth in Section 8.2(a).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1.76 “Sole Inventions” </w:t>
      </w:r>
      <w:r>
        <w:rPr>
          <w:rFonts w:ascii="Arial" w:cs="Arial" w:eastAsia="Arial" w:hAnsi="Arial"/>
          <w:sz w:val="17"/>
          <w:szCs w:val="17"/>
          <w:color w:val="auto"/>
        </w:rPr>
        <w:t>has the meaning set forth in Section 9.1(a).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1.77 “Sublicense Agreement” </w:t>
      </w:r>
      <w:r>
        <w:rPr>
          <w:rFonts w:ascii="Arial" w:cs="Arial" w:eastAsia="Arial" w:hAnsi="Arial"/>
          <w:sz w:val="17"/>
          <w:szCs w:val="17"/>
          <w:color w:val="auto"/>
        </w:rPr>
        <w:t>has the meaning set forth in Section 2.4.</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1.78 “Successful Completion” </w:t>
      </w:r>
      <w:r>
        <w:rPr>
          <w:rFonts w:ascii="Arial" w:cs="Arial" w:eastAsia="Arial" w:hAnsi="Arial"/>
          <w:sz w:val="17"/>
          <w:szCs w:val="17"/>
          <w:color w:val="auto"/>
        </w:rPr>
        <w:t>has the meaning set forth in Section 8.2(b).</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1.79 “TASE’s Approval” </w:t>
      </w:r>
      <w:r>
        <w:rPr>
          <w:rFonts w:ascii="Arial" w:cs="Arial" w:eastAsia="Arial" w:hAnsi="Arial"/>
          <w:sz w:val="17"/>
          <w:szCs w:val="17"/>
          <w:color w:val="auto"/>
        </w:rPr>
        <w:t>has the meaning set forth in Section 8.2(a).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 xml:space="preserve">1.80 “Taxes” </w:t>
      </w:r>
      <w:r>
        <w:rPr>
          <w:rFonts w:ascii="Arial" w:cs="Arial" w:eastAsia="Arial" w:hAnsi="Arial"/>
          <w:sz w:val="15"/>
          <w:szCs w:val="15"/>
          <w:color w:val="auto"/>
        </w:rPr>
        <w:t>means taxes (other than income taxes), duties, tariffs or other governmental charges levied on the sale of Products, including consumption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taxes.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1.81 “Term” </w:t>
      </w:r>
      <w:r>
        <w:rPr>
          <w:rFonts w:ascii="Arial" w:cs="Arial" w:eastAsia="Arial" w:hAnsi="Arial"/>
          <w:sz w:val="17"/>
          <w:szCs w:val="17"/>
          <w:color w:val="auto"/>
        </w:rPr>
        <w:t>means the term of this Agreement, as determined in accordance with Article 13.</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1.82 “Territory” </w:t>
      </w:r>
      <w:r>
        <w:rPr>
          <w:rFonts w:ascii="Arial" w:cs="Arial" w:eastAsia="Arial" w:hAnsi="Arial"/>
          <w:sz w:val="17"/>
          <w:szCs w:val="17"/>
          <w:color w:val="auto"/>
        </w:rPr>
        <w:t>means the Cypress Territory or the Retained Territory, as applicable.</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1.83 “Third Party” </w:t>
      </w:r>
      <w:r>
        <w:rPr>
          <w:rFonts w:ascii="Arial" w:cs="Arial" w:eastAsia="Arial" w:hAnsi="Arial"/>
          <w:sz w:val="17"/>
          <w:szCs w:val="17"/>
          <w:color w:val="auto"/>
        </w:rPr>
        <w:t>means any person or entity other than BioLineRx or Cypress or an Affiliate of either of them.</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1.84 “Third-Party Claim” </w:t>
      </w:r>
      <w:r>
        <w:rPr>
          <w:rFonts w:ascii="Arial" w:cs="Arial" w:eastAsia="Arial" w:hAnsi="Arial"/>
          <w:sz w:val="17"/>
          <w:szCs w:val="17"/>
          <w:color w:val="auto"/>
        </w:rPr>
        <w:t>has the meaning set forth in Section 11.1.</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1.85 “Third Party Data” </w:t>
      </w:r>
      <w:r>
        <w:rPr>
          <w:rFonts w:ascii="Arial" w:cs="Arial" w:eastAsia="Arial" w:hAnsi="Arial"/>
          <w:sz w:val="17"/>
          <w:szCs w:val="17"/>
          <w:color w:val="auto"/>
        </w:rPr>
        <w:t>has the meaning set forth in Section 4.7(e).</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1.86 “Third Party Partner” </w:t>
      </w:r>
      <w:r>
        <w:rPr>
          <w:rFonts w:ascii="Arial" w:cs="Arial" w:eastAsia="Arial" w:hAnsi="Arial"/>
          <w:sz w:val="17"/>
          <w:szCs w:val="17"/>
          <w:color w:val="auto"/>
        </w:rPr>
        <w:t>has the meaning set forth in Section 4.7(e).</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1.87 “Third-Party Payment” </w:t>
      </w:r>
      <w:r>
        <w:rPr>
          <w:rFonts w:ascii="Arial" w:cs="Arial" w:eastAsia="Arial" w:hAnsi="Arial"/>
          <w:sz w:val="17"/>
          <w:szCs w:val="17"/>
          <w:color w:val="auto"/>
        </w:rPr>
        <w:t>has the meaning set forth in Section 8.3(c).</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1.88 “UA Patents” </w:t>
      </w:r>
      <w:r>
        <w:rPr>
          <w:rFonts w:ascii="Arial" w:cs="Arial" w:eastAsia="Arial" w:hAnsi="Arial"/>
          <w:sz w:val="17"/>
          <w:szCs w:val="17"/>
          <w:color w:val="auto"/>
        </w:rPr>
        <w:t>has the meaning set forth in Section 9.4(a).</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1.89 “Upfront Fee” </w:t>
      </w:r>
      <w:r>
        <w:rPr>
          <w:rFonts w:ascii="Arial" w:cs="Arial" w:eastAsia="Arial" w:hAnsi="Arial"/>
          <w:sz w:val="17"/>
          <w:szCs w:val="17"/>
          <w:color w:val="auto"/>
        </w:rPr>
        <w:t>has the meaning set forth in Section 8.1.</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1.90 “Upstream Agreement” </w:t>
      </w:r>
      <w:r>
        <w:rPr>
          <w:rFonts w:ascii="Arial" w:cs="Arial" w:eastAsia="Arial" w:hAnsi="Arial"/>
          <w:sz w:val="17"/>
          <w:szCs w:val="17"/>
          <w:color w:val="auto"/>
        </w:rPr>
        <w:t>means that certain Research and License Agreement between BioLineRx Ltd. and Bar-Ilan Research and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Ltd. and Ramot at Tel-Aviv University Ltd. (collectively, the latter two parties are referred to herein as the </w:t>
      </w:r>
      <w:r>
        <w:rPr>
          <w:rFonts w:ascii="Arial" w:cs="Arial" w:eastAsia="Arial" w:hAnsi="Arial"/>
          <w:sz w:val="17"/>
          <w:szCs w:val="17"/>
          <w:b w:val="1"/>
          <w:bCs w:val="1"/>
          <w:color w:val="auto"/>
        </w:rPr>
        <w:t>“Upstream Licensors”</w:t>
      </w:r>
      <w:r>
        <w:rPr>
          <w:rFonts w:ascii="Arial" w:cs="Arial" w:eastAsia="Arial" w:hAnsi="Arial"/>
          <w:sz w:val="17"/>
          <w:szCs w:val="17"/>
          <w:color w:val="auto"/>
        </w:rPr>
        <w:t>) dated April 15, 2004, as amended through the Execution Date.</w:t>
      </w:r>
    </w:p>
    <w:p>
      <w:pPr>
        <w:spacing w:after="0" w:line="192" w:lineRule="exact"/>
        <w:rPr>
          <w:sz w:val="20"/>
          <w:szCs w:val="20"/>
          <w:color w:val="auto"/>
        </w:rPr>
      </w:pPr>
    </w:p>
    <w:p>
      <w:pPr>
        <w:jc w:val="both"/>
        <w:ind w:firstLine="617"/>
        <w:spacing w:after="0" w:line="303" w:lineRule="auto"/>
        <w:rPr>
          <w:sz w:val="20"/>
          <w:szCs w:val="20"/>
          <w:color w:val="auto"/>
        </w:rPr>
      </w:pPr>
      <w:r>
        <w:rPr>
          <w:rFonts w:ascii="Arial" w:cs="Arial" w:eastAsia="Arial" w:hAnsi="Arial"/>
          <w:sz w:val="15"/>
          <w:szCs w:val="15"/>
          <w:b w:val="1"/>
          <w:bCs w:val="1"/>
          <w:color w:val="auto"/>
        </w:rPr>
        <w:t xml:space="preserve">1.91 “Valid Claim” </w:t>
      </w:r>
      <w:r>
        <w:rPr>
          <w:rFonts w:ascii="Arial" w:cs="Arial" w:eastAsia="Arial" w:hAnsi="Arial"/>
          <w:sz w:val="15"/>
          <w:szCs w:val="15"/>
          <w:color w:val="auto"/>
        </w:rPr>
        <w:t>means, with respect to any country in the Cypress Territory: (a) a claim of an issued and unexpired patent (as may be extended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supplementary protection certificate or patent term extension or the like) included within the BioLineRx Patents, the Cypress Patents or the Joint Patents to the extent such claim has not been (i) held invalid or unenforceable by a non-appealed or un-appealable decision of a court or government agency or other appropriate body of competent jurisdiction and has not been admitted invalid through disclaimer or dedication to the public, and (ii) has not expired, been determined to be unenforceable, been cancelled, withdrawn, abandoned, or (b) a claim of a pending patent application included within the BioLineRx Patents, the Cypress Patents or the Joint Patents.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5" w:name="page696"/>
    <w:bookmarkEnd w:id="695"/>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 xml:space="preserve">1.92 Construction. </w:t>
      </w:r>
      <w:r>
        <w:rPr>
          <w:rFonts w:ascii="Arial" w:cs="Arial" w:eastAsia="Arial" w:hAnsi="Arial"/>
          <w:sz w:val="16"/>
          <w:szCs w:val="16"/>
          <w:color w:val="auto"/>
        </w:rPr>
        <w:t>Except where expressly stated otherwise in this Agreement, the following rules of interpretation apply to this Agreement: (a)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and “including” are not limiting and shall be deemed to be followed by “without limitation”; (b) definitions contained in this Agreement are applicable to the singular as well as the plural forms of such terms; (c) references to an agreement, statute or instrument mean such agreement, statute or instrument as from time to time amended, modified or supplemented; (d) references to a Person are also to its permitted successors and assigns; (e) the plain meaning of the description for a defined term, and other headings to this Agreement are for convenience only, and shall have no force or effect in construing or interpreting any of the provisions of this Agreement or any other legal effect; (f) references to “Parties”, “Article”, “Section”, “Exhibit” or “Schedule” refer to the Parties to, an Article or Section of, or any Exhibit or Schedule to, this Agreement, unless otherwise indicated; (g) the word “will” shall be construed to have the same meaning and effect as the word “shall” and vice versa; (h) the word “or” has, except where otherwise indicated or where the context otherwise requires, the inclusive meaning represented by the phrase “and/or”; and (i) references to dollars are references to U.S. Dollars.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LICENSES AND EXCLUSIVITY</w:t>
      </w:r>
    </w:p>
    <w:p>
      <w:pPr>
        <w:spacing w:after="0" w:line="242" w:lineRule="exact"/>
        <w:rPr>
          <w:sz w:val="20"/>
          <w:szCs w:val="20"/>
          <w:color w:val="auto"/>
        </w:rPr>
      </w:pPr>
    </w:p>
    <w:p>
      <w:pPr>
        <w:jc w:val="both"/>
        <w:ind w:firstLine="617"/>
        <w:spacing w:after="0" w:line="271" w:lineRule="auto"/>
        <w:rPr>
          <w:sz w:val="20"/>
          <w:szCs w:val="20"/>
          <w:color w:val="auto"/>
        </w:rPr>
      </w:pPr>
      <w:r>
        <w:rPr>
          <w:rFonts w:ascii="Arial" w:cs="Arial" w:eastAsia="Arial" w:hAnsi="Arial"/>
          <w:sz w:val="16"/>
          <w:szCs w:val="16"/>
          <w:b w:val="1"/>
          <w:bCs w:val="1"/>
          <w:color w:val="auto"/>
        </w:rPr>
        <w:t xml:space="preserve">2.1 Effective Date. </w:t>
      </w:r>
      <w:r>
        <w:rPr>
          <w:rFonts w:ascii="Arial" w:cs="Arial" w:eastAsia="Arial" w:hAnsi="Arial"/>
          <w:sz w:val="16"/>
          <w:szCs w:val="16"/>
          <w:color w:val="auto"/>
        </w:rPr>
        <w:t>The Parties acknowledge that the Office of the Chief Scientist of the Ministry of Industry, Trade and Labor of the State of Israel (the</w:t>
      </w:r>
      <w:r>
        <w:rPr>
          <w:rFonts w:ascii="Arial" w:cs="Arial" w:eastAsia="Arial" w:hAnsi="Arial"/>
          <w:sz w:val="16"/>
          <w:szCs w:val="16"/>
          <w:b w:val="1"/>
          <w:bCs w:val="1"/>
          <w:color w:val="auto"/>
        </w:rPr>
        <w:t xml:space="preserve"> </w:t>
      </w:r>
      <w:r>
        <w:rPr>
          <w:rFonts w:ascii="Arial" w:cs="Arial" w:eastAsia="Arial" w:hAnsi="Arial"/>
          <w:sz w:val="16"/>
          <w:szCs w:val="16"/>
          <w:color w:val="auto"/>
        </w:rPr>
        <w:t>“OCS”) must consent to this Agreement before this Agreement is made effective. BioLineRx shall use its best efforts to obtain the written consent of the OCS to this Agreement in the form executed by the Parties as of the Execution Date (“Execution Date Agreement”) within [***] days after the Execution Date. If the OCS has not provided such consent during such [***] days, then BioLineRx shall have the right, and Cypress shall have the right to require BioLineRx, to continue to use best efforts to obtain such consent. In addition, (i) Cypress shall have the right to have a representative present at all meetings, conference calls and any other interactions between BioLineRx’s representatives and the OCS relating to such consent, and (ii) BioLineRx shall (A) provide Cypress with a reasonable opportunity to review and approve any communications related to the request for consent submitted to the OCS or prepared in anticipation of an in-person meeting, conference call or any other such interactions and (B) keep Cypress fully informed as to the progress of such request for consent and shall consult with Cypress in good faith with respect thereto. The Parties acknowledge that it may be necessary prior to the Effective Date to modify the Execution Date Agreement to comply with the specific, formal written requests of the OCS and the Parties shall consider any such proposed modifications in good faith; provided that (a) all financial obligations that may be imposed by the OCS as a pre-condition to obtaining OCS consent to this Agreement shall be the sole responsibility of BioLineRx; (b) the Parties will cooperate in good faith to minimize financial and non-financial obligations (which obligations must be commercially reasonable) that may be imposed by the OCS as a pre-condition to obtaining OCS consent to this Agreement; and (c) after the Parties have considered any such proposed modifications in good faith, Cypress shall not be required to agree to any modifications to the Execution Date Agreement that would have, or would be likely to have, a material adverse impact on Cypress’ rights or obligations as set forth in the Execution Date Agreement. Notwithstanding anything herein to the contrary, the provisions of this Execution Date Agreement other than this Section 2.1 and Sections 8.1 and 13.5 shall not be effective until the Effective Date. From and after the Effective Date, the entire Agreement shall be in full force and effect.</w:t>
      </w:r>
    </w:p>
    <w:p>
      <w:pPr>
        <w:spacing w:after="0" w:line="198" w:lineRule="exact"/>
        <w:rPr>
          <w:sz w:val="20"/>
          <w:szCs w:val="20"/>
          <w:color w:val="auto"/>
        </w:rPr>
      </w:pPr>
    </w:p>
    <w:p>
      <w:pPr>
        <w:ind w:left="5640" w:right="2360" w:hanging="5637"/>
        <w:spacing w:after="0" w:line="854" w:lineRule="auto"/>
        <w:tabs>
          <w:tab w:leader="none" w:pos="426" w:val="left"/>
        </w:tabs>
        <w:numPr>
          <w:ilvl w:val="0"/>
          <w:numId w:val="6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6" w:name="page697"/>
    <w:bookmarkEnd w:id="696"/>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2.2 Licenses to Cypress</w:t>
      </w:r>
      <w:r>
        <w:rPr>
          <w:rFonts w:ascii="Arial" w:cs="Arial" w:eastAsia="Arial" w:hAnsi="Arial"/>
          <w:sz w:val="17"/>
          <w:szCs w:val="17"/>
          <w:color w:val="auto"/>
        </w:rPr>
        <w:t>. Subject to the terms of this Agreement, BioLineRx hereby grants to Cypress:</w:t>
      </w:r>
    </w:p>
    <w:p>
      <w:pPr>
        <w:spacing w:after="0" w:line="248" w:lineRule="exact"/>
        <w:rPr>
          <w:sz w:val="20"/>
          <w:szCs w:val="20"/>
          <w:color w:val="auto"/>
        </w:rPr>
      </w:pPr>
    </w:p>
    <w:p>
      <w:pPr>
        <w:jc w:val="both"/>
        <w:ind w:firstLine="1238"/>
        <w:spacing w:after="0" w:line="256" w:lineRule="auto"/>
        <w:tabs>
          <w:tab w:leader="none" w:pos="1477" w:val="left"/>
        </w:tabs>
        <w:numPr>
          <w:ilvl w:val="0"/>
          <w:numId w:val="616"/>
        </w:numPr>
        <w:rPr>
          <w:rFonts w:ascii="Arial" w:cs="Arial" w:eastAsia="Arial" w:hAnsi="Arial"/>
          <w:sz w:val="17"/>
          <w:szCs w:val="17"/>
          <w:b w:val="1"/>
          <w:bCs w:val="1"/>
          <w:color w:val="auto"/>
        </w:rPr>
      </w:pPr>
      <w:r>
        <w:rPr>
          <w:rFonts w:ascii="Arial" w:cs="Arial" w:eastAsia="Arial" w:hAnsi="Arial"/>
          <w:sz w:val="17"/>
          <w:szCs w:val="17"/>
          <w:color w:val="auto"/>
        </w:rPr>
        <w:t>an exclusive (even as to BioLineRx), royalty-bearing license, with the right to grant sublicenses (through multiple tiers) subject to Section 2.4 below, under the BioLineRx Technology, to Pre-Commercialize, use (solely for the purpose of carrying out its obligations and exercising its rights under this Agreement), sell, offer for sale, have sold, import and otherwise Commercialize the Products in the Field in the Cypress Territory, and subject to Section 7.1, to make and have made Products for Commercialization in the Cypress Territory (provided that Cypress shall not be deemed to have exceeded the scope of this right and license to the extent that Commercialization activities conducted by or on behalf of Cypress in compliance with applicable Law, internal policies and procedures and using Commercially Reasonable Efforts via the Internet or other global electronic means or methods targeted to persons within the Field in the Cypress Territory may reach persons outside of the Field or the Cypress Territory); and further provided that BioLineRx retains all rights to make and have made Products, and to license manufacture of Products, outside of the Cypress Territory;</w:t>
      </w:r>
    </w:p>
    <w:p>
      <w:pPr>
        <w:spacing w:after="0" w:line="209" w:lineRule="exact"/>
        <w:rPr>
          <w:rFonts w:ascii="Arial" w:cs="Arial" w:eastAsia="Arial" w:hAnsi="Arial"/>
          <w:sz w:val="17"/>
          <w:szCs w:val="17"/>
          <w:b w:val="1"/>
          <w:bCs w:val="1"/>
          <w:color w:val="auto"/>
        </w:rPr>
      </w:pPr>
    </w:p>
    <w:p>
      <w:pPr>
        <w:jc w:val="both"/>
        <w:ind w:firstLine="1238"/>
        <w:spacing w:after="0" w:line="265" w:lineRule="auto"/>
        <w:tabs>
          <w:tab w:leader="none" w:pos="1487" w:val="left"/>
        </w:tabs>
        <w:numPr>
          <w:ilvl w:val="0"/>
          <w:numId w:val="616"/>
        </w:numPr>
        <w:rPr>
          <w:rFonts w:ascii="Arial" w:cs="Arial" w:eastAsia="Arial" w:hAnsi="Arial"/>
          <w:sz w:val="17"/>
          <w:szCs w:val="17"/>
          <w:b w:val="1"/>
          <w:bCs w:val="1"/>
          <w:color w:val="auto"/>
        </w:rPr>
      </w:pPr>
      <w:r>
        <w:rPr>
          <w:rFonts w:ascii="Arial" w:cs="Arial" w:eastAsia="Arial" w:hAnsi="Arial"/>
          <w:sz w:val="17"/>
          <w:szCs w:val="17"/>
          <w:color w:val="auto"/>
        </w:rPr>
        <w:t>a non-exclusive, fully-paid, royalty-free license, with the right to grant sublicenses (through multiple tiers) subject to Section 2.4 below, under Product Inventions, to use any Product Inventions for the pre-commercialization, manufacture and commercialization of products other than the Products in the Cypress Territory; and</w:t>
      </w:r>
    </w:p>
    <w:p>
      <w:pPr>
        <w:spacing w:after="0" w:line="201" w:lineRule="exact"/>
        <w:rPr>
          <w:rFonts w:ascii="Arial" w:cs="Arial" w:eastAsia="Arial" w:hAnsi="Arial"/>
          <w:sz w:val="17"/>
          <w:szCs w:val="17"/>
          <w:b w:val="1"/>
          <w:bCs w:val="1"/>
          <w:color w:val="auto"/>
        </w:rPr>
      </w:pPr>
    </w:p>
    <w:p>
      <w:pPr>
        <w:jc w:val="both"/>
        <w:ind w:firstLine="1238"/>
        <w:spacing w:after="0" w:line="265" w:lineRule="auto"/>
        <w:tabs>
          <w:tab w:leader="none" w:pos="1481" w:val="left"/>
        </w:tabs>
        <w:numPr>
          <w:ilvl w:val="0"/>
          <w:numId w:val="616"/>
        </w:numPr>
        <w:rPr>
          <w:rFonts w:ascii="Arial" w:cs="Arial" w:eastAsia="Arial" w:hAnsi="Arial"/>
          <w:sz w:val="17"/>
          <w:szCs w:val="17"/>
          <w:b w:val="1"/>
          <w:bCs w:val="1"/>
          <w:color w:val="auto"/>
        </w:rPr>
      </w:pPr>
      <w:r>
        <w:rPr>
          <w:rFonts w:ascii="Arial" w:cs="Arial" w:eastAsia="Arial" w:hAnsi="Arial"/>
          <w:sz w:val="17"/>
          <w:szCs w:val="17"/>
          <w:color w:val="auto"/>
        </w:rPr>
        <w:t>subject to Section 4.7(c), an exclusive license, with the right to grant sublicenses (through multiple tiers) subject to Section 2.4 below, to use BioLineRx Product Data to Pre-Commercialize, Commercialize or manufacture the Products in the Cypress Territory, including the right to use any and all such BioLineRx Product Data in any Regulatory Filings.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2.3 Licenses to BioLineRx. </w:t>
      </w:r>
      <w:r>
        <w:rPr>
          <w:rFonts w:ascii="Arial" w:cs="Arial" w:eastAsia="Arial" w:hAnsi="Arial"/>
          <w:sz w:val="17"/>
          <w:szCs w:val="17"/>
          <w:color w:val="auto"/>
        </w:rPr>
        <w:t>Subject to the terms of this Agreement, Cypress hereby grants to BioLineRx:</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97" w:name="page698"/>
    <w:bookmarkEnd w:id="697"/>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65" w:lineRule="auto"/>
        <w:tabs>
          <w:tab w:leader="none" w:pos="1477" w:val="left"/>
        </w:tabs>
        <w:numPr>
          <w:ilvl w:val="0"/>
          <w:numId w:val="617"/>
        </w:numPr>
        <w:rPr>
          <w:rFonts w:ascii="Arial" w:cs="Arial" w:eastAsia="Arial" w:hAnsi="Arial"/>
          <w:sz w:val="17"/>
          <w:szCs w:val="17"/>
          <w:b w:val="1"/>
          <w:bCs w:val="1"/>
          <w:color w:val="auto"/>
        </w:rPr>
      </w:pPr>
      <w:r>
        <w:rPr>
          <w:rFonts w:ascii="Arial" w:cs="Arial" w:eastAsia="Arial" w:hAnsi="Arial"/>
          <w:sz w:val="17"/>
          <w:szCs w:val="17"/>
          <w:color w:val="auto"/>
        </w:rPr>
        <w:t>a non-exclusive, fully-paid, royalty-free license under the Cypress Technology to perform BioLineRx’s obligations under this Agreement (with the right to grant sublicenses to a mutually agreed-upon Third Party service provider or agent, in accordance with the then-effective Pre-Commercialization Plan; provided that the service provider to be used in the conduct of the Meltzer Study is hereby mutually agreed-upon); and</w:t>
      </w:r>
    </w:p>
    <w:p>
      <w:pPr>
        <w:spacing w:after="0" w:line="201" w:lineRule="exact"/>
        <w:rPr>
          <w:rFonts w:ascii="Arial" w:cs="Arial" w:eastAsia="Arial" w:hAnsi="Arial"/>
          <w:sz w:val="17"/>
          <w:szCs w:val="17"/>
          <w:b w:val="1"/>
          <w:bCs w:val="1"/>
          <w:color w:val="auto"/>
        </w:rPr>
      </w:pPr>
    </w:p>
    <w:p>
      <w:pPr>
        <w:jc w:val="both"/>
        <w:ind w:firstLine="1238"/>
        <w:spacing w:after="0" w:line="265" w:lineRule="auto"/>
        <w:tabs>
          <w:tab w:leader="none" w:pos="1487" w:val="left"/>
        </w:tabs>
        <w:numPr>
          <w:ilvl w:val="0"/>
          <w:numId w:val="617"/>
        </w:numPr>
        <w:rPr>
          <w:rFonts w:ascii="Arial" w:cs="Arial" w:eastAsia="Arial" w:hAnsi="Arial"/>
          <w:sz w:val="17"/>
          <w:szCs w:val="17"/>
          <w:b w:val="1"/>
          <w:bCs w:val="1"/>
          <w:color w:val="auto"/>
        </w:rPr>
      </w:pPr>
      <w:r>
        <w:rPr>
          <w:rFonts w:ascii="Arial" w:cs="Arial" w:eastAsia="Arial" w:hAnsi="Arial"/>
          <w:sz w:val="17"/>
          <w:szCs w:val="17"/>
          <w:color w:val="auto"/>
        </w:rPr>
        <w:t>subject to Section 4.7(b), an exclusive license, with the right to grant sublicenses (through multiple tiers) subject to Section 2.4 below, to use Cypress Product Data to research, develop, make, have made, use, sell, offer for sale and import Products in the Retained Territory, including the right to use any and all Cypress Product Data in any regulatory filings in the Retained Territory.</w:t>
      </w:r>
    </w:p>
    <w:p>
      <w:pPr>
        <w:spacing w:after="0" w:line="195" w:lineRule="exact"/>
        <w:rPr>
          <w:sz w:val="20"/>
          <w:szCs w:val="20"/>
          <w:color w:val="auto"/>
        </w:rPr>
      </w:pPr>
    </w:p>
    <w:p>
      <w:pPr>
        <w:jc w:val="both"/>
        <w:ind w:firstLine="617"/>
        <w:spacing w:after="0" w:line="290" w:lineRule="auto"/>
        <w:rPr>
          <w:sz w:val="20"/>
          <w:szCs w:val="20"/>
          <w:color w:val="auto"/>
        </w:rPr>
      </w:pPr>
      <w:r>
        <w:rPr>
          <w:rFonts w:ascii="Arial" w:cs="Arial" w:eastAsia="Arial" w:hAnsi="Arial"/>
          <w:sz w:val="15"/>
          <w:szCs w:val="15"/>
          <w:b w:val="1"/>
          <w:bCs w:val="1"/>
          <w:color w:val="auto"/>
        </w:rPr>
        <w:t xml:space="preserve">Sublicenses. </w:t>
      </w:r>
      <w:r>
        <w:rPr>
          <w:rFonts w:ascii="Arial" w:cs="Arial" w:eastAsia="Arial" w:hAnsi="Arial"/>
          <w:sz w:val="15"/>
          <w:szCs w:val="15"/>
          <w:color w:val="auto"/>
        </w:rPr>
        <w:t>Each Party shall have the right to grant sublicenses under the licenses in Section 2.2 or 2.3, as applicable, to its Affiliates or Third Parties,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case of BioLineRx, without the prior written consent of Cypress, and in the case of Cypress, only with the prior written consent of BioLineRx (not to be unreasonably withheld, conditioned or delayed). The sublicensing Party shall remain primarily responsible for the performance of the obligations hereunder by each of its sublicensees. The sublicensing Party shall, within [***] days after granting any sublicense, notify the other Party of the grant of such sublicense and provide the other Party with a true and complete copy of such sublicensing agreement. Each sublicense agreement shall be consistent with the terms and conditions under this Agreement, and, to the extent applicable to the UA Patents or to the BioLineRx Know-How licensed under the Upstream Agreement and sublicensed to Cypress hereunder, each sublicense agreement entered into by Cypress shall be in compliance and not inconsistent with the terms and conditions of the Upstream Agreement (including the limitation on Cypress’ ability to sublicense as set forth in Section 5.2.2.3 of the Upstream Agreement and the requirement to obtain BioLineRx’s prior written consent as set forth in Section 5.2.2.5 of the Upstream Agreement). Each Party shall, in each agreement under which it grants a sublicense under the licenses set forth in Section 2.2 or 2.3, as applicable (each, a </w:t>
      </w:r>
      <w:r>
        <w:rPr>
          <w:rFonts w:ascii="Arial" w:cs="Arial" w:eastAsia="Arial" w:hAnsi="Arial"/>
          <w:sz w:val="15"/>
          <w:szCs w:val="15"/>
          <w:b w:val="1"/>
          <w:bCs w:val="1"/>
          <w:color w:val="auto"/>
        </w:rPr>
        <w:t>“Sublicense Agreement”</w:t>
      </w:r>
      <w:r>
        <w:rPr>
          <w:rFonts w:ascii="Arial" w:cs="Arial" w:eastAsia="Arial" w:hAnsi="Arial"/>
          <w:sz w:val="15"/>
          <w:szCs w:val="15"/>
          <w:color w:val="auto"/>
        </w:rPr>
        <w:t>), include the following terms and conditions: (i) the sublicensee is required to provide the following to the sublicensing Party if such Sublicense Agreement terminates: (A) the assignment and transfer of ownership and possession of all Regulatory Filings and Regulatory Approvals held or possessed by such sublicensee, and (B) the assignment of, or a freely sublicenseable exclusive license to, all intellectual property Controlled by such sublicensee with a Valid Claim covering the Pre-Commercialization, Commercialization or manufacture of the Products in the Field in the applicable Territory and was created by or on behalf of such sublicensee during the exercise of its rights or fulfillment of its obligations pursuant to such Sublicense Agreement; and (ii) upon the reasonable request of a Cypress sublicensee in good standing under its Cypress sublicense which wishes to retain its continuous rights granted to it by Cypress under such sublicense, BioLineRx and such sublicensee shall enter into a direct license agreement, the terms of which shall be substantially similar to the terms of this Agreement (adjusted to take into account any differences in territory or field in such sublicense).</w:t>
      </w:r>
    </w:p>
    <w:p>
      <w:pPr>
        <w:spacing w:after="0" w:line="187" w:lineRule="exact"/>
        <w:rPr>
          <w:sz w:val="20"/>
          <w:szCs w:val="20"/>
          <w:color w:val="auto"/>
        </w:rPr>
      </w:pPr>
    </w:p>
    <w:p>
      <w:pPr>
        <w:ind w:left="5620" w:right="2360" w:hanging="5617"/>
        <w:spacing w:after="0" w:line="854" w:lineRule="auto"/>
        <w:tabs>
          <w:tab w:leader="none" w:pos="409"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698" w:name="page699"/>
    <w:bookmarkEnd w:id="698"/>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2.4 Negative Covenants</w:t>
      </w:r>
      <w:r>
        <w:rPr>
          <w:rFonts w:ascii="Arial" w:cs="Arial" w:eastAsia="Arial" w:hAnsi="Arial"/>
          <w:sz w:val="17"/>
          <w:szCs w:val="17"/>
          <w:color w:val="auto"/>
        </w:rPr>
        <w:t>.</w:t>
      </w:r>
    </w:p>
    <w:p>
      <w:pPr>
        <w:spacing w:after="0" w:line="242" w:lineRule="exact"/>
        <w:rPr>
          <w:sz w:val="20"/>
          <w:szCs w:val="20"/>
          <w:color w:val="auto"/>
        </w:rPr>
      </w:pPr>
    </w:p>
    <w:p>
      <w:pPr>
        <w:ind w:firstLine="1238"/>
        <w:spacing w:after="0" w:line="286" w:lineRule="auto"/>
        <w:tabs>
          <w:tab w:leader="none" w:pos="1477"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Cypress Negative Covenants. </w:t>
      </w:r>
      <w:r>
        <w:rPr>
          <w:rFonts w:ascii="Arial" w:cs="Arial" w:eastAsia="Arial" w:hAnsi="Arial"/>
          <w:sz w:val="17"/>
          <w:szCs w:val="17"/>
          <w:color w:val="auto"/>
        </w:rPr>
        <w:t>Cypress covenants that it will not, and it will not permit any of its Affiliates or sublicensees to, use or practice</w:t>
      </w:r>
      <w:r>
        <w:rPr>
          <w:rFonts w:ascii="Arial" w:cs="Arial" w:eastAsia="Arial" w:hAnsi="Arial"/>
          <w:sz w:val="17"/>
          <w:szCs w:val="17"/>
          <w:b w:val="1"/>
          <w:bCs w:val="1"/>
          <w:color w:val="auto"/>
        </w:rPr>
        <w:t xml:space="preserve"> </w:t>
      </w:r>
      <w:r>
        <w:rPr>
          <w:rFonts w:ascii="Arial" w:cs="Arial" w:eastAsia="Arial" w:hAnsi="Arial"/>
          <w:sz w:val="17"/>
          <w:szCs w:val="17"/>
          <w:color w:val="auto"/>
        </w:rPr>
        <w:t>any BioLineRx Technology outside the scope of the license granted to it under Section 2.2 above.</w:t>
      </w:r>
    </w:p>
    <w:p>
      <w:pPr>
        <w:spacing w:after="0" w:line="177" w:lineRule="exact"/>
        <w:rPr>
          <w:rFonts w:ascii="Arial" w:cs="Arial" w:eastAsia="Arial" w:hAnsi="Arial"/>
          <w:sz w:val="17"/>
          <w:szCs w:val="17"/>
          <w:b w:val="1"/>
          <w:bCs w:val="1"/>
          <w:color w:val="auto"/>
        </w:rPr>
      </w:pPr>
    </w:p>
    <w:p>
      <w:pPr>
        <w:ind w:left="1500" w:hanging="262"/>
        <w:spacing w:after="0"/>
        <w:tabs>
          <w:tab w:leader="none" w:pos="1500"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color w:val="auto"/>
        </w:rPr>
        <w:t>BioLineRx Negative Covenants.</w:t>
      </w:r>
    </w:p>
    <w:p>
      <w:pPr>
        <w:spacing w:after="0" w:line="247" w:lineRule="exact"/>
        <w:rPr>
          <w:rFonts w:ascii="Arial" w:cs="Arial" w:eastAsia="Arial" w:hAnsi="Arial"/>
          <w:sz w:val="17"/>
          <w:szCs w:val="17"/>
          <w:b w:val="1"/>
          <w:bCs w:val="1"/>
          <w:color w:val="auto"/>
        </w:rPr>
      </w:pPr>
    </w:p>
    <w:p>
      <w:pPr>
        <w:ind w:firstLine="2473"/>
        <w:spacing w:after="0" w:line="278" w:lineRule="auto"/>
        <w:tabs>
          <w:tab w:leader="none" w:pos="2712" w:val="left"/>
        </w:tabs>
        <w:numPr>
          <w:ilvl w:val="1"/>
          <w:numId w:val="619"/>
        </w:numPr>
        <w:rPr>
          <w:rFonts w:ascii="Arial" w:cs="Arial" w:eastAsia="Arial" w:hAnsi="Arial"/>
          <w:sz w:val="17"/>
          <w:szCs w:val="17"/>
          <w:b w:val="1"/>
          <w:bCs w:val="1"/>
          <w:color w:val="auto"/>
        </w:rPr>
      </w:pPr>
      <w:r>
        <w:rPr>
          <w:rFonts w:ascii="Arial" w:cs="Arial" w:eastAsia="Arial" w:hAnsi="Arial"/>
          <w:sz w:val="17"/>
          <w:szCs w:val="17"/>
          <w:color w:val="auto"/>
        </w:rPr>
        <w:t>BioLineRx covenants that it will not, and it will not permit any of its Affiliates or sublicensees to, use or practice any Cypress Technology outside the scope of the license granted to it under Section 2.3.</w:t>
      </w:r>
    </w:p>
    <w:p>
      <w:pPr>
        <w:spacing w:after="0" w:line="190" w:lineRule="exact"/>
        <w:rPr>
          <w:rFonts w:ascii="Arial" w:cs="Arial" w:eastAsia="Arial" w:hAnsi="Arial"/>
          <w:sz w:val="17"/>
          <w:szCs w:val="17"/>
          <w:b w:val="1"/>
          <w:bCs w:val="1"/>
          <w:color w:val="auto"/>
        </w:rPr>
      </w:pPr>
    </w:p>
    <w:p>
      <w:pPr>
        <w:jc w:val="both"/>
        <w:ind w:firstLine="2473"/>
        <w:spacing w:after="0" w:line="279" w:lineRule="auto"/>
        <w:tabs>
          <w:tab w:leader="none" w:pos="2725" w:val="left"/>
        </w:tabs>
        <w:numPr>
          <w:ilvl w:val="1"/>
          <w:numId w:val="619"/>
        </w:numPr>
        <w:rPr>
          <w:rFonts w:ascii="Arial" w:cs="Arial" w:eastAsia="Arial" w:hAnsi="Arial"/>
          <w:sz w:val="16"/>
          <w:szCs w:val="16"/>
          <w:b w:val="1"/>
          <w:bCs w:val="1"/>
          <w:color w:val="auto"/>
        </w:rPr>
      </w:pPr>
      <w:r>
        <w:rPr>
          <w:rFonts w:ascii="Arial" w:cs="Arial" w:eastAsia="Arial" w:hAnsi="Arial"/>
          <w:sz w:val="16"/>
          <w:szCs w:val="16"/>
          <w:color w:val="auto"/>
        </w:rPr>
        <w:t>BioLineRx covenants that, with respect to Cypress’ or its sublicensees’ under this Agreement acts of making, having made, using, selling, offering for sale or importing of or otherwise Commercializing Products in the Field in the Cypress Territory in accordance with this Agreement during the Term, BioLineRx will not bring suit against Cypress or such sublicensees to enforce Patents that BioLineRx owns or Controls as of the Effective Date or during the Term and that claims priority to a common priority document in the priority chain of any BioLineRx Patent set forth in Exhibit B. The covenant not to sue described in this Section 2.5(b)(2) shall bind any assignee, licensee or transferee of BioLineRx with respect to such Patents.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2.5 BioLineRx Retained Rights; No Implied License</w:t>
      </w:r>
      <w:r>
        <w:rPr>
          <w:rFonts w:ascii="Arial" w:cs="Arial" w:eastAsia="Arial" w:hAnsi="Arial"/>
          <w:sz w:val="17"/>
          <w:szCs w:val="17"/>
          <w:color w:val="auto"/>
        </w:rPr>
        <w:t>.</w:t>
      </w:r>
    </w:p>
    <w:p>
      <w:pPr>
        <w:spacing w:after="0" w:line="242" w:lineRule="exact"/>
        <w:rPr>
          <w:sz w:val="20"/>
          <w:szCs w:val="20"/>
          <w:color w:val="auto"/>
        </w:rPr>
      </w:pPr>
    </w:p>
    <w:p>
      <w:pPr>
        <w:ind w:firstLine="1238"/>
        <w:spacing w:after="0" w:line="286" w:lineRule="auto"/>
        <w:tabs>
          <w:tab w:leader="none" w:pos="1490" w:val="left"/>
        </w:tabs>
        <w:numPr>
          <w:ilvl w:val="0"/>
          <w:numId w:val="6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Retained Rights. </w:t>
      </w:r>
      <w:r>
        <w:rPr>
          <w:rFonts w:ascii="Arial" w:cs="Arial" w:eastAsia="Arial" w:hAnsi="Arial"/>
          <w:sz w:val="17"/>
          <w:szCs w:val="17"/>
          <w:color w:val="auto"/>
        </w:rPr>
        <w:t>BioLineRx retains the right to practice and license the BioLineRx Technology outside the scope of the license granted to</w:t>
      </w:r>
      <w:r>
        <w:rPr>
          <w:rFonts w:ascii="Arial" w:cs="Arial" w:eastAsia="Arial" w:hAnsi="Arial"/>
          <w:sz w:val="17"/>
          <w:szCs w:val="17"/>
          <w:b w:val="1"/>
          <w:bCs w:val="1"/>
          <w:color w:val="auto"/>
        </w:rPr>
        <w:t xml:space="preserve"> </w:t>
      </w:r>
      <w:r>
        <w:rPr>
          <w:rFonts w:ascii="Arial" w:cs="Arial" w:eastAsia="Arial" w:hAnsi="Arial"/>
          <w:sz w:val="17"/>
          <w:szCs w:val="17"/>
          <w:color w:val="auto"/>
        </w:rPr>
        <w:t>Cypress in Section 2.2(a) above.</w:t>
      </w:r>
    </w:p>
    <w:p>
      <w:pPr>
        <w:spacing w:after="0" w:line="177" w:lineRule="exact"/>
        <w:rPr>
          <w:rFonts w:ascii="Arial" w:cs="Arial" w:eastAsia="Arial" w:hAnsi="Arial"/>
          <w:sz w:val="17"/>
          <w:szCs w:val="17"/>
          <w:b w:val="1"/>
          <w:bCs w:val="1"/>
          <w:color w:val="auto"/>
        </w:rPr>
      </w:pPr>
    </w:p>
    <w:p>
      <w:pPr>
        <w:jc w:val="both"/>
        <w:ind w:firstLine="1238"/>
        <w:spacing w:after="0" w:line="263" w:lineRule="auto"/>
        <w:tabs>
          <w:tab w:leader="none" w:pos="1487" w:val="left"/>
        </w:tabs>
        <w:numPr>
          <w:ilvl w:val="0"/>
          <w:numId w:val="6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Implied License. </w:t>
      </w:r>
      <w:r>
        <w:rPr>
          <w:rFonts w:ascii="Arial" w:cs="Arial" w:eastAsia="Arial" w:hAnsi="Arial"/>
          <w:sz w:val="17"/>
          <w:szCs w:val="17"/>
          <w:color w:val="auto"/>
        </w:rPr>
        <w:t>Except as set forth herein, neither Party shall acquire any license or other intellectual property interest, by implication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under any trademarks, patents or patent applications Controlled by the other Party. For clarity, (a) BioLineRx shall not have any license rights to Cypress Product Data, Cypress Patents or Cypress Know-How in the Cypress Territory, and (b) Cypress shall not have any license rights to BioLineRx Product Data, Product Inventions or BioLineRx Technology in the Retained Territory.</w:t>
      </w:r>
    </w:p>
    <w:p>
      <w:pPr>
        <w:spacing w:after="0" w:line="198"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 xml:space="preserve">2.6 Upstream Agreement. </w:t>
      </w:r>
      <w:r>
        <w:rPr>
          <w:rFonts w:ascii="Arial" w:cs="Arial" w:eastAsia="Arial" w:hAnsi="Arial"/>
          <w:sz w:val="17"/>
          <w:szCs w:val="17"/>
          <w:color w:val="auto"/>
        </w:rPr>
        <w:t>Subject to this Section 2.7, BioLineRx shall have sole responsibility for exercising its rights and discharging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Upstream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699" w:name="page700"/>
    <w:bookmarkEnd w:id="69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69" w:lineRule="auto"/>
        <w:tabs>
          <w:tab w:leader="none" w:pos="1477"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Copy. </w:t>
      </w:r>
      <w:r>
        <w:rPr>
          <w:rFonts w:ascii="Arial" w:cs="Arial" w:eastAsia="Arial" w:hAnsi="Arial"/>
          <w:sz w:val="17"/>
          <w:szCs w:val="17"/>
          <w:color w:val="auto"/>
        </w:rPr>
        <w:t>On or before the Execution Date, BioLineRx has delivered to Cypress a true and complete copy of the Upstream Agreement. Cypress</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and agrees that the sublicense granted in Section 2.2(a) under the BioLineRx Technology which has been licensed to BioLineRx under the Upstream Agreement is subject to the terms and conditions of the Upstream Agreement.</w:t>
      </w:r>
    </w:p>
    <w:p>
      <w:pPr>
        <w:spacing w:after="0" w:line="191" w:lineRule="exact"/>
        <w:rPr>
          <w:rFonts w:ascii="Arial" w:cs="Arial" w:eastAsia="Arial" w:hAnsi="Arial"/>
          <w:sz w:val="17"/>
          <w:szCs w:val="17"/>
          <w:b w:val="1"/>
          <w:bCs w:val="1"/>
          <w:color w:val="auto"/>
        </w:rPr>
      </w:pPr>
    </w:p>
    <w:p>
      <w:pPr>
        <w:jc w:val="both"/>
        <w:ind w:firstLine="1238"/>
        <w:spacing w:after="0" w:line="293" w:lineRule="auto"/>
        <w:tabs>
          <w:tab w:leader="none" w:pos="1487" w:val="left"/>
        </w:tabs>
        <w:numPr>
          <w:ilvl w:val="0"/>
          <w:numId w:val="6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Cypress Covenants. </w:t>
      </w:r>
      <w:r>
        <w:rPr>
          <w:rFonts w:ascii="Arial" w:cs="Arial" w:eastAsia="Arial" w:hAnsi="Arial"/>
          <w:sz w:val="16"/>
          <w:szCs w:val="16"/>
          <w:color w:val="auto"/>
        </w:rPr>
        <w:t>Cypress covenants not to take or fail to take any action that violates a material term of the Upstream Agreement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to Cypress as a sublicensee of BioLineRx under the Upstream Agreement, or that would cause BioLineRx to be in breach of any of the material terms of the Upstream Agreement. The Parties agree and acknowledge that BioLineRx shall remain responsible for payments due under the Upstream Agreement.</w:t>
      </w:r>
    </w:p>
    <w:p>
      <w:pPr>
        <w:spacing w:after="0" w:line="175" w:lineRule="exact"/>
        <w:rPr>
          <w:rFonts w:ascii="Arial" w:cs="Arial" w:eastAsia="Arial" w:hAnsi="Arial"/>
          <w:sz w:val="16"/>
          <w:szCs w:val="16"/>
          <w:b w:val="1"/>
          <w:bCs w:val="1"/>
          <w:color w:val="auto"/>
        </w:rPr>
      </w:pPr>
    </w:p>
    <w:p>
      <w:pPr>
        <w:ind w:left="1480" w:hanging="242"/>
        <w:spacing w:after="0"/>
        <w:tabs>
          <w:tab w:leader="none" w:pos="1480" w:val="left"/>
        </w:tabs>
        <w:numPr>
          <w:ilvl w:val="0"/>
          <w:numId w:val="621"/>
        </w:numPr>
        <w:rPr>
          <w:rFonts w:ascii="Arial" w:cs="Arial" w:eastAsia="Arial" w:hAnsi="Arial"/>
          <w:sz w:val="17"/>
          <w:szCs w:val="17"/>
          <w:b w:val="1"/>
          <w:bCs w:val="1"/>
          <w:color w:val="auto"/>
        </w:rPr>
      </w:pPr>
      <w:r>
        <w:rPr>
          <w:rFonts w:ascii="Arial" w:cs="Arial" w:eastAsia="Arial" w:hAnsi="Arial"/>
          <w:sz w:val="17"/>
          <w:szCs w:val="17"/>
          <w:b w:val="1"/>
          <w:bCs w:val="1"/>
          <w:color w:val="auto"/>
        </w:rPr>
        <w:t>BioLineRx Covenants.</w:t>
      </w:r>
    </w:p>
    <w:p>
      <w:pPr>
        <w:spacing w:after="0" w:line="247" w:lineRule="exact"/>
        <w:rPr>
          <w:rFonts w:ascii="Arial" w:cs="Arial" w:eastAsia="Arial" w:hAnsi="Arial"/>
          <w:sz w:val="17"/>
          <w:szCs w:val="17"/>
          <w:b w:val="1"/>
          <w:bCs w:val="1"/>
          <w:color w:val="auto"/>
        </w:rPr>
      </w:pPr>
    </w:p>
    <w:p>
      <w:pPr>
        <w:jc w:val="both"/>
        <w:ind w:firstLine="2473"/>
        <w:spacing w:after="0" w:line="265" w:lineRule="auto"/>
        <w:tabs>
          <w:tab w:leader="none" w:pos="2712" w:val="left"/>
        </w:tabs>
        <w:numPr>
          <w:ilvl w:val="1"/>
          <w:numId w:val="621"/>
        </w:numPr>
        <w:rPr>
          <w:rFonts w:ascii="Arial" w:cs="Arial" w:eastAsia="Arial" w:hAnsi="Arial"/>
          <w:sz w:val="17"/>
          <w:szCs w:val="17"/>
          <w:b w:val="1"/>
          <w:bCs w:val="1"/>
          <w:color w:val="auto"/>
        </w:rPr>
      </w:pPr>
      <w:r>
        <w:rPr>
          <w:rFonts w:ascii="Arial" w:cs="Arial" w:eastAsia="Arial" w:hAnsi="Arial"/>
          <w:sz w:val="17"/>
          <w:szCs w:val="17"/>
          <w:color w:val="auto"/>
        </w:rPr>
        <w:t>BioLineRx will not modify, amend or waive any provision of the Upstream Agreement in such a manner that could reasonably be expected to have an adverse impact on Pre-Commercialization, manufacture or Commercialization hereunder, without the prior written consent of Cypress, such consent not to be unreasonably withheld, conditioned or delayed.</w:t>
      </w:r>
    </w:p>
    <w:p>
      <w:pPr>
        <w:spacing w:after="0" w:line="201" w:lineRule="exact"/>
        <w:rPr>
          <w:rFonts w:ascii="Arial" w:cs="Arial" w:eastAsia="Arial" w:hAnsi="Arial"/>
          <w:sz w:val="17"/>
          <w:szCs w:val="17"/>
          <w:b w:val="1"/>
          <w:bCs w:val="1"/>
          <w:color w:val="auto"/>
        </w:rPr>
      </w:pPr>
    </w:p>
    <w:p>
      <w:pPr>
        <w:ind w:firstLine="2473"/>
        <w:spacing w:after="0" w:line="311" w:lineRule="auto"/>
        <w:tabs>
          <w:tab w:leader="none" w:pos="2712" w:val="left"/>
        </w:tabs>
        <w:numPr>
          <w:ilvl w:val="1"/>
          <w:numId w:val="621"/>
        </w:numPr>
        <w:rPr>
          <w:rFonts w:ascii="Arial" w:cs="Arial" w:eastAsia="Arial" w:hAnsi="Arial"/>
          <w:sz w:val="16"/>
          <w:szCs w:val="16"/>
          <w:b w:val="1"/>
          <w:bCs w:val="1"/>
          <w:color w:val="auto"/>
        </w:rPr>
      </w:pPr>
      <w:r>
        <w:rPr>
          <w:rFonts w:ascii="Arial" w:cs="Arial" w:eastAsia="Arial" w:hAnsi="Arial"/>
          <w:sz w:val="16"/>
          <w:szCs w:val="16"/>
          <w:color w:val="auto"/>
        </w:rPr>
        <w:t>BioLineRx will immediately (but in no event later than [***] business days) notify Cypress if BioLineRx fails to meet any of its obligations, including any payment obligations, under the Upstream Agreement or receives notice from the Upstream Licensors alleging any such failure.</w:t>
      </w:r>
    </w:p>
    <w:p>
      <w:pPr>
        <w:spacing w:after="0" w:line="160"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Cypress Step-in Rights. </w:t>
      </w:r>
      <w:r>
        <w:rPr>
          <w:rFonts w:ascii="Arial" w:cs="Arial" w:eastAsia="Arial" w:hAnsi="Arial"/>
          <w:sz w:val="17"/>
          <w:szCs w:val="17"/>
          <w:color w:val="auto"/>
        </w:rPr>
        <w:t>If a failure described in Section 2.7(c)(2) above occurs, the Executives shall promptly meet and confer on how best to proceed to</w:t>
      </w:r>
      <w:r>
        <w:rPr>
          <w:rFonts w:ascii="Arial" w:cs="Arial" w:eastAsia="Arial" w:hAnsi="Arial"/>
          <w:sz w:val="17"/>
          <w:szCs w:val="17"/>
          <w:b w:val="1"/>
          <w:bCs w:val="1"/>
          <w:color w:val="auto"/>
        </w:rPr>
        <w:t xml:space="preserve"> </w:t>
      </w:r>
      <w:r>
        <w:rPr>
          <w:rFonts w:ascii="Arial" w:cs="Arial" w:eastAsia="Arial" w:hAnsi="Arial"/>
          <w:sz w:val="17"/>
          <w:szCs w:val="17"/>
          <w:color w:val="auto"/>
        </w:rPr>
        <w:t>effect a cure of such failure. BioLineRx will keep Cypress timely informed of its efforts to cure or remedy such failure. Cypress will have the right to step-in and meet the failed obligations, including the right to make payment on behalf of BioLineRx, and BioLineRx will take all necessary steps such that the Upstream Licensors accepts performance by Cypress on behalf of BioLineRx for such obligations. Before Cypress exercises its right to step-in under this Section 2.7(d), Cypress shall deliver to BioLineRx written notice of its intent to exercise such “step-in” right, which exercise shall not occur sooner than [***] days after receipt by Cypress of written notice of any such</w:t>
      </w:r>
    </w:p>
    <w:p>
      <w:pPr>
        <w:spacing w:after="0" w:line="201" w:lineRule="exact"/>
        <w:rPr>
          <w:sz w:val="20"/>
          <w:szCs w:val="20"/>
          <w:color w:val="auto"/>
        </w:rPr>
      </w:pPr>
    </w:p>
    <w:p>
      <w:pPr>
        <w:ind w:left="5620" w:right="2360" w:hanging="5617"/>
        <w:spacing w:after="0" w:line="854" w:lineRule="auto"/>
        <w:tabs>
          <w:tab w:leader="none" w:pos="409" w:val="left"/>
        </w:tabs>
        <w:numPr>
          <w:ilvl w:val="0"/>
          <w:numId w:val="6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0" w:name="page701"/>
    <w:bookmarkEnd w:id="700"/>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firstLine="1238"/>
        <w:spacing w:after="0" w:line="278" w:lineRule="auto"/>
        <w:tabs>
          <w:tab w:leader="none" w:pos="1487" w:val="left"/>
        </w:tabs>
        <w:numPr>
          <w:ilvl w:val="0"/>
          <w:numId w:val="623"/>
        </w:numPr>
        <w:rPr>
          <w:rFonts w:ascii="Arial" w:cs="Arial" w:eastAsia="Arial" w:hAnsi="Arial"/>
          <w:sz w:val="17"/>
          <w:szCs w:val="17"/>
          <w:b w:val="1"/>
          <w:bCs w:val="1"/>
          <w:color w:val="auto"/>
        </w:rPr>
      </w:pPr>
      <w:r>
        <w:rPr>
          <w:rFonts w:ascii="Arial" w:cs="Arial" w:eastAsia="Arial" w:hAnsi="Arial"/>
          <w:sz w:val="17"/>
          <w:szCs w:val="17"/>
          <w:color w:val="auto"/>
        </w:rPr>
        <w:t>failure. Any amounts owed by BioLineRx and paid by Cypress pursuant to the immediately preceding sentence will be credited towards any amount due to BioLineRx from Cypress under this Agreement.</w:t>
      </w:r>
    </w:p>
    <w:p>
      <w:pPr>
        <w:spacing w:after="0" w:line="184"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Further Cooperation by the Parties. </w:t>
      </w:r>
      <w:r>
        <w:rPr>
          <w:rFonts w:ascii="Arial" w:cs="Arial" w:eastAsia="Arial" w:hAnsi="Arial"/>
          <w:sz w:val="17"/>
          <w:szCs w:val="17"/>
          <w:color w:val="auto"/>
        </w:rPr>
        <w:t>The Parties shall cooperate in good faith to effectively and efficiently implement the objectives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include cooperation to coordinate the implementation of the arrangements contemplated in this Article 2. Following the Effective Date, BioLineRx will reasonably make available to Cypress BioLineRx personnel with appropriate skill and experience, at BioLineRx’s expense, for this purpose. BioLineRx and Cypress will cooperate to minimize the expenses associated with such activities.</w:t>
      </w:r>
    </w:p>
    <w:p>
      <w:pPr>
        <w:spacing w:after="0" w:line="198"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2.7 Restrictive Covenants</w:t>
      </w:r>
      <w:r>
        <w:rPr>
          <w:rFonts w:ascii="Arial" w:cs="Arial" w:eastAsia="Arial" w:hAnsi="Arial"/>
          <w:sz w:val="16"/>
          <w:szCs w:val="16"/>
          <w:color w:val="auto"/>
        </w:rPr>
        <w:t>. As to such countries outside of their respective Territory, each Party (i) shall not, and will ensure that its sublicensees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engage in any advertising or promotional activities relating to the Product directed primarily to prospective purchasers of the Product located in the other Party’s Territory, and shall use Commercially Reasonable Efforts to ensure that Commercialization activities conducted by or on behalf of such Party via the Internet or other global electronic means or methods are only targeted to persons within the Field and in its Territory, and (ii) shall not, and will ensure that its sublicensees will not, take orders from any prospective purchaser of the Product located in countries in the other Party’s Territory. If a Party or its sublicensees receives any order from a prospective purchaser of Product located in a country in the other Party’s Territory, such Party or sublicensee shall immediately refer that order to the other Party and shall not accept any such order or deliver or tender (or cause to be delivered or tendered) any Product under such order. If either Party has a reasonable basis to conclude that its customer, sublicensee or distributor, or a customer, sublicensee or distributor of the other Party, is engaged in the sale or distribution of Products outside of the selling Party’s Territory, then the selling Party shall take all reasonable steps (including cessation of sales to such customer, sublicensee or distributor) necessary to limit such sale or distribution outside such Party’s Territory.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MANAGEMENT</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3.1 Joint Steering Committee.</w:t>
      </w:r>
    </w:p>
    <w:p>
      <w:pPr>
        <w:spacing w:after="0" w:line="242" w:lineRule="exact"/>
        <w:rPr>
          <w:sz w:val="20"/>
          <w:szCs w:val="20"/>
          <w:color w:val="auto"/>
        </w:rPr>
      </w:pPr>
    </w:p>
    <w:p>
      <w:pPr>
        <w:jc w:val="both"/>
        <w:ind w:firstLine="1238"/>
        <w:spacing w:after="0" w:line="269" w:lineRule="auto"/>
        <w:tabs>
          <w:tab w:leader="none" w:pos="1477" w:val="left"/>
        </w:tabs>
        <w:numPr>
          <w:ilvl w:val="0"/>
          <w:numId w:val="6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Formation. </w:t>
      </w:r>
      <w:r>
        <w:rPr>
          <w:rFonts w:ascii="Arial" w:cs="Arial" w:eastAsia="Arial" w:hAnsi="Arial"/>
          <w:sz w:val="17"/>
          <w:szCs w:val="17"/>
          <w:color w:val="auto"/>
        </w:rPr>
        <w:t>With thirty (30) days after the Effective Date, the Parties will establish a joint steering committee (the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or “</w:t>
      </w:r>
      <w:r>
        <w:rPr>
          <w:rFonts w:ascii="Arial" w:cs="Arial" w:eastAsia="Arial" w:hAnsi="Arial"/>
          <w:sz w:val="17"/>
          <w:szCs w:val="17"/>
          <w:b w:val="1"/>
          <w:bCs w:val="1"/>
          <w:color w:val="auto"/>
        </w:rPr>
        <w:t>JSC</w:t>
      </w:r>
      <w:r>
        <w:rPr>
          <w:rFonts w:ascii="Arial" w:cs="Arial" w:eastAsia="Arial" w:hAnsi="Arial"/>
          <w:sz w:val="17"/>
          <w:szCs w:val="17"/>
          <w:color w:val="auto"/>
        </w:rPr>
        <w:t>”) to oversee and coordinate the Parties’ activities under this Agreement with respect to Pre-Commercialization, Commercialization and manufacture activities with respect to the Products in the Field in the Cypress Territory.</w:t>
      </w:r>
    </w:p>
    <w:p>
      <w:pPr>
        <w:spacing w:after="0" w:line="191" w:lineRule="exact"/>
        <w:rPr>
          <w:rFonts w:ascii="Arial" w:cs="Arial" w:eastAsia="Arial" w:hAnsi="Arial"/>
          <w:sz w:val="17"/>
          <w:szCs w:val="17"/>
          <w:b w:val="1"/>
          <w:bCs w:val="1"/>
          <w:color w:val="auto"/>
        </w:rPr>
      </w:pPr>
    </w:p>
    <w:p>
      <w:pPr>
        <w:jc w:val="both"/>
        <w:ind w:firstLine="1238"/>
        <w:spacing w:after="0" w:line="257" w:lineRule="auto"/>
        <w:tabs>
          <w:tab w:leader="none" w:pos="1500" w:val="left"/>
        </w:tabs>
        <w:numPr>
          <w:ilvl w:val="0"/>
          <w:numId w:val="6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Members. </w:t>
      </w:r>
      <w:r>
        <w:rPr>
          <w:rFonts w:ascii="Arial" w:cs="Arial" w:eastAsia="Arial" w:hAnsi="Arial"/>
          <w:sz w:val="17"/>
          <w:szCs w:val="17"/>
          <w:color w:val="auto"/>
        </w:rPr>
        <w:t>Each Party shall initially appoint three (3) representatives to the JSC, each of whom will have sufficient seniority and expertise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within the applicable Party to make decisions arising with the scope of the JSC’s responsibilities. The JSC may change its size from time to time by mutual consent of the Parties, provided that the JSC shall at all times consist of an equal number of representatives of each of BioLineRx and Cypress. Each Party may replace its JSC representatives at any time upon written notice to the other Party. The JSC may invite non-members to participate in the discussions and meetings of the JSC,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participants shall have no voting authority at the JSC. The JSC shall have a chairperson, who shall serve for a term of one year, and who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alternately, on an annual basis, by BioLineRx or Cypress. The initial chairperson shall be selected by Cypress. The role of the chairperson shall be to convene and preside at meetings of the JSC and to ensure the preparation of minutes, but the chairperson shall otherwise have no additional powers or rights beyond those held by the other JSC representatives.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01" w:name="page702"/>
    <w:bookmarkEnd w:id="701"/>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73" w:lineRule="auto"/>
        <w:tabs>
          <w:tab w:leader="none" w:pos="1468" w:val="left"/>
        </w:tabs>
        <w:numPr>
          <w:ilvl w:val="0"/>
          <w:numId w:val="6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The JSC shall meet at least quarterly during the Term unless the Parties mutually agree in writing to a different frequency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meetings. No later than [***] business days prior to any regularly scheduled meeting of the JSC, the chairperson of the JSC shall prepare and circulate an agenda for such meeting and, as soon as practicable, materials for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either Party may propose additional topics to be included on such agenda prior to such meeting. The JSC may meet in person, by videoconference or by teleconference. Each Party will bear the expense of its respective JSC members’ participation in JSC meetings. Meetings of the JSC shall be effective only if at least one (1) representative of each Party is present or participating in such meeting. The chairperson of the JSC will be responsible for preparing reasonably detailed written minutes of all JSC meetings that reflect, without limitation, material decisions made at such meetings. The JSC chairperson shall send draft meeting minutes to each member of the JSC for review within [***] business days after each JSC meeting. The members of the Committee shall have [***] to provide comments. The JSC chairperson shall incorporate timely received comments and distribute revised minutes to all members of the JSC for their final review and approval within the later of [***] days after the relevant meeting or the next regularly scheduled meeting of the JSC. For clarity, if the JSC is not able to approve any minutes, it shall thereafter be deemed to be a dispute and shall be subject to the dispute resolution set forth in Section 3.1(d).</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b w:val="1"/>
          <w:bCs w:val="1"/>
          <w:color w:val="auto"/>
        </w:rPr>
        <w:t>JSC Actions</w:t>
      </w:r>
      <w:r>
        <w:rPr>
          <w:rFonts w:ascii="Arial" w:cs="Arial" w:eastAsia="Arial" w:hAnsi="Arial"/>
          <w:sz w:val="15"/>
          <w:szCs w:val="15"/>
          <w:color w:val="auto"/>
        </w:rPr>
        <w:t>. Unless otherwise set forth in this Agreement, the JSC will take action by unanimous consent, with each Party’s representatives’ having a single vote 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JSC, irrespective of the number of representatives actually in attendance at a meeting. In the event of a disagreement between the BioLineRx members and Cypress members of the JSC, either Party may refer the matter to one senior executive of each Party (i.e., the Chief Executive Officer of such Party or the chairman of the Board of Directors of such Party, the </w:t>
      </w:r>
      <w:r>
        <w:rPr>
          <w:rFonts w:ascii="Arial" w:cs="Arial" w:eastAsia="Arial" w:hAnsi="Arial"/>
          <w:sz w:val="15"/>
          <w:szCs w:val="15"/>
          <w:b w:val="1"/>
          <w:bCs w:val="1"/>
          <w:color w:val="auto"/>
        </w:rPr>
        <w:t>“Executives”</w:t>
      </w:r>
      <w:r>
        <w:rPr>
          <w:rFonts w:ascii="Arial" w:cs="Arial" w:eastAsia="Arial" w:hAnsi="Arial"/>
          <w:sz w:val="15"/>
          <w:szCs w:val="15"/>
          <w:color w:val="auto"/>
        </w:rPr>
        <w:t xml:space="preserve">) for resolution. If such Executives cannot resolve the matter within [***] business days, then such Executive of Cypress shall have the final decision making authority on such matter,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final determination made by such Executive of Cypress shall be consistent with the terms of this Agreement; </w:t>
      </w:r>
      <w:r>
        <w:rPr>
          <w:rFonts w:ascii="Arial" w:cs="Arial" w:eastAsia="Arial" w:hAnsi="Arial"/>
          <w:sz w:val="15"/>
          <w:szCs w:val="15"/>
          <w:i w:val="1"/>
          <w:iCs w:val="1"/>
          <w:color w:val="auto"/>
        </w:rPr>
        <w:t>further provided</w:t>
      </w:r>
      <w:r>
        <w:rPr>
          <w:rFonts w:ascii="Arial" w:cs="Arial" w:eastAsia="Arial" w:hAnsi="Arial"/>
          <w:sz w:val="15"/>
          <w:szCs w:val="15"/>
          <w:color w:val="auto"/>
        </w:rPr>
        <w:t xml:space="preserve"> that, within the first [***] months following the date on which the Pre-Commercialization Plan is incorporated by reference herein pursuant to Section 4.2, Cypress shall not make any decision with respect to the Pre-Commercialization Plan so as to materially delay the anticipated Pre-Commercialization schedule or commercial launch of the Products without the consent of BioLineRx.</w:t>
      </w:r>
    </w:p>
    <w:p>
      <w:pPr>
        <w:spacing w:after="0" w:line="176" w:lineRule="exact"/>
        <w:rPr>
          <w:sz w:val="20"/>
          <w:szCs w:val="20"/>
          <w:color w:val="auto"/>
        </w:rPr>
      </w:pPr>
    </w:p>
    <w:p>
      <w:pPr>
        <w:ind w:left="5620" w:right="2360" w:hanging="5617"/>
        <w:spacing w:after="0" w:line="854" w:lineRule="auto"/>
        <w:tabs>
          <w:tab w:leader="none" w:pos="409" w:val="left"/>
        </w:tabs>
        <w:numPr>
          <w:ilvl w:val="0"/>
          <w:numId w:val="6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2" w:name="page703"/>
    <w:bookmarkEnd w:id="702"/>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 xml:space="preserve">3.2 Costs of Governance. </w:t>
      </w:r>
      <w:r>
        <w:rPr>
          <w:rFonts w:ascii="Arial" w:cs="Arial" w:eastAsia="Arial" w:hAnsi="Arial"/>
          <w:sz w:val="17"/>
          <w:szCs w:val="17"/>
          <w:color w:val="auto"/>
        </w:rPr>
        <w:t>The Parties agree that the costs incurred by each Party in connection with its participation in the JSC shall be borne solely by</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w:t>
      </w:r>
    </w:p>
    <w:p>
      <w:pPr>
        <w:spacing w:after="0" w:line="177"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Discontinuation of JSC. </w:t>
      </w:r>
      <w:r>
        <w:rPr>
          <w:rFonts w:ascii="Arial" w:cs="Arial" w:eastAsia="Arial" w:hAnsi="Arial"/>
          <w:sz w:val="17"/>
          <w:szCs w:val="17"/>
          <w:color w:val="auto"/>
        </w:rPr>
        <w:t>The JSC shall continue to exist throughout the Term unless (a) the Parties mutually agree to disband the JSC, or (b) a Party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to the other Party written notice of its intention to disband and no longer participate in such JSC. Once a Party has provided written notice as referred to in subclause (b) above, the JSC will be disbanded and the JSC shall have no further authority under this Agreement. Thereafter, direct interaction of the Parties shall be substituted for the JSC’s roles, responsibilities and actions. For example, the Parties thereafter shall consult (as set forth in Section 4.1(b)) and keep each other informed (as set forth in Section 4.4(c)) on a regular basis on pre-commercialization activities conducted for their respective Territories, and the Parties shall consult and keep each other informed on commercialization activities conducted in their respective Territories (as set forth in Section 6.1(b)), with Cypress retaining sole responsibility for Pre-Commercialization and Commercialization.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PRE-COMMERCIALIZATION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4.1 Overview of Pre-Commercialization</w:t>
      </w:r>
      <w:r>
        <w:rPr>
          <w:rFonts w:ascii="Arial" w:cs="Arial" w:eastAsia="Arial" w:hAnsi="Arial"/>
          <w:sz w:val="17"/>
          <w:szCs w:val="17"/>
          <w:color w:val="auto"/>
        </w:rPr>
        <w:t>.</w:t>
      </w:r>
    </w:p>
    <w:p>
      <w:pPr>
        <w:spacing w:after="0" w:line="242" w:lineRule="exact"/>
        <w:rPr>
          <w:sz w:val="20"/>
          <w:szCs w:val="20"/>
          <w:color w:val="auto"/>
        </w:rPr>
      </w:pPr>
    </w:p>
    <w:p>
      <w:pPr>
        <w:jc w:val="both"/>
        <w:ind w:firstLine="1238"/>
        <w:spacing w:after="0" w:line="285" w:lineRule="auto"/>
        <w:tabs>
          <w:tab w:leader="none" w:pos="1477" w:val="left"/>
        </w:tabs>
        <w:numPr>
          <w:ilvl w:val="0"/>
          <w:numId w:val="6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Parties desire and intend to collaborate with respect to the Pre-Commercialization in the Cypress Territory in the Field,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oversight of the JSC (or if the JSC is disbanded, as set forth in Section 3.3), as and to the extent set forth in this Agreement. As described in more detail in this Article 4, Cypress shall be solely responsible for the conduct of Pre-Commercialization with the goal of obtaining Regulatory Approval, in accordance with the Pre-Commercialization Plan. In addition, BioLineRx shall be responsible for the BioLineRx Pre-Commercialization Activities.</w:t>
      </w:r>
    </w:p>
    <w:p>
      <w:pPr>
        <w:spacing w:after="0" w:line="180" w:lineRule="exact"/>
        <w:rPr>
          <w:rFonts w:ascii="Arial" w:cs="Arial" w:eastAsia="Arial" w:hAnsi="Arial"/>
          <w:sz w:val="16"/>
          <w:szCs w:val="16"/>
          <w:b w:val="1"/>
          <w:bCs w:val="1"/>
          <w:color w:val="auto"/>
        </w:rPr>
      </w:pPr>
    </w:p>
    <w:p>
      <w:pPr>
        <w:jc w:val="both"/>
        <w:ind w:firstLine="1238"/>
        <w:spacing w:after="0" w:line="261" w:lineRule="auto"/>
        <w:tabs>
          <w:tab w:leader="none" w:pos="1500" w:val="left"/>
        </w:tabs>
        <w:numPr>
          <w:ilvl w:val="0"/>
          <w:numId w:val="6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Consultation. </w:t>
      </w:r>
      <w:r>
        <w:rPr>
          <w:rFonts w:ascii="Arial" w:cs="Arial" w:eastAsia="Arial" w:hAnsi="Arial"/>
          <w:sz w:val="17"/>
          <w:szCs w:val="17"/>
          <w:color w:val="auto"/>
        </w:rPr>
        <w:t>Each Party shall provide advice, suggestions and constructive feedback on the other Party’s pre-commercialization strategy,</w:t>
      </w:r>
      <w:r>
        <w:rPr>
          <w:rFonts w:ascii="Arial" w:cs="Arial" w:eastAsia="Arial" w:hAnsi="Arial"/>
          <w:sz w:val="17"/>
          <w:szCs w:val="17"/>
          <w:b w:val="1"/>
          <w:bCs w:val="1"/>
          <w:color w:val="auto"/>
        </w:rPr>
        <w:t xml:space="preserve"> </w:t>
      </w:r>
      <w:r>
        <w:rPr>
          <w:rFonts w:ascii="Arial" w:cs="Arial" w:eastAsia="Arial" w:hAnsi="Arial"/>
          <w:sz w:val="17"/>
          <w:szCs w:val="17"/>
          <w:color w:val="auto"/>
        </w:rPr>
        <w:t>plans and activities in its respective Territory (especially in view of such Party’s rights outside the other Party’s Territory, and the Parties’ desire to achieve (to the extent appropriate) global harmonization of Product pre-commercialization activities worldwide), either through the JSC or directly if the JSC is disbanded. The other Party will reasonably and in good faith consider any advice, suggestions, constructive feedback, comments and recommendations that such Party may have with respect to the other Party’s pre-commercialization of the Product in its respective Territory.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3" w:name="page704"/>
    <w:bookmarkEnd w:id="703"/>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4.2 Pre-Commercialization Plan</w:t>
      </w:r>
      <w:r>
        <w:rPr>
          <w:rFonts w:ascii="Arial" w:cs="Arial" w:eastAsia="Arial" w:hAnsi="Arial"/>
          <w:sz w:val="17"/>
          <w:szCs w:val="17"/>
          <w:color w:val="auto"/>
        </w:rPr>
        <w:t>.</w:t>
      </w:r>
    </w:p>
    <w:p>
      <w:pPr>
        <w:spacing w:after="0" w:line="242" w:lineRule="exact"/>
        <w:rPr>
          <w:sz w:val="20"/>
          <w:szCs w:val="20"/>
          <w:color w:val="auto"/>
        </w:rPr>
      </w:pPr>
    </w:p>
    <w:p>
      <w:pPr>
        <w:jc w:val="both"/>
        <w:ind w:firstLine="617"/>
        <w:spacing w:after="0" w:line="298" w:lineRule="auto"/>
        <w:rPr>
          <w:sz w:val="20"/>
          <w:szCs w:val="20"/>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Within forty [***] days of the Execution Date, Cypress shall propose a draft plan for the initial Pre-Commercialization of the Products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United States. Such draft plan shall thereafter be reviewed and mutually agreed by the Parties within [***] days of the Execution Date and upon such agreement shall be incorporated by reference herein (as the same may be further updated from time to time as set forth in Section 4.2(b), the “</w:t>
      </w:r>
      <w:r>
        <w:rPr>
          <w:rFonts w:ascii="Arial" w:cs="Arial" w:eastAsia="Arial" w:hAnsi="Arial"/>
          <w:sz w:val="15"/>
          <w:szCs w:val="15"/>
          <w:b w:val="1"/>
          <w:bCs w:val="1"/>
          <w:color w:val="auto"/>
        </w:rPr>
        <w:t>Pre-Commercialization Plan</w:t>
      </w:r>
      <w:r>
        <w:rPr>
          <w:rFonts w:ascii="Arial" w:cs="Arial" w:eastAsia="Arial" w:hAnsi="Arial"/>
          <w:sz w:val="15"/>
          <w:szCs w:val="15"/>
          <w:color w:val="auto"/>
        </w:rPr>
        <w:t>”). The Pre-Commercialization Plan shall describe (i) the proposed overall program of Pre-Commercialization in the Cypress Territory, including clinical trials and associated timelines; (ii) timelines for key Regulatory Authority meetings, filing of applications for Regulatory Approval, and receipt of Regulatory Approvals, (iii) the anticipated tasks and responsibilities of Cypress and BioLineRx under the Pre-Commercialization Plan, and (iv) an associated comprehensive budget for all Pre-Commercialization Costs. In the event of any inconsistency between the Pre-Commercialization Plan and this Agreement, the terms of this Agreement shall prevail.</w:t>
      </w:r>
    </w:p>
    <w:p>
      <w:pPr>
        <w:spacing w:after="0" w:line="173" w:lineRule="exact"/>
        <w:rPr>
          <w:sz w:val="20"/>
          <w:szCs w:val="20"/>
          <w:color w:val="auto"/>
        </w:rPr>
      </w:pPr>
    </w:p>
    <w:p>
      <w:pPr>
        <w:jc w:val="both"/>
        <w:ind w:firstLine="1238"/>
        <w:spacing w:after="0" w:line="269" w:lineRule="auto"/>
        <w:tabs>
          <w:tab w:leader="none" w:pos="1490" w:val="left"/>
        </w:tabs>
        <w:numPr>
          <w:ilvl w:val="0"/>
          <w:numId w:val="628"/>
        </w:numPr>
        <w:rPr>
          <w:rFonts w:ascii="Arial" w:cs="Arial" w:eastAsia="Arial" w:hAnsi="Arial"/>
          <w:sz w:val="17"/>
          <w:szCs w:val="17"/>
          <w:b w:val="1"/>
          <w:bCs w:val="1"/>
          <w:color w:val="auto"/>
        </w:rPr>
      </w:pPr>
      <w:r>
        <w:rPr>
          <w:rFonts w:ascii="Arial" w:cs="Arial" w:eastAsia="Arial" w:hAnsi="Arial"/>
          <w:sz w:val="17"/>
          <w:szCs w:val="17"/>
          <w:b w:val="1"/>
          <w:bCs w:val="1"/>
          <w:color w:val="auto"/>
        </w:rPr>
        <w:t>Updates to Pre-Commercialization Plan</w:t>
      </w:r>
      <w:r>
        <w:rPr>
          <w:rFonts w:ascii="Arial" w:cs="Arial" w:eastAsia="Arial" w:hAnsi="Arial"/>
          <w:sz w:val="17"/>
          <w:szCs w:val="17"/>
          <w:color w:val="auto"/>
        </w:rPr>
        <w:t>. From time to time during the Term, and at least on a [***], Cypress shall propose updates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amendments, as appropriate, to the then-current Pre-Commercialization Plan, subject to BioLineRx’s consent (if applicable) as set forth in Section 3.1(d). Each updated or amended Pre-Commercialization Plan shall become effective and supersede the previous Pre-Commercialization Plan.</w:t>
      </w:r>
    </w:p>
    <w:p>
      <w:pPr>
        <w:spacing w:after="0" w:line="191" w:lineRule="exact"/>
        <w:rPr>
          <w:rFonts w:ascii="Arial" w:cs="Arial" w:eastAsia="Arial" w:hAnsi="Arial"/>
          <w:sz w:val="17"/>
          <w:szCs w:val="17"/>
          <w:b w:val="1"/>
          <w:bCs w:val="1"/>
          <w:color w:val="auto"/>
        </w:rPr>
      </w:pPr>
    </w:p>
    <w:p>
      <w:pPr>
        <w:jc w:val="both"/>
        <w:ind w:firstLine="1238"/>
        <w:spacing w:after="0" w:line="263" w:lineRule="auto"/>
        <w:tabs>
          <w:tab w:leader="none" w:pos="1487" w:val="left"/>
        </w:tabs>
        <w:numPr>
          <w:ilvl w:val="0"/>
          <w:numId w:val="6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Rationalization with Upstream Agreement. </w:t>
      </w:r>
      <w:r>
        <w:rPr>
          <w:rFonts w:ascii="Arial" w:cs="Arial" w:eastAsia="Arial" w:hAnsi="Arial"/>
          <w:sz w:val="17"/>
          <w:szCs w:val="17"/>
          <w:color w:val="auto"/>
        </w:rPr>
        <w:t>BioLineRx shall promptly update or amend the Development Plan (as defined in the Upstream</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ensure that such Development Plan is consistent with the Pre-Commercialization Plan. In addition, Cypress hereby agrees that BioLineRx may provide a copy of the Pre-Commercialization Plan (as it may be updated from time to time) to the Upstream Licensors, which shall constitute the Development Plan related to the Products for the Cypress Territory.</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4.3 BioLineRx Pre-Commercialization Activities</w:t>
      </w:r>
    </w:p>
    <w:p>
      <w:pPr>
        <w:spacing w:after="0" w:line="242" w:lineRule="exact"/>
        <w:rPr>
          <w:sz w:val="20"/>
          <w:szCs w:val="20"/>
          <w:color w:val="auto"/>
        </w:rPr>
      </w:pPr>
    </w:p>
    <w:p>
      <w:pPr>
        <w:jc w:val="both"/>
        <w:ind w:firstLine="1238"/>
        <w:spacing w:after="0" w:line="259" w:lineRule="auto"/>
        <w:tabs>
          <w:tab w:leader="none" w:pos="1516" w:val="left"/>
        </w:tabs>
        <w:numPr>
          <w:ilvl w:val="1"/>
          <w:numId w:val="629"/>
        </w:numPr>
        <w:rPr>
          <w:rFonts w:ascii="Arial" w:cs="Arial" w:eastAsia="Arial" w:hAnsi="Arial"/>
          <w:sz w:val="17"/>
          <w:szCs w:val="17"/>
          <w:b w:val="1"/>
          <w:bCs w:val="1"/>
          <w:color w:val="auto"/>
        </w:rPr>
      </w:pPr>
      <w:r>
        <w:rPr>
          <w:rFonts w:ascii="Arial" w:cs="Arial" w:eastAsia="Arial" w:hAnsi="Arial"/>
          <w:sz w:val="17"/>
          <w:szCs w:val="17"/>
          <w:color w:val="auto"/>
        </w:rPr>
        <w:t>BioLineRx shall use Commercially Reasonable Efforts to diligently continue and complete the Meltzer Study (the “</w:t>
      </w:r>
      <w:r>
        <w:rPr>
          <w:rFonts w:ascii="Arial" w:cs="Arial" w:eastAsia="Arial" w:hAnsi="Arial"/>
          <w:sz w:val="17"/>
          <w:szCs w:val="17"/>
          <w:b w:val="1"/>
          <w:bCs w:val="1"/>
          <w:color w:val="auto"/>
        </w:rPr>
        <w:t>BioLineRx Pre-Commercialization Activities</w:t>
      </w:r>
      <w:r>
        <w:rPr>
          <w:rFonts w:ascii="Arial" w:cs="Arial" w:eastAsia="Arial" w:hAnsi="Arial"/>
          <w:sz w:val="17"/>
          <w:szCs w:val="17"/>
          <w:color w:val="auto"/>
        </w:rPr>
        <w:t>”). Upon the reasonable request of Cypress that BioLineRx conduct additional Pre-Commercialization activities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Cypress Territory, and with the written agreement of BioLineRx to undertake such additional Pre-Commercialization activities, such additional Pre-Commercialization activities performed by BioLineRx shall be added to the BioLineRx Pre-Commercialization Activities. BioLineRx shall conduct all BioLineRx Pre-Commercialization Activities in accordance with the Pre-Commercialization Plan and standard scientific principles and under the oversight of the JSC (or if the JSC is disbanded as set forth in Section 3.3).</w:t>
      </w:r>
    </w:p>
    <w:p>
      <w:pPr>
        <w:spacing w:after="0" w:line="200" w:lineRule="exact"/>
        <w:rPr>
          <w:rFonts w:ascii="Arial" w:cs="Arial" w:eastAsia="Arial" w:hAnsi="Arial"/>
          <w:sz w:val="17"/>
          <w:szCs w:val="17"/>
          <w:b w:val="1"/>
          <w:bCs w:val="1"/>
          <w:color w:val="auto"/>
        </w:rPr>
      </w:pPr>
    </w:p>
    <w:p>
      <w:pPr>
        <w:ind w:left="420" w:hanging="417"/>
        <w:spacing w:after="0"/>
        <w:tabs>
          <w:tab w:leader="none" w:pos="420" w:val="left"/>
        </w:tabs>
        <w:numPr>
          <w:ilvl w:val="0"/>
          <w:numId w:val="629"/>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4" w:name="page705"/>
    <w:bookmarkEnd w:id="704"/>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57" w:lineRule="auto"/>
        <w:tabs>
          <w:tab w:leader="none" w:pos="1513" w:val="left"/>
        </w:tabs>
        <w:numPr>
          <w:ilvl w:val="0"/>
          <w:numId w:val="630"/>
        </w:numPr>
        <w:rPr>
          <w:rFonts w:ascii="Arial" w:cs="Arial" w:eastAsia="Arial" w:hAnsi="Arial"/>
          <w:sz w:val="17"/>
          <w:szCs w:val="17"/>
          <w:b w:val="1"/>
          <w:bCs w:val="1"/>
          <w:color w:val="auto"/>
        </w:rPr>
      </w:pPr>
      <w:r>
        <w:rPr>
          <w:rFonts w:ascii="Arial" w:cs="Arial" w:eastAsia="Arial" w:hAnsi="Arial"/>
          <w:sz w:val="17"/>
          <w:szCs w:val="17"/>
          <w:color w:val="auto"/>
        </w:rPr>
        <w:t>For as long as BioLineRx is conducting BioLineRx Pre-Commercialization Activities, the status, progress and results of BioLineRx Pre-Commercialization Activities shall be discussed in detail at meetings of the JSC, and BioLineRx shall provide the JSC with a written summary report on the status and progress of such BioLineRx Pre-Commercialization Activities at least [***] business days prior to each scheduled JSC meeting, or, if the JSC meeting occurs less frequently than once per calendar quarter on a quarterly basis. If the JSC has been disbanded, such BioLineRx Pre-Commercialization Activities shall be discussed directly with Cypress, and such written summary reports and requested information shall be provided directly to Cypress (with the costs associated with such activities being borne by the Party incurring them). In addition, BioLineRx shall make available to Cypress such information about BioLineRx Pre-Commercialization Activities as may be requested by Cypress from time to time.</w:t>
      </w:r>
    </w:p>
    <w:p>
      <w:pPr>
        <w:spacing w:after="0" w:line="206" w:lineRule="exact"/>
        <w:rPr>
          <w:rFonts w:ascii="Arial" w:cs="Arial" w:eastAsia="Arial" w:hAnsi="Arial"/>
          <w:sz w:val="17"/>
          <w:szCs w:val="17"/>
          <w:b w:val="1"/>
          <w:bCs w:val="1"/>
          <w:color w:val="auto"/>
        </w:rPr>
      </w:pPr>
    </w:p>
    <w:p>
      <w:pPr>
        <w:jc w:val="both"/>
        <w:ind w:firstLine="1238"/>
        <w:spacing w:after="0" w:line="275" w:lineRule="auto"/>
        <w:tabs>
          <w:tab w:leader="none" w:pos="1493" w:val="left"/>
        </w:tabs>
        <w:numPr>
          <w:ilvl w:val="0"/>
          <w:numId w:val="630"/>
        </w:numPr>
        <w:rPr>
          <w:rFonts w:ascii="Arial" w:cs="Arial" w:eastAsia="Arial" w:hAnsi="Arial"/>
          <w:sz w:val="16"/>
          <w:szCs w:val="16"/>
          <w:b w:val="1"/>
          <w:bCs w:val="1"/>
          <w:color w:val="auto"/>
        </w:rPr>
      </w:pPr>
      <w:r>
        <w:rPr>
          <w:rFonts w:ascii="Arial" w:cs="Arial" w:eastAsia="Arial" w:hAnsi="Arial"/>
          <w:sz w:val="16"/>
          <w:szCs w:val="16"/>
          <w:color w:val="auto"/>
        </w:rPr>
        <w:t>Beginning on the Effective Date and continuing through receipt of first Regulatory Approval, BioLineRx shall have the right to have one representative of BioLineRx at the Cypress facility located in San Diego, California, for the purpose of visiting such facility, meeting with Cypress personnel involved in Pre-Commercialization, or accessing Product-related information available at this facility. In the event that BioLineRx places such representative at the Cypress facility, such BioLineRx representative may be made available to reasonably assist Cypress as a participant in the Pre-Commercialization in the Field in the Cypress Territory; provided that BioLineRx has no obligation to provide such representative/participant. The costs and expenses associated with such representative, including relocation, housing, per diem and other expenses, shall be borne solely by BioLineRx. In addition, such representative shall comply with Cypress’ standard policies applicable to consultants, including undertaking his or her participant activities at the Cypress facility under Cypress’ direction.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4.4 Cypress Pre-Commercialization Activities</w:t>
      </w:r>
    </w:p>
    <w:p>
      <w:pPr>
        <w:spacing w:after="0" w:line="248" w:lineRule="exact"/>
        <w:rPr>
          <w:sz w:val="20"/>
          <w:szCs w:val="20"/>
          <w:color w:val="auto"/>
        </w:rPr>
      </w:pPr>
    </w:p>
    <w:p>
      <w:pPr>
        <w:ind w:firstLine="1238"/>
        <w:spacing w:after="0" w:line="278" w:lineRule="auto"/>
        <w:tabs>
          <w:tab w:leader="none" w:pos="1503" w:val="left"/>
        </w:tabs>
        <w:numPr>
          <w:ilvl w:val="1"/>
          <w:numId w:val="631"/>
        </w:numPr>
        <w:rPr>
          <w:rFonts w:ascii="Arial" w:cs="Arial" w:eastAsia="Arial" w:hAnsi="Arial"/>
          <w:sz w:val="17"/>
          <w:szCs w:val="17"/>
          <w:b w:val="1"/>
          <w:bCs w:val="1"/>
          <w:color w:val="auto"/>
        </w:rPr>
      </w:pPr>
      <w:r>
        <w:rPr>
          <w:rFonts w:ascii="Arial" w:cs="Arial" w:eastAsia="Arial" w:hAnsi="Arial"/>
          <w:sz w:val="17"/>
          <w:szCs w:val="17"/>
          <w:color w:val="auto"/>
        </w:rPr>
        <w:t>Cypress shall use Commercially Reasonable Efforts to conduct Pre-Commercialization activities necessary to seek and obtain Regulatory Approval for the Products in the Field throughout the Territory.</w:t>
      </w:r>
    </w:p>
    <w:p>
      <w:pPr>
        <w:spacing w:after="0" w:line="190" w:lineRule="exact"/>
        <w:rPr>
          <w:rFonts w:ascii="Arial" w:cs="Arial" w:eastAsia="Arial" w:hAnsi="Arial"/>
          <w:sz w:val="17"/>
          <w:szCs w:val="17"/>
          <w:b w:val="1"/>
          <w:bCs w:val="1"/>
          <w:color w:val="auto"/>
        </w:rPr>
      </w:pPr>
    </w:p>
    <w:p>
      <w:pPr>
        <w:jc w:val="both"/>
        <w:ind w:firstLine="1238"/>
        <w:spacing w:after="0" w:line="261" w:lineRule="auto"/>
        <w:tabs>
          <w:tab w:leader="none" w:pos="1513" w:val="left"/>
        </w:tabs>
        <w:numPr>
          <w:ilvl w:val="1"/>
          <w:numId w:val="631"/>
        </w:numPr>
        <w:rPr>
          <w:rFonts w:ascii="Arial" w:cs="Arial" w:eastAsia="Arial" w:hAnsi="Arial"/>
          <w:sz w:val="17"/>
          <w:szCs w:val="17"/>
          <w:b w:val="1"/>
          <w:bCs w:val="1"/>
          <w:color w:val="auto"/>
        </w:rPr>
      </w:pPr>
      <w:r>
        <w:rPr>
          <w:rFonts w:ascii="Arial" w:cs="Arial" w:eastAsia="Arial" w:hAnsi="Arial"/>
          <w:sz w:val="17"/>
          <w:szCs w:val="17"/>
          <w:color w:val="auto"/>
        </w:rPr>
        <w:t>Without limiting the generality of Section 4.4(a), Cypress shall diligently conduct all Pre-Commercialization activities, including seeking Regulatory Approval in the Field, other than the BioLineRx Pre-Commercialization Activities (the “</w:t>
      </w:r>
      <w:r>
        <w:rPr>
          <w:rFonts w:ascii="Arial" w:cs="Arial" w:eastAsia="Arial" w:hAnsi="Arial"/>
          <w:sz w:val="17"/>
          <w:szCs w:val="17"/>
          <w:b w:val="1"/>
          <w:bCs w:val="1"/>
          <w:color w:val="auto"/>
        </w:rPr>
        <w:t>Cypress Pre-Commercialization Activities</w:t>
      </w:r>
      <w:r>
        <w:rPr>
          <w:rFonts w:ascii="Arial" w:cs="Arial" w:eastAsia="Arial" w:hAnsi="Arial"/>
          <w:sz w:val="17"/>
          <w:szCs w:val="17"/>
          <w:color w:val="auto"/>
        </w:rPr>
        <w:t>”). Cypress shall conduct all Cypress Pre-Commercialization Activities in accordance with the Pre-Commercialization Plan and standard scientific principles. Without limiting the foregoing, Cypress shall first seek Regulatory Approval for the Product in the Initial Indication.</w:t>
      </w:r>
    </w:p>
    <w:p>
      <w:pPr>
        <w:spacing w:after="0" w:line="198" w:lineRule="exact"/>
        <w:rPr>
          <w:rFonts w:ascii="Arial" w:cs="Arial" w:eastAsia="Arial" w:hAnsi="Arial"/>
          <w:sz w:val="17"/>
          <w:szCs w:val="17"/>
          <w:b w:val="1"/>
          <w:bCs w:val="1"/>
          <w:color w:val="auto"/>
        </w:rPr>
      </w:pPr>
    </w:p>
    <w:p>
      <w:pPr>
        <w:ind w:left="420" w:hanging="417"/>
        <w:spacing w:after="0"/>
        <w:tabs>
          <w:tab w:leader="none" w:pos="420" w:val="left"/>
        </w:tabs>
        <w:numPr>
          <w:ilvl w:val="0"/>
          <w:numId w:val="631"/>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5" w:name="page706"/>
    <w:bookmarkEnd w:id="705"/>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57" w:lineRule="auto"/>
        <w:tabs>
          <w:tab w:leader="none" w:pos="1468" w:val="left"/>
        </w:tabs>
        <w:numPr>
          <w:ilvl w:val="0"/>
          <w:numId w:val="632"/>
        </w:numPr>
        <w:rPr>
          <w:rFonts w:ascii="Arial" w:cs="Arial" w:eastAsia="Arial" w:hAnsi="Arial"/>
          <w:sz w:val="17"/>
          <w:szCs w:val="17"/>
          <w:b w:val="1"/>
          <w:bCs w:val="1"/>
          <w:color w:val="auto"/>
        </w:rPr>
      </w:pPr>
      <w:r>
        <w:rPr>
          <w:rFonts w:ascii="Arial" w:cs="Arial" w:eastAsia="Arial" w:hAnsi="Arial"/>
          <w:sz w:val="17"/>
          <w:szCs w:val="17"/>
          <w:color w:val="auto"/>
        </w:rPr>
        <w:t>The status, progress and results of Cypress’s Pre-Commercialization Activities shall be discussed in detail at meetings of the JSC, and Cypress shall provide the JSC with a written summary report on the status and progress of such Cypress Pre-Commercialization Activities at least [***] business days prior to each scheduled JSC meeting, or, if the JSC meeting occurs less frequently that once per calendar quarter, on a quarterly basis. If the JSC has been disbanded, such status, progress and results shall be reviewed directly between the Parties on at least a quarterly basis (with the costs associated with any such review being borne by the Party incurring them). In addition, Cypress shall make available to BioLineRx such information about Cypress Pre-Commercialization Activities as may be reasonably requested by BioLineRx from time to time.</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4.5 Compliance.</w:t>
      </w:r>
    </w:p>
    <w:p>
      <w:pPr>
        <w:spacing w:after="0" w:line="248" w:lineRule="exact"/>
        <w:rPr>
          <w:sz w:val="20"/>
          <w:szCs w:val="20"/>
          <w:color w:val="auto"/>
        </w:rPr>
      </w:pPr>
    </w:p>
    <w:p>
      <w:pPr>
        <w:jc w:val="both"/>
        <w:ind w:firstLine="1238"/>
        <w:spacing w:after="0" w:line="296" w:lineRule="auto"/>
        <w:tabs>
          <w:tab w:leader="none" w:pos="1477" w:val="left"/>
        </w:tabs>
        <w:numPr>
          <w:ilvl w:val="0"/>
          <w:numId w:val="633"/>
        </w:numPr>
        <w:rPr>
          <w:rFonts w:ascii="Arial" w:cs="Arial" w:eastAsia="Arial" w:hAnsi="Arial"/>
          <w:sz w:val="15"/>
          <w:szCs w:val="15"/>
          <w:b w:val="1"/>
          <w:bCs w:val="1"/>
          <w:color w:val="auto"/>
        </w:rPr>
      </w:pPr>
      <w:r>
        <w:rPr>
          <w:rFonts w:ascii="Arial" w:cs="Arial" w:eastAsia="Arial" w:hAnsi="Arial"/>
          <w:sz w:val="15"/>
          <w:szCs w:val="15"/>
          <w:color w:val="auto"/>
        </w:rPr>
        <w:t xml:space="preserve">Each Party agrees that in performing its obligations under this Agreement: (i) it shall comply in all material respects with all applicable Laws; and (ii) it will not employ or engage any Person who has been debarred by any regulatory authority, or, to such Party’s knowledge, is the subject of debarment proceedings by a regulatory authority. Cypress shall have the right to engage subcontractors for the performance of its obligations under the Pre-Commercialization Plan, and shall cause the subcontractor(s) engaged by it to be bound by written obligations of confidentiality and invention assignment consistent with those contained herein. Cypress remains primarily responsible for the performance of such subcontractor(s). For clarity, BioLineRx shall not have the right to engage subcontractors for the performance of the BioLineRx Pre-Commercialization Activities without the prior written consent of Cypress, not to be unreasonably withheld, conditioned or delayed;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as of the Execution Date, Cypress has consented to the engagement of Professor Meltzer for the Meltzer Study.</w:t>
      </w:r>
    </w:p>
    <w:p>
      <w:pPr>
        <w:spacing w:after="0" w:line="183" w:lineRule="exact"/>
        <w:rPr>
          <w:rFonts w:ascii="Arial" w:cs="Arial" w:eastAsia="Arial" w:hAnsi="Arial"/>
          <w:sz w:val="15"/>
          <w:szCs w:val="15"/>
          <w:b w:val="1"/>
          <w:bCs w:val="1"/>
          <w:color w:val="auto"/>
        </w:rPr>
      </w:pPr>
    </w:p>
    <w:p>
      <w:pPr>
        <w:jc w:val="both"/>
        <w:ind w:firstLine="1238"/>
        <w:spacing w:after="0" w:line="282" w:lineRule="auto"/>
        <w:tabs>
          <w:tab w:leader="none" w:pos="1487" w:val="left"/>
        </w:tabs>
        <w:numPr>
          <w:ilvl w:val="0"/>
          <w:numId w:val="633"/>
        </w:numPr>
        <w:rPr>
          <w:rFonts w:ascii="Arial" w:cs="Arial" w:eastAsia="Arial" w:hAnsi="Arial"/>
          <w:sz w:val="16"/>
          <w:szCs w:val="16"/>
          <w:b w:val="1"/>
          <w:bCs w:val="1"/>
          <w:color w:val="auto"/>
        </w:rPr>
      </w:pPr>
      <w:r>
        <w:rPr>
          <w:rFonts w:ascii="Arial" w:cs="Arial" w:eastAsia="Arial" w:hAnsi="Arial"/>
          <w:sz w:val="16"/>
          <w:szCs w:val="16"/>
          <w:color w:val="auto"/>
        </w:rPr>
        <w:t>Each Party shall maintain complete, current and accurate records of all work conducted by it under the Pre-Commercialization Plan (including activities relating to chemistry, manufacture and control), and all data and other Information resulting from such work. Such records shall fully and properly reflect all work done and results achieved in the performance of the Pre-Commercialization activities in good scientific manner appropriate for regulatory and patent purposes. Each Party shall have the right to review all records maintained by the other Party at reasonable times, upon a reasonable written request.</w:t>
      </w:r>
    </w:p>
    <w:p>
      <w:pPr>
        <w:spacing w:after="0" w:line="184"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4.6 Pre-Commercialization Costs</w:t>
      </w:r>
      <w:r>
        <w:rPr>
          <w:rFonts w:ascii="Arial" w:cs="Arial" w:eastAsia="Arial" w:hAnsi="Arial"/>
          <w:sz w:val="17"/>
          <w:szCs w:val="17"/>
          <w:color w:val="auto"/>
        </w:rPr>
        <w:t>. Cypress shall bear all costs incurred in carrying out Pre-Commercialization activities (including BioLineRx Pre-Commercialization Activities) in accordance with the approved Pre-Commercialization Plan (</w:t>
      </w:r>
      <w:r>
        <w:rPr>
          <w:rFonts w:ascii="Arial" w:cs="Arial" w:eastAsia="Arial" w:hAnsi="Arial"/>
          <w:sz w:val="17"/>
          <w:szCs w:val="17"/>
          <w:b w:val="1"/>
          <w:bCs w:val="1"/>
          <w:color w:val="auto"/>
        </w:rPr>
        <w:t>“Pre-Commercialization Costs”</w:t>
      </w:r>
      <w:r>
        <w:rPr>
          <w:rFonts w:ascii="Arial" w:cs="Arial" w:eastAsia="Arial" w:hAnsi="Arial"/>
          <w:sz w:val="17"/>
          <w:szCs w:val="17"/>
          <w:color w:val="auto"/>
        </w:rPr>
        <w:t>).</w:t>
      </w:r>
    </w:p>
    <w:p>
      <w:pPr>
        <w:spacing w:after="0" w:line="177" w:lineRule="exact"/>
        <w:rPr>
          <w:sz w:val="20"/>
          <w:szCs w:val="20"/>
          <w:color w:val="auto"/>
        </w:rPr>
      </w:pPr>
    </w:p>
    <w:p>
      <w:pPr>
        <w:ind w:left="5620" w:right="2360" w:hanging="5617"/>
        <w:spacing w:after="0" w:line="854" w:lineRule="auto"/>
        <w:tabs>
          <w:tab w:leader="none" w:pos="409" w:val="left"/>
        </w:tabs>
        <w:numPr>
          <w:ilvl w:val="0"/>
          <w:numId w:val="6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6" w:name="page707"/>
    <w:bookmarkEnd w:id="706"/>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4.7 Access to Data</w:t>
      </w:r>
      <w:r>
        <w:rPr>
          <w:rFonts w:ascii="Arial" w:cs="Arial" w:eastAsia="Arial" w:hAnsi="Arial"/>
          <w:sz w:val="17"/>
          <w:szCs w:val="17"/>
          <w:color w:val="auto"/>
        </w:rPr>
        <w:t>.</w:t>
      </w:r>
    </w:p>
    <w:p>
      <w:pPr>
        <w:spacing w:after="0" w:line="248" w:lineRule="exact"/>
        <w:rPr>
          <w:sz w:val="20"/>
          <w:szCs w:val="20"/>
          <w:color w:val="auto"/>
        </w:rPr>
      </w:pPr>
    </w:p>
    <w:p>
      <w:pPr>
        <w:jc w:val="both"/>
        <w:ind w:firstLine="1238"/>
        <w:spacing w:after="0" w:line="255" w:lineRule="auto"/>
        <w:tabs>
          <w:tab w:leader="none" w:pos="1490" w:val="left"/>
        </w:tabs>
        <w:numPr>
          <w:ilvl w:val="1"/>
          <w:numId w:val="635"/>
        </w:numPr>
        <w:rPr>
          <w:rFonts w:ascii="Arial" w:cs="Arial" w:eastAsia="Arial" w:hAnsi="Arial"/>
          <w:sz w:val="17"/>
          <w:szCs w:val="17"/>
          <w:b w:val="1"/>
          <w:bCs w:val="1"/>
          <w:color w:val="auto"/>
        </w:rPr>
      </w:pPr>
      <w:r>
        <w:rPr>
          <w:rFonts w:ascii="Arial" w:cs="Arial" w:eastAsia="Arial" w:hAnsi="Arial"/>
          <w:sz w:val="17"/>
          <w:szCs w:val="17"/>
          <w:color w:val="auto"/>
        </w:rPr>
        <w:t>The Parties acknowledge each other’s interests in global harmonization of Product pre-commercialization activities worldwide, including in connection with generating Product Data. Notwithstanding Section 2.9, each Party has the right to conduct clinical trials and other studies in the other Party’s portion of the Territory for the purpose of generating preclinical, non-clinical, analytical, manufacturing, regulatory filings in such Party’s Territory, and clinical data relating to the Products (</w:t>
      </w:r>
      <w:r>
        <w:rPr>
          <w:rFonts w:ascii="Arial" w:cs="Arial" w:eastAsia="Arial" w:hAnsi="Arial"/>
          <w:sz w:val="17"/>
          <w:szCs w:val="17"/>
          <w:b w:val="1"/>
          <w:bCs w:val="1"/>
          <w:color w:val="auto"/>
        </w:rPr>
        <w:t>“Product Data”</w:t>
      </w:r>
      <w:r>
        <w:rPr>
          <w:rFonts w:ascii="Arial" w:cs="Arial" w:eastAsia="Arial" w:hAnsi="Arial"/>
          <w:sz w:val="17"/>
          <w:szCs w:val="17"/>
          <w:color w:val="auto"/>
        </w:rPr>
        <w:t>) in support of regulatory submissions to the regulatory authorities in its own portion of the Territory as follows: (i) Cypress may perform Product clinical trials outside of the Cypress Territory in accordance with the Pre-Commercialization Plan, but such clinical trials may only be used in connection with obtaining Regulatory Approval and Commercialization in the Field in the Cypress Territory; and (ii) BioLineRx may perform Product clinical trials inside the Cypress Territory, but such clinical trials may only be used in connection with obtaining regulatory approval and commercialization of Products outside of the Cypress Territory. In the event that either Party performs clinical trials in the other Party’s Territory and such clinical trials require the submission of regulatory filings with a regulatory authority in the other Party’s Territory, then the Parties shall coordinate and determine which Party shall file such regulatory filing in the applicable Territory.</w:t>
      </w:r>
    </w:p>
    <w:p>
      <w:pPr>
        <w:spacing w:after="0" w:line="212" w:lineRule="exact"/>
        <w:rPr>
          <w:rFonts w:ascii="Arial" w:cs="Arial" w:eastAsia="Arial" w:hAnsi="Arial"/>
          <w:sz w:val="17"/>
          <w:szCs w:val="17"/>
          <w:b w:val="1"/>
          <w:bCs w:val="1"/>
          <w:color w:val="auto"/>
        </w:rPr>
      </w:pPr>
    </w:p>
    <w:p>
      <w:pPr>
        <w:jc w:val="both"/>
        <w:ind w:firstLine="1238"/>
        <w:spacing w:after="0" w:line="290" w:lineRule="auto"/>
        <w:tabs>
          <w:tab w:leader="none" w:pos="1487" w:val="left"/>
        </w:tabs>
        <w:numPr>
          <w:ilvl w:val="1"/>
          <w:numId w:val="635"/>
        </w:numPr>
        <w:rPr>
          <w:rFonts w:ascii="Arial" w:cs="Arial" w:eastAsia="Arial" w:hAnsi="Arial"/>
          <w:sz w:val="15"/>
          <w:szCs w:val="15"/>
          <w:b w:val="1"/>
          <w:bCs w:val="1"/>
          <w:color w:val="auto"/>
        </w:rPr>
      </w:pPr>
      <w:r>
        <w:rPr>
          <w:rFonts w:ascii="Arial" w:cs="Arial" w:eastAsia="Arial" w:hAnsi="Arial"/>
          <w:sz w:val="15"/>
          <w:szCs w:val="15"/>
          <w:color w:val="auto"/>
        </w:rPr>
        <w:t>Subject to the reimbursement of Cypress Pre-Commercialization Expenses as set forth in this Section 4.7(b), Cypress shall, in a timely manner and compliant with all applicable Laws provide BioLineRx with the right to use any and all Product Data generated by or on behalf of Cypress (or its Affiliates, licensees or sublicensees) after the Effective Date, and Controlled by Cypress during the Term (the “</w:t>
      </w:r>
      <w:r>
        <w:rPr>
          <w:rFonts w:ascii="Arial" w:cs="Arial" w:eastAsia="Arial" w:hAnsi="Arial"/>
          <w:sz w:val="15"/>
          <w:szCs w:val="15"/>
          <w:b w:val="1"/>
          <w:bCs w:val="1"/>
          <w:color w:val="auto"/>
        </w:rPr>
        <w:t>Cypress Product Data</w:t>
      </w:r>
      <w:r>
        <w:rPr>
          <w:rFonts w:ascii="Arial" w:cs="Arial" w:eastAsia="Arial" w:hAnsi="Arial"/>
          <w:sz w:val="15"/>
          <w:szCs w:val="15"/>
          <w:color w:val="auto"/>
        </w:rPr>
        <w:t>”). BioLineRx shall reimburse Cypress for [***] of the Product Data Costs incurred or paid by Cypress (or its Affiliates, licensees or sublicensees) plus interest accrued at Prime from the date any such Product Data Costs are incurred (such [***] share of Product Data Costs plus interest, the “</w:t>
      </w:r>
      <w:r>
        <w:rPr>
          <w:rFonts w:ascii="Arial" w:cs="Arial" w:eastAsia="Arial" w:hAnsi="Arial"/>
          <w:sz w:val="15"/>
          <w:szCs w:val="15"/>
          <w:b w:val="1"/>
          <w:bCs w:val="1"/>
          <w:color w:val="auto"/>
        </w:rPr>
        <w:t>Cypress Pre-Commercialization Expenses</w:t>
      </w:r>
      <w:r>
        <w:rPr>
          <w:rFonts w:ascii="Arial" w:cs="Arial" w:eastAsia="Arial" w:hAnsi="Arial"/>
          <w:sz w:val="15"/>
          <w:szCs w:val="15"/>
          <w:color w:val="auto"/>
        </w:rPr>
        <w:t xml:space="preserve">”) as follows: (A) in the event BioLineRx or its Affiliates enter into a definitive agreement with a Third-Party granting any rights in the Cypress Product Data for use in either the European Union or the Retained Territory as a whole, BioLineRx shall pay to Cypress a lump sum amount equal to [***] of the Cypress Pre-Commercialization Expenses;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no event shall such amount exceed [***]of any upfront payment received by BioLineRx or its Affiliates upon the execution of such definitive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agreement;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BioLineRx shall carry forward any unpaid amounts due under this subsection (A) to the payment described in subsection (B); (B) in the event such Third-Party includes any Cypress Product Data in a regulatory filing for regulatory approval of a Product in the Retained Territory, BioLineRx shall pay to Cypress a lump sum amount equal to [***] of the Cypress Pre-Commercialization Expenses plus any amounts carried forward from the payment described in subsection (A) above,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no event shall such amount exceed [***] of any milestone payment received by BioLineRx in connection with such regulatory filing under such Third Party agreement; and (C) BioLineRx shall pay to Cypress any remaining unpaid Cypress Pre-Commercialization Expenses upon receipt of regulatory approval in a jurisdiction in the Retained Territory. Notwithstanding the foregoing, in the event that BioLineRx solely by itself (or with its Affiliates) develops, manufactures or sells the Products in the Retained Territory, in any Major Country or in [***], BioLineRx shall reimburse Cypress for the Cypress Pre-Commercialization Expenses in accordance with subsection (C) above (but in such event shall owe no payments under subsections (A) and (B) above).</w:t>
      </w:r>
    </w:p>
    <w:p>
      <w:pPr>
        <w:spacing w:after="0" w:line="183" w:lineRule="exact"/>
        <w:rPr>
          <w:rFonts w:ascii="Arial" w:cs="Arial" w:eastAsia="Arial" w:hAnsi="Arial"/>
          <w:sz w:val="15"/>
          <w:szCs w:val="15"/>
          <w:b w:val="1"/>
          <w:bCs w:val="1"/>
          <w:color w:val="auto"/>
        </w:rPr>
      </w:pPr>
    </w:p>
    <w:p>
      <w:pPr>
        <w:ind w:left="420" w:hanging="417"/>
        <w:spacing w:after="0"/>
        <w:tabs>
          <w:tab w:leader="none" w:pos="420" w:val="left"/>
        </w:tabs>
        <w:numPr>
          <w:ilvl w:val="0"/>
          <w:numId w:val="635"/>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7" w:name="page708"/>
    <w:bookmarkEnd w:id="707"/>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53" w:lineRule="exact"/>
        <w:rPr>
          <w:sz w:val="20"/>
          <w:szCs w:val="20"/>
          <w:color w:val="auto"/>
        </w:rPr>
      </w:pPr>
    </w:p>
    <w:p>
      <w:pPr>
        <w:jc w:val="both"/>
        <w:ind w:firstLine="617"/>
        <w:spacing w:after="0" w:line="291" w:lineRule="auto"/>
        <w:rPr>
          <w:sz w:val="20"/>
          <w:szCs w:val="20"/>
          <w:color w:val="auto"/>
        </w:rPr>
      </w:pPr>
      <w:r>
        <w:rPr>
          <w:rFonts w:ascii="Arial" w:cs="Arial" w:eastAsia="Arial" w:hAnsi="Arial"/>
          <w:sz w:val="15"/>
          <w:szCs w:val="15"/>
          <w:color w:val="auto"/>
        </w:rPr>
        <w:t>Subject to the reimbursement of BioLineRx Pre-Commercialization Expenses set forth in this Section 4.7(c), BioLineRx shall, in a timely manner and compliant with all applicable Laws provide Cypress with the right to use any and all Product Data generated by or on behalf of BioLineRx (or its Affiliates, licensees or sublicensees) after the Effective Date, and Controlled by BioLineRx during the Term (the “</w:t>
      </w:r>
      <w:r>
        <w:rPr>
          <w:rFonts w:ascii="Arial" w:cs="Arial" w:eastAsia="Arial" w:hAnsi="Arial"/>
          <w:sz w:val="15"/>
          <w:szCs w:val="15"/>
          <w:b w:val="1"/>
          <w:bCs w:val="1"/>
          <w:color w:val="auto"/>
        </w:rPr>
        <w:t>BioLineRx Product Data</w:t>
      </w:r>
      <w:r>
        <w:rPr>
          <w:rFonts w:ascii="Arial" w:cs="Arial" w:eastAsia="Arial" w:hAnsi="Arial"/>
          <w:sz w:val="15"/>
          <w:szCs w:val="15"/>
          <w:color w:val="auto"/>
        </w:rPr>
        <w:t>”). Cypress shall reimburse BioLineRx for</w:t>
      </w:r>
    </w:p>
    <w:p>
      <w:pPr>
        <w:spacing w:after="0" w:line="1" w:lineRule="exact"/>
        <w:rPr>
          <w:sz w:val="20"/>
          <w:szCs w:val="20"/>
          <w:color w:val="auto"/>
        </w:rPr>
      </w:pPr>
    </w:p>
    <w:p>
      <w:pPr>
        <w:jc w:val="both"/>
        <w:ind w:firstLine="3"/>
        <w:spacing w:after="0" w:line="255" w:lineRule="auto"/>
        <w:tabs>
          <w:tab w:leader="none" w:pos="43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of the Product Data Costs incurred or paid by BioLineRx (or its Affiliates, licensees or sublicensees) plus interest accrued at Prime from the date any such Product Data Costs are incurred [***] share of Product Data Costs plus interest, the “</w:t>
      </w:r>
      <w:r>
        <w:rPr>
          <w:rFonts w:ascii="Arial" w:cs="Arial" w:eastAsia="Arial" w:hAnsi="Arial"/>
          <w:sz w:val="17"/>
          <w:szCs w:val="17"/>
          <w:b w:val="1"/>
          <w:bCs w:val="1"/>
          <w:color w:val="auto"/>
        </w:rPr>
        <w:t>BioLineRx Pre-Commercialization Expenses</w:t>
      </w:r>
      <w:r>
        <w:rPr>
          <w:rFonts w:ascii="Arial" w:cs="Arial" w:eastAsia="Arial" w:hAnsi="Arial"/>
          <w:sz w:val="17"/>
          <w:szCs w:val="17"/>
          <w:color w:val="auto"/>
        </w:rPr>
        <w:t>”) as follows: (A) Cypress shall pay to BioLineRx a lump sum amount equal to [***] of the BioLineRx Pre-Commercialization Expenses upon submission of an NDA in the United States by Cypress or its sublicensees which NDA includes any BioLineRx Product Data; and (B) Cypress shall pay to BioLineRx any remaining unpaid BioLineRx Pre-Commercialization Expenses upon receipt of Regulatory Approval of such NDA in the United States.</w:t>
      </w:r>
    </w:p>
    <w:p>
      <w:pPr>
        <w:spacing w:after="0" w:line="211" w:lineRule="exact"/>
        <w:rPr>
          <w:rFonts w:ascii="Arial" w:cs="Arial" w:eastAsia="Arial" w:hAnsi="Arial"/>
          <w:sz w:val="17"/>
          <w:szCs w:val="17"/>
          <w:color w:val="auto"/>
        </w:rPr>
      </w:pPr>
    </w:p>
    <w:p>
      <w:pPr>
        <w:jc w:val="both"/>
        <w:ind w:firstLine="1238"/>
        <w:spacing w:after="0" w:line="272" w:lineRule="auto"/>
        <w:tabs>
          <w:tab w:leader="none" w:pos="1493" w:val="left"/>
        </w:tabs>
        <w:numPr>
          <w:ilvl w:val="1"/>
          <w:numId w:val="636"/>
        </w:numPr>
        <w:rPr>
          <w:rFonts w:ascii="Arial" w:cs="Arial" w:eastAsia="Arial" w:hAnsi="Arial"/>
          <w:sz w:val="16"/>
          <w:szCs w:val="16"/>
          <w:b w:val="1"/>
          <w:bCs w:val="1"/>
          <w:color w:val="auto"/>
        </w:rPr>
      </w:pPr>
      <w:r>
        <w:rPr>
          <w:rFonts w:ascii="Arial" w:cs="Arial" w:eastAsia="Arial" w:hAnsi="Arial"/>
          <w:sz w:val="16"/>
          <w:szCs w:val="16"/>
          <w:color w:val="auto"/>
        </w:rPr>
        <w:t>Each Party shall provide to the other Party summary reports generated in the conduct of pre-commercialization activities in such Party’s Territory, as well as written summaries of the regulatory filings regarding the Products in such Party’s Territory, upon completion of each phase of clinical trials or completion of tests within pre-clinical and non-clinical studies (such summary reports shall not be deemed Product Data). All such Information exchanged hereunder (including such summary reports and written summaries) shall include sufficient information to enable the recipient Party to understand each study and its results. In addition, upon reasonable request by a Party in writing in advance, the other Party shall provide access at its facility(ies) to the extent necessary to enable the requesting Party to review on-site the study-specific portions of detailed Product-related analyses, raw data generated by a Party related to Products, Information, written Product-related reports, and regulatory filings that are made a part of, are related to, or are quoted in such summary reports or such written summaries. Except as provided in this Section 4.7(d), the requesting Party shall not make or remove any copies of any Product Data or other documentation to which the requesting Party was given access. Any out-of-pocket costs that are incurred by the Party granting such access to the requesting Party shall be fully reimbursed by the requesting Party promptly after receipt of invoice(s) for such out-of-pocket costs. If the requesting Party decides that it wishes to obtain a copy of the full report regarding such Product Data, the requesting Party shall provide written notice of such decision to the other Party. The Parties will discuss the manner in which such full report copy (which shall constitute Product Data) will be produced and provided to the requesting Party, with the expenses of copying such full report to be paid by the requesting Party.</w:t>
      </w:r>
    </w:p>
    <w:p>
      <w:pPr>
        <w:spacing w:after="0" w:line="190" w:lineRule="exact"/>
        <w:rPr>
          <w:rFonts w:ascii="Arial" w:cs="Arial" w:eastAsia="Arial" w:hAnsi="Arial"/>
          <w:sz w:val="16"/>
          <w:szCs w:val="16"/>
          <w:b w:val="1"/>
          <w:bCs w:val="1"/>
          <w:color w:val="auto"/>
        </w:rPr>
      </w:pPr>
    </w:p>
    <w:p>
      <w:pPr>
        <w:ind w:left="420" w:hanging="417"/>
        <w:spacing w:after="0"/>
        <w:tabs>
          <w:tab w:leader="none" w:pos="420" w:val="left"/>
        </w:tabs>
        <w:numPr>
          <w:ilvl w:val="0"/>
          <w:numId w:val="636"/>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8" w:name="page709"/>
    <w:bookmarkEnd w:id="708"/>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53" w:lineRule="exact"/>
        <w:rPr>
          <w:sz w:val="20"/>
          <w:szCs w:val="20"/>
          <w:color w:val="auto"/>
        </w:rPr>
      </w:pPr>
    </w:p>
    <w:p>
      <w:pPr>
        <w:jc w:val="both"/>
        <w:ind w:firstLine="617"/>
        <w:spacing w:after="0" w:line="257" w:lineRule="auto"/>
        <w:rPr>
          <w:sz w:val="20"/>
          <w:szCs w:val="20"/>
          <w:color w:val="auto"/>
        </w:rPr>
      </w:pPr>
      <w:r>
        <w:rPr>
          <w:rFonts w:ascii="Arial" w:cs="Arial" w:eastAsia="Arial" w:hAnsi="Arial"/>
          <w:sz w:val="17"/>
          <w:szCs w:val="17"/>
          <w:color w:val="auto"/>
        </w:rPr>
        <w:t>Each Party acknowledges and understands that the other Party may license or sublicense (as the case may be) rights to the Products in the Field in their respective Territory to one or more Third Party licensees or sublicensees (as applicable), for Pre-Commercialization and Commercialization (each a “</w:t>
      </w:r>
      <w:r>
        <w:rPr>
          <w:rFonts w:ascii="Arial" w:cs="Arial" w:eastAsia="Arial" w:hAnsi="Arial"/>
          <w:sz w:val="17"/>
          <w:szCs w:val="17"/>
          <w:b w:val="1"/>
          <w:bCs w:val="1"/>
          <w:color w:val="auto"/>
        </w:rPr>
        <w:t>Third Party</w:t>
      </w:r>
      <w:r>
        <w:rPr>
          <w:rFonts w:ascii="Arial" w:cs="Arial" w:eastAsia="Arial" w:hAnsi="Arial"/>
          <w:sz w:val="17"/>
          <w:szCs w:val="17"/>
          <w:color w:val="auto"/>
        </w:rPr>
        <w:t xml:space="preserve"> </w:t>
      </w:r>
      <w:r>
        <w:rPr>
          <w:rFonts w:ascii="Arial" w:cs="Arial" w:eastAsia="Arial" w:hAnsi="Arial"/>
          <w:sz w:val="17"/>
          <w:szCs w:val="17"/>
          <w:b w:val="1"/>
          <w:bCs w:val="1"/>
          <w:color w:val="auto"/>
        </w:rPr>
        <w:t>Partner</w:t>
      </w:r>
      <w:r>
        <w:rPr>
          <w:rFonts w:ascii="Arial" w:cs="Arial" w:eastAsia="Arial" w:hAnsi="Arial"/>
          <w:sz w:val="17"/>
          <w:szCs w:val="17"/>
          <w:color w:val="auto"/>
        </w:rPr>
        <w:t>”), and pursuant to such arrangements, such Party or such Third Party Partner will generate additional Product Data for use in seeking regulatory approval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Territory (the “</w:t>
      </w:r>
      <w:r>
        <w:rPr>
          <w:rFonts w:ascii="Arial" w:cs="Arial" w:eastAsia="Arial" w:hAnsi="Arial"/>
          <w:sz w:val="17"/>
          <w:szCs w:val="17"/>
          <w:b w:val="1"/>
          <w:bCs w:val="1"/>
          <w:color w:val="auto"/>
        </w:rPr>
        <w:t>Third Party Data</w:t>
      </w:r>
      <w:r>
        <w:rPr>
          <w:rFonts w:ascii="Arial" w:cs="Arial" w:eastAsia="Arial" w:hAnsi="Arial"/>
          <w:sz w:val="17"/>
          <w:szCs w:val="17"/>
          <w:color w:val="auto"/>
        </w:rPr>
        <w:t>”). Each Party must include in its contractual agreement(s) with such Third Party Partners the right to transfer to the other Party for its use in its respective Territory any Third Party Data, subject to the requesting Party reimbursing the other Party as set forth in this Section 4.7, as applicable.</w:t>
      </w:r>
    </w:p>
    <w:p>
      <w:pPr>
        <w:spacing w:after="0" w:line="204" w:lineRule="exact"/>
        <w:rPr>
          <w:sz w:val="20"/>
          <w:szCs w:val="20"/>
          <w:color w:val="auto"/>
        </w:rPr>
      </w:pPr>
    </w:p>
    <w:p>
      <w:pPr>
        <w:jc w:val="both"/>
        <w:ind w:firstLine="1238"/>
        <w:spacing w:after="0" w:line="269" w:lineRule="auto"/>
        <w:tabs>
          <w:tab w:leader="none" w:pos="1487" w:val="left"/>
        </w:tabs>
        <w:numPr>
          <w:ilvl w:val="0"/>
          <w:numId w:val="637"/>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All pre-clinical, analytical, non-clinical, and clinical data and associated reports disclosed by one Party to the other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deemed Confidential Information of the disclosing Party, subject to the permitted uses and disclosures described in this Section 4.7 (including pursuant to the licenses granted under Section 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REGULATORY MATTERS</w:t>
      </w:r>
    </w:p>
    <w:p>
      <w:pPr>
        <w:spacing w:after="0" w:line="24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5.1 Initial Transfer. </w:t>
      </w:r>
      <w:r>
        <w:rPr>
          <w:rFonts w:ascii="Arial" w:cs="Arial" w:eastAsia="Arial" w:hAnsi="Arial"/>
          <w:sz w:val="17"/>
          <w:szCs w:val="17"/>
          <w:color w:val="auto"/>
        </w:rPr>
        <w:t>Within [***] days after the Effective Date, BioLineRx shall transfer to Cypress ownership of IND No. [***] BioLineRx will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Cypress with an electronic copy of such IND and copies of all material Regulatory Filings submitted to Regulatory Authorities. BioLineRx and Cypress shall execute such documents and take such actions as are reasonably necessary to effectuate the foregoing transfers.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5.2 Cypress Regulatory Responsibilities.</w:t>
      </w:r>
    </w:p>
    <w:p>
      <w:pPr>
        <w:spacing w:after="0" w:line="248" w:lineRule="exact"/>
        <w:rPr>
          <w:sz w:val="20"/>
          <w:szCs w:val="20"/>
          <w:color w:val="auto"/>
        </w:rPr>
      </w:pPr>
    </w:p>
    <w:p>
      <w:pPr>
        <w:jc w:val="both"/>
        <w:ind w:firstLine="1238"/>
        <w:spacing w:after="0" w:line="265" w:lineRule="auto"/>
        <w:tabs>
          <w:tab w:leader="none" w:pos="1477" w:val="left"/>
        </w:tabs>
        <w:numPr>
          <w:ilvl w:val="1"/>
          <w:numId w:val="638"/>
        </w:numPr>
        <w:rPr>
          <w:rFonts w:ascii="Arial" w:cs="Arial" w:eastAsia="Arial" w:hAnsi="Arial"/>
          <w:sz w:val="17"/>
          <w:szCs w:val="17"/>
          <w:b w:val="1"/>
          <w:bCs w:val="1"/>
          <w:color w:val="auto"/>
        </w:rPr>
      </w:pPr>
      <w:r>
        <w:rPr>
          <w:rFonts w:ascii="Arial" w:cs="Arial" w:eastAsia="Arial" w:hAnsi="Arial"/>
          <w:sz w:val="17"/>
          <w:szCs w:val="17"/>
          <w:color w:val="auto"/>
        </w:rPr>
        <w:t>Cypress shall own all Regulatory Filings and Regulatory Approvals, and shall be solely responsible for preparing any and all Regulatory Filings at its sole expense in accordance with the Pre-Commercialization Plan, subject to the terms of this Article 5. BioLineRx shall consult with Cypress as Cypress may reasonably request in connection with the preparation and filing of such Regulatory Filings.</w:t>
      </w:r>
    </w:p>
    <w:p>
      <w:pPr>
        <w:spacing w:after="0" w:line="195" w:lineRule="exact"/>
        <w:rPr>
          <w:rFonts w:ascii="Arial" w:cs="Arial" w:eastAsia="Arial" w:hAnsi="Arial"/>
          <w:sz w:val="17"/>
          <w:szCs w:val="17"/>
          <w:b w:val="1"/>
          <w:bCs w:val="1"/>
          <w:color w:val="auto"/>
        </w:rPr>
      </w:pPr>
    </w:p>
    <w:p>
      <w:pPr>
        <w:ind w:left="420" w:hanging="417"/>
        <w:spacing w:after="0"/>
        <w:tabs>
          <w:tab w:leader="none" w:pos="420" w:val="left"/>
        </w:tabs>
        <w:numPr>
          <w:ilvl w:val="0"/>
          <w:numId w:val="638"/>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09" w:name="page710"/>
    <w:bookmarkEnd w:id="70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65" w:lineRule="auto"/>
        <w:tabs>
          <w:tab w:leader="none" w:pos="1513" w:val="left"/>
        </w:tabs>
        <w:numPr>
          <w:ilvl w:val="1"/>
          <w:numId w:val="639"/>
        </w:numPr>
        <w:rPr>
          <w:rFonts w:ascii="Arial" w:cs="Arial" w:eastAsia="Arial" w:hAnsi="Arial"/>
          <w:sz w:val="17"/>
          <w:szCs w:val="17"/>
          <w:b w:val="1"/>
          <w:bCs w:val="1"/>
          <w:color w:val="auto"/>
        </w:rPr>
      </w:pPr>
      <w:r>
        <w:rPr>
          <w:rFonts w:ascii="Arial" w:cs="Arial" w:eastAsia="Arial" w:hAnsi="Arial"/>
          <w:sz w:val="17"/>
          <w:szCs w:val="17"/>
          <w:color w:val="auto"/>
        </w:rPr>
        <w:t>Cypress shall keep BioLineRx informed of material regulatory developments specific to Products throughout the Cypress Territory, and BioLineRx may contribute to the regulatory plans and strategies for the Products in the Cypress Territory, in each case through the JSC or directly if the JSC has been disbanded.</w:t>
      </w:r>
    </w:p>
    <w:p>
      <w:pPr>
        <w:spacing w:after="0" w:line="201" w:lineRule="exact"/>
        <w:rPr>
          <w:rFonts w:ascii="Arial" w:cs="Arial" w:eastAsia="Arial" w:hAnsi="Arial"/>
          <w:sz w:val="17"/>
          <w:szCs w:val="17"/>
          <w:b w:val="1"/>
          <w:bCs w:val="1"/>
          <w:color w:val="auto"/>
        </w:rPr>
      </w:pPr>
    </w:p>
    <w:p>
      <w:pPr>
        <w:jc w:val="both"/>
        <w:ind w:firstLine="1238"/>
        <w:spacing w:after="0" w:line="265" w:lineRule="auto"/>
        <w:tabs>
          <w:tab w:leader="none" w:pos="1493" w:val="left"/>
        </w:tabs>
        <w:numPr>
          <w:ilvl w:val="1"/>
          <w:numId w:val="639"/>
        </w:numPr>
        <w:rPr>
          <w:rFonts w:ascii="Arial" w:cs="Arial" w:eastAsia="Arial" w:hAnsi="Arial"/>
          <w:sz w:val="17"/>
          <w:szCs w:val="17"/>
          <w:b w:val="1"/>
          <w:bCs w:val="1"/>
          <w:color w:val="auto"/>
        </w:rPr>
      </w:pPr>
      <w:r>
        <w:rPr>
          <w:rFonts w:ascii="Arial" w:cs="Arial" w:eastAsia="Arial" w:hAnsi="Arial"/>
          <w:sz w:val="17"/>
          <w:szCs w:val="17"/>
          <w:color w:val="auto"/>
        </w:rPr>
        <w:t>Cypress shall be solely responsible for any discussions with any Regulatory Authority related to any Pre-Commercialization in the Field, provided that Cypress will inform BioLineRx of any material discussions in advance to the extent practicable, and will reasonably consider any input from BioLineRx in preparation for such discussions.</w:t>
      </w:r>
    </w:p>
    <w:p>
      <w:pPr>
        <w:spacing w:after="0" w:line="201" w:lineRule="exact"/>
        <w:rPr>
          <w:rFonts w:ascii="Arial" w:cs="Arial" w:eastAsia="Arial" w:hAnsi="Arial"/>
          <w:sz w:val="17"/>
          <w:szCs w:val="17"/>
          <w:b w:val="1"/>
          <w:bCs w:val="1"/>
          <w:color w:val="auto"/>
        </w:rPr>
      </w:pPr>
    </w:p>
    <w:p>
      <w:pPr>
        <w:jc w:val="both"/>
        <w:ind w:firstLine="1238"/>
        <w:spacing w:after="0" w:line="261" w:lineRule="auto"/>
        <w:tabs>
          <w:tab w:leader="none" w:pos="1526" w:val="left"/>
        </w:tabs>
        <w:numPr>
          <w:ilvl w:val="1"/>
          <w:numId w:val="639"/>
        </w:numPr>
        <w:rPr>
          <w:rFonts w:ascii="Arial" w:cs="Arial" w:eastAsia="Arial" w:hAnsi="Arial"/>
          <w:sz w:val="17"/>
          <w:szCs w:val="17"/>
          <w:b w:val="1"/>
          <w:bCs w:val="1"/>
          <w:color w:val="auto"/>
        </w:rPr>
      </w:pPr>
      <w:r>
        <w:rPr>
          <w:rFonts w:ascii="Arial" w:cs="Arial" w:eastAsia="Arial" w:hAnsi="Arial"/>
          <w:sz w:val="17"/>
          <w:szCs w:val="17"/>
          <w:color w:val="auto"/>
        </w:rPr>
        <w:t>To the extent permitted by the applicable Regulatory Authority and as requested by BioLineRx, Cypress shall allow representatives of BioLineRx to participate in any material scheduled conference calls and meetings between Cypress and the Regulatory Authority. If BioLineRx elects not to participate in such calls or meetings, Cypress shall keep BioLineRx reasonably apprised of the discussions between Cypress and the Regulatory Authority that take place during such calls or meetings.</w:t>
      </w:r>
    </w:p>
    <w:p>
      <w:pPr>
        <w:spacing w:after="0" w:line="204" w:lineRule="exact"/>
        <w:rPr>
          <w:rFonts w:ascii="Arial" w:cs="Arial" w:eastAsia="Arial" w:hAnsi="Arial"/>
          <w:sz w:val="17"/>
          <w:szCs w:val="17"/>
          <w:b w:val="1"/>
          <w:bCs w:val="1"/>
          <w:color w:val="auto"/>
        </w:rPr>
      </w:pPr>
    </w:p>
    <w:p>
      <w:pPr>
        <w:jc w:val="both"/>
        <w:ind w:firstLine="1238"/>
        <w:spacing w:after="0" w:line="261" w:lineRule="auto"/>
        <w:tabs>
          <w:tab w:leader="none" w:pos="1468" w:val="left"/>
        </w:tabs>
        <w:numPr>
          <w:ilvl w:val="1"/>
          <w:numId w:val="639"/>
        </w:numPr>
        <w:rPr>
          <w:rFonts w:ascii="Arial" w:cs="Arial" w:eastAsia="Arial" w:hAnsi="Arial"/>
          <w:sz w:val="17"/>
          <w:szCs w:val="17"/>
          <w:b w:val="1"/>
          <w:bCs w:val="1"/>
          <w:color w:val="auto"/>
        </w:rPr>
      </w:pPr>
      <w:r>
        <w:rPr>
          <w:rFonts w:ascii="Arial" w:cs="Arial" w:eastAsia="Arial" w:hAnsi="Arial"/>
          <w:sz w:val="17"/>
          <w:szCs w:val="17"/>
          <w:color w:val="auto"/>
        </w:rPr>
        <w:t>Cypress shall be responsible to ensure, at its sole expense, that the Pre-Commercialization, manufacture and Commercialization of the Products in the Cypress Territory are in compliance with applicable Laws in all material respects, including all rules and regulations promulgated by applicable Regulatory Authorities. Specifically and without limiting the foregoing, Cypress shall file all compliance filings, certificates and safety reporting (subject to Section 5.2(a)) in the Cypress Territory at its sole expense.</w:t>
      </w:r>
    </w:p>
    <w:p>
      <w:pPr>
        <w:spacing w:after="0" w:line="204" w:lineRule="exact"/>
        <w:rPr>
          <w:rFonts w:ascii="Arial" w:cs="Arial" w:eastAsia="Arial" w:hAnsi="Arial"/>
          <w:sz w:val="17"/>
          <w:szCs w:val="17"/>
          <w:b w:val="1"/>
          <w:bCs w:val="1"/>
          <w:color w:val="auto"/>
        </w:rPr>
      </w:pPr>
    </w:p>
    <w:p>
      <w:pPr>
        <w:jc w:val="both"/>
        <w:ind w:firstLine="1238"/>
        <w:spacing w:after="0" w:line="265" w:lineRule="auto"/>
        <w:tabs>
          <w:tab w:leader="none" w:pos="1449" w:val="left"/>
        </w:tabs>
        <w:numPr>
          <w:ilvl w:val="1"/>
          <w:numId w:val="639"/>
        </w:numPr>
        <w:rPr>
          <w:rFonts w:ascii="Arial" w:cs="Arial" w:eastAsia="Arial" w:hAnsi="Arial"/>
          <w:sz w:val="17"/>
          <w:szCs w:val="17"/>
          <w:b w:val="1"/>
          <w:bCs w:val="1"/>
          <w:color w:val="auto"/>
        </w:rPr>
      </w:pPr>
      <w:r>
        <w:rPr>
          <w:rFonts w:ascii="Arial" w:cs="Arial" w:eastAsia="Arial" w:hAnsi="Arial"/>
          <w:sz w:val="17"/>
          <w:szCs w:val="17"/>
          <w:color w:val="auto"/>
        </w:rPr>
        <w:t>With respect to all Regulatory Filings, Cypress shall, and shall ensure that its sublicensees will: (i) submit only data and information that are free from fraud or material falsity; (ii) not use bribery or the payment of illegal gratuities in connection with its Regulatory Filings for the Products; and (iii) submit only data and information that are accurate in all material respects for purposes of supporting Regulatory Approval.</w:t>
      </w:r>
    </w:p>
    <w:p>
      <w:pPr>
        <w:spacing w:after="0" w:line="195" w:lineRule="exact"/>
        <w:rPr>
          <w:rFonts w:ascii="Arial" w:cs="Arial" w:eastAsia="Arial" w:hAnsi="Arial"/>
          <w:sz w:val="17"/>
          <w:szCs w:val="17"/>
          <w:b w:val="1"/>
          <w:bCs w:val="1"/>
          <w:color w:val="auto"/>
        </w:rPr>
      </w:pPr>
    </w:p>
    <w:p>
      <w:pPr>
        <w:jc w:val="both"/>
        <w:ind w:firstLine="1238"/>
        <w:spacing w:after="0" w:line="269" w:lineRule="auto"/>
        <w:tabs>
          <w:tab w:leader="none" w:pos="1477" w:val="left"/>
        </w:tabs>
        <w:numPr>
          <w:ilvl w:val="1"/>
          <w:numId w:val="6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Adverse Events. </w:t>
      </w:r>
      <w:r>
        <w:rPr>
          <w:rFonts w:ascii="Arial" w:cs="Arial" w:eastAsia="Arial" w:hAnsi="Arial"/>
          <w:sz w:val="17"/>
          <w:szCs w:val="17"/>
          <w:color w:val="auto"/>
        </w:rPr>
        <w:t>Within one [***] of the Execution Date, the Parties shall discuss in good faith and enter into a pharmacovigilance and adverse</w:t>
      </w:r>
      <w:r>
        <w:rPr>
          <w:rFonts w:ascii="Arial" w:cs="Arial" w:eastAsia="Arial" w:hAnsi="Arial"/>
          <w:sz w:val="17"/>
          <w:szCs w:val="17"/>
          <w:b w:val="1"/>
          <w:bCs w:val="1"/>
          <w:color w:val="auto"/>
        </w:rPr>
        <w:t xml:space="preserve"> </w:t>
      </w:r>
      <w:r>
        <w:rPr>
          <w:rFonts w:ascii="Arial" w:cs="Arial" w:eastAsia="Arial" w:hAnsi="Arial"/>
          <w:sz w:val="17"/>
          <w:szCs w:val="17"/>
          <w:color w:val="auto"/>
        </w:rPr>
        <w:t>event reporting agreement setting forth the worldwide pharmacovigilance procedures for the Parties with respect to such Product, such as safety data sharing, adverse events reporting and prescription events monitoring (the “</w:t>
      </w:r>
      <w:r>
        <w:rPr>
          <w:rFonts w:ascii="Arial" w:cs="Arial" w:eastAsia="Arial" w:hAnsi="Arial"/>
          <w:sz w:val="17"/>
          <w:szCs w:val="17"/>
          <w:b w:val="1"/>
          <w:bCs w:val="1"/>
          <w:color w:val="auto"/>
        </w:rPr>
        <w:t>Pharmacovigilance Agreement</w:t>
      </w:r>
      <w:r>
        <w:rPr>
          <w:rFonts w:ascii="Arial" w:cs="Arial" w:eastAsia="Arial" w:hAnsi="Arial"/>
          <w:sz w:val="17"/>
          <w:szCs w:val="17"/>
          <w:color w:val="auto"/>
        </w:rPr>
        <w:t>”).</w:t>
      </w:r>
    </w:p>
    <w:p>
      <w:pPr>
        <w:spacing w:after="0" w:line="191" w:lineRule="exact"/>
        <w:rPr>
          <w:rFonts w:ascii="Arial" w:cs="Arial" w:eastAsia="Arial" w:hAnsi="Arial"/>
          <w:sz w:val="17"/>
          <w:szCs w:val="17"/>
          <w:b w:val="1"/>
          <w:bCs w:val="1"/>
          <w:color w:val="auto"/>
        </w:rPr>
      </w:pPr>
    </w:p>
    <w:p>
      <w:pPr>
        <w:ind w:left="420" w:hanging="417"/>
        <w:spacing w:after="0"/>
        <w:tabs>
          <w:tab w:leader="none" w:pos="420" w:val="left"/>
        </w:tabs>
        <w:numPr>
          <w:ilvl w:val="0"/>
          <w:numId w:val="639"/>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0" w:name="page711"/>
    <w:bookmarkEnd w:id="710"/>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5.3 Additional Regulatory Negative Covenants</w:t>
      </w:r>
      <w:r>
        <w:rPr>
          <w:rFonts w:ascii="Arial" w:cs="Arial" w:eastAsia="Arial" w:hAnsi="Arial"/>
          <w:sz w:val="16"/>
          <w:szCs w:val="16"/>
          <w:color w:val="auto"/>
        </w:rPr>
        <w:t>. If either Party believes that the other Party, as the case may be, is taking or intends to take any action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Products that would reasonably be expected to have a material adverse impact upon the regulatory status of the Products in the Retained Territory or the Cypress Territory, as applicable, such Party shall have the right to bring the matter to the attention of the JSC (or directly to the other Party if the JSC is disbanded). Without limiting the foregoing, with respect to the Products, unless the Parties otherwise agree: (a) Cypress shall not communicate with any regulatory authority having jurisdiction in the Retained Territory, unless so ordered by such regulatory authority, in which case Cypress shall provide immediately to BioLineRx written notice of such order; (b) Cypress shall not submit any regulatory filings or seek regulatory approvals for the Products in the Retained Territory (other than in connection with clinical trials as permitted pursuant to Section 4.1); (c) BioLineRx shall not communicate with any Regulatory Authority, unless so ordered by such Regulatory Authority, in which case BioLineRx shall provide immediately to Cypress written notice of such order; and (d) BioLineRx shall not submit any Regulatory Filings or seek Regulatory Approvals (other than in connection with clinical trials as permitted pursuant to Section 4.1).</w:t>
      </w:r>
    </w:p>
    <w:p>
      <w:pPr>
        <w:spacing w:after="0" w:line="193" w:lineRule="exact"/>
        <w:rPr>
          <w:sz w:val="20"/>
          <w:szCs w:val="20"/>
          <w:color w:val="auto"/>
        </w:rPr>
      </w:pPr>
    </w:p>
    <w:p>
      <w:pPr>
        <w:jc w:val="both"/>
        <w:ind w:firstLine="617"/>
        <w:spacing w:after="0" w:line="276" w:lineRule="auto"/>
        <w:rPr>
          <w:sz w:val="20"/>
          <w:szCs w:val="20"/>
          <w:color w:val="auto"/>
        </w:rPr>
      </w:pPr>
      <w:r>
        <w:rPr>
          <w:rFonts w:ascii="Arial" w:cs="Arial" w:eastAsia="Arial" w:hAnsi="Arial"/>
          <w:sz w:val="16"/>
          <w:szCs w:val="16"/>
          <w:b w:val="1"/>
          <w:bCs w:val="1"/>
          <w:color w:val="auto"/>
        </w:rPr>
        <w:t xml:space="preserve">Recalls. </w:t>
      </w:r>
      <w:r>
        <w:rPr>
          <w:rFonts w:ascii="Arial" w:cs="Arial" w:eastAsia="Arial" w:hAnsi="Arial"/>
          <w:sz w:val="16"/>
          <w:szCs w:val="16"/>
          <w:color w:val="auto"/>
        </w:rPr>
        <w:t>If any regulatory authority issues or requests a recall or takes a similar action in connection with the Product in a Party’s Territory, or if a Party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that an event, incident or circumstance has occurred that may result in the need for a recall or market withdrawal of Product in such Party’s Territory, such Party will notify the other Party thereof by telephone or facsimile and use Commercially Reasonable Efforts to discuss such event, incident or circumstance with the other Party in order to jointly determine the appropriate course of action (except in the case of a recall mandated by a regulatory authority in the applicable Territory, in which case a Party may act without such advance notice but will notify the other Party as soon as possible), and shall provide to the other Party copies of all relevant correspondence, notices and the like. Subject to the foregoing sentence, Cypress will retain ultimate responsibility for deciding whether to conduct a recall of Product in the Field in the Cypress Territory and the manner in which any such recall will be conducted.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4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COMMERCIALIZATION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6.1 Overview of Commercialization in the Cypress Territory</w:t>
      </w:r>
      <w:r>
        <w:rPr>
          <w:rFonts w:ascii="Arial" w:cs="Arial" w:eastAsia="Arial" w:hAnsi="Arial"/>
          <w:sz w:val="17"/>
          <w:szCs w:val="17"/>
          <w:color w:val="auto"/>
        </w:rPr>
        <w:t>.</w:t>
      </w:r>
    </w:p>
    <w:p>
      <w:pPr>
        <w:spacing w:after="0" w:line="242" w:lineRule="exact"/>
        <w:rPr>
          <w:sz w:val="20"/>
          <w:szCs w:val="20"/>
          <w:color w:val="auto"/>
        </w:rPr>
      </w:pPr>
    </w:p>
    <w:p>
      <w:pPr>
        <w:jc w:val="both"/>
        <w:ind w:firstLine="1238"/>
        <w:spacing w:after="0" w:line="261" w:lineRule="auto"/>
        <w:tabs>
          <w:tab w:leader="none" w:pos="1503" w:val="left"/>
        </w:tabs>
        <w:numPr>
          <w:ilvl w:val="0"/>
          <w:numId w:val="6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Cypress will be solely responsible for all aspects of the Commercialization in the Field, which shall be conducted in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all applicable Laws and in accordance with a Commercialization plan for the United States to be prepared by Cypress and provided to BioLineRx reasonably in advance of the First Commercial Sale (the “</w:t>
      </w:r>
      <w:r>
        <w:rPr>
          <w:rFonts w:ascii="Arial" w:cs="Arial" w:eastAsia="Arial" w:hAnsi="Arial"/>
          <w:sz w:val="17"/>
          <w:szCs w:val="17"/>
          <w:b w:val="1"/>
          <w:bCs w:val="1"/>
          <w:color w:val="auto"/>
        </w:rPr>
        <w:t>Commercialization Plan</w:t>
      </w:r>
      <w:r>
        <w:rPr>
          <w:rFonts w:ascii="Arial" w:cs="Arial" w:eastAsia="Arial" w:hAnsi="Arial"/>
          <w:sz w:val="17"/>
          <w:szCs w:val="17"/>
          <w:color w:val="auto"/>
        </w:rPr>
        <w:t>”). Such Commercialization Plan shall include the activities and timelines in preparation for the launch of each such Product and after such Product launch, and shall be updated on at least [***] basis by Cypress. As between the Parties, Cypress shall book sales for the Products in the Cypress Territory.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11" w:name="page712"/>
    <w:bookmarkEnd w:id="711"/>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59" w:lineRule="auto"/>
        <w:tabs>
          <w:tab w:leader="none" w:pos="1500"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Consultation. </w:t>
      </w:r>
      <w:r>
        <w:rPr>
          <w:rFonts w:ascii="Arial" w:cs="Arial" w:eastAsia="Arial" w:hAnsi="Arial"/>
          <w:sz w:val="17"/>
          <w:szCs w:val="17"/>
          <w:color w:val="auto"/>
        </w:rPr>
        <w:t>Each Party may provide advice, suggestions and constructive feedback on the other Party’s commercialization strategy, plans</w:t>
      </w:r>
      <w:r>
        <w:rPr>
          <w:rFonts w:ascii="Arial" w:cs="Arial" w:eastAsia="Arial" w:hAnsi="Arial"/>
          <w:sz w:val="17"/>
          <w:szCs w:val="17"/>
          <w:b w:val="1"/>
          <w:bCs w:val="1"/>
          <w:color w:val="auto"/>
        </w:rPr>
        <w:t xml:space="preserve"> </w:t>
      </w:r>
      <w:r>
        <w:rPr>
          <w:rFonts w:ascii="Arial" w:cs="Arial" w:eastAsia="Arial" w:hAnsi="Arial"/>
          <w:sz w:val="17"/>
          <w:szCs w:val="17"/>
          <w:color w:val="auto"/>
        </w:rPr>
        <w:t>and activities (especially in view of such Party’s rights outside the other Party’s Territory, and the Parties’ desire to achieve (to the extent appropriate) global harmonization of Product commercialization activities worldwide), either through the JSC or directly once the JSC is disbanded. The other Party will reasonably and in good faith consider any advice, suggestions, constructive feedback, comments and recommendations that such Party may have with respect to the other Party’s commercialization of the Product. For clarity, as between the Parties, each Party shall be solely responsible for commercialization of the Product in its respective Territory.</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6.2 Cypress Performance.</w:t>
      </w:r>
    </w:p>
    <w:p>
      <w:pPr>
        <w:spacing w:after="0" w:line="242" w:lineRule="exact"/>
        <w:rPr>
          <w:sz w:val="20"/>
          <w:szCs w:val="20"/>
          <w:color w:val="auto"/>
        </w:rPr>
      </w:pPr>
    </w:p>
    <w:p>
      <w:pPr>
        <w:jc w:val="both"/>
        <w:ind w:firstLine="617"/>
        <w:spacing w:after="0" w:line="309" w:lineRule="auto"/>
        <w:rPr>
          <w:sz w:val="20"/>
          <w:szCs w:val="20"/>
          <w:color w:val="auto"/>
        </w:rPr>
      </w:pPr>
      <w:r>
        <w:rPr>
          <w:rFonts w:ascii="Arial" w:cs="Arial" w:eastAsia="Arial" w:hAnsi="Arial"/>
          <w:sz w:val="15"/>
          <w:szCs w:val="15"/>
          <w:b w:val="1"/>
          <w:bCs w:val="1"/>
          <w:color w:val="auto"/>
        </w:rPr>
        <w:t xml:space="preserve">Commercial Diligence. </w:t>
      </w:r>
      <w:r>
        <w:rPr>
          <w:rFonts w:ascii="Arial" w:cs="Arial" w:eastAsia="Arial" w:hAnsi="Arial"/>
          <w:sz w:val="15"/>
          <w:szCs w:val="15"/>
          <w:color w:val="auto"/>
        </w:rPr>
        <w:t>Cypress shall use Commercially Reasonable Efforts to Commercialize in the Field throughout the Cypress Territory.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limiting the generality of the foregoing, Cypress shall conduct all Commercialization activities in accordance with the Commercialization Plan, with a level of effort that is consistent with industry standards and is designed to maximize the overall commercial opportunity for the Product, and shall use Commercially Reasonable Efforts to launch the first Product in the Cypress Territory within [***] after obtaining Regulatory Approval and to market Products following such launch.</w:t>
      </w:r>
    </w:p>
    <w:p>
      <w:pPr>
        <w:spacing w:after="0" w:line="166" w:lineRule="exact"/>
        <w:rPr>
          <w:sz w:val="20"/>
          <w:szCs w:val="20"/>
          <w:color w:val="auto"/>
        </w:rPr>
      </w:pPr>
    </w:p>
    <w:p>
      <w:pPr>
        <w:jc w:val="both"/>
        <w:ind w:firstLine="1238"/>
        <w:spacing w:after="0" w:line="275" w:lineRule="auto"/>
        <w:tabs>
          <w:tab w:leader="none" w:pos="1477" w:val="left"/>
        </w:tabs>
        <w:numPr>
          <w:ilvl w:val="1"/>
          <w:numId w:val="6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Reports. </w:t>
      </w:r>
      <w:r>
        <w:rPr>
          <w:rFonts w:ascii="Arial" w:cs="Arial" w:eastAsia="Arial" w:hAnsi="Arial"/>
          <w:sz w:val="16"/>
          <w:szCs w:val="16"/>
          <w:color w:val="auto"/>
        </w:rPr>
        <w:t>From and after the date that is [***] months before the anticipated date of First Commercial Sale, Cypress shall update BioLineRx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 in each calendar quarter regarding Cypress’s Commercialization activities, including at BioLineRx’s reasonable request providing annual sales guidance forecasts. In addition, from and after the date that is[***] months before the anticipated date of First Commercial Sale, Cypress shall present a written quarterly report to BioLineRx summarizing Cypress’s Commercialization activities pursuant to this Agreement, at a level of detail reasonably requested by BioLineRx and sufficient to enable BioLineRx to determine Cypress’s compliance with its diligence obligations pursuant to this Section 6.2. In addition to such quarterly updates and written reports, upon the reasonable request of BioLineRx, Cypress shall provide to BioLineRx on an interim basis then-current Commercialization figures and data of Cypress and its sublicensees that are reportable to BioLineRx under this Agreement. For clarity, all reports and information shared with BioLineRx pursuant to this Section 6.2(b) shall be deemed Cypress Confidential Information.</w:t>
      </w:r>
    </w:p>
    <w:p>
      <w:pPr>
        <w:spacing w:after="0" w:line="191" w:lineRule="exact"/>
        <w:rPr>
          <w:rFonts w:ascii="Arial" w:cs="Arial" w:eastAsia="Arial" w:hAnsi="Arial"/>
          <w:sz w:val="16"/>
          <w:szCs w:val="16"/>
          <w:b w:val="1"/>
          <w:bCs w:val="1"/>
          <w:color w:val="auto"/>
        </w:rPr>
      </w:pPr>
    </w:p>
    <w:p>
      <w:pPr>
        <w:jc w:val="both"/>
        <w:ind w:firstLine="1238"/>
        <w:spacing w:after="0" w:line="273" w:lineRule="auto"/>
        <w:tabs>
          <w:tab w:leader="none" w:pos="1500" w:val="left"/>
        </w:tabs>
        <w:numPr>
          <w:ilvl w:val="1"/>
          <w:numId w:val="6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Trademark. </w:t>
      </w:r>
      <w:r>
        <w:rPr>
          <w:rFonts w:ascii="Arial" w:cs="Arial" w:eastAsia="Arial" w:hAnsi="Arial"/>
          <w:sz w:val="16"/>
          <w:szCs w:val="16"/>
          <w:color w:val="auto"/>
        </w:rPr>
        <w:t>As soon as a Party determines the trademarks to be used in commercializing the Products in its respective Territory, such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promptly notify the other Party and thereafter, as between the Parties, shall have the sole right to use such trademark(s) throughout the Territory. Cypress shall have the right to brand the Products using Cypress related trademarks and any other trademarks and trade names it determines appropriate for the Products after good-faith consideration of any comments from BioLineRx related thereto (“</w:t>
      </w:r>
      <w:r>
        <w:rPr>
          <w:rFonts w:ascii="Arial" w:cs="Arial" w:eastAsia="Arial" w:hAnsi="Arial"/>
          <w:sz w:val="16"/>
          <w:szCs w:val="16"/>
          <w:b w:val="1"/>
          <w:bCs w:val="1"/>
          <w:color w:val="auto"/>
        </w:rPr>
        <w:t>Product Marks</w:t>
      </w:r>
      <w:r>
        <w:rPr>
          <w:rFonts w:ascii="Arial" w:cs="Arial" w:eastAsia="Arial" w:hAnsi="Arial"/>
          <w:sz w:val="16"/>
          <w:szCs w:val="16"/>
          <w:color w:val="auto"/>
        </w:rPr>
        <w:t>”). Cypress shall own all rights in the Product Marks and will be responsible for filing, prosecution, maintenance and defense of all registrations of the Product Marks, and will be responsible for the payment of any costs relating to filing, prosecution, maintenance and defense of all Product Marks in the Territory. BioLineRx shall not, and shall ensure that its Affiliates and sublicensees will not make any use of any trademark similar to any of the Product Marks. Cypress shall not, and shall ensure that its Affiliates and sublicensees will not, make any use of any trademark similar to the trademark used by BioLineRx in commercializing the Products in the Retained Territory. Notwithstanding the foregoing, Cypress may use, as required by applicable Law, the corporate trademark or logo of BioLineRx in connection with Commercialization; provided that each such usage shall be in compliance with BioLineRx’s then-current guidelines for such trademark or logo usage (which shall be provided to Cypress upon its request and thereafter upon each update or amendment).</w:t>
      </w:r>
    </w:p>
    <w:p>
      <w:pPr>
        <w:spacing w:after="0" w:line="193" w:lineRule="exact"/>
        <w:rPr>
          <w:rFonts w:ascii="Arial" w:cs="Arial" w:eastAsia="Arial" w:hAnsi="Arial"/>
          <w:sz w:val="16"/>
          <w:szCs w:val="16"/>
          <w:b w:val="1"/>
          <w:bCs w:val="1"/>
          <w:color w:val="auto"/>
        </w:rPr>
      </w:pPr>
    </w:p>
    <w:p>
      <w:pPr>
        <w:ind w:left="420" w:hanging="417"/>
        <w:spacing w:after="0"/>
        <w:tabs>
          <w:tab w:leader="none" w:pos="420" w:val="left"/>
        </w:tabs>
        <w:numPr>
          <w:ilvl w:val="0"/>
          <w:numId w:val="642"/>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2" w:name="page713"/>
    <w:bookmarkEnd w:id="712"/>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MANUFACTURING</w:t>
      </w:r>
    </w:p>
    <w:p>
      <w:pPr>
        <w:spacing w:after="0" w:line="242"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 xml:space="preserve">7.1 Manufacture by or on Behalf of Cypress. </w:t>
      </w:r>
      <w:r>
        <w:rPr>
          <w:rFonts w:ascii="Arial" w:cs="Arial" w:eastAsia="Arial" w:hAnsi="Arial"/>
          <w:sz w:val="16"/>
          <w:szCs w:val="16"/>
          <w:color w:val="auto"/>
        </w:rPr>
        <w:t>Cypress shall be solely responsible for manufacture and supply of Product for use in the Pre-Commercialization and Commercialization after the Effective Date of the Agreement, for pre-clinical, clinical and commercial purposes. Manufacture of Products for use in the Pre-Commercialization and Commercialization will be performed in the Cypress Territory, and may be performed by Cypress itself or on behalf of Cypress by a Third Party. Notwithstanding the foregoing, if Cypress wishes to engage a Third Party to manufacture Product outside the Cypress Territory, BioLineRx must consent to Cypress’ engagement of Cypress’ intended Third-Party manufacturer, which consent shall not be unreasonably withheld or delayed. If BioLineRx consents to Cypress’ use of a Third-Party manufacturer outside the Cypress Territory, all Product manufactured outside of the Cypress Territory shall be solely for use in Pre-Commercialization and Commercialization. Cypress shall bear all costs and expenses incurred by the Parties in connection with the manufacturing and supply of the Products for the Cypress Territory after the Effective Date, including all clinical manufacturing costs, the cost of qualifying its facilities, and the cost of qualifying a Third Party supplier for manufacture of the Products.</w:t>
      </w:r>
    </w:p>
    <w:p>
      <w:pPr>
        <w:spacing w:after="0" w:line="193"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7.2 Coordination of Manufacturing</w:t>
      </w:r>
      <w:r>
        <w:rPr>
          <w:rFonts w:ascii="Arial" w:cs="Arial" w:eastAsia="Arial" w:hAnsi="Arial"/>
          <w:sz w:val="16"/>
          <w:szCs w:val="16"/>
          <w:color w:val="auto"/>
        </w:rPr>
        <w:t>. As appropriate, the Parties will discuss the most efficient structure for the manufacture and supply of Product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Pre-Commercialization and Commercialization. If the Parties determine that coordination in Product manufacturing is appropriate, the Parties will establish a joint manufacturing committee to coordinate such manufacturing efforts. Each Party shall designate as its committee representatives individuals who have the requisite experience and knowledge to discuss the manufacture of Products. Such coordinated manufacturing efforts may include, for example, an agreement among the Parties and a Third-Party contract manufacturer in Israel, or an agreement between Cypress and a Third-Party contract manufacturer that grants to BioLineRx a right to obtain a supply of Product from such Third-Party contract manufacturer.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3" w:name="page714"/>
    <w:bookmarkEnd w:id="713"/>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Manufacturing Technology Transfer</w:t>
      </w:r>
      <w:r>
        <w:rPr>
          <w:rFonts w:ascii="Arial" w:cs="Arial" w:eastAsia="Arial" w:hAnsi="Arial"/>
          <w:sz w:val="17"/>
          <w:szCs w:val="17"/>
          <w:color w:val="auto"/>
        </w:rPr>
        <w:t>. In accordance with Section 7.2, the Parties shall cooperate to expedite transfer of Product manufacturing Know-How Controlled by BioLineRx to a facility designated by Cypress, where manufacturing will be conducted by or on behalf of Cypress. BioLineRx will make available to Cypress to facilitate such transfer up to [***] FTE with appropriate skill and experience during a consecutive [***] month period at an appropriate time, at BioLineRx’s expense. BioLineRx and Cypress will cooperate to minimize the expenses associated with such transfer and to ensure that the transfer of such Product manufacturing is effectively coordinated.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PROVISIONS</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8.1 Upfront Fee</w:t>
      </w:r>
      <w:r>
        <w:rPr>
          <w:rFonts w:ascii="Arial" w:cs="Arial" w:eastAsia="Arial" w:hAnsi="Arial"/>
          <w:sz w:val="16"/>
          <w:szCs w:val="16"/>
          <w:color w:val="auto"/>
        </w:rPr>
        <w:t>. Within one business day after the Execution Date, Cypress shall deposit with a mutually agreed-upon escrow agent Thirty Million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($30,000,000) (the </w:t>
      </w:r>
      <w:r>
        <w:rPr>
          <w:rFonts w:ascii="Arial" w:cs="Arial" w:eastAsia="Arial" w:hAnsi="Arial"/>
          <w:sz w:val="16"/>
          <w:szCs w:val="16"/>
          <w:b w:val="1"/>
          <w:bCs w:val="1"/>
          <w:color w:val="auto"/>
        </w:rPr>
        <w:t>“Upfront Fee”</w:t>
      </w:r>
      <w:r>
        <w:rPr>
          <w:rFonts w:ascii="Arial" w:cs="Arial" w:eastAsia="Arial" w:hAnsi="Arial"/>
          <w:sz w:val="16"/>
          <w:szCs w:val="16"/>
          <w:color w:val="auto"/>
        </w:rPr>
        <w:t>), pursuant to the terms and conditions set forth in an Escrow Agreement (in a form reasonably acceptable to both Parties; provided that, in the event of a conflict between the Escrow Agreement and this Agreement, this Agreement shall govern) providing for the release to BioLineRx from the escrow established under the Escrow Agreement of the Upfront Fee on the Effective Date and also providing that in the event of termination of this Agreement pursuant to Section 13.5, the Upfront Fee shall be released to Cypress from the escrow established under the Escrow Agreement on the effective date of termination. Upon release to BioLineRx, the Upfront Fee shall be non-refundable and non-creditable.</w:t>
      </w:r>
    </w:p>
    <w:p>
      <w:pPr>
        <w:spacing w:after="0" w:line="188" w:lineRule="exact"/>
        <w:rPr>
          <w:sz w:val="20"/>
          <w:szCs w:val="20"/>
          <w:color w:val="auto"/>
        </w:rPr>
      </w:pPr>
    </w:p>
    <w:p>
      <w:pPr>
        <w:jc w:val="both"/>
        <w:ind w:firstLine="617"/>
        <w:spacing w:after="0" w:line="298" w:lineRule="auto"/>
        <w:rPr>
          <w:sz w:val="20"/>
          <w:szCs w:val="20"/>
          <w:color w:val="auto"/>
        </w:rPr>
      </w:pPr>
      <w:r>
        <w:rPr>
          <w:rFonts w:ascii="Arial" w:cs="Arial" w:eastAsia="Arial" w:hAnsi="Arial"/>
          <w:sz w:val="15"/>
          <w:szCs w:val="15"/>
          <w:b w:val="1"/>
          <w:bCs w:val="1"/>
          <w:color w:val="auto"/>
        </w:rPr>
        <w:t>Milestone Payments</w:t>
      </w:r>
      <w:r>
        <w:rPr>
          <w:rFonts w:ascii="Arial" w:cs="Arial" w:eastAsia="Arial" w:hAnsi="Arial"/>
          <w:sz w:val="15"/>
          <w:szCs w:val="15"/>
          <w:color w:val="auto"/>
        </w:rPr>
        <w:t>. Cypress shall make the following non-refundable and non-creditable milestone payments to BioLineRx within [***] days after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first achievement of each milestone event for a Product in the Field in the Cypress Territory as set forth in this Section 8.2 by Cypress or its Affiliates or sublicensees. Each milestone payment by Cypress to BioLineRx hereunder shall be payable only once, regardless of the number of times achieved by the Products,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if more than one sales milestones that are triggered by annual aggregate Net Sales that have not been previously paid are triggered at the end of 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particular calendar year, then each and every of such sales milestones shall be deemed to have been achieved upon the end of such calendar year and the corresponding milestone payments triggered by each and every of such sales milestones shall become due at the end of such calendar year;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such cumulative milestone payments imposes a financial burden upon Cypress, the timing of such payments may be reasonably adjusted by up to [***].</w:t>
      </w:r>
    </w:p>
    <w:p>
      <w:pPr>
        <w:spacing w:after="0" w:line="173" w:lineRule="exact"/>
        <w:rPr>
          <w:sz w:val="20"/>
          <w:szCs w:val="20"/>
          <w:color w:val="auto"/>
        </w:rPr>
      </w:pPr>
    </w:p>
    <w:p>
      <w:pPr>
        <w:ind w:left="5620" w:right="2360" w:hanging="5617"/>
        <w:spacing w:after="0" w:line="854" w:lineRule="auto"/>
        <w:tabs>
          <w:tab w:leader="none" w:pos="409"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4" w:name="page715"/>
    <w:bookmarkEnd w:id="714"/>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tcPr>
          <w:p>
            <w:pPr>
              <w:jc w:val="center"/>
              <w:ind w:left="1294"/>
              <w:spacing w:after="0"/>
              <w:rPr>
                <w:sz w:val="20"/>
                <w:szCs w:val="20"/>
                <w:color w:val="auto"/>
              </w:rPr>
            </w:pPr>
            <w:r>
              <w:rPr>
                <w:rFonts w:ascii="Arial" w:cs="Arial" w:eastAsia="Arial" w:hAnsi="Arial"/>
                <w:sz w:val="17"/>
                <w:szCs w:val="17"/>
                <w:b w:val="1"/>
                <w:bCs w:val="1"/>
                <w:color w:val="auto"/>
                <w:w w:val="91"/>
              </w:rPr>
              <w:t>Milestone Event</w:t>
            </w:r>
          </w:p>
        </w:tc>
        <w:tc>
          <w:tcPr>
            <w:tcW w:w="13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Milestone Payment</w:t>
            </w:r>
          </w:p>
        </w:tc>
      </w:tr>
      <w:tr>
        <w:trPr>
          <w:trHeight w:val="410"/>
        </w:trPr>
        <w:tc>
          <w:tcPr>
            <w:tcW w:w="4120" w:type="dxa"/>
            <w:vAlign w:val="bottom"/>
          </w:tcPr>
          <w:p>
            <w:pPr>
              <w:spacing w:after="0"/>
              <w:rPr>
                <w:sz w:val="24"/>
                <w:szCs w:val="24"/>
                <w:color w:val="auto"/>
              </w:rPr>
            </w:pPr>
          </w:p>
        </w:tc>
        <w:tc>
          <w:tcPr>
            <w:tcW w:w="7300" w:type="dxa"/>
            <w:vAlign w:val="bottom"/>
            <w:gridSpan w:val="3"/>
          </w:tcPr>
          <w:p>
            <w:pPr>
              <w:jc w:val="center"/>
              <w:ind w:right="4014"/>
              <w:spacing w:after="0"/>
              <w:rPr>
                <w:sz w:val="20"/>
                <w:szCs w:val="20"/>
                <w:color w:val="auto"/>
              </w:rPr>
            </w:pPr>
            <w:r>
              <w:rPr>
                <w:rFonts w:ascii="Arial" w:cs="Arial" w:eastAsia="Arial" w:hAnsi="Arial"/>
                <w:sz w:val="17"/>
                <w:szCs w:val="17"/>
                <w:b w:val="1"/>
                <w:bCs w:val="1"/>
                <w:color w:val="auto"/>
                <w:w w:val="90"/>
              </w:rPr>
              <w:t>Regulatory Milestones</w:t>
            </w:r>
          </w:p>
        </w:tc>
      </w:tr>
      <w:tr>
        <w:trPr>
          <w:trHeight w:val="401"/>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17"/>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437"/>
        </w:trPr>
        <w:tc>
          <w:tcPr>
            <w:tcW w:w="4120" w:type="dxa"/>
            <w:vAlign w:val="bottom"/>
          </w:tcPr>
          <w:p>
            <w:pPr>
              <w:spacing w:after="0"/>
              <w:rPr>
                <w:sz w:val="24"/>
                <w:szCs w:val="24"/>
                <w:color w:val="auto"/>
              </w:rPr>
            </w:pPr>
          </w:p>
        </w:tc>
        <w:tc>
          <w:tcPr>
            <w:tcW w:w="7300" w:type="dxa"/>
            <w:vAlign w:val="bottom"/>
            <w:gridSpan w:val="3"/>
          </w:tcPr>
          <w:p>
            <w:pPr>
              <w:jc w:val="center"/>
              <w:ind w:right="4014"/>
              <w:spacing w:after="0"/>
              <w:rPr>
                <w:sz w:val="20"/>
                <w:szCs w:val="20"/>
                <w:color w:val="auto"/>
              </w:rPr>
            </w:pPr>
            <w:r>
              <w:rPr>
                <w:rFonts w:ascii="Arial" w:cs="Arial" w:eastAsia="Arial" w:hAnsi="Arial"/>
                <w:sz w:val="17"/>
                <w:szCs w:val="17"/>
                <w:b w:val="1"/>
                <w:bCs w:val="1"/>
                <w:color w:val="auto"/>
                <w:w w:val="87"/>
              </w:rPr>
              <w:t>Sales Milestones</w:t>
            </w:r>
          </w:p>
        </w:tc>
      </w:tr>
      <w:tr>
        <w:trPr>
          <w:trHeight w:val="401"/>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06"/>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r>
        <w:trPr>
          <w:trHeight w:val="217"/>
        </w:trPr>
        <w:tc>
          <w:tcPr>
            <w:tcW w:w="4120" w:type="dxa"/>
            <w:vAlign w:val="bottom"/>
          </w:tcPr>
          <w:p>
            <w:pPr>
              <w:jc w:val="center"/>
              <w:ind w:left="1294"/>
              <w:spacing w:after="0"/>
              <w:rPr>
                <w:sz w:val="20"/>
                <w:szCs w:val="20"/>
                <w:color w:val="auto"/>
              </w:rPr>
            </w:pPr>
            <w:r>
              <w:rPr>
                <w:rFonts w:ascii="Arial" w:cs="Arial" w:eastAsia="Arial" w:hAnsi="Arial"/>
                <w:sz w:val="17"/>
                <w:szCs w:val="17"/>
                <w:color w:val="auto"/>
              </w:rPr>
              <w:t>[***]</w:t>
            </w:r>
          </w:p>
        </w:tc>
        <w:tc>
          <w:tcPr>
            <w:tcW w:w="7300" w:type="dxa"/>
            <w:vAlign w:val="bottom"/>
            <w:gridSpan w:val="3"/>
          </w:tcPr>
          <w:p>
            <w:pPr>
              <w:jc w:val="center"/>
              <w:ind w:left="1754"/>
              <w:spacing w:after="0"/>
              <w:rPr>
                <w:sz w:val="20"/>
                <w:szCs w:val="20"/>
                <w:color w:val="auto"/>
              </w:rPr>
            </w:pPr>
            <w:r>
              <w:rPr>
                <w:rFonts w:ascii="Arial" w:cs="Arial" w:eastAsia="Arial" w:hAnsi="Arial"/>
                <w:sz w:val="17"/>
                <w:szCs w:val="17"/>
                <w:color w:val="auto"/>
              </w:rPr>
              <w:t>[***]</w:t>
            </w:r>
          </w:p>
        </w:tc>
      </w:tr>
    </w:tbl>
    <w:p>
      <w:pPr>
        <w:spacing w:after="0" w:line="221" w:lineRule="exact"/>
        <w:rPr>
          <w:sz w:val="20"/>
          <w:szCs w:val="20"/>
          <w:color w:val="auto"/>
        </w:rPr>
      </w:pPr>
    </w:p>
    <w:p>
      <w:pPr>
        <w:jc w:val="both"/>
        <w:ind w:firstLine="617"/>
        <w:spacing w:after="0" w:line="291" w:lineRule="auto"/>
        <w:rPr>
          <w:sz w:val="20"/>
          <w:szCs w:val="20"/>
          <w:color w:val="auto"/>
        </w:rPr>
      </w:pPr>
      <w:r>
        <w:rPr>
          <w:rFonts w:ascii="Arial" w:cs="Arial" w:eastAsia="Arial" w:hAnsi="Arial"/>
          <w:sz w:val="15"/>
          <w:szCs w:val="15"/>
          <w:color w:val="auto"/>
        </w:rPr>
        <w:t>The [***] regulatory milestone #1 may be paid as follows, in Cypress’ sole discretion: (i) [***] in cash; or (ii) subject to the approval of the Tel Aviv Stock Exchange (“</w:t>
      </w:r>
      <w:r>
        <w:rPr>
          <w:rFonts w:ascii="Arial" w:cs="Arial" w:eastAsia="Arial" w:hAnsi="Arial"/>
          <w:sz w:val="15"/>
          <w:szCs w:val="15"/>
          <w:b w:val="1"/>
          <w:bCs w:val="1"/>
          <w:color w:val="auto"/>
        </w:rPr>
        <w:t>TASE’s Approval</w:t>
      </w:r>
      <w:r>
        <w:rPr>
          <w:rFonts w:ascii="Arial" w:cs="Arial" w:eastAsia="Arial" w:hAnsi="Arial"/>
          <w:sz w:val="15"/>
          <w:szCs w:val="15"/>
          <w:color w:val="auto"/>
        </w:rPr>
        <w:t xml:space="preserve">”), $5,000,000 in cash and [***] in consideration of the purchase of that number of ordinary shares of BioLineRx (the </w:t>
      </w:r>
      <w:r>
        <w:rPr>
          <w:rFonts w:ascii="Arial" w:cs="Arial" w:eastAsia="Arial" w:hAnsi="Arial"/>
          <w:sz w:val="15"/>
          <w:szCs w:val="15"/>
          <w:b w:val="1"/>
          <w:bCs w:val="1"/>
          <w:color w:val="auto"/>
        </w:rPr>
        <w:t>“Ordinary</w:t>
      </w:r>
      <w:r>
        <w:rPr>
          <w:rFonts w:ascii="Arial" w:cs="Arial" w:eastAsia="Arial" w:hAnsi="Arial"/>
          <w:sz w:val="15"/>
          <w:szCs w:val="15"/>
          <w:color w:val="auto"/>
        </w:rPr>
        <w:t xml:space="preserve"> </w:t>
      </w:r>
      <w:r>
        <w:rPr>
          <w:rFonts w:ascii="Arial" w:cs="Arial" w:eastAsia="Arial" w:hAnsi="Arial"/>
          <w:sz w:val="15"/>
          <w:szCs w:val="15"/>
          <w:b w:val="1"/>
          <w:bCs w:val="1"/>
          <w:color w:val="auto"/>
        </w:rPr>
        <w:t>Shares”</w:t>
      </w:r>
      <w:r>
        <w:rPr>
          <w:rFonts w:ascii="Arial" w:cs="Arial" w:eastAsia="Arial" w:hAnsi="Arial"/>
          <w:sz w:val="15"/>
          <w:szCs w:val="15"/>
          <w:color w:val="auto"/>
        </w:rPr>
        <w:t>) equal to the lower of (A) [***] divided by the average of the closing price of the Ordinary Shares on the [***]days preceding the date on which regulatory</w:t>
      </w:r>
      <w:r>
        <w:rPr>
          <w:rFonts w:ascii="Arial" w:cs="Arial" w:eastAsia="Arial" w:hAnsi="Arial"/>
          <w:sz w:val="15"/>
          <w:szCs w:val="15"/>
          <w:b w:val="1"/>
          <w:bCs w:val="1"/>
          <w:color w:val="auto"/>
        </w:rPr>
        <w:t xml:space="preserve"> </w:t>
      </w:r>
      <w:r>
        <w:rPr>
          <w:rFonts w:ascii="Arial" w:cs="Arial" w:eastAsia="Arial" w:hAnsi="Arial"/>
          <w:sz w:val="15"/>
          <w:szCs w:val="15"/>
          <w:color w:val="auto"/>
        </w:rPr>
        <w:t>milestone #1 (Initiation of the first Phase 3 Clinical Trial for a Product) occurs, and (B) [***] of BioLineRx’s issued share capital (where such number of Ordinary Shares (as set forth in (A) or (B), as applicable) is referred to as the “</w:t>
      </w:r>
      <w:r>
        <w:rPr>
          <w:rFonts w:ascii="Arial" w:cs="Arial" w:eastAsia="Arial" w:hAnsi="Arial"/>
          <w:sz w:val="15"/>
          <w:szCs w:val="15"/>
          <w:b w:val="1"/>
          <w:bCs w:val="1"/>
          <w:color w:val="auto"/>
        </w:rPr>
        <w:t>Share Amount</w:t>
      </w:r>
      <w:r>
        <w:rPr>
          <w:rFonts w:ascii="Arial" w:cs="Arial" w:eastAsia="Arial" w:hAnsi="Arial"/>
          <w:sz w:val="15"/>
          <w:szCs w:val="15"/>
          <w:color w:val="auto"/>
        </w:rPr>
        <w:t>”). If the value represented by the Share Amount is less than [***], then the cash consideration will be adjusted so that the total consideration in respect of regulatory milestone #1 will equal [***]. Upon the reasonable request of Cypress following the occurrence of regulatory milestone #1, BioLineRx will provide to Cypress all documentation and information related to the Ordinary Shares, including any restrictions or limitations on such Ordinary Shares. Cypress shall make its election under this Section 8.2(a) within [***] days following the achievement of regulatory milestone #1. If Cypress elects to receive Ordinary Shares, BioLineRx shall issue Cypress the Share Amount following the receipt of the consideration in respect of the Share Amount. In addition, to the extent necessary to permit Cypress to re-sell the Share Amount without restriction, BioLineRx shall, promptly following the issuance of the Share Amount, use its best efforts to complete the registration for re-sale of the Share Amount issued hereunder within [***] days of the issuance of the Share Amount to Cypress. BioLineRx shall use its best efforts to receive TASE’s Approval promptly following the Execution Date.</w:t>
      </w:r>
    </w:p>
    <w:p>
      <w:pPr>
        <w:spacing w:after="0" w:line="186" w:lineRule="exact"/>
        <w:rPr>
          <w:sz w:val="20"/>
          <w:szCs w:val="20"/>
          <w:color w:val="auto"/>
        </w:rPr>
      </w:pPr>
    </w:p>
    <w:p>
      <w:pPr>
        <w:ind w:left="5620" w:right="2360" w:hanging="5617"/>
        <w:spacing w:after="0" w:line="854" w:lineRule="auto"/>
        <w:tabs>
          <w:tab w:leader="none" w:pos="409" w:val="left"/>
        </w:tabs>
        <w:numPr>
          <w:ilvl w:val="0"/>
          <w:numId w:val="6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5" w:name="page716"/>
    <w:bookmarkEnd w:id="715"/>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69" w:lineRule="auto"/>
        <w:tabs>
          <w:tab w:leader="none" w:pos="1477" w:val="left"/>
        </w:tabs>
        <w:numPr>
          <w:ilvl w:val="0"/>
          <w:numId w:val="645"/>
        </w:numPr>
        <w:rPr>
          <w:rFonts w:ascii="Arial" w:cs="Arial" w:eastAsia="Arial" w:hAnsi="Arial"/>
          <w:sz w:val="17"/>
          <w:szCs w:val="17"/>
          <w:b w:val="1"/>
          <w:bCs w:val="1"/>
          <w:color w:val="auto"/>
        </w:rPr>
      </w:pPr>
      <w:r>
        <w:rPr>
          <w:rFonts w:ascii="Arial" w:cs="Arial" w:eastAsia="Arial" w:hAnsi="Arial"/>
          <w:sz w:val="17"/>
          <w:szCs w:val="17"/>
          <w:color w:val="auto"/>
        </w:rPr>
        <w:t xml:space="preserve">For purposes of this Section 8.2, the following definitions shall apply: (i) </w:t>
      </w:r>
      <w:r>
        <w:rPr>
          <w:rFonts w:ascii="Arial" w:cs="Arial" w:eastAsia="Arial" w:hAnsi="Arial"/>
          <w:sz w:val="17"/>
          <w:szCs w:val="17"/>
          <w:b w:val="1"/>
          <w:bCs w:val="1"/>
          <w:color w:val="auto"/>
        </w:rPr>
        <w:t>“Initiation”</w:t>
      </w:r>
      <w:r>
        <w:rPr>
          <w:rFonts w:ascii="Arial" w:cs="Arial" w:eastAsia="Arial" w:hAnsi="Arial"/>
          <w:sz w:val="17"/>
          <w:szCs w:val="17"/>
          <w:color w:val="auto"/>
        </w:rPr>
        <w:t xml:space="preserve"> means the first dosing of a patient in a Phase 3 Clinical Trial; (ii) </w:t>
      </w:r>
      <w:r>
        <w:rPr>
          <w:rFonts w:ascii="Arial" w:cs="Arial" w:eastAsia="Arial" w:hAnsi="Arial"/>
          <w:sz w:val="17"/>
          <w:szCs w:val="17"/>
          <w:b w:val="1"/>
          <w:bCs w:val="1"/>
          <w:color w:val="auto"/>
        </w:rPr>
        <w:t>“Successful Completion”</w:t>
      </w:r>
      <w:r>
        <w:rPr>
          <w:rFonts w:ascii="Arial" w:cs="Arial" w:eastAsia="Arial" w:hAnsi="Arial"/>
          <w:sz w:val="17"/>
          <w:szCs w:val="17"/>
          <w:color w:val="auto"/>
        </w:rPr>
        <w:t xml:space="preserve"> will be deemed to occur if a statistically significant and clinically relevant improvement in cognition is achieved in a Phase 3 Clinical Trial; and (iii) </w:t>
      </w:r>
      <w:r>
        <w:rPr>
          <w:rFonts w:ascii="Arial" w:cs="Arial" w:eastAsia="Arial" w:hAnsi="Arial"/>
          <w:sz w:val="17"/>
          <w:szCs w:val="17"/>
          <w:b w:val="1"/>
          <w:bCs w:val="1"/>
          <w:color w:val="auto"/>
        </w:rPr>
        <w:t>“Acceptance”</w:t>
      </w:r>
      <w:r>
        <w:rPr>
          <w:rFonts w:ascii="Arial" w:cs="Arial" w:eastAsia="Arial" w:hAnsi="Arial"/>
          <w:sz w:val="17"/>
          <w:szCs w:val="17"/>
          <w:color w:val="auto"/>
        </w:rPr>
        <w:t xml:space="preserve"> means receipt of written notification from FDA of acceptance for filing of such NDA.</w:t>
      </w:r>
    </w:p>
    <w:p>
      <w:pPr>
        <w:spacing w:after="0" w:line="197" w:lineRule="exact"/>
        <w:rPr>
          <w:rFonts w:ascii="Arial" w:cs="Arial" w:eastAsia="Arial" w:hAnsi="Arial"/>
          <w:sz w:val="17"/>
          <w:szCs w:val="17"/>
          <w:b w:val="1"/>
          <w:bCs w:val="1"/>
          <w:color w:val="auto"/>
        </w:rPr>
      </w:pPr>
    </w:p>
    <w:p>
      <w:pPr>
        <w:jc w:val="both"/>
        <w:ind w:firstLine="1238"/>
        <w:spacing w:after="0" w:line="265" w:lineRule="auto"/>
        <w:tabs>
          <w:tab w:leader="none" w:pos="1487" w:val="left"/>
        </w:tabs>
        <w:numPr>
          <w:ilvl w:val="0"/>
          <w:numId w:val="645"/>
        </w:numPr>
        <w:rPr>
          <w:rFonts w:ascii="Arial" w:cs="Arial" w:eastAsia="Arial" w:hAnsi="Arial"/>
          <w:sz w:val="17"/>
          <w:szCs w:val="17"/>
          <w:b w:val="1"/>
          <w:bCs w:val="1"/>
          <w:color w:val="auto"/>
        </w:rPr>
      </w:pPr>
      <w:r>
        <w:rPr>
          <w:rFonts w:ascii="Arial" w:cs="Arial" w:eastAsia="Arial" w:hAnsi="Arial"/>
          <w:sz w:val="17"/>
          <w:szCs w:val="17"/>
          <w:color w:val="auto"/>
        </w:rPr>
        <w:t>For clarity, if an [***] (as described in regulatory milestone #3) is not required for [***] (regulatory milestone #4) [***], then upon such [***], Cypress shall be deemed to have achieved both regulatory milestones #3 and #4, and Cypress shall pay BioLineRx [***] ([***] for achievement of regulatory milestone #3 and [***] for achievement of regulatory milestone #4).</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8.2 Royalties</w:t>
      </w:r>
      <w:r>
        <w:rPr>
          <w:rFonts w:ascii="Arial" w:cs="Arial" w:eastAsia="Arial" w:hAnsi="Arial"/>
          <w:sz w:val="17"/>
          <w:szCs w:val="17"/>
          <w:color w:val="auto"/>
        </w:rPr>
        <w:t>.</w:t>
      </w:r>
    </w:p>
    <w:p>
      <w:pPr>
        <w:spacing w:after="0" w:line="242" w:lineRule="exact"/>
        <w:rPr>
          <w:sz w:val="20"/>
          <w:szCs w:val="20"/>
          <w:color w:val="auto"/>
        </w:rPr>
      </w:pPr>
    </w:p>
    <w:p>
      <w:pPr>
        <w:ind w:left="1480" w:hanging="242"/>
        <w:spacing w:after="0"/>
        <w:tabs>
          <w:tab w:leader="none" w:pos="1480" w:val="left"/>
        </w:tabs>
        <w:numPr>
          <w:ilvl w:val="0"/>
          <w:numId w:val="646"/>
        </w:numPr>
        <w:rPr>
          <w:rFonts w:ascii="Arial" w:cs="Arial" w:eastAsia="Arial" w:hAnsi="Arial"/>
          <w:sz w:val="15"/>
          <w:szCs w:val="15"/>
          <w:b w:val="1"/>
          <w:bCs w:val="1"/>
          <w:color w:val="auto"/>
        </w:rPr>
      </w:pPr>
      <w:r>
        <w:rPr>
          <w:rFonts w:ascii="Arial" w:cs="Arial" w:eastAsia="Arial" w:hAnsi="Arial"/>
          <w:sz w:val="15"/>
          <w:szCs w:val="15"/>
          <w:b w:val="1"/>
          <w:bCs w:val="1"/>
          <w:color w:val="auto"/>
        </w:rPr>
        <w:t>Royalty Rates</w:t>
      </w:r>
      <w:r>
        <w:rPr>
          <w:rFonts w:ascii="Arial" w:cs="Arial" w:eastAsia="Arial" w:hAnsi="Arial"/>
          <w:sz w:val="15"/>
          <w:szCs w:val="15"/>
          <w:color w:val="auto"/>
        </w:rPr>
        <w:t>. Cypress shall pay to BioLineRx a running royalty at the following royalty rates, on Net Sales in the Cypress Territory during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Royalty Term.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Aggregate Annual Net Sales of the Products in the Cypress Territory</w:t>
            </w:r>
          </w:p>
        </w:tc>
        <w:tc>
          <w:tcPr>
            <w:tcW w:w="440" w:type="dxa"/>
            <w:vAlign w:val="bottom"/>
          </w:tcPr>
          <w:p>
            <w:pPr>
              <w:spacing w:after="0"/>
              <w:rPr>
                <w:sz w:val="19"/>
                <w:szCs w:val="19"/>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Royalty Rate Applicable to Such Net Sales</w:t>
            </w:r>
          </w:p>
        </w:tc>
      </w:tr>
      <w:tr>
        <w:trPr>
          <w:trHeight w:val="193"/>
        </w:trPr>
        <w:tc>
          <w:tcPr>
            <w:tcW w:w="5500" w:type="dxa"/>
            <w:vAlign w:val="bottom"/>
          </w:tcPr>
          <w:p>
            <w:pPr>
              <w:jc w:val="center"/>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5480" w:type="dxa"/>
            <w:vAlign w:val="bottom"/>
          </w:tcPr>
          <w:p>
            <w:pPr>
              <w:jc w:val="center"/>
              <w:spacing w:after="0" w:line="194" w:lineRule="exact"/>
              <w:rPr>
                <w:sz w:val="20"/>
                <w:szCs w:val="20"/>
                <w:color w:val="auto"/>
              </w:rPr>
            </w:pPr>
            <w:r>
              <w:rPr>
                <w:rFonts w:ascii="Arial" w:cs="Arial" w:eastAsia="Arial" w:hAnsi="Arial"/>
                <w:sz w:val="17"/>
                <w:szCs w:val="17"/>
                <w:color w:val="auto"/>
              </w:rPr>
              <w:t>[***]</w:t>
            </w:r>
          </w:p>
        </w:tc>
      </w:tr>
      <w:tr>
        <w:trPr>
          <w:trHeight w:val="206"/>
        </w:trPr>
        <w:tc>
          <w:tcPr>
            <w:tcW w:w="5500" w:type="dxa"/>
            <w:vAlign w:val="bottom"/>
          </w:tcPr>
          <w:p>
            <w:pPr>
              <w:jc w:val="center"/>
              <w:spacing w:after="0"/>
              <w:rPr>
                <w:sz w:val="20"/>
                <w:szCs w:val="20"/>
                <w:color w:val="auto"/>
              </w:rPr>
            </w:pPr>
            <w:r>
              <w:rPr>
                <w:rFonts w:ascii="Arial" w:cs="Arial" w:eastAsia="Arial" w:hAnsi="Arial"/>
                <w:sz w:val="17"/>
                <w:szCs w:val="17"/>
                <w:color w:val="auto"/>
              </w:rPr>
              <w:t>[***]</w:t>
            </w:r>
          </w:p>
        </w:tc>
        <w:tc>
          <w:tcPr>
            <w:tcW w:w="5920" w:type="dxa"/>
            <w:vAlign w:val="bottom"/>
            <w:gridSpan w:val="2"/>
          </w:tcPr>
          <w:p>
            <w:pPr>
              <w:jc w:val="center"/>
              <w:ind w:left="374"/>
              <w:spacing w:after="0"/>
              <w:rPr>
                <w:sz w:val="20"/>
                <w:szCs w:val="20"/>
                <w:color w:val="auto"/>
              </w:rPr>
            </w:pPr>
            <w:r>
              <w:rPr>
                <w:rFonts w:ascii="Arial" w:cs="Arial" w:eastAsia="Arial" w:hAnsi="Arial"/>
                <w:sz w:val="17"/>
                <w:szCs w:val="17"/>
                <w:color w:val="auto"/>
              </w:rPr>
              <w:t>[***]</w:t>
            </w:r>
          </w:p>
        </w:tc>
      </w:tr>
      <w:tr>
        <w:trPr>
          <w:trHeight w:val="206"/>
        </w:trPr>
        <w:tc>
          <w:tcPr>
            <w:tcW w:w="5500" w:type="dxa"/>
            <w:vAlign w:val="bottom"/>
          </w:tcPr>
          <w:p>
            <w:pPr>
              <w:jc w:val="center"/>
              <w:spacing w:after="0"/>
              <w:rPr>
                <w:sz w:val="20"/>
                <w:szCs w:val="20"/>
                <w:color w:val="auto"/>
              </w:rPr>
            </w:pPr>
            <w:r>
              <w:rPr>
                <w:rFonts w:ascii="Arial" w:cs="Arial" w:eastAsia="Arial" w:hAnsi="Arial"/>
                <w:sz w:val="17"/>
                <w:szCs w:val="17"/>
                <w:color w:val="auto"/>
              </w:rPr>
              <w:t>[***]</w:t>
            </w:r>
          </w:p>
        </w:tc>
        <w:tc>
          <w:tcPr>
            <w:tcW w:w="5920" w:type="dxa"/>
            <w:vAlign w:val="bottom"/>
            <w:gridSpan w:val="2"/>
          </w:tcPr>
          <w:p>
            <w:pPr>
              <w:jc w:val="center"/>
              <w:ind w:left="374"/>
              <w:spacing w:after="0"/>
              <w:rPr>
                <w:sz w:val="20"/>
                <w:szCs w:val="20"/>
                <w:color w:val="auto"/>
              </w:rPr>
            </w:pPr>
            <w:r>
              <w:rPr>
                <w:rFonts w:ascii="Arial" w:cs="Arial" w:eastAsia="Arial" w:hAnsi="Arial"/>
                <w:sz w:val="17"/>
                <w:szCs w:val="17"/>
                <w:color w:val="auto"/>
              </w:rPr>
              <w:t>[***]</w:t>
            </w:r>
          </w:p>
        </w:tc>
      </w:tr>
      <w:tr>
        <w:trPr>
          <w:trHeight w:val="217"/>
        </w:trPr>
        <w:tc>
          <w:tcPr>
            <w:tcW w:w="5500" w:type="dxa"/>
            <w:vAlign w:val="bottom"/>
          </w:tcPr>
          <w:p>
            <w:pPr>
              <w:jc w:val="center"/>
              <w:spacing w:after="0"/>
              <w:rPr>
                <w:sz w:val="20"/>
                <w:szCs w:val="20"/>
                <w:color w:val="auto"/>
              </w:rPr>
            </w:pPr>
            <w:r>
              <w:rPr>
                <w:rFonts w:ascii="Arial" w:cs="Arial" w:eastAsia="Arial" w:hAnsi="Arial"/>
                <w:sz w:val="17"/>
                <w:szCs w:val="17"/>
                <w:color w:val="auto"/>
              </w:rPr>
              <w:t>[***]</w:t>
            </w:r>
          </w:p>
        </w:tc>
        <w:tc>
          <w:tcPr>
            <w:tcW w:w="5920" w:type="dxa"/>
            <w:vAlign w:val="bottom"/>
            <w:gridSpan w:val="2"/>
          </w:tcPr>
          <w:p>
            <w:pPr>
              <w:jc w:val="center"/>
              <w:ind w:left="374"/>
              <w:spacing w:after="0"/>
              <w:rPr>
                <w:sz w:val="20"/>
                <w:szCs w:val="20"/>
                <w:color w:val="auto"/>
              </w:rPr>
            </w:pPr>
            <w:r>
              <w:rPr>
                <w:rFonts w:ascii="Arial" w:cs="Arial" w:eastAsia="Arial" w:hAnsi="Arial"/>
                <w:sz w:val="17"/>
                <w:szCs w:val="17"/>
                <w:color w:val="auto"/>
              </w:rPr>
              <w:t>[***]</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For example, if the aggregate annual Net Sales to which the royalty obligations in this Section 8.3(a) apply were [***], the [***]royalty rate would apply to the first</w:t>
      </w:r>
    </w:p>
    <w:p>
      <w:pPr>
        <w:spacing w:after="0" w:line="33" w:lineRule="exact"/>
        <w:rPr>
          <w:sz w:val="20"/>
          <w:szCs w:val="20"/>
          <w:color w:val="auto"/>
        </w:rPr>
      </w:pPr>
    </w:p>
    <w:p>
      <w:pPr>
        <w:ind w:left="420" w:hanging="417"/>
        <w:spacing w:after="0"/>
        <w:tabs>
          <w:tab w:leader="none" w:pos="420" w:val="left"/>
        </w:tabs>
        <w:numPr>
          <w:ilvl w:val="0"/>
          <w:numId w:val="647"/>
        </w:numPr>
        <w:rPr>
          <w:rFonts w:ascii="Arial" w:cs="Arial" w:eastAsia="Arial" w:hAnsi="Arial"/>
          <w:sz w:val="16"/>
          <w:szCs w:val="16"/>
          <w:color w:val="auto"/>
        </w:rPr>
      </w:pPr>
      <w:r>
        <w:rPr>
          <w:rFonts w:ascii="Arial" w:cs="Arial" w:eastAsia="Arial" w:hAnsi="Arial"/>
          <w:sz w:val="16"/>
          <w:szCs w:val="16"/>
          <w:color w:val="auto"/>
        </w:rPr>
        <w:t>of such Net Sales, the [***] royalty rate would apply to the next [***] of such Net Sales, and the [***] royalty rate would apply to the final [***] of such Net</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Sales.</w:t>
      </w:r>
    </w:p>
    <w:p>
      <w:pPr>
        <w:spacing w:after="0" w:line="225" w:lineRule="exact"/>
        <w:rPr>
          <w:sz w:val="20"/>
          <w:szCs w:val="20"/>
          <w:color w:val="auto"/>
        </w:rPr>
      </w:pPr>
    </w:p>
    <w:p>
      <w:pPr>
        <w:jc w:val="both"/>
        <w:ind w:firstLine="617"/>
        <w:spacing w:after="0" w:line="274" w:lineRule="auto"/>
        <w:rPr>
          <w:sz w:val="20"/>
          <w:szCs w:val="20"/>
          <w:color w:val="auto"/>
        </w:rPr>
      </w:pPr>
      <w:r>
        <w:rPr>
          <w:rFonts w:ascii="Arial" w:cs="Arial" w:eastAsia="Arial" w:hAnsi="Arial"/>
          <w:sz w:val="16"/>
          <w:szCs w:val="16"/>
          <w:b w:val="1"/>
          <w:bCs w:val="1"/>
          <w:color w:val="auto"/>
        </w:rPr>
        <w:t xml:space="preserve">Royalty Term. </w:t>
      </w:r>
      <w:r>
        <w:rPr>
          <w:rFonts w:ascii="Arial" w:cs="Arial" w:eastAsia="Arial" w:hAnsi="Arial"/>
          <w:sz w:val="16"/>
          <w:szCs w:val="16"/>
          <w:color w:val="auto"/>
        </w:rPr>
        <w:t>The royalty payment obligation under Section 8.3 shall apply, on a country-by-country and Product-by-Product basis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Cypress Territory, during the period of time beginning upon the First Commercial Sale of such Product in such country, and ending upon the later of: (i) the expiration of the last-to-expire Valid Claim of a BioLineRx Patent covering the use, import, manufacture or Commercialization of such Product in such country; provided that, for purposes of this Section 8.3(b)(i) only, such “last-to-expire Valid Claim” shall not be a claim of a pending patent application within the BioLineRx Patents if such claim has been on file with the applicable patent office in such country for more than [***]years from the earlier of its date of filing or earliest claim of priority under 35 U.S.C. §119 or §120 (and its successors in the United States) or its equivalent in the applicable country in the Cypress Territory; (ii) the expiration of Regulatory Exclusivity covering such Product in such country; and (iii) the date on which sales of Generic Products in such country are (on a unit basis) at least [***]of the total units sold of both Products and such Generic Products in such country; provided that, in the event that a pending (but not an issued) Valid Claim of a BioLineRx Patent exists in such country on the date described in this clause (iii), only the later of clauses (ii) and (iii) will be used to determine the end of Cypress’ royalty payment obligation (such period, the “</w:t>
      </w:r>
      <w:r>
        <w:rPr>
          <w:rFonts w:ascii="Arial" w:cs="Arial" w:eastAsia="Arial" w:hAnsi="Arial"/>
          <w:sz w:val="16"/>
          <w:szCs w:val="16"/>
          <w:b w:val="1"/>
          <w:bCs w:val="1"/>
          <w:color w:val="auto"/>
        </w:rPr>
        <w:t>Royalty Term</w:t>
      </w:r>
      <w:r>
        <w:rPr>
          <w:rFonts w:ascii="Arial" w:cs="Arial" w:eastAsia="Arial" w:hAnsi="Arial"/>
          <w:sz w:val="16"/>
          <w:szCs w:val="16"/>
          <w:color w:val="auto"/>
        </w:rPr>
        <w:t>”).</w:t>
      </w:r>
    </w:p>
    <w:p>
      <w:pPr>
        <w:spacing w:after="0" w:line="189" w:lineRule="exact"/>
        <w:rPr>
          <w:sz w:val="20"/>
          <w:szCs w:val="20"/>
          <w:color w:val="auto"/>
        </w:rPr>
      </w:pPr>
    </w:p>
    <w:p>
      <w:pPr>
        <w:ind w:left="5620" w:right="2360" w:hanging="5617"/>
        <w:spacing w:after="0" w:line="854" w:lineRule="auto"/>
        <w:tabs>
          <w:tab w:leader="none" w:pos="409" w:val="left"/>
        </w:tabs>
        <w:numPr>
          <w:ilvl w:val="0"/>
          <w:numId w:val="6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16" w:name="page717"/>
    <w:bookmarkEnd w:id="716"/>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74" w:lineRule="auto"/>
        <w:tabs>
          <w:tab w:leader="none" w:pos="1500" w:val="left"/>
        </w:tabs>
        <w:numPr>
          <w:ilvl w:val="0"/>
          <w:numId w:val="649"/>
        </w:numPr>
        <w:rPr>
          <w:rFonts w:ascii="Arial" w:cs="Arial" w:eastAsia="Arial" w:hAnsi="Arial"/>
          <w:sz w:val="16"/>
          <w:szCs w:val="16"/>
          <w:b w:val="1"/>
          <w:bCs w:val="1"/>
          <w:color w:val="auto"/>
        </w:rPr>
      </w:pPr>
      <w:r>
        <w:rPr>
          <w:rFonts w:ascii="Arial" w:cs="Arial" w:eastAsia="Arial" w:hAnsi="Arial"/>
          <w:sz w:val="16"/>
          <w:szCs w:val="16"/>
          <w:b w:val="1"/>
          <w:bCs w:val="1"/>
          <w:color w:val="auto"/>
        </w:rPr>
        <w:t>Royalty and Milestone Adjustments for Third Party Intellectual Property</w:t>
      </w:r>
      <w:r>
        <w:rPr>
          <w:rFonts w:ascii="Arial" w:cs="Arial" w:eastAsia="Arial" w:hAnsi="Arial"/>
          <w:sz w:val="16"/>
          <w:szCs w:val="16"/>
          <w:color w:val="auto"/>
        </w:rPr>
        <w:t>. BioLineRx shall be responsible for any and all royalties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payments made prior to the Effective Date or that become due after the Effective Date under any Third Party agreements in effect as of the Effective Date with respect to the Products in the Cypress Territory. Following the Effective Date, if it is necessary for Cypress to obtain a license to Know-How or Patents from any Third Party that claim or cover the composition of matter, manufacture, use, handling, storage, sale or other disposition of Products in the Cypress Territory in order for Cypress or its sublicensees to Pre-Commercialize or Commercialize (in the reasonable opinion of an independent patent attorney) and Cypress pays such Third Party any up-front fee, milestone, royalty, or other payment in consideration of obtaining such license (each, a </w:t>
      </w:r>
      <w:r>
        <w:rPr>
          <w:rFonts w:ascii="Arial" w:cs="Arial" w:eastAsia="Arial" w:hAnsi="Arial"/>
          <w:sz w:val="16"/>
          <w:szCs w:val="16"/>
          <w:b w:val="1"/>
          <w:bCs w:val="1"/>
          <w:color w:val="auto"/>
        </w:rPr>
        <w:t>“Third Party Payment”</w:t>
      </w:r>
      <w:r>
        <w:rPr>
          <w:rFonts w:ascii="Arial" w:cs="Arial" w:eastAsia="Arial" w:hAnsi="Arial"/>
          <w:sz w:val="16"/>
          <w:szCs w:val="16"/>
          <w:color w:val="auto"/>
        </w:rPr>
        <w:t xml:space="preserve">), then Cypress shall have the right to deduct from royalty payments due BioLineRx under Section 8.3(a), [***]of any such Third Party Payments made by Cypress;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such credit cause any royalty amounts payable to BioLineRx for any particular calendar quarter, to be reduced by more than [***] of the royalty amounts that would otherwise be payable for such period</w:t>
      </w:r>
      <w:r>
        <w:rPr>
          <w:rFonts w:ascii="Arial" w:cs="Arial" w:eastAsia="Arial" w:hAnsi="Arial"/>
          <w:sz w:val="16"/>
          <w:szCs w:val="16"/>
          <w:i w:val="1"/>
          <w:iCs w:val="1"/>
          <w:color w:val="auto"/>
        </w:rPr>
        <w:t>; provided, further</w:t>
      </w:r>
      <w:r>
        <w:rPr>
          <w:rFonts w:ascii="Arial" w:cs="Arial" w:eastAsia="Arial" w:hAnsi="Arial"/>
          <w:sz w:val="16"/>
          <w:szCs w:val="16"/>
          <w:color w:val="auto"/>
        </w:rPr>
        <w:t>, that Cypress may deduct from royalty payments in future calendar quarter any amounts that it did not deduct due to the foregoing limitations.</w:t>
      </w:r>
    </w:p>
    <w:p>
      <w:pPr>
        <w:spacing w:after="0" w:line="189" w:lineRule="exact"/>
        <w:rPr>
          <w:sz w:val="20"/>
          <w:szCs w:val="20"/>
          <w:color w:val="auto"/>
        </w:rPr>
      </w:pPr>
    </w:p>
    <w:p>
      <w:pPr>
        <w:jc w:val="both"/>
        <w:ind w:firstLine="617"/>
        <w:spacing w:after="0" w:line="294" w:lineRule="auto"/>
        <w:rPr>
          <w:sz w:val="20"/>
          <w:szCs w:val="20"/>
          <w:color w:val="auto"/>
        </w:rPr>
      </w:pPr>
      <w:r>
        <w:rPr>
          <w:rFonts w:ascii="Arial" w:cs="Arial" w:eastAsia="Arial" w:hAnsi="Arial"/>
          <w:sz w:val="15"/>
          <w:szCs w:val="15"/>
          <w:b w:val="1"/>
          <w:bCs w:val="1"/>
          <w:color w:val="auto"/>
        </w:rPr>
        <w:t>Royalty Reduction</w:t>
      </w:r>
      <w:r>
        <w:rPr>
          <w:rFonts w:ascii="Arial" w:cs="Arial" w:eastAsia="Arial" w:hAnsi="Arial"/>
          <w:sz w:val="15"/>
          <w:szCs w:val="15"/>
          <w:color w:val="auto"/>
        </w:rPr>
        <w:t>. For a particular Product and in a particular country in the Cypress Territory, if a Generic Product is launched and sales of such Generic</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are: (i) at least [***] but less than [***] of the total units sold of both Products and such Generic Products in such country during a calendar quarter, thereafter the royalties due to BioLineRx shall be reduced by [***] from what would otherwise have been due under Section 8.3(a); and (ii) at least [***] but less than</w:t>
      </w:r>
    </w:p>
    <w:p>
      <w:pPr>
        <w:spacing w:after="0" w:line="1" w:lineRule="exact"/>
        <w:rPr>
          <w:sz w:val="20"/>
          <w:szCs w:val="20"/>
          <w:color w:val="auto"/>
        </w:rPr>
      </w:pPr>
    </w:p>
    <w:p>
      <w:pPr>
        <w:ind w:firstLine="3"/>
        <w:spacing w:after="0" w:line="265" w:lineRule="auto"/>
        <w:tabs>
          <w:tab w:leader="none" w:pos="421" w:val="left"/>
        </w:tabs>
        <w:numPr>
          <w:ilvl w:val="0"/>
          <w:numId w:val="650"/>
        </w:numPr>
        <w:rPr>
          <w:rFonts w:ascii="Arial" w:cs="Arial" w:eastAsia="Arial" w:hAnsi="Arial"/>
          <w:sz w:val="17"/>
          <w:szCs w:val="17"/>
          <w:color w:val="auto"/>
        </w:rPr>
      </w:pPr>
      <w:r>
        <w:rPr>
          <w:rFonts w:ascii="Arial" w:cs="Arial" w:eastAsia="Arial" w:hAnsi="Arial"/>
          <w:sz w:val="17"/>
          <w:szCs w:val="17"/>
          <w:color w:val="auto"/>
        </w:rPr>
        <w:t>of the total units sold of both Products and such Generic Products in such country during a calendar quarter, thereafter the royalties due to BioLineRx shall be reduced by [***] from what would otherwise have been due under Section 8.3(a).</w:t>
      </w:r>
    </w:p>
    <w:p>
      <w:pPr>
        <w:spacing w:after="0" w:line="194" w:lineRule="exact"/>
        <w:rPr>
          <w:rFonts w:ascii="Arial" w:cs="Arial" w:eastAsia="Arial" w:hAnsi="Arial"/>
          <w:sz w:val="17"/>
          <w:szCs w:val="17"/>
          <w:color w:val="auto"/>
        </w:rPr>
      </w:pPr>
    </w:p>
    <w:p>
      <w:pPr>
        <w:ind w:left="420" w:hanging="417"/>
        <w:spacing w:after="0"/>
        <w:tabs>
          <w:tab w:leader="none" w:pos="420" w:val="left"/>
        </w:tabs>
        <w:numPr>
          <w:ilvl w:val="0"/>
          <w:numId w:val="650"/>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17" w:name="page718"/>
    <w:bookmarkEnd w:id="717"/>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78" w:lineRule="auto"/>
        <w:tabs>
          <w:tab w:leader="none" w:pos="1481" w:val="left"/>
        </w:tabs>
        <w:numPr>
          <w:ilvl w:val="0"/>
          <w:numId w:val="651"/>
        </w:numPr>
        <w:rPr>
          <w:rFonts w:ascii="Arial" w:cs="Arial" w:eastAsia="Arial" w:hAnsi="Arial"/>
          <w:sz w:val="16"/>
          <w:szCs w:val="16"/>
          <w:b w:val="1"/>
          <w:bCs w:val="1"/>
          <w:color w:val="auto"/>
        </w:rPr>
      </w:pPr>
      <w:r>
        <w:rPr>
          <w:rFonts w:ascii="Arial" w:cs="Arial" w:eastAsia="Arial" w:hAnsi="Arial"/>
          <w:sz w:val="16"/>
          <w:szCs w:val="16"/>
          <w:b w:val="1"/>
          <w:bCs w:val="1"/>
          <w:color w:val="auto"/>
        </w:rPr>
        <w:t>Royalty Payments and Reports</w:t>
      </w:r>
      <w:r>
        <w:rPr>
          <w:rFonts w:ascii="Arial" w:cs="Arial" w:eastAsia="Arial" w:hAnsi="Arial"/>
          <w:sz w:val="16"/>
          <w:szCs w:val="16"/>
          <w:color w:val="auto"/>
        </w:rPr>
        <w:t>. Subject to 8.3(b) above, within [***] days after the end of each calendar quarter, Cypress shall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BioLineRx a report containing the following information for the prior calendar quarter: (i) the gross sales associated with each Product sold by Cypress and its sublicensees; (ii) a calculation of Net Sales of each Products that are sold by Cypress and (if applicable) sublicensees; and (iii) a calculation of payments due to BioLineRx with respect to the foregoing. Concurrent with these reports, Cypress shall remit to BioLineRx any royalty payment due for the applicable calendar quarter. If no royalties are due to BioLineRx for such reporting period, the report shall so state. Any extension of time in which BioLineRx is required to report/pay under the Upstream Agreement shall similarly extend the time for delivery of reports and payments under this Section 8.3(e).</w:t>
      </w:r>
    </w:p>
    <w:p>
      <w:pPr>
        <w:spacing w:after="0" w:line="188"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8.3 Foreign Exchange</w:t>
      </w:r>
      <w:r>
        <w:rPr>
          <w:rFonts w:ascii="Arial" w:cs="Arial" w:eastAsia="Arial" w:hAnsi="Arial"/>
          <w:sz w:val="17"/>
          <w:szCs w:val="17"/>
          <w:color w:val="auto"/>
        </w:rPr>
        <w:t>. Net Sales made in currencies other than dollars will be converted into dollars using the closing exchange rates reported in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The Wall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(U.S., Western Edition) on the last business day of the applicable calendar quarter.</w:t>
      </w:r>
    </w:p>
    <w:p>
      <w:pPr>
        <w:spacing w:after="0" w:line="177"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8.4 Payment Method; Late Payments</w:t>
      </w:r>
      <w:r>
        <w:rPr>
          <w:rFonts w:ascii="Arial" w:cs="Arial" w:eastAsia="Arial" w:hAnsi="Arial"/>
          <w:sz w:val="16"/>
          <w:szCs w:val="16"/>
          <w:color w:val="auto"/>
        </w:rPr>
        <w:t>. All payments due hereunder shall be made by wire transfer of immediately available funds into an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by a Party. If a Party does not receive payment of any sum due to it on or before the due date, simple interest shall thereafter accrue on the sum due to such Party until the date of payment at the per annum rate of [***] over Prime or the maximum rate allowable by applicable Law, whichever is lower.</w:t>
      </w:r>
    </w:p>
    <w:p>
      <w:pPr>
        <w:spacing w:after="0" w:line="175" w:lineRule="exact"/>
        <w:rPr>
          <w:sz w:val="20"/>
          <w:szCs w:val="20"/>
          <w:color w:val="auto"/>
        </w:rPr>
      </w:pPr>
    </w:p>
    <w:p>
      <w:pPr>
        <w:jc w:val="both"/>
        <w:ind w:firstLine="617"/>
        <w:spacing w:after="0" w:line="256" w:lineRule="auto"/>
        <w:rPr>
          <w:sz w:val="20"/>
          <w:szCs w:val="20"/>
          <w:color w:val="auto"/>
        </w:rPr>
      </w:pPr>
      <w:r>
        <w:rPr>
          <w:rFonts w:ascii="Arial" w:cs="Arial" w:eastAsia="Arial" w:hAnsi="Arial"/>
          <w:sz w:val="17"/>
          <w:szCs w:val="17"/>
          <w:b w:val="1"/>
          <w:bCs w:val="1"/>
          <w:color w:val="auto"/>
        </w:rPr>
        <w:t>8.5 Records; Audits</w:t>
      </w:r>
      <w:r>
        <w:rPr>
          <w:rFonts w:ascii="Arial" w:cs="Arial" w:eastAsia="Arial" w:hAnsi="Arial"/>
          <w:sz w:val="17"/>
          <w:szCs w:val="17"/>
          <w:color w:val="auto"/>
        </w:rPr>
        <w:t>. Each Party will maintain complete and accurate records in sufficient detail to permit the other Party to confirm the accuracy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 of payments under this Agreement, as well as to confirm Pre-Commercialization Costs and Product Data Costs. Upon reasonable prior notice, such records shall be available during regular business hours for a period of [***] years from the end of the calendar year to which they pertain for examination at the expense of the applicable Party, and not more often than [***] each calendar year, by an independent certified public accountant selected by such Party and reasonably acceptable to the other Party, for the sole purpose of verifying the accuracy of the financial reports or payments furnished by the other Party pursuant to this Agreement. Any such auditor shall not disclose to the other Party a Party’s Confidential Information. Any amounts shown to be owed but unpaid shall be paid within [***] days from the accountant’s report, plus interest (as set forth in Section 8.4) from the original due date. The auditing Party shall bear the full cost of such audit unless such audit discloses an underpayment by the audited Party of more than [***] of the amount due, in which case the audited Party shall bear the full cost of such audit.</w:t>
      </w:r>
    </w:p>
    <w:p>
      <w:pPr>
        <w:spacing w:after="0" w:line="207" w:lineRule="exact"/>
        <w:rPr>
          <w:sz w:val="20"/>
          <w:szCs w:val="20"/>
          <w:color w:val="auto"/>
        </w:rPr>
      </w:pPr>
    </w:p>
    <w:p>
      <w:pPr>
        <w:ind w:left="5620" w:right="2360" w:hanging="5617"/>
        <w:spacing w:after="0" w:line="854" w:lineRule="auto"/>
        <w:tabs>
          <w:tab w:leader="none" w:pos="409" w:val="left"/>
        </w:tabs>
        <w:numPr>
          <w:ilvl w:val="0"/>
          <w:numId w:val="6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18" w:name="page719"/>
    <w:bookmarkEnd w:id="718"/>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8.6 Taxes</w:t>
      </w:r>
      <w:r>
        <w:rPr>
          <w:rFonts w:ascii="Arial" w:cs="Arial" w:eastAsia="Arial" w:hAnsi="Arial"/>
          <w:sz w:val="17"/>
          <w:szCs w:val="17"/>
          <w:color w:val="auto"/>
        </w:rPr>
        <w:t>.</w:t>
      </w:r>
    </w:p>
    <w:p>
      <w:pPr>
        <w:spacing w:after="0" w:line="242" w:lineRule="exact"/>
        <w:rPr>
          <w:sz w:val="20"/>
          <w:szCs w:val="20"/>
          <w:color w:val="auto"/>
        </w:rPr>
      </w:pPr>
    </w:p>
    <w:p>
      <w:pPr>
        <w:jc w:val="both"/>
        <w:ind w:firstLine="1238"/>
        <w:spacing w:after="0" w:line="256" w:lineRule="auto"/>
        <w:tabs>
          <w:tab w:leader="none" w:pos="1490" w:val="left"/>
        </w:tabs>
        <w:numPr>
          <w:ilvl w:val="0"/>
          <w:numId w:val="6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to BioLineRx. </w:t>
      </w:r>
      <w:r>
        <w:rPr>
          <w:rFonts w:ascii="Arial" w:cs="Arial" w:eastAsia="Arial" w:hAnsi="Arial"/>
          <w:sz w:val="17"/>
          <w:szCs w:val="17"/>
          <w:color w:val="auto"/>
        </w:rPr>
        <w:t>Cypress acknowledges that under current US law, regulatory interpretations, and treaties it will not be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deduct and withhold, nor will it deduct and withhold, any United States Tax from any payments made to BioLineRx pursuant to Sections 8.1 or 8.2 (solely with respect to regulatory milestone payments). If any of the payments required to be made by Cypress to BioLineRx under Section 8.2 (other than with respect to Regulatory Milestones) or Section 8.3 is subject to a deduction of Tax or withholding Tax, then, subject to Section 8.7(b) below, the sum payable by Cypress (in respect of which such deduction or withholding is required to be made) shall be made to BioLineRx after deduction of the amount required to be so deducted or withheld, which deducted or withheld amount shall be remitted in accordance with applicable Laws. In all events, it is acknowledged that Cypress may deduct and withhold the required Taxes from payments due to BioLineRx in the event of any changes in Tax law, administrative interpretations or treaties that may change current rules as applicable to such payments, subject to providing BioLineRx with at least [***] days’ advance notification of the intention to withhold such Taxes and giving BioLineRx an opportunity to provide a written Tax opinion or other form of evidence that such Taxes should not be withheld, which will be given reasonable consideration by Cypress.</w:t>
      </w:r>
    </w:p>
    <w:p>
      <w:pPr>
        <w:spacing w:after="0" w:line="205"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b w:val="1"/>
          <w:bCs w:val="1"/>
          <w:color w:val="auto"/>
        </w:rPr>
        <w:t xml:space="preserve">Tax Cooperation. </w:t>
      </w:r>
      <w:r>
        <w:rPr>
          <w:rFonts w:ascii="Arial" w:cs="Arial" w:eastAsia="Arial" w:hAnsi="Arial"/>
          <w:sz w:val="16"/>
          <w:szCs w:val="16"/>
          <w:color w:val="auto"/>
        </w:rPr>
        <w:t>The Parties shall use all reasonable and legal efforts to reduce or eliminate Tax withholding or similar obligations in respect of royalties,</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payments, and other payments made by Cypress to BioLineRx under this Agreement. To the extent Cypress is required to deduct and withhold taxes on any payment to BioLineRx, Cypress shall pay the amounts of such Taxes to the proper Governmental Authority in a timely manner and promptly transmit to BioLineRx an official Tax certificate or other documentation of the payment of any such withholding Taxes, including copies of receipts or other evidence reasonably required and sufficient to enable BioLineRx to document such tax withholdings adequately for purposes of claiming foreign tax credits and similar benefits. BioLineRx shall provide Cypress any Tax forms that may be reasonably necessary in order for Cypress to not withhold tax or to withhold Tax at a reduced rate under an applicable bilateral income Tax treaty. BioLineRx shall use reasonable efforts to provide any such tax forms to Cypress at least [***] days prior to the due date for any payment for which BioLineRx desires that Cypress apply a reduced withholding rate. Each Party shall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 Cypress shall require its sublicensees in the Cypress Territory to cooperate with BioLineRx in a manner consistent with this Section 8.7(b).</w:t>
      </w:r>
    </w:p>
    <w:p>
      <w:pPr>
        <w:spacing w:after="0" w:line="193" w:lineRule="exact"/>
        <w:rPr>
          <w:sz w:val="20"/>
          <w:szCs w:val="20"/>
          <w:color w:val="auto"/>
        </w:rPr>
      </w:pPr>
    </w:p>
    <w:p>
      <w:pPr>
        <w:ind w:left="5620" w:right="2360" w:hanging="5617"/>
        <w:spacing w:after="0" w:line="854" w:lineRule="auto"/>
        <w:tabs>
          <w:tab w:leader="none" w:pos="409" w:val="left"/>
        </w:tabs>
        <w:numPr>
          <w:ilvl w:val="0"/>
          <w:numId w:val="6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19" w:name="page720"/>
    <w:bookmarkEnd w:id="71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INTELLECTUAL PROPERTY</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9.1 Ownership of Inventions</w:t>
      </w:r>
      <w:r>
        <w:rPr>
          <w:rFonts w:ascii="Arial" w:cs="Arial" w:eastAsia="Arial" w:hAnsi="Arial"/>
          <w:sz w:val="17"/>
          <w:szCs w:val="17"/>
          <w:color w:val="auto"/>
        </w:rPr>
        <w:t>. Following the Effective Date:</w:t>
      </w:r>
    </w:p>
    <w:p>
      <w:pPr>
        <w:spacing w:after="0" w:line="248" w:lineRule="exact"/>
        <w:rPr>
          <w:sz w:val="20"/>
          <w:szCs w:val="20"/>
          <w:color w:val="auto"/>
        </w:rPr>
      </w:pPr>
    </w:p>
    <w:p>
      <w:pPr>
        <w:ind w:firstLine="1238"/>
        <w:spacing w:after="0" w:line="311" w:lineRule="auto"/>
        <w:tabs>
          <w:tab w:leader="none" w:pos="1490" w:val="left"/>
        </w:tabs>
        <w:numPr>
          <w:ilvl w:val="0"/>
          <w:numId w:val="655"/>
        </w:numPr>
        <w:rPr>
          <w:rFonts w:ascii="Arial" w:cs="Arial" w:eastAsia="Arial" w:hAnsi="Arial"/>
          <w:sz w:val="16"/>
          <w:szCs w:val="16"/>
          <w:b w:val="1"/>
          <w:bCs w:val="1"/>
          <w:color w:val="auto"/>
        </w:rPr>
      </w:pPr>
      <w:r>
        <w:rPr>
          <w:rFonts w:ascii="Arial" w:cs="Arial" w:eastAsia="Arial" w:hAnsi="Arial"/>
          <w:sz w:val="16"/>
          <w:szCs w:val="16"/>
          <w:color w:val="auto"/>
        </w:rPr>
        <w:t>Each Party shall own any inventions made solely by its own employees, agents, or independent contractors in the course of conducting its activities under this Agreement, together with all intellectual property rights therein, that cover or claim the Products (“</w:t>
      </w:r>
      <w:r>
        <w:rPr>
          <w:rFonts w:ascii="Arial" w:cs="Arial" w:eastAsia="Arial" w:hAnsi="Arial"/>
          <w:sz w:val="16"/>
          <w:szCs w:val="16"/>
          <w:b w:val="1"/>
          <w:bCs w:val="1"/>
          <w:color w:val="auto"/>
        </w:rPr>
        <w:t>Sole Inventions</w:t>
      </w:r>
      <w:r>
        <w:rPr>
          <w:rFonts w:ascii="Arial" w:cs="Arial" w:eastAsia="Arial" w:hAnsi="Arial"/>
          <w:sz w:val="16"/>
          <w:szCs w:val="16"/>
          <w:color w:val="auto"/>
        </w:rPr>
        <w:t>”); and</w:t>
      </w:r>
    </w:p>
    <w:p>
      <w:pPr>
        <w:spacing w:after="0" w:line="166" w:lineRule="exact"/>
        <w:rPr>
          <w:rFonts w:ascii="Arial" w:cs="Arial" w:eastAsia="Arial" w:hAnsi="Arial"/>
          <w:sz w:val="16"/>
          <w:szCs w:val="16"/>
          <w:b w:val="1"/>
          <w:bCs w:val="1"/>
          <w:color w:val="auto"/>
        </w:rPr>
      </w:pPr>
    </w:p>
    <w:p>
      <w:pPr>
        <w:jc w:val="both"/>
        <w:ind w:firstLine="1238"/>
        <w:spacing w:after="0" w:line="259" w:lineRule="auto"/>
        <w:tabs>
          <w:tab w:leader="none" w:pos="1487" w:val="left"/>
        </w:tabs>
        <w:numPr>
          <w:ilvl w:val="0"/>
          <w:numId w:val="655"/>
        </w:numPr>
        <w:rPr>
          <w:rFonts w:ascii="Arial" w:cs="Arial" w:eastAsia="Arial" w:hAnsi="Arial"/>
          <w:sz w:val="17"/>
          <w:szCs w:val="17"/>
          <w:b w:val="1"/>
          <w:bCs w:val="1"/>
          <w:color w:val="auto"/>
        </w:rPr>
      </w:pPr>
      <w:r>
        <w:rPr>
          <w:rFonts w:ascii="Arial" w:cs="Arial" w:eastAsia="Arial" w:hAnsi="Arial"/>
          <w:sz w:val="17"/>
          <w:szCs w:val="17"/>
          <w:color w:val="auto"/>
        </w:rPr>
        <w:t>The Parties shall jointly own any inventions that are made jointly by employees, agents, or independent contractors of each Party in the course of conducting its activities under this Agreement, together with all intellectual property rights therein, that cover or claim the Products (“</w:t>
      </w:r>
      <w:r>
        <w:rPr>
          <w:rFonts w:ascii="Arial" w:cs="Arial" w:eastAsia="Arial" w:hAnsi="Arial"/>
          <w:sz w:val="17"/>
          <w:szCs w:val="17"/>
          <w:b w:val="1"/>
          <w:bCs w:val="1"/>
          <w:color w:val="auto"/>
        </w:rPr>
        <w:t>Joint Inventions</w:t>
      </w:r>
      <w:r>
        <w:rPr>
          <w:rFonts w:ascii="Arial" w:cs="Arial" w:eastAsia="Arial" w:hAnsi="Arial"/>
          <w:sz w:val="17"/>
          <w:szCs w:val="17"/>
          <w:color w:val="auto"/>
        </w:rPr>
        <w:t>”). All Patents claiming patentable, jointly owned Joint Inventions shall be referred to herein as “</w:t>
      </w:r>
      <w:r>
        <w:rPr>
          <w:rFonts w:ascii="Arial" w:cs="Arial" w:eastAsia="Arial" w:hAnsi="Arial"/>
          <w:sz w:val="17"/>
          <w:szCs w:val="17"/>
          <w:b w:val="1"/>
          <w:bCs w:val="1"/>
          <w:color w:val="auto"/>
        </w:rPr>
        <w:t>Joint Patents.</w:t>
      </w:r>
      <w:r>
        <w:rPr>
          <w:rFonts w:ascii="Arial" w:cs="Arial" w:eastAsia="Arial" w:hAnsi="Arial"/>
          <w:sz w:val="17"/>
          <w:szCs w:val="17"/>
          <w:color w:val="auto"/>
        </w:rPr>
        <w:t>” Except to the extent otherwise set forth in this Agreement, each Party shall be entitled to practice and exploit the Joint Inventions without the duty of accounting or seeking consent from the other Party consistent with the terms of this Agreement.</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Inventorship shall be determined in accordance with U.S. patent laws. For clarity, all BioLineRx Sole Inventions which come within the definition of BioLineRx Technology shall be subject to the licenses set forth in this Agreement.</w:t>
      </w:r>
    </w:p>
    <w:p>
      <w:pPr>
        <w:spacing w:after="0" w:line="184"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9.2 Disclosure of Inventions</w:t>
      </w:r>
      <w:r>
        <w:rPr>
          <w:rFonts w:ascii="Arial" w:cs="Arial" w:eastAsia="Arial" w:hAnsi="Arial"/>
          <w:sz w:val="17"/>
          <w:szCs w:val="17"/>
          <w:color w:val="auto"/>
        </w:rPr>
        <w:t>. Each Party shall promptly disclose to the other Party any invention disclosures, or other similar documents, submitted to it by</w:t>
      </w:r>
      <w:r>
        <w:rPr>
          <w:rFonts w:ascii="Arial" w:cs="Arial" w:eastAsia="Arial" w:hAnsi="Arial"/>
          <w:sz w:val="17"/>
          <w:szCs w:val="17"/>
          <w:b w:val="1"/>
          <w:bCs w:val="1"/>
          <w:color w:val="auto"/>
        </w:rPr>
        <w:t xml:space="preserve"> </w:t>
      </w:r>
      <w:r>
        <w:rPr>
          <w:rFonts w:ascii="Arial" w:cs="Arial" w:eastAsia="Arial" w:hAnsi="Arial"/>
          <w:sz w:val="17"/>
          <w:szCs w:val="17"/>
          <w:color w:val="auto"/>
        </w:rPr>
        <w:t>its employees, agents or independent contractors describing inventions that are either Sole Inventions or Joint Inventions, and all Information relating to such inventions to the extent necessary for the preparation, filing and maintenance of any Patent with respect to such invention.</w:t>
      </w:r>
    </w:p>
    <w:p>
      <w:pPr>
        <w:spacing w:after="0" w:line="192"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b w:val="1"/>
          <w:bCs w:val="1"/>
          <w:color w:val="auto"/>
        </w:rPr>
        <w:t xml:space="preserve">9.3 Assignment of Product Inventions. </w:t>
      </w:r>
      <w:r>
        <w:rPr>
          <w:rFonts w:ascii="Arial" w:cs="Arial" w:eastAsia="Arial" w:hAnsi="Arial"/>
          <w:sz w:val="16"/>
          <w:szCs w:val="16"/>
          <w:color w:val="auto"/>
        </w:rPr>
        <w:t>Notwithstanding anything to the contrary in Section 9.1, and subject to the license set forth in Section 2.2(b),</w:t>
      </w:r>
      <w:r>
        <w:rPr>
          <w:rFonts w:ascii="Arial" w:cs="Arial" w:eastAsia="Arial" w:hAnsi="Arial"/>
          <w:sz w:val="16"/>
          <w:szCs w:val="16"/>
          <w:b w:val="1"/>
          <w:bCs w:val="1"/>
          <w:color w:val="auto"/>
        </w:rPr>
        <w:t xml:space="preserve"> </w:t>
      </w:r>
      <w:r>
        <w:rPr>
          <w:rFonts w:ascii="Arial" w:cs="Arial" w:eastAsia="Arial" w:hAnsi="Arial"/>
          <w:sz w:val="16"/>
          <w:szCs w:val="16"/>
          <w:color w:val="auto"/>
        </w:rPr>
        <w:t>Cypress hereby assigns and shall assign to BioLineRx, for no additional consideration, all right, title and interest in and to any Sole Inventions owned by Cypress that cover or claim the Products (“</w:t>
      </w:r>
      <w:r>
        <w:rPr>
          <w:rFonts w:ascii="Arial" w:cs="Arial" w:eastAsia="Arial" w:hAnsi="Arial"/>
          <w:sz w:val="16"/>
          <w:szCs w:val="16"/>
          <w:b w:val="1"/>
          <w:bCs w:val="1"/>
          <w:color w:val="auto"/>
        </w:rPr>
        <w:t>Product Inventions</w:t>
      </w:r>
      <w:r>
        <w:rPr>
          <w:rFonts w:ascii="Arial" w:cs="Arial" w:eastAsia="Arial" w:hAnsi="Arial"/>
          <w:sz w:val="16"/>
          <w:szCs w:val="16"/>
          <w:color w:val="auto"/>
        </w:rPr>
        <w:t>”). Cypress shall execute, and cause its employees, agents and subcontractors to execute (directly or through assignment to Cypress and assignment by Cypress to BioLineRx), assignments to BioLineRx of all right, title and interest in and to any such Product Inventions, and any Patents directed to such assigned Product Inventions shall be BioLineRx Patents, subject to the licenses set forth in this Agreement. BioLineRx shall consult with Cypress regarding the advisability of seeking patent protection for any Product Invention. Should the Parties determine that such protection is advisable, BioLineRx shall prosecute and reasonably maintain in the Retained Territory all of the patents and patent applications with claims covering such Product Inventions. BioLineRx shall provide Cypress with a reasonable opportunity to comment on all draft filings for the Product Inventions in the Retained Territory prior to their submission to the relevant patent authority. Should BioLineRx decide that it is no longer interested in maintaining or prosecuting a particular Patent with claims covering a Product Invention in a country or other jurisdiction in the Retained Territory, it shall promptly advise Cypress, and Cypress may assume such prosecution and maintenance at its sole expense. Any such Product Invention shall be the sole and exclusive property of BioLineRx. Cypress shall require any sublicensee to assign any Product Inventions to Cypress in accordance with the terms of this Section 9.3 as applicable to Cypress.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0" w:name="page721"/>
    <w:bookmarkEnd w:id="720"/>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9.4 Prosecution of Patents</w:t>
      </w:r>
      <w:r>
        <w:rPr>
          <w:rFonts w:ascii="Arial" w:cs="Arial" w:eastAsia="Arial" w:hAnsi="Arial"/>
          <w:sz w:val="17"/>
          <w:szCs w:val="17"/>
          <w:color w:val="auto"/>
        </w:rPr>
        <w:t>.</w:t>
      </w:r>
    </w:p>
    <w:p>
      <w:pPr>
        <w:spacing w:after="0" w:line="242" w:lineRule="exact"/>
        <w:rPr>
          <w:sz w:val="20"/>
          <w:szCs w:val="20"/>
          <w:color w:val="auto"/>
        </w:rPr>
      </w:pPr>
    </w:p>
    <w:p>
      <w:pPr>
        <w:jc w:val="both"/>
        <w:ind w:firstLine="1238"/>
        <w:spacing w:after="0" w:line="278" w:lineRule="auto"/>
        <w:tabs>
          <w:tab w:leader="none" w:pos="1477" w:val="left"/>
        </w:tabs>
        <w:numPr>
          <w:ilvl w:val="0"/>
          <w:numId w:val="656"/>
        </w:numPr>
        <w:rPr>
          <w:rFonts w:ascii="Arial" w:cs="Arial" w:eastAsia="Arial" w:hAnsi="Arial"/>
          <w:sz w:val="16"/>
          <w:szCs w:val="16"/>
          <w:b w:val="1"/>
          <w:bCs w:val="1"/>
          <w:color w:val="auto"/>
        </w:rPr>
      </w:pPr>
      <w:r>
        <w:rPr>
          <w:rFonts w:ascii="Arial" w:cs="Arial" w:eastAsia="Arial" w:hAnsi="Arial"/>
          <w:sz w:val="16"/>
          <w:szCs w:val="16"/>
          <w:b w:val="1"/>
          <w:bCs w:val="1"/>
          <w:color w:val="auto"/>
        </w:rPr>
        <w:t>Cypress Prosecuted Patents</w:t>
      </w:r>
      <w:r>
        <w:rPr>
          <w:rFonts w:ascii="Arial" w:cs="Arial" w:eastAsia="Arial" w:hAnsi="Arial"/>
          <w:sz w:val="16"/>
          <w:szCs w:val="16"/>
          <w:color w:val="auto"/>
        </w:rPr>
        <w:t>. The Parties shall cooperate with each other to achieve (to the extent appropriate) global harmonization of filing,</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and maintenance of BioLineRx Patents, recognizing that Cypress shall be pursuing BioLineRx Patent-related activities in the Cypress Territory and BioLineRx shall be pursuing BioLineRx Patent related activities in the Retained Territory. The Parties acknowledge that certain BioLineRx Patents have been licensed to BioLineRx under the Upstream Agreement and are sublicensed to Cypress in the Cypress Territory under this Agreement (the “</w:t>
      </w:r>
      <w:r>
        <w:rPr>
          <w:rFonts w:ascii="Arial" w:cs="Arial" w:eastAsia="Arial" w:hAnsi="Arial"/>
          <w:sz w:val="16"/>
          <w:szCs w:val="16"/>
          <w:b w:val="1"/>
          <w:bCs w:val="1"/>
          <w:color w:val="auto"/>
        </w:rPr>
        <w:t>UA Patents</w:t>
      </w:r>
      <w:r>
        <w:rPr>
          <w:rFonts w:ascii="Arial" w:cs="Arial" w:eastAsia="Arial" w:hAnsi="Arial"/>
          <w:sz w:val="16"/>
          <w:szCs w:val="16"/>
          <w:color w:val="auto"/>
        </w:rPr>
        <w:t>”). With respect to these UA Patents, Cypress and BioLineRx shall consult regarding the preparation, filing, prosecution and maintenance of such UA Patents in the Cypress Territory in accordance with Section 4.1 of the Upstream Agreement.</w:t>
      </w:r>
    </w:p>
    <w:p>
      <w:pPr>
        <w:spacing w:after="0" w:line="194"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color w:val="auto"/>
        </w:rPr>
        <w:t>Subject to Section 9.4(a)(3) below, all UA Patents shall be prepared, filed, prosecuted and maintained through a law or patent attorney firm mutually agreed upon by Cypress and BioLineRx, at [***]. Such firm shall take into account the Parties’ intention that [***]. Further, counsel shall confer with Cypress and BioLineRx regarding the content of patent applications contained within the UA Patents, the prosecution of the UA Patents and the content of communications with the relevant patent agencies in the Cypress Territory regarding the UA Patents, prior to any communications with such agencies. Without limiting the generality of the foregoing, Cypress shall have the first right to conduct Patent-related activities in the Cypress Territory regarding such UA Patents, and Cypress shall ensure that BioLineRx is provided with (i) a reasonable opportunity to review and comment on such UA Patent-related activities regarding such UA Patents, and (ii) a copy of communications from any patent authority in the Cypress Territory regarding such UA Patents, and shall provide drafts of any substantive filings, responses or other communications to be made to such patent authorities a reasonable amount of time in advance of submitting such filings, responses or other communications for BioLineRx’s review and comment. Cypress shall reasonably consider comments by BioLineRx in connection with the UA Patent-related activities regarding the UA Patents so long as such comments are received by Cypress a reasonable amount of time in advance of any filing deadlines.</w:t>
      </w:r>
    </w:p>
    <w:p>
      <w:pPr>
        <w:spacing w:after="0" w:line="191" w:lineRule="exact"/>
        <w:rPr>
          <w:sz w:val="20"/>
          <w:szCs w:val="20"/>
          <w:color w:val="auto"/>
        </w:rPr>
      </w:pPr>
    </w:p>
    <w:p>
      <w:pPr>
        <w:ind w:left="5620" w:right="2360" w:hanging="5617"/>
        <w:spacing w:after="0" w:line="854" w:lineRule="auto"/>
        <w:tabs>
          <w:tab w:leader="none" w:pos="409" w:val="left"/>
        </w:tabs>
        <w:numPr>
          <w:ilvl w:val="0"/>
          <w:numId w:val="6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1" w:name="page722"/>
    <w:bookmarkEnd w:id="721"/>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left="2720" w:hanging="247"/>
        <w:spacing w:after="0"/>
        <w:tabs>
          <w:tab w:leader="none" w:pos="2720" w:val="left"/>
        </w:tabs>
        <w:numPr>
          <w:ilvl w:val="1"/>
          <w:numId w:val="658"/>
        </w:numPr>
        <w:rPr>
          <w:rFonts w:ascii="Arial" w:cs="Arial" w:eastAsia="Arial" w:hAnsi="Arial"/>
          <w:sz w:val="17"/>
          <w:szCs w:val="17"/>
          <w:b w:val="1"/>
          <w:bCs w:val="1"/>
          <w:color w:val="auto"/>
        </w:rPr>
      </w:pPr>
      <w:r>
        <w:rPr>
          <w:rFonts w:ascii="Arial" w:cs="Arial" w:eastAsia="Arial" w:hAnsi="Arial"/>
          <w:sz w:val="17"/>
          <w:szCs w:val="17"/>
          <w:color w:val="auto"/>
        </w:rPr>
        <w:t>Subject to Section 9.4(a)(3) below, [***].</w:t>
      </w:r>
    </w:p>
    <w:p>
      <w:pPr>
        <w:spacing w:after="0" w:line="241" w:lineRule="exact"/>
        <w:rPr>
          <w:rFonts w:ascii="Arial" w:cs="Arial" w:eastAsia="Arial" w:hAnsi="Arial"/>
          <w:sz w:val="17"/>
          <w:szCs w:val="17"/>
          <w:b w:val="1"/>
          <w:bCs w:val="1"/>
          <w:color w:val="auto"/>
        </w:rPr>
      </w:pPr>
    </w:p>
    <w:p>
      <w:pPr>
        <w:jc w:val="both"/>
        <w:ind w:firstLine="2473"/>
        <w:spacing w:after="0" w:line="259" w:lineRule="auto"/>
        <w:tabs>
          <w:tab w:leader="none" w:pos="2712" w:val="left"/>
        </w:tabs>
        <w:numPr>
          <w:ilvl w:val="1"/>
          <w:numId w:val="658"/>
        </w:numPr>
        <w:rPr>
          <w:rFonts w:ascii="Arial" w:cs="Arial" w:eastAsia="Arial" w:hAnsi="Arial"/>
          <w:sz w:val="17"/>
          <w:szCs w:val="17"/>
          <w:b w:val="1"/>
          <w:bCs w:val="1"/>
          <w:color w:val="auto"/>
        </w:rPr>
      </w:pPr>
      <w:r>
        <w:rPr>
          <w:rFonts w:ascii="Arial" w:cs="Arial" w:eastAsia="Arial" w:hAnsi="Arial"/>
          <w:sz w:val="17"/>
          <w:szCs w:val="17"/>
          <w:color w:val="auto"/>
        </w:rPr>
        <w:t>If Cypress decides to cease the Patent-related activities regarding any UA Patent or Cypress Prosecuted Patent, it shall notify BioLineRx in writing sufficiently in advance so that BioLineRx may, at its discretion, assume the responsibility for such Patent-related activities regarding such UA Patent or such Cypress Prosecuted Patent, at BioLineRx’s sole expense. Joint Patents which constitute such Cypress Prosecuted Patents shall be assigned to BioLineRx. Thereafter, such UA Patents or such Cypress Prosecuted Patents shall be included in the BioLineRx Prosecuted Patents and the terms of Section 9.4(b) shall apply to such Patents.</w:t>
      </w:r>
    </w:p>
    <w:p>
      <w:pPr>
        <w:spacing w:after="0" w:line="199" w:lineRule="exact"/>
        <w:rPr>
          <w:rFonts w:ascii="Arial" w:cs="Arial" w:eastAsia="Arial" w:hAnsi="Arial"/>
          <w:sz w:val="17"/>
          <w:szCs w:val="17"/>
          <w:b w:val="1"/>
          <w:bCs w:val="1"/>
          <w:color w:val="auto"/>
        </w:rPr>
      </w:pPr>
    </w:p>
    <w:p>
      <w:pPr>
        <w:jc w:val="both"/>
        <w:ind w:firstLine="1238"/>
        <w:spacing w:after="0" w:line="269" w:lineRule="auto"/>
        <w:tabs>
          <w:tab w:leader="none" w:pos="1500" w:val="left"/>
        </w:tabs>
        <w:numPr>
          <w:ilvl w:val="0"/>
          <w:numId w:val="6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BioLineRx Prosecuted Patents. </w:t>
      </w:r>
      <w:r>
        <w:rPr>
          <w:rFonts w:ascii="Arial" w:cs="Arial" w:eastAsia="Arial" w:hAnsi="Arial"/>
          <w:sz w:val="17"/>
          <w:szCs w:val="17"/>
          <w:color w:val="auto"/>
        </w:rPr>
        <w:t>BioLineRx shall have the sole right to prepare, file, prosecute and maintain all UA Patents and Cypress</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Prosecuted Patents for which the responsibility for Patent-related activities regarding such UA Patents or Cypress Prosecuted Patents has transferred to BioLineRx pursuant to Section 9.4(a)(3) above (the “</w:t>
      </w:r>
      <w:r>
        <w:rPr>
          <w:rFonts w:ascii="Arial" w:cs="Arial" w:eastAsia="Arial" w:hAnsi="Arial"/>
          <w:sz w:val="17"/>
          <w:szCs w:val="17"/>
          <w:b w:val="1"/>
          <w:bCs w:val="1"/>
          <w:color w:val="auto"/>
        </w:rPr>
        <w:t>BioLineRx Prosecuted Patents</w:t>
      </w:r>
      <w:r>
        <w:rPr>
          <w:rFonts w:ascii="Arial" w:cs="Arial" w:eastAsia="Arial" w:hAnsi="Arial"/>
          <w:sz w:val="17"/>
          <w:szCs w:val="17"/>
          <w:color w:val="auto"/>
        </w:rPr>
        <w:t>”).</w:t>
      </w:r>
    </w:p>
    <w:p>
      <w:pPr>
        <w:spacing w:after="0" w:line="191" w:lineRule="exact"/>
        <w:rPr>
          <w:rFonts w:ascii="Arial" w:cs="Arial" w:eastAsia="Arial" w:hAnsi="Arial"/>
          <w:sz w:val="17"/>
          <w:szCs w:val="17"/>
          <w:b w:val="1"/>
          <w:bCs w:val="1"/>
          <w:color w:val="auto"/>
        </w:rPr>
      </w:pPr>
    </w:p>
    <w:p>
      <w:pPr>
        <w:jc w:val="both"/>
        <w:ind w:firstLine="1238"/>
        <w:spacing w:after="0" w:line="269" w:lineRule="auto"/>
        <w:tabs>
          <w:tab w:leader="none" w:pos="1468" w:val="left"/>
        </w:tabs>
        <w:numPr>
          <w:ilvl w:val="0"/>
          <w:numId w:val="659"/>
        </w:numPr>
        <w:rPr>
          <w:rFonts w:ascii="Arial" w:cs="Arial" w:eastAsia="Arial" w:hAnsi="Arial"/>
          <w:sz w:val="17"/>
          <w:szCs w:val="17"/>
          <w:b w:val="1"/>
          <w:bCs w:val="1"/>
          <w:color w:val="auto"/>
        </w:rPr>
      </w:pPr>
      <w:r>
        <w:rPr>
          <w:rFonts w:ascii="Arial" w:cs="Arial" w:eastAsia="Arial" w:hAnsi="Arial"/>
          <w:sz w:val="17"/>
          <w:szCs w:val="17"/>
          <w:b w:val="1"/>
          <w:bCs w:val="1"/>
          <w:color w:val="auto"/>
        </w:rPr>
        <w:t>Cooperation in Prosecution</w:t>
      </w:r>
      <w:r>
        <w:rPr>
          <w:rFonts w:ascii="Arial" w:cs="Arial" w:eastAsia="Arial" w:hAnsi="Arial"/>
          <w:sz w:val="17"/>
          <w:szCs w:val="17"/>
          <w:color w:val="auto"/>
        </w:rPr>
        <w:t>. Each Party shall provide the other Party all reasonable assistance and cooperation in the efforts provided above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Section 9.4, including providing any necessary powers of attorney and executing any other required documents or instruments for such efforts (without charge to the other Party).</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9.5 Infringement of Patents by Third Parties</w:t>
      </w:r>
      <w:r>
        <w:rPr>
          <w:rFonts w:ascii="Arial" w:cs="Arial" w:eastAsia="Arial" w:hAnsi="Arial"/>
          <w:sz w:val="17"/>
          <w:szCs w:val="17"/>
          <w:color w:val="auto"/>
        </w:rPr>
        <w:t>.</w:t>
      </w:r>
    </w:p>
    <w:p>
      <w:pPr>
        <w:spacing w:after="0" w:line="242" w:lineRule="exact"/>
        <w:rPr>
          <w:sz w:val="20"/>
          <w:szCs w:val="20"/>
          <w:color w:val="auto"/>
        </w:rPr>
      </w:pPr>
    </w:p>
    <w:p>
      <w:pPr>
        <w:jc w:val="both"/>
        <w:ind w:firstLine="1238"/>
        <w:spacing w:after="0" w:line="261" w:lineRule="auto"/>
        <w:tabs>
          <w:tab w:leader="none" w:pos="1477" w:val="left"/>
        </w:tabs>
        <w:numPr>
          <w:ilvl w:val="1"/>
          <w:numId w:val="660"/>
        </w:numPr>
        <w:rPr>
          <w:rFonts w:ascii="Arial" w:cs="Arial" w:eastAsia="Arial" w:hAnsi="Arial"/>
          <w:sz w:val="17"/>
          <w:szCs w:val="17"/>
          <w:b w:val="1"/>
          <w:bCs w:val="1"/>
          <w:color w:val="auto"/>
        </w:rPr>
      </w:pPr>
      <w:r>
        <w:rPr>
          <w:rFonts w:ascii="Arial" w:cs="Arial" w:eastAsia="Arial" w:hAnsi="Arial"/>
          <w:sz w:val="17"/>
          <w:szCs w:val="17"/>
          <w:b w:val="1"/>
          <w:bCs w:val="1"/>
          <w:color w:val="auto"/>
        </w:rPr>
        <w:t>Notification</w:t>
      </w:r>
      <w:r>
        <w:rPr>
          <w:rFonts w:ascii="Arial" w:cs="Arial" w:eastAsia="Arial" w:hAnsi="Arial"/>
          <w:sz w:val="17"/>
          <w:szCs w:val="17"/>
          <w:color w:val="auto"/>
        </w:rPr>
        <w:t>. Each Party shall promptly notify the other Party in writing of any existing or threatened infringement of the BioLineRx Patents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Cypress Territory through the Pre-Commercialization or Commercialization in the Field by a Third Party, of which such Party becomes aware, including any equivalent filing in the Cypress Territory to a “patent certification” filed in the United States under 21 U.S.C. §355(b)(2) or 21 U.S.C. §355(j)(2), and of any declaratory judgment, opposition, or similar action alleging the invalidity, unenforceability or non-infringement of any of the BioLineRx Patents in the Cypress Territory (collectively “</w:t>
      </w:r>
      <w:r>
        <w:rPr>
          <w:rFonts w:ascii="Arial" w:cs="Arial" w:eastAsia="Arial" w:hAnsi="Arial"/>
          <w:sz w:val="17"/>
          <w:szCs w:val="17"/>
          <w:b w:val="1"/>
          <w:bCs w:val="1"/>
          <w:color w:val="auto"/>
        </w:rPr>
        <w:t>Product Infringement</w:t>
      </w:r>
      <w:r>
        <w:rPr>
          <w:rFonts w:ascii="Arial" w:cs="Arial" w:eastAsia="Arial" w:hAnsi="Arial"/>
          <w:sz w:val="17"/>
          <w:szCs w:val="17"/>
          <w:color w:val="auto"/>
        </w:rPr>
        <w:t>”).</w:t>
      </w:r>
    </w:p>
    <w:p>
      <w:pPr>
        <w:spacing w:after="0" w:line="197" w:lineRule="exact"/>
        <w:rPr>
          <w:rFonts w:ascii="Arial" w:cs="Arial" w:eastAsia="Arial" w:hAnsi="Arial"/>
          <w:sz w:val="17"/>
          <w:szCs w:val="17"/>
          <w:b w:val="1"/>
          <w:bCs w:val="1"/>
          <w:color w:val="auto"/>
        </w:rPr>
      </w:pPr>
    </w:p>
    <w:p>
      <w:pPr>
        <w:ind w:left="420" w:hanging="417"/>
        <w:spacing w:after="0"/>
        <w:tabs>
          <w:tab w:leader="none" w:pos="420" w:val="left"/>
        </w:tabs>
        <w:numPr>
          <w:ilvl w:val="0"/>
          <w:numId w:val="660"/>
        </w:numPr>
        <w:rPr>
          <w:rFonts w:ascii="Arial" w:cs="Arial" w:eastAsia="Arial" w:hAnsi="Arial"/>
          <w:sz w:val="17"/>
          <w:szCs w:val="17"/>
          <w:b w:val="1"/>
          <w:bCs w:val="1"/>
          <w:color w:val="auto"/>
        </w:rPr>
      </w:pPr>
      <w:r>
        <w:rPr>
          <w:rFonts w:ascii="Arial" w:cs="Arial" w:eastAsia="Arial" w:hAnsi="Arial"/>
          <w:sz w:val="17"/>
          <w:szCs w:val="17"/>
          <w:b w:val="1"/>
          <w:bCs w:val="1"/>
          <w:color w:val="auto"/>
        </w:rPr>
        <w:t>Omitted pursuant to a confidential treatment request. The confidential portion has been filed separately with the SEC.</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2" w:name="page723"/>
    <w:bookmarkEnd w:id="722"/>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ind w:left="1500" w:hanging="262"/>
        <w:spacing w:after="0"/>
        <w:tabs>
          <w:tab w:leader="none" w:pos="1500" w:val="left"/>
        </w:tabs>
        <w:numPr>
          <w:ilvl w:val="0"/>
          <w:numId w:val="661"/>
        </w:numPr>
        <w:rPr>
          <w:rFonts w:ascii="Arial" w:cs="Arial" w:eastAsia="Arial" w:hAnsi="Arial"/>
          <w:sz w:val="17"/>
          <w:szCs w:val="17"/>
          <w:b w:val="1"/>
          <w:bCs w:val="1"/>
          <w:color w:val="auto"/>
        </w:rPr>
      </w:pPr>
      <w:r>
        <w:rPr>
          <w:rFonts w:ascii="Arial" w:cs="Arial" w:eastAsia="Arial" w:hAnsi="Arial"/>
          <w:sz w:val="17"/>
          <w:szCs w:val="17"/>
          <w:b w:val="1"/>
          <w:bCs w:val="1"/>
          <w:color w:val="auto"/>
        </w:rPr>
        <w:t>Product Infringement</w:t>
      </w:r>
      <w:r>
        <w:rPr>
          <w:rFonts w:ascii="Arial" w:cs="Arial" w:eastAsia="Arial" w:hAnsi="Arial"/>
          <w:sz w:val="17"/>
          <w:szCs w:val="17"/>
          <w:color w:val="auto"/>
        </w:rPr>
        <w:t>.</w:t>
      </w:r>
    </w:p>
    <w:p>
      <w:pPr>
        <w:spacing w:after="0" w:line="247" w:lineRule="exact"/>
        <w:rPr>
          <w:rFonts w:ascii="Arial" w:cs="Arial" w:eastAsia="Arial" w:hAnsi="Arial"/>
          <w:sz w:val="17"/>
          <w:szCs w:val="17"/>
          <w:b w:val="1"/>
          <w:bCs w:val="1"/>
          <w:color w:val="auto"/>
        </w:rPr>
      </w:pPr>
    </w:p>
    <w:p>
      <w:pPr>
        <w:jc w:val="both"/>
        <w:ind w:firstLine="2473"/>
        <w:spacing w:after="0" w:line="293" w:lineRule="auto"/>
        <w:tabs>
          <w:tab w:leader="none" w:pos="2712" w:val="left"/>
        </w:tabs>
        <w:numPr>
          <w:ilvl w:val="1"/>
          <w:numId w:val="661"/>
        </w:numPr>
        <w:rPr>
          <w:rFonts w:ascii="Arial" w:cs="Arial" w:eastAsia="Arial" w:hAnsi="Arial"/>
          <w:sz w:val="15"/>
          <w:szCs w:val="15"/>
          <w:b w:val="1"/>
          <w:bCs w:val="1"/>
          <w:color w:val="auto"/>
        </w:rPr>
      </w:pPr>
      <w:r>
        <w:rPr>
          <w:rFonts w:ascii="Arial" w:cs="Arial" w:eastAsia="Arial" w:hAnsi="Arial"/>
          <w:sz w:val="15"/>
          <w:szCs w:val="15"/>
          <w:color w:val="auto"/>
        </w:rPr>
        <w:t>For any Product Infringement, each Party shall share with the other Party all Information available to it regarding such alleged infringement. With respect to any UA Patent, the Parties’ rights and obligations recited in this Section 9.5 are subject to BioLineRx’s obligations under Section 10.1 of the Upstream Agreement; BioLineRx shall exercise its rights thereunder to the extent requested by Cypress under this Section 9.5. Cypress shall have the first right, but not the obligation, to bring an appropriate suit or other action in the Cypress Territory against any person or entity engaged in such Product Infringement, subject to Section 9.5(b)(2) through 9.5(b)(4), below. If Cypress fails to institute and prosecute an action or proceeding in the Cypress Territory to abate the Product Infringement within a period of [***] days after the first notice is delivered under Section 9.5(a), then BioLineRx (or one of the Upstream Licensors, if Section 10.1.3 of the Upstream Agreement is applicable) shall have the right, but not the obligation, to commence a suit or take action in the Cypress Territory to enforce the applicable BioLineRx Patents against such Third Party perpetrating such Product Infringement, at its own cost and expense. In the event that BioLineRx (or an Upstream Licensor, if applicable) exercises such right to commence such suit or to take action in the Cypress Territory regarding such Product Infringement, Cypress shall reasonably cooperate with BioLineRx (or the Upstream Licensor, if applicable) in connection with such BioLineRx Patent enforcement efforts.</w:t>
      </w:r>
    </w:p>
    <w:p>
      <w:pPr>
        <w:spacing w:after="0" w:line="183" w:lineRule="exact"/>
        <w:rPr>
          <w:rFonts w:ascii="Arial" w:cs="Arial" w:eastAsia="Arial" w:hAnsi="Arial"/>
          <w:sz w:val="15"/>
          <w:szCs w:val="15"/>
          <w:b w:val="1"/>
          <w:bCs w:val="1"/>
          <w:color w:val="auto"/>
        </w:rPr>
      </w:pPr>
    </w:p>
    <w:p>
      <w:pPr>
        <w:jc w:val="both"/>
        <w:ind w:firstLine="2473"/>
        <w:spacing w:after="0" w:line="261" w:lineRule="auto"/>
        <w:tabs>
          <w:tab w:leader="none" w:pos="2738" w:val="left"/>
        </w:tabs>
        <w:numPr>
          <w:ilvl w:val="1"/>
          <w:numId w:val="661"/>
        </w:numPr>
        <w:rPr>
          <w:rFonts w:ascii="Arial" w:cs="Arial" w:eastAsia="Arial" w:hAnsi="Arial"/>
          <w:sz w:val="17"/>
          <w:szCs w:val="17"/>
          <w:b w:val="1"/>
          <w:bCs w:val="1"/>
          <w:color w:val="auto"/>
        </w:rPr>
      </w:pPr>
      <w:r>
        <w:rPr>
          <w:rFonts w:ascii="Arial" w:cs="Arial" w:eastAsia="Arial" w:hAnsi="Arial"/>
          <w:sz w:val="17"/>
          <w:szCs w:val="17"/>
          <w:color w:val="auto"/>
        </w:rPr>
        <w:t>Each Party shall provide to the Party enforcing any such rights under this Section 9.5(b) reasonable assistance in such enforcement, at such enforcing Party’s request and expense,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such efforts.</w:t>
      </w:r>
    </w:p>
    <w:p>
      <w:pPr>
        <w:spacing w:after="0" w:line="204" w:lineRule="exact"/>
        <w:rPr>
          <w:rFonts w:ascii="Arial" w:cs="Arial" w:eastAsia="Arial" w:hAnsi="Arial"/>
          <w:sz w:val="17"/>
          <w:szCs w:val="17"/>
          <w:b w:val="1"/>
          <w:bCs w:val="1"/>
          <w:color w:val="auto"/>
        </w:rPr>
      </w:pPr>
    </w:p>
    <w:p>
      <w:pPr>
        <w:ind w:firstLine="2473"/>
        <w:spacing w:after="0" w:line="278" w:lineRule="auto"/>
        <w:tabs>
          <w:tab w:leader="none" w:pos="2725" w:val="left"/>
        </w:tabs>
        <w:numPr>
          <w:ilvl w:val="1"/>
          <w:numId w:val="661"/>
        </w:numPr>
        <w:rPr>
          <w:rFonts w:ascii="Arial" w:cs="Arial" w:eastAsia="Arial" w:hAnsi="Arial"/>
          <w:sz w:val="17"/>
          <w:szCs w:val="17"/>
          <w:b w:val="1"/>
          <w:bCs w:val="1"/>
          <w:color w:val="auto"/>
        </w:rPr>
      </w:pPr>
      <w:r>
        <w:rPr>
          <w:rFonts w:ascii="Arial" w:cs="Arial" w:eastAsia="Arial" w:hAnsi="Arial"/>
          <w:sz w:val="17"/>
          <w:szCs w:val="17"/>
          <w:color w:val="auto"/>
        </w:rPr>
        <w:t>Each Party shall bear all of its own internal costs incurred in connection with its activities under this Section 9.5(b). In the event a Party commences a Product Infringement action in the Cypress Territory, it shall bear all external costs and expenses for such action.</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The Party not bringing an action with respect to Product Infringement under this Section 9.5(b) shall be entitled to separate representation in such matter by counsel of its own choice, but such Party shall at all times cooperate fully with the Party bringing such action.</w:t>
      </w:r>
    </w:p>
    <w:p>
      <w:pPr>
        <w:spacing w:after="0" w:line="184" w:lineRule="exact"/>
        <w:rPr>
          <w:sz w:val="20"/>
          <w:szCs w:val="20"/>
          <w:color w:val="auto"/>
        </w:rPr>
      </w:pPr>
    </w:p>
    <w:p>
      <w:pPr>
        <w:ind w:left="5620" w:right="2360" w:hanging="5617"/>
        <w:spacing w:after="0" w:line="854" w:lineRule="auto"/>
        <w:tabs>
          <w:tab w:leader="none" w:pos="409" w:val="left"/>
        </w:tabs>
        <w:numPr>
          <w:ilvl w:val="0"/>
          <w:numId w:val="6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3" w:name="page724"/>
    <w:bookmarkEnd w:id="723"/>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both"/>
        <w:ind w:firstLine="1238"/>
        <w:spacing w:after="0" w:line="261" w:lineRule="auto"/>
        <w:tabs>
          <w:tab w:leader="none" w:pos="1468" w:val="left"/>
        </w:tabs>
        <w:numPr>
          <w:ilvl w:val="0"/>
          <w:numId w:val="663"/>
        </w:numPr>
        <w:rPr>
          <w:rFonts w:ascii="Arial" w:cs="Arial" w:eastAsia="Arial" w:hAnsi="Arial"/>
          <w:sz w:val="17"/>
          <w:szCs w:val="17"/>
          <w:b w:val="1"/>
          <w:bCs w:val="1"/>
          <w:color w:val="auto"/>
        </w:rPr>
      </w:pPr>
      <w:r>
        <w:rPr>
          <w:rFonts w:ascii="Arial" w:cs="Arial" w:eastAsia="Arial" w:hAnsi="Arial"/>
          <w:sz w:val="17"/>
          <w:szCs w:val="17"/>
          <w:b w:val="1"/>
          <w:bCs w:val="1"/>
          <w:color w:val="auto"/>
        </w:rPr>
        <w:t>Infringement Other Than a Product Infringement</w:t>
      </w:r>
      <w:r>
        <w:rPr>
          <w:rFonts w:ascii="Arial" w:cs="Arial" w:eastAsia="Arial" w:hAnsi="Arial"/>
          <w:sz w:val="17"/>
          <w:szCs w:val="17"/>
          <w:color w:val="auto"/>
        </w:rPr>
        <w:t>. For any and all infringement of any BioLineRx Patent other than a Product Infringement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enforcement of BioLineRx Patents against infringement in the Retained Territory), as between the Parties, BioLineRx shall have the sole and exclusive right to bring an appropriate suit or other action against any person or entity engaged in such other infringement, in its sole discretion, and as between the Parties shall bear all related expenses and retain all related recoveries. BioLineRx shall keep Cypress regularly informed of the status and progress of such enforcement efforts and shall reasonably consider Cypress’ comments on any such efforts.</w:t>
      </w:r>
    </w:p>
    <w:p>
      <w:pPr>
        <w:spacing w:after="0" w:line="197" w:lineRule="exact"/>
        <w:rPr>
          <w:rFonts w:ascii="Arial" w:cs="Arial" w:eastAsia="Arial" w:hAnsi="Arial"/>
          <w:sz w:val="17"/>
          <w:szCs w:val="17"/>
          <w:b w:val="1"/>
          <w:bCs w:val="1"/>
          <w:color w:val="auto"/>
        </w:rPr>
      </w:pPr>
    </w:p>
    <w:p>
      <w:pPr>
        <w:jc w:val="both"/>
        <w:ind w:firstLine="1238"/>
        <w:spacing w:after="0" w:line="300" w:lineRule="auto"/>
        <w:tabs>
          <w:tab w:leader="none" w:pos="1487" w:val="left"/>
        </w:tabs>
        <w:numPr>
          <w:ilvl w:val="0"/>
          <w:numId w:val="663"/>
        </w:numPr>
        <w:rPr>
          <w:rFonts w:ascii="Arial" w:cs="Arial" w:eastAsia="Arial" w:hAnsi="Arial"/>
          <w:sz w:val="15"/>
          <w:szCs w:val="15"/>
          <w:b w:val="1"/>
          <w:bCs w:val="1"/>
          <w:color w:val="auto"/>
        </w:rPr>
      </w:pPr>
      <w:r>
        <w:rPr>
          <w:rFonts w:ascii="Arial" w:cs="Arial" w:eastAsia="Arial" w:hAnsi="Arial"/>
          <w:sz w:val="15"/>
          <w:szCs w:val="15"/>
          <w:b w:val="1"/>
          <w:bCs w:val="1"/>
          <w:color w:val="auto"/>
        </w:rPr>
        <w:t>Settlement</w:t>
      </w:r>
      <w:r>
        <w:rPr>
          <w:rFonts w:ascii="Arial" w:cs="Arial" w:eastAsia="Arial" w:hAnsi="Arial"/>
          <w:sz w:val="15"/>
          <w:szCs w:val="15"/>
          <w:color w:val="auto"/>
        </w:rPr>
        <w:t>. Cypress shall not settle any claim, suit or action that it brought under this Section 9.5 involving BioLineRx Patents in any manner</w:t>
      </w:r>
      <w:r>
        <w:rPr>
          <w:rFonts w:ascii="Arial" w:cs="Arial" w:eastAsia="Arial" w:hAnsi="Arial"/>
          <w:sz w:val="15"/>
          <w:szCs w:val="15"/>
          <w:b w:val="1"/>
          <w:bCs w:val="1"/>
          <w:color w:val="auto"/>
        </w:rPr>
        <w:t xml:space="preserve"> </w:t>
      </w:r>
      <w:r>
        <w:rPr>
          <w:rFonts w:ascii="Arial" w:cs="Arial" w:eastAsia="Arial" w:hAnsi="Arial"/>
          <w:sz w:val="15"/>
          <w:szCs w:val="15"/>
          <w:color w:val="auto"/>
        </w:rPr>
        <w:t>that would negatively impact such Patents or that would limit or restrict the ability of BioLineRx to pre-commercialize, make, import, use, offer for sale, sell or otherwise commercialize Products anywhere in the Retained Territory or to make or have made Product anywhere in the world for such pre-commercialization, use, sale or import anywhere in the Retained Territory, without the prior written consent of BioLineRx, which consent shall not be unreasonably withheld or delayed. Nothing in this Article 9 shall require BioLineRx to consent to any settlement that would have a material adverse impact upon any BioLineRx Patent in the Retained Territory, or to the pre-commercialization, commercialization, manufacture, use, importation, offer for sale or sale of the Products in the Retained Territory.</w:t>
      </w:r>
    </w:p>
    <w:p>
      <w:pPr>
        <w:spacing w:after="0" w:line="172" w:lineRule="exact"/>
        <w:rPr>
          <w:rFonts w:ascii="Arial" w:cs="Arial" w:eastAsia="Arial" w:hAnsi="Arial"/>
          <w:sz w:val="15"/>
          <w:szCs w:val="15"/>
          <w:b w:val="1"/>
          <w:bCs w:val="1"/>
          <w:color w:val="auto"/>
        </w:rPr>
      </w:pPr>
    </w:p>
    <w:p>
      <w:pPr>
        <w:jc w:val="both"/>
        <w:ind w:firstLine="1238"/>
        <w:spacing w:after="0" w:line="293" w:lineRule="auto"/>
        <w:tabs>
          <w:tab w:leader="none" w:pos="1481" w:val="left"/>
        </w:tabs>
        <w:numPr>
          <w:ilvl w:val="0"/>
          <w:numId w:val="663"/>
        </w:numPr>
        <w:rPr>
          <w:rFonts w:ascii="Arial" w:cs="Arial" w:eastAsia="Arial" w:hAnsi="Arial"/>
          <w:sz w:val="16"/>
          <w:szCs w:val="16"/>
          <w:b w:val="1"/>
          <w:bCs w:val="1"/>
          <w:color w:val="auto"/>
        </w:rPr>
      </w:pPr>
      <w:r>
        <w:rPr>
          <w:rFonts w:ascii="Arial" w:cs="Arial" w:eastAsia="Arial" w:hAnsi="Arial"/>
          <w:sz w:val="16"/>
          <w:szCs w:val="16"/>
          <w:b w:val="1"/>
          <w:bCs w:val="1"/>
          <w:color w:val="auto"/>
        </w:rPr>
        <w:t>Allocation of Proceeds</w:t>
      </w:r>
      <w:r>
        <w:rPr>
          <w:rFonts w:ascii="Arial" w:cs="Arial" w:eastAsia="Arial" w:hAnsi="Arial"/>
          <w:sz w:val="16"/>
          <w:szCs w:val="16"/>
          <w:color w:val="auto"/>
        </w:rPr>
        <w:t>. The enforcing Party shall retain monetary damages recovered from any Third Party in a suit or action brought by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this Section 9.5 after first reimbursing the Parties for any expenses incurred by the Parties in such litigation (including, for this purpose, a reasonable allocation of expenses of internal counsel);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Cypress is the Party bringing suit, the amount of such recovery [***]</w:t>
      </w:r>
    </w:p>
    <w:p>
      <w:pPr>
        <w:spacing w:after="0" w:line="175"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Infringement of Third Party Rights in the Cypress Territory</w:t>
      </w:r>
      <w:r>
        <w:rPr>
          <w:rFonts w:ascii="Arial" w:cs="Arial" w:eastAsia="Arial" w:hAnsi="Arial"/>
          <w:sz w:val="17"/>
          <w:szCs w:val="17"/>
          <w:color w:val="auto"/>
        </w:rPr>
        <w:t>. Subject to the indemnification obligation as set forth in Article 11, if any Product used or</w:t>
      </w:r>
      <w:r>
        <w:rPr>
          <w:rFonts w:ascii="Arial" w:cs="Arial" w:eastAsia="Arial" w:hAnsi="Arial"/>
          <w:sz w:val="17"/>
          <w:szCs w:val="17"/>
          <w:b w:val="1"/>
          <w:bCs w:val="1"/>
          <w:color w:val="auto"/>
        </w:rPr>
        <w:t xml:space="preserve"> </w:t>
      </w:r>
      <w:r>
        <w:rPr>
          <w:rFonts w:ascii="Arial" w:cs="Arial" w:eastAsia="Arial" w:hAnsi="Arial"/>
          <w:sz w:val="17"/>
          <w:szCs w:val="17"/>
          <w:color w:val="auto"/>
        </w:rPr>
        <w:t>sold by Cypress or its sublicensees becomes the subject of a Third Party’s claim or assertion of infringement of a Third Party Patent granted by a jurisdiction within the Cypress Territory, Cypress shall promptly notify BioLineRx of such event and the Parties shall promptly meet to properly handle the claim or assertion and take the appropriate course of action.</w:t>
      </w:r>
    </w:p>
    <w:p>
      <w:pPr>
        <w:spacing w:after="0" w:line="198" w:lineRule="exact"/>
        <w:rPr>
          <w:sz w:val="20"/>
          <w:szCs w:val="20"/>
          <w:color w:val="auto"/>
        </w:rPr>
      </w:pPr>
    </w:p>
    <w:p>
      <w:pPr>
        <w:ind w:left="5620" w:right="2360" w:hanging="5617"/>
        <w:spacing w:after="0" w:line="854" w:lineRule="auto"/>
        <w:tabs>
          <w:tab w:leader="none" w:pos="409" w:val="left"/>
        </w:tabs>
        <w:numPr>
          <w:ilvl w:val="0"/>
          <w:numId w:val="6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4" w:name="page725"/>
    <w:bookmarkEnd w:id="724"/>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10.1 Mutual Representations and Warranties</w:t>
      </w:r>
      <w:r>
        <w:rPr>
          <w:rFonts w:ascii="Arial" w:cs="Arial" w:eastAsia="Arial" w:hAnsi="Arial"/>
          <w:sz w:val="17"/>
          <w:szCs w:val="17"/>
          <w:color w:val="auto"/>
        </w:rPr>
        <w:t>. Each Party hereby represents and warrants to the other Party that, as of the Effective Date:</w:t>
      </w:r>
    </w:p>
    <w:p>
      <w:pPr>
        <w:spacing w:after="0" w:line="242" w:lineRule="exact"/>
        <w:rPr>
          <w:sz w:val="20"/>
          <w:szCs w:val="20"/>
          <w:color w:val="auto"/>
        </w:rPr>
      </w:pPr>
    </w:p>
    <w:p>
      <w:pPr>
        <w:jc w:val="both"/>
        <w:ind w:firstLine="1238"/>
        <w:spacing w:after="0" w:line="293" w:lineRule="auto"/>
        <w:tabs>
          <w:tab w:leader="none" w:pos="1477" w:val="left"/>
        </w:tabs>
        <w:numPr>
          <w:ilvl w:val="0"/>
          <w:numId w:val="665"/>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Existence and Power</w:t>
      </w:r>
      <w:r>
        <w:rPr>
          <w:rFonts w:ascii="Arial" w:cs="Arial" w:eastAsia="Arial" w:hAnsi="Arial"/>
          <w:sz w:val="16"/>
          <w:szCs w:val="16"/>
          <w:color w:val="auto"/>
        </w:rPr>
        <w:t>. It is a company or corporation duly organized, validly existing, and in good standing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75" w:lineRule="exact"/>
        <w:rPr>
          <w:rFonts w:ascii="Arial" w:cs="Arial" w:eastAsia="Arial" w:hAnsi="Arial"/>
          <w:sz w:val="16"/>
          <w:szCs w:val="16"/>
          <w:b w:val="1"/>
          <w:bCs w:val="1"/>
          <w:color w:val="auto"/>
        </w:rPr>
      </w:pPr>
    </w:p>
    <w:p>
      <w:pPr>
        <w:jc w:val="both"/>
        <w:ind w:firstLine="1238"/>
        <w:spacing w:after="0" w:line="281" w:lineRule="auto"/>
        <w:tabs>
          <w:tab w:leader="none" w:pos="1487" w:val="left"/>
        </w:tabs>
        <w:numPr>
          <w:ilvl w:val="0"/>
          <w:numId w:val="665"/>
        </w:numPr>
        <w:rPr>
          <w:rFonts w:ascii="Arial" w:cs="Arial" w:eastAsia="Arial" w:hAnsi="Arial"/>
          <w:sz w:val="16"/>
          <w:szCs w:val="16"/>
          <w:b w:val="1"/>
          <w:bCs w:val="1"/>
          <w:color w:val="auto"/>
        </w:rPr>
      </w:pPr>
      <w:r>
        <w:rPr>
          <w:rFonts w:ascii="Arial" w:cs="Arial" w:eastAsia="Arial" w:hAnsi="Arial"/>
          <w:sz w:val="16"/>
          <w:szCs w:val="16"/>
          <w:b w:val="1"/>
          <w:bCs w:val="1"/>
          <w:color w:val="auto"/>
        </w:rPr>
        <w:t>Authority and Binding Agreement</w:t>
      </w:r>
      <w:r>
        <w:rPr>
          <w:rFonts w:ascii="Arial" w:cs="Arial" w:eastAsia="Arial" w:hAnsi="Arial"/>
          <w:sz w:val="16"/>
          <w:szCs w:val="16"/>
          <w:color w:val="auto"/>
        </w:rPr>
        <w:t>. It has the corporate power and authority and the legal right to enter into this Agreement and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it has taken all necessary corporate action on its part required to authorize the execution and delivery of the Agreement and the performance of its obligations hereunder; and the Agreement has been duly executed and delivered on behalf of such Party, and constitutes a legal, valid, and binding obligation of such Party that is enforceable against it in accordance with its terms, subject to and limited by: (i) applicable bankruptcy, insolvency, reorganization, moratorium, and other laws generally applicable to creditors’ rights; and (ii) judicial discretion in the availability of equitable relief.</w:t>
      </w:r>
    </w:p>
    <w:p>
      <w:pPr>
        <w:spacing w:after="0" w:line="183" w:lineRule="exact"/>
        <w:rPr>
          <w:rFonts w:ascii="Arial" w:cs="Arial" w:eastAsia="Arial" w:hAnsi="Arial"/>
          <w:sz w:val="16"/>
          <w:szCs w:val="16"/>
          <w:b w:val="1"/>
          <w:bCs w:val="1"/>
          <w:color w:val="auto"/>
        </w:rPr>
      </w:pPr>
    </w:p>
    <w:p>
      <w:pPr>
        <w:jc w:val="both"/>
        <w:ind w:firstLine="1238"/>
        <w:spacing w:after="0" w:line="259" w:lineRule="auto"/>
        <w:tabs>
          <w:tab w:leader="none" w:pos="1493" w:val="left"/>
        </w:tabs>
        <w:numPr>
          <w:ilvl w:val="0"/>
          <w:numId w:val="665"/>
        </w:numPr>
        <w:rPr>
          <w:rFonts w:ascii="Arial" w:cs="Arial" w:eastAsia="Arial" w:hAnsi="Arial"/>
          <w:sz w:val="17"/>
          <w:szCs w:val="17"/>
          <w:b w:val="1"/>
          <w:bCs w:val="1"/>
          <w:color w:val="auto"/>
        </w:rPr>
      </w:pPr>
      <w:r>
        <w:rPr>
          <w:rFonts w:ascii="Arial" w:cs="Arial" w:eastAsia="Arial" w:hAnsi="Arial"/>
          <w:sz w:val="17"/>
          <w:szCs w:val="17"/>
          <w:b w:val="1"/>
          <w:bCs w:val="1"/>
          <w:color w:val="auto"/>
        </w:rPr>
        <w:t>No Conflict</w:t>
      </w:r>
      <w:r>
        <w:rPr>
          <w:rFonts w:ascii="Arial" w:cs="Arial" w:eastAsia="Arial" w:hAnsi="Arial"/>
          <w:sz w:val="17"/>
          <w:szCs w:val="17"/>
          <w:color w:val="auto"/>
        </w:rPr>
        <w:t>. The execution and delivery of this Agreement, and the performance by such Party of its obligations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grant of rights to the other Party pursuant to this Agreement, does not and will not: (i) conflict with, nor result in any violation of or default under any instrument, judgment, order, writ, decree, contract or provision to which such Party is otherwise bound; (ii) give rise to any lien, charge or encumbrance upon any assets of such Party or the suspension, revocation, impairment, forfeiture or non-renewal of any material permit, license, authorization or approval that applies to such Party, its business or operations or any of its assets or properties; or (iii) conflict with any rights granted by such Party to any Third Party or breach any obligation that such Party has to any Third Party.</w:t>
      </w:r>
    </w:p>
    <w:p>
      <w:pPr>
        <w:spacing w:after="0" w:line="200" w:lineRule="exact"/>
        <w:rPr>
          <w:rFonts w:ascii="Arial" w:cs="Arial" w:eastAsia="Arial" w:hAnsi="Arial"/>
          <w:sz w:val="17"/>
          <w:szCs w:val="17"/>
          <w:b w:val="1"/>
          <w:bCs w:val="1"/>
          <w:color w:val="auto"/>
        </w:rPr>
      </w:pPr>
    </w:p>
    <w:p>
      <w:pPr>
        <w:jc w:val="both"/>
        <w:ind w:firstLine="1238"/>
        <w:spacing w:after="0" w:line="263" w:lineRule="auto"/>
        <w:tabs>
          <w:tab w:leader="none" w:pos="1500" w:val="left"/>
        </w:tabs>
        <w:numPr>
          <w:ilvl w:val="0"/>
          <w:numId w:val="6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Required Consents. </w:t>
      </w:r>
      <w:r>
        <w:rPr>
          <w:rFonts w:ascii="Arial" w:cs="Arial" w:eastAsia="Arial" w:hAnsi="Arial"/>
          <w:sz w:val="17"/>
          <w:szCs w:val="17"/>
          <w:color w:val="auto"/>
        </w:rPr>
        <w:t>It has obtained, or is not required to obtain, the consent, approval, order, or authorization of any Third Party, or has</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or is not required to complete, any registration, qualification, designation, declaration or filing with, any Governmental Authority, in connection with the execution and delivery of this Agreement and the performance by such Party of its obligations under this Agreement, including any grant of rights to the other Party pursuant to this Agreement.</w:t>
      </w:r>
    </w:p>
    <w:p>
      <w:pPr>
        <w:spacing w:after="0" w:line="198"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10.2 Additional Representations and Warranties of BioLineRx</w:t>
      </w:r>
      <w:r>
        <w:rPr>
          <w:rFonts w:ascii="Arial" w:cs="Arial" w:eastAsia="Arial" w:hAnsi="Arial"/>
          <w:sz w:val="17"/>
          <w:szCs w:val="17"/>
          <w:color w:val="auto"/>
        </w:rPr>
        <w:t>. For purposes of this Section 10.2, the phrase “the knowledge of BioLineRx”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actual knowledge of BioLineRx’s executive officers (as defined in Rule 16a-1(f) promulgated under the Securities Exchange Act of 1934, as amended from time to time (or any successor rule)) and the senior employee of BioLineRx responsible for patent matters, in each case after reasonable inquiry. BioLineRx represents and warrants to Cypress that, as of the Execution 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5" w:name="page726"/>
    <w:bookmarkEnd w:id="725"/>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firstLine="1238"/>
        <w:spacing w:after="0" w:line="278" w:lineRule="auto"/>
        <w:tabs>
          <w:tab w:leader="none" w:pos="1490"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It has not received any written notice from any Third Party asserting or alleging that research or development of any Product by BioLineRx infringed or misappropriated the intellectual property rights of such Third Party.</w:t>
      </w:r>
    </w:p>
    <w:p>
      <w:pPr>
        <w:spacing w:after="0" w:line="190" w:lineRule="exact"/>
        <w:rPr>
          <w:rFonts w:ascii="Arial" w:cs="Arial" w:eastAsia="Arial" w:hAnsi="Arial"/>
          <w:sz w:val="17"/>
          <w:szCs w:val="17"/>
          <w:b w:val="1"/>
          <w:bCs w:val="1"/>
          <w:color w:val="auto"/>
        </w:rPr>
      </w:pPr>
    </w:p>
    <w:p>
      <w:pPr>
        <w:jc w:val="both"/>
        <w:ind w:firstLine="1238"/>
        <w:spacing w:after="0" w:line="265" w:lineRule="auto"/>
        <w:tabs>
          <w:tab w:leader="none" w:pos="1513"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There are no actual, pending, or to BioLineRx’s knowledge, alleged or threatened adverse actions, suits, claims, interferences or formal governmental investigations involving the Products or the BioLineRx Technology relating to the Products by or against BioLineRx in or before any court, governmental or regulatory authority.</w:t>
      </w:r>
    </w:p>
    <w:p>
      <w:pPr>
        <w:spacing w:after="0" w:line="201" w:lineRule="exact"/>
        <w:rPr>
          <w:rFonts w:ascii="Arial" w:cs="Arial" w:eastAsia="Arial" w:hAnsi="Arial"/>
          <w:sz w:val="17"/>
          <w:szCs w:val="17"/>
          <w:b w:val="1"/>
          <w:bCs w:val="1"/>
          <w:color w:val="auto"/>
        </w:rPr>
      </w:pPr>
    </w:p>
    <w:p>
      <w:pPr>
        <w:ind w:firstLine="1238"/>
        <w:spacing w:after="0" w:line="278" w:lineRule="auto"/>
        <w:tabs>
          <w:tab w:leader="none" w:pos="1468"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To the knowledge of BioLineRx, there are no asserted claims, interferences, oppositions or demands of any Third Party against the BioLineRx Technology in the Territory.</w:t>
      </w:r>
    </w:p>
    <w:p>
      <w:pPr>
        <w:spacing w:after="0" w:line="190" w:lineRule="exact"/>
        <w:rPr>
          <w:rFonts w:ascii="Arial" w:cs="Arial" w:eastAsia="Arial" w:hAnsi="Arial"/>
          <w:sz w:val="17"/>
          <w:szCs w:val="17"/>
          <w:b w:val="1"/>
          <w:bCs w:val="1"/>
          <w:color w:val="auto"/>
        </w:rPr>
      </w:pPr>
    </w:p>
    <w:p>
      <w:pPr>
        <w:ind w:left="1500" w:hanging="262"/>
        <w:spacing w:after="0"/>
        <w:tabs>
          <w:tab w:leader="none" w:pos="1500" w:val="left"/>
        </w:tabs>
        <w:numPr>
          <w:ilvl w:val="0"/>
          <w:numId w:val="666"/>
        </w:numPr>
        <w:rPr>
          <w:rFonts w:ascii="Arial" w:cs="Arial" w:eastAsia="Arial" w:hAnsi="Arial"/>
          <w:sz w:val="16"/>
          <w:szCs w:val="16"/>
          <w:b w:val="1"/>
          <w:bCs w:val="1"/>
          <w:color w:val="auto"/>
        </w:rPr>
      </w:pPr>
      <w:r>
        <w:rPr>
          <w:rFonts w:ascii="Arial" w:cs="Arial" w:eastAsia="Arial" w:hAnsi="Arial"/>
          <w:sz w:val="16"/>
          <w:szCs w:val="16"/>
          <w:color w:val="auto"/>
        </w:rPr>
        <w:t>BioLineRx owns or otherwise Controls the BioLineRx Know-How; BioLineRx is the exclusive licensee under the Upstream Agreement of the</w:t>
      </w:r>
    </w:p>
    <w:p>
      <w:pPr>
        <w:spacing w:after="0" w:line="3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BioLineRx Patents.</w:t>
      </w:r>
    </w:p>
    <w:p>
      <w:pPr>
        <w:spacing w:after="0" w:line="230" w:lineRule="exact"/>
        <w:rPr>
          <w:rFonts w:ascii="Arial" w:cs="Arial" w:eastAsia="Arial" w:hAnsi="Arial"/>
          <w:sz w:val="16"/>
          <w:szCs w:val="16"/>
          <w:b w:val="1"/>
          <w:bCs w:val="1"/>
          <w:color w:val="auto"/>
        </w:rPr>
      </w:pPr>
    </w:p>
    <w:p>
      <w:pPr>
        <w:ind w:firstLine="1238"/>
        <w:spacing w:after="0" w:line="278" w:lineRule="auto"/>
        <w:tabs>
          <w:tab w:leader="none" w:pos="1481"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There are no liens or security interests currently existing on or to the BioLineRx Technology that could reasonably be expected to adversely affect Cypress’ rights and licenses under this Agreement.</w:t>
      </w:r>
    </w:p>
    <w:p>
      <w:pPr>
        <w:spacing w:after="0" w:line="190" w:lineRule="exact"/>
        <w:rPr>
          <w:rFonts w:ascii="Arial" w:cs="Arial" w:eastAsia="Arial" w:hAnsi="Arial"/>
          <w:sz w:val="17"/>
          <w:szCs w:val="17"/>
          <w:b w:val="1"/>
          <w:bCs w:val="1"/>
          <w:color w:val="auto"/>
        </w:rPr>
      </w:pPr>
    </w:p>
    <w:p>
      <w:pPr>
        <w:ind w:firstLine="1238"/>
        <w:spacing w:after="0" w:line="278" w:lineRule="auto"/>
        <w:tabs>
          <w:tab w:leader="none" w:pos="1449"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To the knowledge of BioLineRx, there is not any pending claim or litigation which alleges that its activities under the Upstream Agreement or its use of the BioLineRx Technology have violated the intellectual property rights of any Third Party.</w:t>
      </w:r>
    </w:p>
    <w:p>
      <w:pPr>
        <w:spacing w:after="0" w:line="190" w:lineRule="exact"/>
        <w:rPr>
          <w:rFonts w:ascii="Arial" w:cs="Arial" w:eastAsia="Arial" w:hAnsi="Arial"/>
          <w:sz w:val="17"/>
          <w:szCs w:val="17"/>
          <w:b w:val="1"/>
          <w:bCs w:val="1"/>
          <w:color w:val="auto"/>
        </w:rPr>
      </w:pPr>
    </w:p>
    <w:p>
      <w:pPr>
        <w:ind w:firstLine="1238"/>
        <w:spacing w:after="0" w:line="278" w:lineRule="auto"/>
        <w:tabs>
          <w:tab w:leader="none" w:pos="1490"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The Upstream Agreement is in full force and effect, subject to bankruptcy, insolvency, reorganization or similar laws affecting the rights of creditors generally and to equitable principles.</w:t>
      </w:r>
    </w:p>
    <w:p>
      <w:pPr>
        <w:spacing w:after="0" w:line="184" w:lineRule="exact"/>
        <w:rPr>
          <w:rFonts w:ascii="Arial" w:cs="Arial" w:eastAsia="Arial" w:hAnsi="Arial"/>
          <w:sz w:val="17"/>
          <w:szCs w:val="17"/>
          <w:b w:val="1"/>
          <w:bCs w:val="1"/>
          <w:color w:val="auto"/>
        </w:rPr>
      </w:pPr>
    </w:p>
    <w:p>
      <w:pPr>
        <w:ind w:firstLine="1238"/>
        <w:spacing w:after="0" w:line="319" w:lineRule="auto"/>
        <w:tabs>
          <w:tab w:leader="none" w:pos="1487" w:val="left"/>
        </w:tabs>
        <w:numPr>
          <w:ilvl w:val="0"/>
          <w:numId w:val="6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Exhibit B </w:t>
      </w:r>
      <w:r>
        <w:rPr>
          <w:rFonts w:ascii="Arial" w:cs="Arial" w:eastAsia="Arial" w:hAnsi="Arial"/>
          <w:sz w:val="16"/>
          <w:szCs w:val="16"/>
          <w:color w:val="auto"/>
        </w:rPr>
        <w:t>to this Agreement sets forth all of the “Licensor Patent Rights” under the Upstream Agreement which claim the Product, or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of making or using the Product, in the Field in the Cypress Territory, as the term “Licensor Patent Rights” is defined in the Upstream Agreement.</w:t>
      </w:r>
    </w:p>
    <w:p>
      <w:pPr>
        <w:spacing w:after="0" w:line="160" w:lineRule="exact"/>
        <w:rPr>
          <w:rFonts w:ascii="Arial" w:cs="Arial" w:eastAsia="Arial" w:hAnsi="Arial"/>
          <w:sz w:val="16"/>
          <w:szCs w:val="16"/>
          <w:b w:val="1"/>
          <w:bCs w:val="1"/>
          <w:color w:val="auto"/>
        </w:rPr>
      </w:pPr>
    </w:p>
    <w:p>
      <w:pPr>
        <w:ind w:firstLine="1238"/>
        <w:spacing w:after="0" w:line="278" w:lineRule="auto"/>
        <w:tabs>
          <w:tab w:leader="none" w:pos="1439"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To the knowledge of BioLineRx, no event has occurred which, after the giving of notice or the lapse of time or both, would constitute a material breach by BioLineRx under the Upstream Agreement or would constitute a material breach by the Upstream Licensors.</w:t>
      </w:r>
    </w:p>
    <w:p>
      <w:pPr>
        <w:spacing w:after="0" w:line="190" w:lineRule="exact"/>
        <w:rPr>
          <w:rFonts w:ascii="Arial" w:cs="Arial" w:eastAsia="Arial" w:hAnsi="Arial"/>
          <w:sz w:val="17"/>
          <w:szCs w:val="17"/>
          <w:b w:val="1"/>
          <w:bCs w:val="1"/>
          <w:color w:val="auto"/>
        </w:rPr>
      </w:pPr>
    </w:p>
    <w:p>
      <w:pPr>
        <w:ind w:left="1460" w:hanging="222"/>
        <w:spacing w:after="0"/>
        <w:tabs>
          <w:tab w:leader="none" w:pos="1460" w:val="left"/>
        </w:tabs>
        <w:numPr>
          <w:ilvl w:val="0"/>
          <w:numId w:val="666"/>
        </w:numPr>
        <w:rPr>
          <w:rFonts w:ascii="Arial" w:cs="Arial" w:eastAsia="Arial" w:hAnsi="Arial"/>
          <w:sz w:val="15"/>
          <w:szCs w:val="15"/>
          <w:b w:val="1"/>
          <w:bCs w:val="1"/>
          <w:color w:val="auto"/>
        </w:rPr>
      </w:pPr>
      <w:r>
        <w:rPr>
          <w:rFonts w:ascii="Arial" w:cs="Arial" w:eastAsia="Arial" w:hAnsi="Arial"/>
          <w:sz w:val="15"/>
          <w:szCs w:val="15"/>
          <w:color w:val="auto"/>
        </w:rPr>
        <w:t>BioLineRx has not received notice of any potential Licensed Product proposed by one or both of the Upstream Licensors that incorporates BL-</w:t>
      </w:r>
    </w:p>
    <w:p>
      <w:pPr>
        <w:spacing w:after="0" w:line="4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1020.</w:t>
      </w:r>
    </w:p>
    <w:p>
      <w:pPr>
        <w:spacing w:after="0" w:line="230" w:lineRule="exact"/>
        <w:rPr>
          <w:rFonts w:ascii="Arial" w:cs="Arial" w:eastAsia="Arial" w:hAnsi="Arial"/>
          <w:sz w:val="15"/>
          <w:szCs w:val="15"/>
          <w:b w:val="1"/>
          <w:bCs w:val="1"/>
          <w:color w:val="auto"/>
        </w:rPr>
      </w:pPr>
    </w:p>
    <w:p>
      <w:pPr>
        <w:ind w:firstLine="1238"/>
        <w:spacing w:after="0" w:line="278" w:lineRule="auto"/>
        <w:tabs>
          <w:tab w:leader="none" w:pos="1500" w:val="left"/>
        </w:tabs>
        <w:numPr>
          <w:ilvl w:val="0"/>
          <w:numId w:val="666"/>
        </w:numPr>
        <w:rPr>
          <w:rFonts w:ascii="Arial" w:cs="Arial" w:eastAsia="Arial" w:hAnsi="Arial"/>
          <w:sz w:val="17"/>
          <w:szCs w:val="17"/>
          <w:b w:val="1"/>
          <w:bCs w:val="1"/>
          <w:color w:val="auto"/>
        </w:rPr>
      </w:pPr>
      <w:r>
        <w:rPr>
          <w:rFonts w:ascii="Arial" w:cs="Arial" w:eastAsia="Arial" w:hAnsi="Arial"/>
          <w:sz w:val="17"/>
          <w:szCs w:val="17"/>
          <w:color w:val="auto"/>
        </w:rPr>
        <w:t>To the knowledge of BioLineRx, no license from a Third Party is required to practice the rights granted to BioLineRx under the Upstream Agreement with respect to the Products in the Field in the Cypress Territory.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6" w:name="page727"/>
    <w:bookmarkEnd w:id="726"/>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65" w:lineRule="auto"/>
        <w:tabs>
          <w:tab w:leader="none" w:pos="1439" w:val="left"/>
        </w:tabs>
        <w:numPr>
          <w:ilvl w:val="0"/>
          <w:numId w:val="667"/>
        </w:numPr>
        <w:rPr>
          <w:rFonts w:ascii="Arial" w:cs="Arial" w:eastAsia="Arial" w:hAnsi="Arial"/>
          <w:sz w:val="17"/>
          <w:szCs w:val="17"/>
          <w:b w:val="1"/>
          <w:bCs w:val="1"/>
          <w:color w:val="auto"/>
        </w:rPr>
      </w:pPr>
      <w:r>
        <w:rPr>
          <w:rFonts w:ascii="Arial" w:cs="Arial" w:eastAsia="Arial" w:hAnsi="Arial"/>
          <w:sz w:val="17"/>
          <w:szCs w:val="17"/>
          <w:color w:val="auto"/>
        </w:rPr>
        <w:t>All of the studies and tests of the Products conducted by or on behalf of BioLineRx prior to the Execution Date were conducted in all material respects in accordance with (i) applicable Laws of the jurisdiction where conducted at the time such studies and test were conducted; and (ii) the prevailing scientific standards applicable to the conduct of such studies and activities.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BioLineRx shall update the representations and warranties in this Section 10.2 as of the Effective Date. Any revision of a BioLineRx representation or warranty in such updated Section 10.2 shall not be grounds for termination by Cypress for BioLineRx’s breach of Section 10.2. Notwithstanding the foregoing sentence, if prior to the Effective Date, the representations and warranties set forth in Sections 10.2(a), (b), (c), (g) or (i) above with respect to the Cypress Territory are no longer true and correct, then BioLineRx shall notify Cypress in writing, and in such event either Cypress or BioLineRx may terminate this Agreement prior to the Effective Date.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10.3 Covenants.</w:t>
      </w:r>
    </w:p>
    <w:p>
      <w:pPr>
        <w:spacing w:after="0" w:line="242" w:lineRule="exact"/>
        <w:rPr>
          <w:sz w:val="20"/>
          <w:szCs w:val="20"/>
          <w:color w:val="auto"/>
        </w:rPr>
      </w:pPr>
    </w:p>
    <w:p>
      <w:pPr>
        <w:ind w:firstLine="1238"/>
        <w:spacing w:after="0" w:line="319" w:lineRule="auto"/>
        <w:tabs>
          <w:tab w:leader="none" w:pos="1477" w:val="left"/>
        </w:tabs>
        <w:numPr>
          <w:ilvl w:val="0"/>
          <w:numId w:val="6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Debarment. </w:t>
      </w:r>
      <w:r>
        <w:rPr>
          <w:rFonts w:ascii="Arial" w:cs="Arial" w:eastAsia="Arial" w:hAnsi="Arial"/>
          <w:sz w:val="16"/>
          <w:szCs w:val="16"/>
          <w:color w:val="auto"/>
        </w:rPr>
        <w:t>In the course of the Pre-Commercialization or Commercialization, each Party shall not use any employee or consultant who</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debarred by any Regulatory Authority, or, to the best of such Party’s knowledge, is the subject of debarment proceedings by a Regulatory Authority.</w:t>
      </w:r>
    </w:p>
    <w:p>
      <w:pPr>
        <w:spacing w:after="0" w:line="154" w:lineRule="exact"/>
        <w:rPr>
          <w:rFonts w:ascii="Arial" w:cs="Arial" w:eastAsia="Arial" w:hAnsi="Arial"/>
          <w:sz w:val="16"/>
          <w:szCs w:val="16"/>
          <w:b w:val="1"/>
          <w:bCs w:val="1"/>
          <w:color w:val="auto"/>
        </w:rPr>
      </w:pPr>
    </w:p>
    <w:p>
      <w:pPr>
        <w:jc w:val="both"/>
        <w:ind w:firstLine="1238"/>
        <w:spacing w:after="0" w:line="293" w:lineRule="auto"/>
        <w:tabs>
          <w:tab w:leader="none" w:pos="1487" w:val="left"/>
        </w:tabs>
        <w:numPr>
          <w:ilvl w:val="0"/>
          <w:numId w:val="6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of Upstream Agreement. </w:t>
      </w:r>
      <w:r>
        <w:rPr>
          <w:rFonts w:ascii="Arial" w:cs="Arial" w:eastAsia="Arial" w:hAnsi="Arial"/>
          <w:sz w:val="16"/>
          <w:szCs w:val="16"/>
          <w:color w:val="auto"/>
        </w:rPr>
        <w:t>Promptly following the Effective Date but in all events at least [***] months prior to the anticipated</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First Commercial Sale, the Parties will diligently work to amend certain provisions of the Upstream Agreement to enable them to more efficiently progress the pre-commercialization and commercialization of the Product throughout the Territory, including Sections 8.1.1 and 13.3.2 of the Upstream Agreement.</w:t>
      </w:r>
    </w:p>
    <w:p>
      <w:pPr>
        <w:spacing w:after="0" w:line="175"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Disclaimer</w:t>
      </w:r>
      <w:r>
        <w:rPr>
          <w:rFonts w:ascii="Arial" w:cs="Arial" w:eastAsia="Arial" w:hAnsi="Arial"/>
          <w:sz w:val="17"/>
          <w:szCs w:val="17"/>
          <w:color w:val="auto"/>
        </w:rPr>
        <w:t>. Cypress understands that the Products are the subject of ongoing clinical research and development and that BioLineRx cannot assure the safety</w:t>
      </w:r>
      <w:r>
        <w:rPr>
          <w:rFonts w:ascii="Arial" w:cs="Arial" w:eastAsia="Arial" w:hAnsi="Arial"/>
          <w:sz w:val="17"/>
          <w:szCs w:val="17"/>
          <w:b w:val="1"/>
          <w:bCs w:val="1"/>
          <w:color w:val="auto"/>
        </w:rPr>
        <w:t xml:space="preserve"> </w:t>
      </w:r>
      <w:r>
        <w:rPr>
          <w:rFonts w:ascii="Arial" w:cs="Arial" w:eastAsia="Arial" w:hAnsi="Arial"/>
          <w:sz w:val="17"/>
          <w:szCs w:val="17"/>
          <w:color w:val="auto"/>
        </w:rPr>
        <w:t>or efficacy of the Products, or that the Products will be approved by any Regulatory Authority in the Cypress Territory.</w:t>
      </w:r>
    </w:p>
    <w:p>
      <w:pPr>
        <w:spacing w:after="0" w:line="177" w:lineRule="exact"/>
        <w:rPr>
          <w:sz w:val="20"/>
          <w:szCs w:val="20"/>
          <w:color w:val="auto"/>
        </w:rPr>
      </w:pPr>
    </w:p>
    <w:p>
      <w:pPr>
        <w:ind w:left="5620" w:right="2360" w:hanging="5617"/>
        <w:spacing w:after="0" w:line="854" w:lineRule="auto"/>
        <w:tabs>
          <w:tab w:leader="none" w:pos="409"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7" w:name="page728"/>
    <w:bookmarkEnd w:id="727"/>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10.4 No Other Representations or Warranties</w:t>
      </w:r>
      <w:r>
        <w:rPr>
          <w:rFonts w:ascii="Arial" w:cs="Arial" w:eastAsia="Arial" w:hAnsi="Arial"/>
          <w:sz w:val="17"/>
          <w:szCs w:val="17"/>
          <w:color w:val="auto"/>
        </w:rPr>
        <w:t>. EXCEPT AS EXPRESSLY STATED IN THIS ARTICLE 10, NO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WHATSOEVER, WHETHER EXPRESS OR IMPLIED, INCLUDING WARRANTIES OF MERCHANTABILITY, FITNESS FOR A PARTICULAR PURPOSE, NON-INFRINGEMENT, OR NON-MISAPPROPRIATION OF THIRD PARTY INTELLECTUAL PROPERTY RIGHTS, IS MADE OR GIVEN BY OR ON BEHALF OF A PARTY.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42" w:lineRule="exact"/>
        <w:rPr>
          <w:sz w:val="20"/>
          <w:szCs w:val="20"/>
          <w:color w:val="auto"/>
        </w:rPr>
      </w:pPr>
    </w:p>
    <w:p>
      <w:pPr>
        <w:jc w:val="both"/>
        <w:ind w:firstLine="617"/>
        <w:spacing w:after="0" w:line="294" w:lineRule="auto"/>
        <w:rPr>
          <w:sz w:val="20"/>
          <w:szCs w:val="20"/>
          <w:color w:val="auto"/>
        </w:rPr>
      </w:pPr>
      <w:r>
        <w:rPr>
          <w:rFonts w:ascii="Arial" w:cs="Arial" w:eastAsia="Arial" w:hAnsi="Arial"/>
          <w:sz w:val="15"/>
          <w:szCs w:val="15"/>
          <w:b w:val="1"/>
          <w:bCs w:val="1"/>
          <w:color w:val="auto"/>
        </w:rPr>
        <w:t xml:space="preserve">11.1 Indemnification by BioLineRx. </w:t>
      </w:r>
      <w:r>
        <w:rPr>
          <w:rFonts w:ascii="Arial" w:cs="Arial" w:eastAsia="Arial" w:hAnsi="Arial"/>
          <w:sz w:val="15"/>
          <w:szCs w:val="15"/>
          <w:color w:val="auto"/>
        </w:rPr>
        <w:t>BioLineRx hereby agrees to defend, hold harmless and indemnify (collectively, “</w:t>
      </w:r>
      <w:r>
        <w:rPr>
          <w:rFonts w:ascii="Arial" w:cs="Arial" w:eastAsia="Arial" w:hAnsi="Arial"/>
          <w:sz w:val="15"/>
          <w:szCs w:val="15"/>
          <w:b w:val="1"/>
          <w:bCs w:val="1"/>
          <w:color w:val="auto"/>
        </w:rPr>
        <w:t>Indemnify</w:t>
      </w:r>
      <w:r>
        <w:rPr>
          <w:rFonts w:ascii="Arial" w:cs="Arial" w:eastAsia="Arial" w:hAnsi="Arial"/>
          <w:sz w:val="15"/>
          <w:szCs w:val="15"/>
          <w:color w:val="auto"/>
        </w:rPr>
        <w:t>”) Cypress or its</w:t>
      </w:r>
      <w:r>
        <w:rPr>
          <w:rFonts w:ascii="Arial" w:cs="Arial" w:eastAsia="Arial" w:hAnsi="Arial"/>
          <w:sz w:val="15"/>
          <w:szCs w:val="15"/>
          <w:b w:val="1"/>
          <w:bCs w:val="1"/>
          <w:color w:val="auto"/>
        </w:rPr>
        <w:t xml:space="preserve"> </w:t>
      </w:r>
      <w:r>
        <w:rPr>
          <w:rFonts w:ascii="Arial" w:cs="Arial" w:eastAsia="Arial" w:hAnsi="Arial"/>
          <w:sz w:val="15"/>
          <w:szCs w:val="15"/>
          <w:color w:val="auto"/>
        </w:rPr>
        <w:t>Affiliates, agents, directors, officers and employees (the “</w:t>
      </w:r>
      <w:r>
        <w:rPr>
          <w:rFonts w:ascii="Arial" w:cs="Arial" w:eastAsia="Arial" w:hAnsi="Arial"/>
          <w:sz w:val="15"/>
          <w:szCs w:val="15"/>
          <w:b w:val="1"/>
          <w:bCs w:val="1"/>
          <w:color w:val="auto"/>
        </w:rPr>
        <w:t>Cypress Indemnitees</w:t>
      </w:r>
      <w:r>
        <w:rPr>
          <w:rFonts w:ascii="Arial" w:cs="Arial" w:eastAsia="Arial" w:hAnsi="Arial"/>
          <w:sz w:val="15"/>
          <w:szCs w:val="15"/>
          <w:color w:val="auto"/>
        </w:rPr>
        <w:t>”) from and against any and all liabilities, expenses or losses, including reasonable legal expenses and attorneys’ fees (collectively “</w:t>
      </w:r>
      <w:r>
        <w:rPr>
          <w:rFonts w:ascii="Arial" w:cs="Arial" w:eastAsia="Arial" w:hAnsi="Arial"/>
          <w:sz w:val="15"/>
          <w:szCs w:val="15"/>
          <w:b w:val="1"/>
          <w:bCs w:val="1"/>
          <w:color w:val="auto"/>
        </w:rPr>
        <w:t>Losses</w:t>
      </w:r>
      <w:r>
        <w:rPr>
          <w:rFonts w:ascii="Arial" w:cs="Arial" w:eastAsia="Arial" w:hAnsi="Arial"/>
          <w:sz w:val="15"/>
          <w:szCs w:val="15"/>
          <w:color w:val="auto"/>
        </w:rPr>
        <w:t>”) in each case resulting from Third Party suits, claims, actions and demands (each, a “</w:t>
      </w:r>
      <w:r>
        <w:rPr>
          <w:rFonts w:ascii="Arial" w:cs="Arial" w:eastAsia="Arial" w:hAnsi="Arial"/>
          <w:sz w:val="15"/>
          <w:szCs w:val="15"/>
          <w:b w:val="1"/>
          <w:bCs w:val="1"/>
          <w:color w:val="auto"/>
        </w:rPr>
        <w:t>Third Party Claim</w:t>
      </w:r>
      <w:r>
        <w:rPr>
          <w:rFonts w:ascii="Arial" w:cs="Arial" w:eastAsia="Arial" w:hAnsi="Arial"/>
          <w:sz w:val="15"/>
          <w:szCs w:val="15"/>
          <w:color w:val="auto"/>
        </w:rPr>
        <w:t>”) arising directly or indirectly out of (a) a breach of any of BioLineRx’s obligations under this Agreement, including BioLineRx’s representations and warranties set forth in Article 10, (b) the research, development, manufacture, use, handling, storage or other disposition of Products by or on behalf of BioLineRx in the conduct of BioLineRx Pre-Commercialization Activities, or (c) the research, development, manufacture, use, handling, storage, sale or other commercialization or disposition of Products in the Retained Territory by BioLineRx, its Affiliates or agents. BioLineRx’s obligation to Indemnify the Cypress Indemnitees pursuant to this Section 11.1 shall not apply to the extent that (i) the Cypress Indemnitees fail to comply with the indemnification procedures set forth in Section 11.3 and BioLineRx’s defense of the relevant Losses is materially prejudiced by such failure, or (ii) any Losses arise from, are based on, or result from the negligence or willful misconduct of any Cypress Indemnitee or sublicensee or from any activity for which Cypress is obligated to Indemnify the BioLineRx Indemnitees under Section 11.2.</w:t>
      </w:r>
    </w:p>
    <w:p>
      <w:pPr>
        <w:spacing w:after="0" w:line="177" w:lineRule="exact"/>
        <w:rPr>
          <w:sz w:val="20"/>
          <w:szCs w:val="20"/>
          <w:color w:val="auto"/>
        </w:rPr>
      </w:pPr>
    </w:p>
    <w:p>
      <w:pPr>
        <w:jc w:val="both"/>
        <w:ind w:firstLine="617"/>
        <w:spacing w:after="0" w:line="256" w:lineRule="auto"/>
        <w:rPr>
          <w:sz w:val="20"/>
          <w:szCs w:val="20"/>
          <w:color w:val="auto"/>
        </w:rPr>
      </w:pPr>
      <w:r>
        <w:rPr>
          <w:rFonts w:ascii="Arial" w:cs="Arial" w:eastAsia="Arial" w:hAnsi="Arial"/>
          <w:sz w:val="17"/>
          <w:szCs w:val="17"/>
          <w:b w:val="1"/>
          <w:bCs w:val="1"/>
          <w:color w:val="auto"/>
        </w:rPr>
        <w:t xml:space="preserve">11.2 Indemnification by Cypress. </w:t>
      </w:r>
      <w:r>
        <w:rPr>
          <w:rFonts w:ascii="Arial" w:cs="Arial" w:eastAsia="Arial" w:hAnsi="Arial"/>
          <w:sz w:val="17"/>
          <w:szCs w:val="17"/>
          <w:color w:val="auto"/>
        </w:rPr>
        <w:t>Cypress hereby agrees to Indemnify BioLineRx or its Affiliates, licensees, agents, directors, officers, employees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Licensor Indemnitees (as defined in the Upstream Agreement) (the “</w:t>
      </w:r>
      <w:r>
        <w:rPr>
          <w:rFonts w:ascii="Arial" w:cs="Arial" w:eastAsia="Arial" w:hAnsi="Arial"/>
          <w:sz w:val="17"/>
          <w:szCs w:val="17"/>
          <w:b w:val="1"/>
          <w:bCs w:val="1"/>
          <w:color w:val="auto"/>
        </w:rPr>
        <w:t>BioLineRx Indemnitees</w:t>
      </w:r>
      <w:r>
        <w:rPr>
          <w:rFonts w:ascii="Arial" w:cs="Arial" w:eastAsia="Arial" w:hAnsi="Arial"/>
          <w:sz w:val="17"/>
          <w:szCs w:val="17"/>
          <w:color w:val="auto"/>
        </w:rPr>
        <w:t>”) from and against any and all Losses in each case resulting from Third Party Claims arising directly or indirectly out of (a) a breach of any of Cypress’ obligations under this Agreement, including Cypress’ representations and warranties set forth in Article 10; or (b) the Pre-commercialization, manufacture, use, handling, storage, sale or other Commercialization or disposition of Products in the Cypress Territory by or on behalf of Cypress or its sublicensees, including as a result of any infringement claims or product liability claims. Cypress’ obligation to Indemnify the BioLineRx Indemnitees pursuant to this Section 11.2 shall not apply to the extent that (i) the BioLineRx Indemnitees fail to comply with the indemnification procedures set forth in Section 11.3 and Cypress’ defense of the relevant Losses is materially prejudiced by such failure, or (ii) any Losses arise from, are based on, or result from the negligence or willful misconduct of any BioLineRx Indemnitee or from any activity for which BioLineRx is obligated to Indemnify the Cypress Indemnitees under Section 11.1.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8" w:name="page729"/>
    <w:bookmarkEnd w:id="728"/>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b w:val="1"/>
          <w:bCs w:val="1"/>
          <w:color w:val="auto"/>
        </w:rPr>
        <w:t xml:space="preserve">11.3 Procedure. </w:t>
      </w:r>
      <w:r>
        <w:rPr>
          <w:rFonts w:ascii="Arial" w:cs="Arial" w:eastAsia="Arial" w:hAnsi="Arial"/>
          <w:sz w:val="16"/>
          <w:szCs w:val="16"/>
          <w:color w:val="auto"/>
        </w:rPr>
        <w:t>The indemnified Party shall provide the indemnifying Party with prompt notice of the Third Party Claim which might give rise to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indemnification obligation pursuant to this Article 11 indicating the nature of the claim and the basis therefore. The indemnifying Party shall have the right, at its option, to assume the defense of, at its own cost and by its own counsel, any such Third Party Claim involving the asserted liability of the indemnified Party. If any indemnifying Party shall undertake to compromise or defend any such asserted liability, it shall promptly notify the indemnified Party of its intention to do so, and the indemnified Party shall agree to cooperate with the indemnifying Party and its counsel in the compromise of, or defense against, any such asserted liability;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as part of any settlement or other compromise, admit to liability for which the indemnifying Party is not fully</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indemnifying the indemnified Party or agree to an injunction with respect to activities of the indemnified Party without the written consent of the indemnified Party, not to be unreasonably withheld, conditioned or delayed. Notwithstanding an election by the indemnifying Party to assume the defense of any Third Party Claim as set forth above, such Indemnified Party shall have the right (at its own cost if the indemnifying Party has elected to assume such defense) to employ separate counsel and to participate in the defense of any Third Party Claim. All costs incurred by an indemnified Party in connection with enforcement of its rights under Sections 11.1 or 11.2, as applicable, shall also be reimbursed by the indemnifying Party promptly after final determination that such indemnified Party is entitled to such indemnification by the indemnifying Party.</w:t>
      </w:r>
    </w:p>
    <w:p>
      <w:pPr>
        <w:spacing w:after="0" w:line="190"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11.4 Limitation of Liability</w:t>
      </w:r>
      <w:r>
        <w:rPr>
          <w:rFonts w:ascii="Arial" w:cs="Arial" w:eastAsia="Arial" w:hAnsi="Arial"/>
          <w:sz w:val="17"/>
          <w:szCs w:val="17"/>
          <w:color w:val="auto"/>
        </w:rPr>
        <w:t>. NEITHER PARTY SHALL BE LIABLE TO THE OTHER FOR ANY SPECIAL, INCIDENTAL, PUNITIVE, INDIRECT,</w:t>
      </w:r>
      <w:r>
        <w:rPr>
          <w:rFonts w:ascii="Arial" w:cs="Arial" w:eastAsia="Arial" w:hAnsi="Arial"/>
          <w:sz w:val="17"/>
          <w:szCs w:val="17"/>
          <w:b w:val="1"/>
          <w:bCs w:val="1"/>
          <w:color w:val="auto"/>
        </w:rPr>
        <w:t xml:space="preserve"> </w:t>
      </w:r>
      <w:r>
        <w:rPr>
          <w:rFonts w:ascii="Arial" w:cs="Arial" w:eastAsia="Arial" w:hAnsi="Arial"/>
          <w:sz w:val="17"/>
          <w:szCs w:val="17"/>
          <w:color w:val="auto"/>
        </w:rPr>
        <w:t>OR CONSEQUENTIAL DAMAGES OR LOSS OF PROFITS ARISING FROM OR RELATING TO ANY BREACH OF THIS AGREEMENT, REGARDLESS OF ANY NOTICE OF THE POSSIBILITY OF SUCH DAMAGES. NOTWITHSTANDING THE FOREGOING, NOTHING IN THIS SECTION 11.4 IS INTENDED TO OR SHALL LIMIT OR RESTRICT THE INDEMNIFICATION RIGHTS OR OBLIGATIONS OF ANY PARTY UNDER SECTIONS 11.1 OR 11.2, OR DAMAGES AVAILABLE FOR A PARTY’S BREACH OF CONFIDENTIALITY OBLIGATIONS IN ARTICLE 12.</w:t>
      </w:r>
    </w:p>
    <w:p>
      <w:pPr>
        <w:spacing w:after="0" w:line="198"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Each Party shall procure and maintain insurance, including product liability insurance, adequate to cover its obligations hereunder and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normal business practices of prudent companies similarly situated at all times during which any Product is being clinically tested in human subjects or commercially distributed or sold by such Party. It is understood that such insurance shall not be construed to create a limit of either Party’s liability with respect to its indemnification obligations under this Article 11. Each Party shall provide the other Party with written evidence of such insurance upon request. Each Party shall provide the other Party with written notice at least [***]days prior to the cancellation, non-renewal or material change in such insurance or self-insurance which materially adversely affects the rights of the other Party hereunder.</w:t>
      </w:r>
    </w:p>
    <w:p>
      <w:pPr>
        <w:spacing w:after="0" w:line="201" w:lineRule="exact"/>
        <w:rPr>
          <w:sz w:val="20"/>
          <w:szCs w:val="20"/>
          <w:color w:val="auto"/>
        </w:rPr>
      </w:pPr>
    </w:p>
    <w:p>
      <w:pPr>
        <w:ind w:left="5620" w:right="2360" w:hanging="5617"/>
        <w:spacing w:after="0" w:line="854" w:lineRule="auto"/>
        <w:tabs>
          <w:tab w:leader="none" w:pos="409" w:val="left"/>
        </w:tabs>
        <w:numPr>
          <w:ilvl w:val="0"/>
          <w:numId w:val="6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29" w:name="page730"/>
    <w:bookmarkEnd w:id="729"/>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42" w:lineRule="exact"/>
        <w:rPr>
          <w:sz w:val="20"/>
          <w:szCs w:val="20"/>
          <w:color w:val="auto"/>
        </w:rPr>
      </w:pPr>
    </w:p>
    <w:p>
      <w:pPr>
        <w:jc w:val="both"/>
        <w:ind w:firstLine="617"/>
        <w:spacing w:after="0" w:line="261" w:lineRule="auto"/>
        <w:rPr>
          <w:sz w:val="20"/>
          <w:szCs w:val="20"/>
          <w:color w:val="auto"/>
        </w:rPr>
      </w:pPr>
      <w:r>
        <w:rPr>
          <w:rFonts w:ascii="Arial" w:cs="Arial" w:eastAsia="Arial" w:hAnsi="Arial"/>
          <w:sz w:val="17"/>
          <w:szCs w:val="17"/>
          <w:b w:val="1"/>
          <w:bCs w:val="1"/>
          <w:color w:val="auto"/>
        </w:rPr>
        <w:t>12.1 Confidentiality</w:t>
      </w:r>
      <w:r>
        <w:rPr>
          <w:rFonts w:ascii="Arial" w:cs="Arial" w:eastAsia="Arial" w:hAnsi="Arial"/>
          <w:sz w:val="17"/>
          <w:szCs w:val="17"/>
          <w:color w:val="auto"/>
        </w:rPr>
        <w:t>. Except to the extent expressly authorized by this Agreement or otherwise agreed in writing by the Parties, each Party agrees that,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and for a period of [***] years thereafter, it shall keep confidential and shall not publish or otherwise disclose and shall not use for any purpose other than as provided for in this Agreement (which includes the exercise of any rights or the performance of any obligations hereunder) any Confidential Information of the other Party. The foregoing confidentiality and non-use obligations shall not apply to any portion of the Confidential Information that the receiving Party can demonstrate by competent written proof:</w:t>
      </w:r>
    </w:p>
    <w:p>
      <w:pPr>
        <w:spacing w:after="0" w:line="204" w:lineRule="exact"/>
        <w:rPr>
          <w:sz w:val="20"/>
          <w:szCs w:val="20"/>
          <w:color w:val="auto"/>
        </w:rPr>
      </w:pPr>
    </w:p>
    <w:p>
      <w:pPr>
        <w:ind w:left="1480" w:hanging="242"/>
        <w:spacing w:after="0"/>
        <w:tabs>
          <w:tab w:leader="none" w:pos="1480" w:val="left"/>
        </w:tabs>
        <w:numPr>
          <w:ilvl w:val="0"/>
          <w:numId w:val="671"/>
        </w:numPr>
        <w:rPr>
          <w:rFonts w:ascii="Arial" w:cs="Arial" w:eastAsia="Arial" w:hAnsi="Arial"/>
          <w:sz w:val="16"/>
          <w:szCs w:val="16"/>
          <w:b w:val="1"/>
          <w:bCs w:val="1"/>
          <w:color w:val="auto"/>
        </w:rPr>
      </w:pPr>
      <w:r>
        <w:rPr>
          <w:rFonts w:ascii="Arial" w:cs="Arial" w:eastAsia="Arial" w:hAnsi="Arial"/>
          <w:sz w:val="16"/>
          <w:szCs w:val="16"/>
          <w:color w:val="auto"/>
        </w:rPr>
        <w:t>was already known to the receiving Party, other than under an obligation of confidentiality, at the time of disclosure by the other Party;</w:t>
      </w:r>
    </w:p>
    <w:p>
      <w:pPr>
        <w:spacing w:after="0" w:line="253" w:lineRule="exact"/>
        <w:rPr>
          <w:rFonts w:ascii="Arial" w:cs="Arial" w:eastAsia="Arial" w:hAnsi="Arial"/>
          <w:sz w:val="16"/>
          <w:szCs w:val="16"/>
          <w:b w:val="1"/>
          <w:bCs w:val="1"/>
          <w:color w:val="auto"/>
        </w:rPr>
      </w:pPr>
    </w:p>
    <w:p>
      <w:pPr>
        <w:ind w:left="1500" w:hanging="262"/>
        <w:spacing w:after="0"/>
        <w:tabs>
          <w:tab w:leader="none" w:pos="1500" w:val="left"/>
        </w:tabs>
        <w:numPr>
          <w:ilvl w:val="0"/>
          <w:numId w:val="671"/>
        </w:numPr>
        <w:rPr>
          <w:rFonts w:ascii="Arial" w:cs="Arial" w:eastAsia="Arial" w:hAnsi="Arial"/>
          <w:sz w:val="17"/>
          <w:szCs w:val="17"/>
          <w:b w:val="1"/>
          <w:bCs w:val="1"/>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41" w:lineRule="exact"/>
        <w:rPr>
          <w:rFonts w:ascii="Arial" w:cs="Arial" w:eastAsia="Arial" w:hAnsi="Arial"/>
          <w:sz w:val="17"/>
          <w:szCs w:val="17"/>
          <w:b w:val="1"/>
          <w:bCs w:val="1"/>
          <w:color w:val="auto"/>
        </w:rPr>
      </w:pPr>
    </w:p>
    <w:p>
      <w:pPr>
        <w:ind w:firstLine="1238"/>
        <w:spacing w:after="0" w:line="278" w:lineRule="auto"/>
        <w:tabs>
          <w:tab w:leader="none" w:pos="1468" w:val="left"/>
        </w:tabs>
        <w:numPr>
          <w:ilvl w:val="0"/>
          <w:numId w:val="671"/>
        </w:numPr>
        <w:rPr>
          <w:rFonts w:ascii="Arial" w:cs="Arial" w:eastAsia="Arial" w:hAnsi="Arial"/>
          <w:sz w:val="17"/>
          <w:szCs w:val="17"/>
          <w:b w:val="1"/>
          <w:bCs w:val="1"/>
          <w:color w:val="auto"/>
        </w:rPr>
      </w:pPr>
      <w:r>
        <w:rPr>
          <w:rFonts w:ascii="Arial" w:cs="Arial" w:eastAsia="Arial" w:hAnsi="Arial"/>
          <w:sz w:val="17"/>
          <w:szCs w:val="17"/>
          <w:color w:val="auto"/>
        </w:rPr>
        <w:t>became generally available to the public or otherwise part of the public domain after its disclosure and other than through any act or omission of the receiving Party in breach of this Agreement;</w:t>
      </w:r>
    </w:p>
    <w:p>
      <w:pPr>
        <w:spacing w:after="0" w:line="190" w:lineRule="exact"/>
        <w:rPr>
          <w:rFonts w:ascii="Arial" w:cs="Arial" w:eastAsia="Arial" w:hAnsi="Arial"/>
          <w:sz w:val="17"/>
          <w:szCs w:val="17"/>
          <w:b w:val="1"/>
          <w:bCs w:val="1"/>
          <w:color w:val="auto"/>
        </w:rPr>
      </w:pPr>
    </w:p>
    <w:p>
      <w:pPr>
        <w:ind w:left="1500" w:hanging="262"/>
        <w:spacing w:after="0"/>
        <w:tabs>
          <w:tab w:leader="none" w:pos="1500" w:val="left"/>
        </w:tabs>
        <w:numPr>
          <w:ilvl w:val="0"/>
          <w:numId w:val="671"/>
        </w:numPr>
        <w:rPr>
          <w:rFonts w:ascii="Arial" w:cs="Arial" w:eastAsia="Arial" w:hAnsi="Arial"/>
          <w:sz w:val="17"/>
          <w:szCs w:val="17"/>
          <w:b w:val="1"/>
          <w:bCs w:val="1"/>
          <w:color w:val="auto"/>
        </w:rPr>
      </w:pPr>
      <w:r>
        <w:rPr>
          <w:rFonts w:ascii="Arial" w:cs="Arial" w:eastAsia="Arial" w:hAnsi="Arial"/>
          <w:sz w:val="17"/>
          <w:szCs w:val="17"/>
          <w:color w:val="auto"/>
        </w:rPr>
        <w:t>is subsequently disclosed to the receiving Party by a Third Party who has a legal right to make such disclosure; or</w:t>
      </w:r>
    </w:p>
    <w:p>
      <w:pPr>
        <w:spacing w:after="0" w:line="241" w:lineRule="exact"/>
        <w:rPr>
          <w:rFonts w:ascii="Arial" w:cs="Arial" w:eastAsia="Arial" w:hAnsi="Arial"/>
          <w:sz w:val="17"/>
          <w:szCs w:val="17"/>
          <w:b w:val="1"/>
          <w:bCs w:val="1"/>
          <w:color w:val="auto"/>
        </w:rPr>
      </w:pPr>
    </w:p>
    <w:p>
      <w:pPr>
        <w:ind w:firstLine="1238"/>
        <w:spacing w:after="0" w:line="278" w:lineRule="auto"/>
        <w:tabs>
          <w:tab w:leader="none" w:pos="1481" w:val="left"/>
        </w:tabs>
        <w:numPr>
          <w:ilvl w:val="0"/>
          <w:numId w:val="671"/>
        </w:numPr>
        <w:rPr>
          <w:rFonts w:ascii="Arial" w:cs="Arial" w:eastAsia="Arial" w:hAnsi="Arial"/>
          <w:sz w:val="17"/>
          <w:szCs w:val="17"/>
          <w:b w:val="1"/>
          <w:bCs w:val="1"/>
          <w:color w:val="auto"/>
        </w:rPr>
      </w:pPr>
      <w:r>
        <w:rPr>
          <w:rFonts w:ascii="Arial" w:cs="Arial" w:eastAsia="Arial" w:hAnsi="Arial"/>
          <w:sz w:val="17"/>
          <w:szCs w:val="17"/>
          <w:color w:val="auto"/>
        </w:rPr>
        <w:t>is subsequently independently discovered or developed by the receiving Party without the aid, application, or use of the disclosing Party’s Confidential Information, as evidenced by a contemporaneous writing.</w:t>
      </w:r>
    </w:p>
    <w:p>
      <w:pPr>
        <w:spacing w:after="0" w:line="184"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b w:val="1"/>
          <w:bCs w:val="1"/>
          <w:color w:val="auto"/>
        </w:rPr>
        <w:t>12.2 Authorized Disclosure</w:t>
      </w:r>
      <w:r>
        <w:rPr>
          <w:rFonts w:ascii="Arial" w:cs="Arial" w:eastAsia="Arial" w:hAnsi="Arial"/>
          <w:sz w:val="17"/>
          <w:szCs w:val="17"/>
          <w:color w:val="auto"/>
        </w:rPr>
        <w:t>. Notwithstanding the obligations set forth in Section 12.1, a Party may disclose the other Party’s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 Agreement (which terms shall be the Confidential Information of both Parties) to the extent:</w:t>
      </w:r>
    </w:p>
    <w:p>
      <w:pPr>
        <w:spacing w:after="0" w:line="177" w:lineRule="exact"/>
        <w:rPr>
          <w:sz w:val="20"/>
          <w:szCs w:val="20"/>
          <w:color w:val="auto"/>
        </w:rPr>
      </w:pPr>
    </w:p>
    <w:p>
      <w:pPr>
        <w:ind w:left="5620" w:right="2360" w:hanging="5617"/>
        <w:spacing w:after="0" w:line="854" w:lineRule="auto"/>
        <w:tabs>
          <w:tab w:leader="none" w:pos="409" w:val="left"/>
        </w:tabs>
        <w:numPr>
          <w:ilvl w:val="0"/>
          <w:numId w:val="6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0" w:name="page731"/>
    <w:bookmarkEnd w:id="730"/>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65" w:lineRule="auto"/>
        <w:tabs>
          <w:tab w:leader="none" w:pos="1503"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such disclosure: (i) is reasonably necessary for filing or prosecuting Patent rights as contemplated by this Agreement; (ii) is reasonably necessary for prosecuting or defending litigation as contemplated by this Agreement or (iii) is reasonably necessary in connection with the obtaining of the consent of the OCS to this Agreement; or</w:t>
      </w:r>
    </w:p>
    <w:p>
      <w:pPr>
        <w:spacing w:after="0" w:line="201" w:lineRule="exact"/>
        <w:rPr>
          <w:rFonts w:ascii="Arial" w:cs="Arial" w:eastAsia="Arial" w:hAnsi="Arial"/>
          <w:sz w:val="17"/>
          <w:szCs w:val="17"/>
          <w:b w:val="1"/>
          <w:bCs w:val="1"/>
          <w:color w:val="auto"/>
        </w:rPr>
      </w:pPr>
    </w:p>
    <w:p>
      <w:pPr>
        <w:jc w:val="both"/>
        <w:ind w:firstLine="1238"/>
        <w:spacing w:after="0" w:line="257" w:lineRule="auto"/>
        <w:tabs>
          <w:tab w:leader="none" w:pos="1513"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such disclosure is reasonably necessary: (i) to such Party’s directors, attorneys, independent accountants or financial advisors for the sole purpose of enabling such directors, attorneys, independent accountants or financial advisors to provide advice to the receiving Party, provided that in each such case on the condition that such directors, attorneys, independent accountants and financial advisors are bound by confidentiality and non-use obligations consistent with those contained in this Agreement; or (ii) to actual or potential investors or acquirors solely for the purpose of evaluating an actual or potential investment or acquisition; provided that in each such case on the condition that such actual or potential investors or acquirors are bound by confidentiality and non-use obligations consistent with those contained in the Agreement;</w:t>
      </w:r>
    </w:p>
    <w:p>
      <w:pPr>
        <w:spacing w:after="0" w:line="210" w:lineRule="exact"/>
        <w:rPr>
          <w:rFonts w:ascii="Arial" w:cs="Arial" w:eastAsia="Arial" w:hAnsi="Arial"/>
          <w:sz w:val="17"/>
          <w:szCs w:val="17"/>
          <w:b w:val="1"/>
          <w:bCs w:val="1"/>
          <w:color w:val="auto"/>
        </w:rPr>
      </w:pPr>
    </w:p>
    <w:p>
      <w:pPr>
        <w:jc w:val="both"/>
        <w:ind w:firstLine="1238"/>
        <w:spacing w:after="0" w:line="259" w:lineRule="auto"/>
        <w:tabs>
          <w:tab w:leader="none" w:pos="1468" w:val="left"/>
        </w:tabs>
        <w:numPr>
          <w:ilvl w:val="0"/>
          <w:numId w:val="673"/>
        </w:numPr>
        <w:rPr>
          <w:rFonts w:ascii="Arial" w:cs="Arial" w:eastAsia="Arial" w:hAnsi="Arial"/>
          <w:sz w:val="17"/>
          <w:szCs w:val="17"/>
          <w:b w:val="1"/>
          <w:bCs w:val="1"/>
          <w:color w:val="auto"/>
        </w:rPr>
      </w:pPr>
      <w:r>
        <w:rPr>
          <w:rFonts w:ascii="Arial" w:cs="Arial" w:eastAsia="Arial" w:hAnsi="Arial"/>
          <w:sz w:val="17"/>
          <w:szCs w:val="17"/>
          <w:color w:val="auto"/>
        </w:rPr>
        <w:t>such disclosure is required by judicial or administrative process, provided that in such event such Party shall promptly inform the other Party of such required disclosure and provide the other Party an opportunity to challenge or limit the disclosure obligations. Confidential Information that is disclosed by judicial or administrative process shall remain otherwise subject to the confidentiality and non-use provisions of this Article 12, and the Party disclosing Confidential Information pursuant to law or court order shall take all steps reasonably necessary, including seeking of confidential treatment or a protective order, to ensure the continued confidential treatment of such Confidential Information; and</w:t>
      </w:r>
    </w:p>
    <w:p>
      <w:pPr>
        <w:spacing w:after="0" w:line="205" w:lineRule="exact"/>
        <w:rPr>
          <w:rFonts w:ascii="Arial" w:cs="Arial" w:eastAsia="Arial" w:hAnsi="Arial"/>
          <w:sz w:val="17"/>
          <w:szCs w:val="17"/>
          <w:b w:val="1"/>
          <w:bCs w:val="1"/>
          <w:color w:val="auto"/>
        </w:rPr>
      </w:pPr>
    </w:p>
    <w:p>
      <w:pPr>
        <w:jc w:val="both"/>
        <w:ind w:firstLine="1238"/>
        <w:spacing w:after="0" w:line="289" w:lineRule="auto"/>
        <w:tabs>
          <w:tab w:leader="none" w:pos="1526" w:val="left"/>
        </w:tabs>
        <w:numPr>
          <w:ilvl w:val="0"/>
          <w:numId w:val="673"/>
        </w:numPr>
        <w:rPr>
          <w:rFonts w:ascii="Arial" w:cs="Arial" w:eastAsia="Arial" w:hAnsi="Arial"/>
          <w:sz w:val="16"/>
          <w:szCs w:val="16"/>
          <w:b w:val="1"/>
          <w:bCs w:val="1"/>
          <w:color w:val="auto"/>
        </w:rPr>
      </w:pPr>
      <w:r>
        <w:rPr>
          <w:rFonts w:ascii="Arial" w:cs="Arial" w:eastAsia="Arial" w:hAnsi="Arial"/>
          <w:sz w:val="16"/>
          <w:szCs w:val="16"/>
          <w:color w:val="auto"/>
        </w:rPr>
        <w:t>such disclosure is reasonably necessary to its collaborators in its respective Territory (including CROs, hospitals, doctors, consultants, subcontractors and Affiliates) for the purpose of the Pre-Commercialization, Commercialization or manufacture, solely for the purpose of carrying out such collaboration, on the condition that such collaborators are bound by confidentiality and non-use obligations consistent with those contained in the Agreement.</w:t>
      </w:r>
    </w:p>
    <w:p>
      <w:pPr>
        <w:spacing w:after="0" w:line="178" w:lineRule="exact"/>
        <w:rPr>
          <w:sz w:val="20"/>
          <w:szCs w:val="20"/>
          <w:color w:val="auto"/>
        </w:rPr>
      </w:pPr>
    </w:p>
    <w:p>
      <w:pPr>
        <w:jc w:val="both"/>
        <w:ind w:firstLine="617"/>
        <w:spacing w:after="0" w:line="272" w:lineRule="auto"/>
        <w:rPr>
          <w:sz w:val="20"/>
          <w:szCs w:val="20"/>
          <w:color w:val="auto"/>
        </w:rPr>
      </w:pPr>
      <w:r>
        <w:rPr>
          <w:rFonts w:ascii="Arial" w:cs="Arial" w:eastAsia="Arial" w:hAnsi="Arial"/>
          <w:sz w:val="16"/>
          <w:szCs w:val="16"/>
          <w:b w:val="1"/>
          <w:bCs w:val="1"/>
          <w:color w:val="auto"/>
        </w:rPr>
        <w:t xml:space="preserve">12.3 Publication. </w:t>
      </w:r>
      <w:r>
        <w:rPr>
          <w:rFonts w:ascii="Arial" w:cs="Arial" w:eastAsia="Arial" w:hAnsi="Arial"/>
          <w:sz w:val="16"/>
          <w:szCs w:val="16"/>
          <w:color w:val="auto"/>
        </w:rPr>
        <w:t>Each Party to this Agreement recognizes that the publication of papers containing results of and other information regarding pre-commercialization of Products in the Field (except as provided hereinafter), including oral presentations and abstracts, may be beneficial to both Parties provided such publications are subject to reasonable controls to protect Confidential Information. In particular, it is the intent of the Parties to maintain the confidentiality of any Confidential Information included in any Patent Controlled by a Party until such Patent has been published. Accordingly, the other Party shall have the right and obligation to review and approve any paper proposed for publication or other public disclosure by the other Party, including oral presentations and abstracts. Before either Party may submit any paper, oral presentation or abstract for publication or other public disclosure, the Party proposing publication shall deliver a complete copy of such materials or proposed public disclosure to the other Party prior to submitting the paper to a publisher or the date set for presentation. The other Party shall review any such paper and give its comments to the publishing Party within [***] days of the delivery of such paper or proposed public disclosure to the other Party. With respect to oral presentation materials, the other Party shall make reasonable efforts to expedite review of such materials, and shall return such items as soon as practicable to the publishing Party with appropriate comments, if any, but in no event later than [***] days from the date of delivery to the other Party. With respect to abstracts, the other Party shall make reasonable efforts to expedite review of such abstracts, and shall return such items as soon as practicable to the publishing Party with appropriate comments, if any, but in no event later than [***] days from the date of delivery to the other Party. The publishing Party shall comply with the other Party’s request to delete references to the non-publishing Party’s Confidential Information in any such paper, proposed public disclosure or other materials. Notwithstanding anything to the contrary in this Agreement, neither Party shall have the right to publish in any form any Confidential Information of the other Party without such other Party’s prior written consent.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31" w:name="page732"/>
    <w:bookmarkEnd w:id="731"/>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12.4 Publicity; Use of Names. </w:t>
      </w:r>
      <w:r>
        <w:rPr>
          <w:rFonts w:ascii="Arial" w:cs="Arial" w:eastAsia="Arial" w:hAnsi="Arial"/>
          <w:sz w:val="17"/>
          <w:szCs w:val="17"/>
          <w:color w:val="auto"/>
        </w:rPr>
        <w:t>Subject to Section 12.2 and the rest of this Section 12.4, no disclosure of the terms of this Agreement may be made by 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its Affiliates, and no Party shall use the name, trademark, trade name or logo of the other Party, its Affiliates or their respective employee(s) in any publicity, promotion, news release or other public disclosure relating to this Agreement or its subject matter, without the prior express written permission of the other Party, except as may be required by Law.</w:t>
      </w:r>
    </w:p>
    <w:p>
      <w:pPr>
        <w:spacing w:after="0" w:line="204" w:lineRule="exact"/>
        <w:rPr>
          <w:sz w:val="20"/>
          <w:szCs w:val="20"/>
          <w:color w:val="auto"/>
        </w:rPr>
      </w:pPr>
    </w:p>
    <w:p>
      <w:pPr>
        <w:jc w:val="both"/>
        <w:ind w:firstLine="1238"/>
        <w:spacing w:after="0" w:line="290" w:lineRule="auto"/>
        <w:tabs>
          <w:tab w:leader="none" w:pos="1490" w:val="left"/>
        </w:tabs>
        <w:numPr>
          <w:ilvl w:val="1"/>
          <w:numId w:val="674"/>
        </w:numPr>
        <w:rPr>
          <w:rFonts w:ascii="Arial" w:cs="Arial" w:eastAsia="Arial" w:hAnsi="Arial"/>
          <w:sz w:val="15"/>
          <w:szCs w:val="15"/>
          <w:b w:val="1"/>
          <w:bCs w:val="1"/>
          <w:color w:val="auto"/>
        </w:rPr>
      </w:pPr>
      <w:r>
        <w:rPr>
          <w:rFonts w:ascii="Arial" w:cs="Arial" w:eastAsia="Arial" w:hAnsi="Arial"/>
          <w:sz w:val="15"/>
          <w:szCs w:val="15"/>
          <w:color w:val="auto"/>
        </w:rPr>
        <w:t>A Party may disclose this Agreement and its terms in securities filings with the Securities Exchange Commission or other regulatory agency (“</w:t>
      </w:r>
      <w:r>
        <w:rPr>
          <w:rFonts w:ascii="Arial" w:cs="Arial" w:eastAsia="Arial" w:hAnsi="Arial"/>
          <w:sz w:val="15"/>
          <w:szCs w:val="15"/>
          <w:b w:val="1"/>
          <w:bCs w:val="1"/>
          <w:color w:val="auto"/>
        </w:rPr>
        <w:t>SEC</w:t>
      </w:r>
      <w:r>
        <w:rPr>
          <w:rFonts w:ascii="Arial" w:cs="Arial" w:eastAsia="Arial" w:hAnsi="Arial"/>
          <w:sz w:val="15"/>
          <w:szCs w:val="15"/>
          <w:color w:val="auto"/>
        </w:rPr>
        <w:t>”) (or equivalent foreign agency, including the Israel Securities Authority or the Tel Aviv Stock Exchange) to the extent required by Law after complying with the procedure set forth in this Section 12.4. In such event, the Party seeking such disclosure will prepare a draft confidential treatment request and a proposed redacted version of this Agreement to request confidential treatment for this Agreement, and the other Party agrees to promptly (and in any event, no more than seven</w:t>
      </w:r>
    </w:p>
    <w:p>
      <w:pPr>
        <w:jc w:val="both"/>
        <w:ind w:firstLine="3"/>
        <w:spacing w:after="0" w:line="256" w:lineRule="auto"/>
        <w:tabs>
          <w:tab w:leader="none" w:pos="247" w:val="left"/>
        </w:tabs>
        <w:numPr>
          <w:ilvl w:val="0"/>
          <w:numId w:val="675"/>
        </w:numPr>
        <w:rPr>
          <w:rFonts w:ascii="Arial" w:cs="Arial" w:eastAsia="Arial" w:hAnsi="Arial"/>
          <w:sz w:val="17"/>
          <w:szCs w:val="17"/>
          <w:color w:val="auto"/>
        </w:rPr>
      </w:pPr>
      <w:r>
        <w:rPr>
          <w:rFonts w:ascii="Arial" w:cs="Arial" w:eastAsia="Arial" w:hAnsi="Arial"/>
          <w:sz w:val="17"/>
          <w:szCs w:val="17"/>
          <w:color w:val="auto"/>
        </w:rPr>
        <w:t>days after receipt of such confidential treatment request and proposed redactions (or such lesser period of time as required by Law)) give its input in a reasonable manner in order to allow the Party seeking disclosure to file its request within the time lines proscribed by applicable SEC regulations or equivalent foreign agency regulations. The Party seeking such disclosure shall exercise Commercially Reasonable Efforts to obtain confidential treatment of the Agreement from the SEC or equivalent foreign agency as represented by the redacted version reviewed by the other Party.</w:t>
      </w:r>
    </w:p>
    <w:p>
      <w:pPr>
        <w:spacing w:after="0" w:line="209" w:lineRule="exact"/>
        <w:rPr>
          <w:rFonts w:ascii="Arial" w:cs="Arial" w:eastAsia="Arial" w:hAnsi="Arial"/>
          <w:sz w:val="17"/>
          <w:szCs w:val="17"/>
          <w:color w:val="auto"/>
        </w:rPr>
      </w:pPr>
    </w:p>
    <w:p>
      <w:pPr>
        <w:jc w:val="both"/>
        <w:ind w:firstLine="1238"/>
        <w:spacing w:after="0" w:line="274" w:lineRule="auto"/>
        <w:tabs>
          <w:tab w:leader="none" w:pos="1487" w:val="left"/>
        </w:tabs>
        <w:numPr>
          <w:ilvl w:val="1"/>
          <w:numId w:val="675"/>
        </w:numPr>
        <w:rPr>
          <w:rFonts w:ascii="Arial" w:cs="Arial" w:eastAsia="Arial" w:hAnsi="Arial"/>
          <w:sz w:val="16"/>
          <w:szCs w:val="16"/>
          <w:b w:val="1"/>
          <w:bCs w:val="1"/>
          <w:color w:val="auto"/>
        </w:rPr>
      </w:pPr>
      <w:r>
        <w:rPr>
          <w:rFonts w:ascii="Arial" w:cs="Arial" w:eastAsia="Arial" w:hAnsi="Arial"/>
          <w:sz w:val="16"/>
          <w:szCs w:val="16"/>
          <w:color w:val="auto"/>
        </w:rPr>
        <w:t xml:space="preserve">Further, each Party acknowledges that the other Party may be legally required to make public disclosures (including in filings with the SEC or other agency) of the execution and delivery of this Agreement as well as certain material developments or material information generated under this Agreement and agrees that each Party may make such disclosures as required by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Party seeking such disclosure first provides the other Party a copy of the proposed disclosure,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to the extent that the Party seeking disclosure is required to disclose such information to comply with applicable Law) if the other Party demonstrates to the reasonable satisfaction of the Party seeking disclosure, within [***] business days of such Party’s providing the copy, that the public disclosure of previously undisclosed information will materially adversely affect the pre-commercialization or commercialization of a Product being pre-commercialized or commercialized in the applicable Territory, the Party seeking disclosure will remove from the disclosure such specific previously undisclosed information as the other Party shall reasonably request to be removed.</w:t>
      </w:r>
    </w:p>
    <w:p>
      <w:pPr>
        <w:spacing w:after="0" w:line="192" w:lineRule="exact"/>
        <w:rPr>
          <w:sz w:val="20"/>
          <w:szCs w:val="20"/>
          <w:color w:val="auto"/>
        </w:rPr>
      </w:pPr>
    </w:p>
    <w:p>
      <w:pPr>
        <w:ind w:left="5620" w:right="2360" w:hanging="5617"/>
        <w:spacing w:after="0" w:line="854" w:lineRule="auto"/>
        <w:tabs>
          <w:tab w:leader="none" w:pos="409" w:val="left"/>
        </w:tabs>
        <w:numPr>
          <w:ilvl w:val="0"/>
          <w:numId w:val="6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2" w:name="page733"/>
    <w:bookmarkEnd w:id="732"/>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ind w:firstLine="1238"/>
        <w:spacing w:after="0" w:line="278" w:lineRule="auto"/>
        <w:tabs>
          <w:tab w:leader="none" w:pos="1468" w:val="left"/>
        </w:tabs>
        <w:numPr>
          <w:ilvl w:val="0"/>
          <w:numId w:val="677"/>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and subject to BioLineRx’s obligations under Section 9.1 of the Upstream Agreement (if applicable), the Parties will agree on language of one or more press releases announcing this Agreement.</w:t>
      </w:r>
    </w:p>
    <w:p>
      <w:pPr>
        <w:spacing w:after="0" w:line="190" w:lineRule="exact"/>
        <w:rPr>
          <w:rFonts w:ascii="Arial" w:cs="Arial" w:eastAsia="Arial" w:hAnsi="Arial"/>
          <w:sz w:val="17"/>
          <w:szCs w:val="17"/>
          <w:b w:val="1"/>
          <w:bCs w:val="1"/>
          <w:color w:val="auto"/>
        </w:rPr>
      </w:pPr>
    </w:p>
    <w:p>
      <w:pPr>
        <w:jc w:val="both"/>
        <w:ind w:firstLine="1238"/>
        <w:spacing w:after="0" w:line="256" w:lineRule="auto"/>
        <w:tabs>
          <w:tab w:leader="none" w:pos="1487" w:val="left"/>
        </w:tabs>
        <w:numPr>
          <w:ilvl w:val="0"/>
          <w:numId w:val="677"/>
        </w:numPr>
        <w:rPr>
          <w:rFonts w:ascii="Arial" w:cs="Arial" w:eastAsia="Arial" w:hAnsi="Arial"/>
          <w:sz w:val="17"/>
          <w:szCs w:val="17"/>
          <w:b w:val="1"/>
          <w:bCs w:val="1"/>
          <w:color w:val="auto"/>
        </w:rPr>
      </w:pPr>
      <w:r>
        <w:rPr>
          <w:rFonts w:ascii="Arial" w:cs="Arial" w:eastAsia="Arial" w:hAnsi="Arial"/>
          <w:sz w:val="17"/>
          <w:szCs w:val="17"/>
          <w:color w:val="auto"/>
        </w:rPr>
        <w:t>During the Term, and subject to Section 14.2 of the Upstream Agreement and Section 12.4(c) above, each Party shall have the right to issue a press release or make a public announcement concerning the material terms of this Agreement or the Pre-Commercialization or Commercialization under this Agreement, such as announcing the commencement and completion of clinical studies for the Products in countries of the Cypress Territory, the filing and obtaining of Regulatory Approvals for the Products in countries of the Cypress Territory, the First Commercial Sale of the Products in countries of the Cypress Territory, and the publication of data and results in accordance with Section 12.3. If a Party desires to issue such a press release or make such a public announcement, it shall provide the other Party with reasonable advance notice of the content thereof. The other Party shall have the right to review and comment on such proposed press release or announcement and the Party proposing such press release or public announcement shall take into consideration and incorporate when appropriate the comment from the other Party.</w:t>
      </w:r>
    </w:p>
    <w:p>
      <w:pPr>
        <w:spacing w:after="0" w:line="209" w:lineRule="exact"/>
        <w:rPr>
          <w:rFonts w:ascii="Arial" w:cs="Arial" w:eastAsia="Arial" w:hAnsi="Arial"/>
          <w:sz w:val="17"/>
          <w:szCs w:val="17"/>
          <w:b w:val="1"/>
          <w:bCs w:val="1"/>
          <w:color w:val="auto"/>
        </w:rPr>
      </w:pPr>
    </w:p>
    <w:p>
      <w:pPr>
        <w:jc w:val="both"/>
        <w:ind w:firstLine="1238"/>
        <w:spacing w:after="0" w:line="265" w:lineRule="auto"/>
        <w:tabs>
          <w:tab w:leader="none" w:pos="1468" w:val="left"/>
        </w:tabs>
        <w:numPr>
          <w:ilvl w:val="0"/>
          <w:numId w:val="677"/>
        </w:numPr>
        <w:rPr>
          <w:rFonts w:ascii="Arial" w:cs="Arial" w:eastAsia="Arial" w:hAnsi="Arial"/>
          <w:sz w:val="17"/>
          <w:szCs w:val="17"/>
          <w:b w:val="1"/>
          <w:bCs w:val="1"/>
          <w:color w:val="auto"/>
        </w:rPr>
      </w:pPr>
      <w:r>
        <w:rPr>
          <w:rFonts w:ascii="Arial" w:cs="Arial" w:eastAsia="Arial" w:hAnsi="Arial"/>
          <w:sz w:val="17"/>
          <w:szCs w:val="17"/>
          <w:color w:val="auto"/>
        </w:rPr>
        <w:t>The Parties agree that after a public disclosure pursuant to Sections 12.4(a). (b), (c) or (d) has been reviewed and approved by the other Party, the disclosing Party may make subsequent public disclosures or issue a press release disclosing the same content as was contained in such public disclosure without having to obtain the other Party’s prior consent and approval.</w:t>
      </w:r>
    </w:p>
    <w:p>
      <w:pPr>
        <w:spacing w:after="0" w:line="201"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Cypress acknowledges that BioLineRx is required to furnish the Upstream Licensors a fully executed copy of this Agreement, promptly after the Execution Date, pursuant to Section 5.2.3 of the Upstream Agreement.</w:t>
      </w:r>
    </w:p>
    <w:p>
      <w:pPr>
        <w:spacing w:after="0" w:line="184" w:lineRule="exact"/>
        <w:rPr>
          <w:sz w:val="20"/>
          <w:szCs w:val="20"/>
          <w:color w:val="auto"/>
        </w:rPr>
      </w:pPr>
    </w:p>
    <w:p>
      <w:pPr>
        <w:ind w:left="5620" w:right="2360" w:hanging="5617"/>
        <w:spacing w:after="0" w:line="854" w:lineRule="auto"/>
        <w:tabs>
          <w:tab w:leader="none" w:pos="409" w:val="left"/>
        </w:tabs>
        <w:numPr>
          <w:ilvl w:val="0"/>
          <w:numId w:val="6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33" w:name="page734"/>
    <w:bookmarkEnd w:id="733"/>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12.5 Equitable Relief. </w:t>
      </w:r>
      <w:r>
        <w:rPr>
          <w:rFonts w:ascii="Arial" w:cs="Arial" w:eastAsia="Arial" w:hAnsi="Arial"/>
          <w:sz w:val="16"/>
          <w:szCs w:val="16"/>
          <w:color w:val="auto"/>
        </w:rPr>
        <w:t>Each Party acknowledges that a breach of this Article 12 may not reasonably or adequately be compensated in damages in an action</w:t>
      </w:r>
      <w:r>
        <w:rPr>
          <w:rFonts w:ascii="Arial" w:cs="Arial" w:eastAsia="Arial" w:hAnsi="Arial"/>
          <w:sz w:val="16"/>
          <w:szCs w:val="16"/>
          <w:b w:val="1"/>
          <w:bCs w:val="1"/>
          <w:color w:val="auto"/>
        </w:rPr>
        <w:t xml:space="preserve"> </w:t>
      </w:r>
      <w:r>
        <w:rPr>
          <w:rFonts w:ascii="Arial" w:cs="Arial" w:eastAsia="Arial" w:hAnsi="Arial"/>
          <w:sz w:val="16"/>
          <w:szCs w:val="16"/>
          <w:color w:val="auto"/>
        </w:rPr>
        <w:t>at law and that such a breach shall cause the other Party irreparable injury and damage. By reason thereof, each Party agrees that the other Party may be entitled, in addition to any other remedies it may have under this Agreement or otherwise, to seek preliminary and permanent injunctive and other equitable relief to prevent or curtail any breach of the obligations relating to Confidential Information set forth herein by the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AND TERMINATION</w:t>
      </w:r>
    </w:p>
    <w:p>
      <w:pPr>
        <w:spacing w:after="0" w:line="242" w:lineRule="exact"/>
        <w:rPr>
          <w:sz w:val="20"/>
          <w:szCs w:val="20"/>
          <w:color w:val="auto"/>
        </w:rPr>
      </w:pPr>
    </w:p>
    <w:p>
      <w:pPr>
        <w:jc w:val="both"/>
        <w:ind w:firstLine="617"/>
        <w:spacing w:after="0" w:line="303" w:lineRule="auto"/>
        <w:rPr>
          <w:sz w:val="20"/>
          <w:szCs w:val="20"/>
          <w:color w:val="auto"/>
        </w:rPr>
      </w:pPr>
      <w:r>
        <w:rPr>
          <w:rFonts w:ascii="Arial" w:cs="Arial" w:eastAsia="Arial" w:hAnsi="Arial"/>
          <w:sz w:val="15"/>
          <w:szCs w:val="15"/>
          <w:b w:val="1"/>
          <w:bCs w:val="1"/>
          <w:color w:val="auto"/>
        </w:rPr>
        <w:t>13.1 Term</w:t>
      </w:r>
      <w:r>
        <w:rPr>
          <w:rFonts w:ascii="Arial" w:cs="Arial" w:eastAsia="Arial" w:hAnsi="Arial"/>
          <w:sz w:val="15"/>
          <w:szCs w:val="15"/>
          <w:color w:val="auto"/>
        </w:rPr>
        <w:t>. The Term of this Agreement will commence on the Effective Date and, unless earlier terminated pursuant to this Article 13, shall remain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 until the cessation of all Commercialization in the Cypress Territory. Upon the expiration of the Royalty Term in a given country in the Cypress Territory, (a) the license granted to Cypress under the BioLineRx Technology in such country shall become fully-paid, royalty-free and non-exclusive, and (b) BioLineRx and the Upstream Licensors shall be free to use the BioLineRx Technology to develop, make and have made, use, offer to sell, sell, have sold, import, export, otherwise transfer physical possession of or otherwise transfer title to Products and to grant others licenses under the BioLineRx Technology to do the same in such country.</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13.2 Termination for Breach.</w:t>
      </w:r>
    </w:p>
    <w:p>
      <w:pPr>
        <w:spacing w:after="0" w:line="242" w:lineRule="exact"/>
        <w:rPr>
          <w:sz w:val="20"/>
          <w:szCs w:val="20"/>
          <w:color w:val="auto"/>
        </w:rPr>
      </w:pPr>
    </w:p>
    <w:p>
      <w:pPr>
        <w:jc w:val="both"/>
        <w:ind w:firstLine="1238"/>
        <w:spacing w:after="0" w:line="263" w:lineRule="auto"/>
        <w:tabs>
          <w:tab w:leader="none" w:pos="1490" w:val="left"/>
        </w:tabs>
        <w:numPr>
          <w:ilvl w:val="0"/>
          <w:numId w:val="6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If either Party believes that the other Party is in material breach of this Agreement, then the Party holding such belief (the “</w:t>
      </w:r>
      <w:r>
        <w:rPr>
          <w:rFonts w:ascii="Arial" w:cs="Arial" w:eastAsia="Arial" w:hAnsi="Arial"/>
          <w:sz w:val="17"/>
          <w:szCs w:val="17"/>
          <w:b w:val="1"/>
          <w:bCs w:val="1"/>
          <w:color w:val="auto"/>
        </w:rPr>
        <w:t>Non-breaching Party</w:t>
      </w:r>
      <w:r>
        <w:rPr>
          <w:rFonts w:ascii="Arial" w:cs="Arial" w:eastAsia="Arial" w:hAnsi="Arial"/>
          <w:sz w:val="17"/>
          <w:szCs w:val="17"/>
          <w:color w:val="auto"/>
        </w:rPr>
        <w:t>”) may deliver notice of such breach to the other Party (the “</w:t>
      </w:r>
      <w:r>
        <w:rPr>
          <w:rFonts w:ascii="Arial" w:cs="Arial" w:eastAsia="Arial" w:hAnsi="Arial"/>
          <w:sz w:val="17"/>
          <w:szCs w:val="17"/>
          <w:b w:val="1"/>
          <w:bCs w:val="1"/>
          <w:color w:val="auto"/>
        </w:rPr>
        <w:t>Notified Party</w:t>
      </w:r>
      <w:r>
        <w:rPr>
          <w:rFonts w:ascii="Arial" w:cs="Arial" w:eastAsia="Arial" w:hAnsi="Arial"/>
          <w:sz w:val="17"/>
          <w:szCs w:val="17"/>
          <w:color w:val="auto"/>
        </w:rPr>
        <w:t>”). The Notified Party shall have [***] days after receipt of such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to cure such breach, or, if such breach is not susceptible of cure within the stated [***]period and the Notified Party uses diligent good faith efforts to cure such breach, the stated [***] period shall be extended by an additional [***] days.</w:t>
      </w:r>
    </w:p>
    <w:p>
      <w:pPr>
        <w:spacing w:after="0" w:line="197" w:lineRule="exact"/>
        <w:rPr>
          <w:rFonts w:ascii="Arial" w:cs="Arial" w:eastAsia="Arial" w:hAnsi="Arial"/>
          <w:sz w:val="17"/>
          <w:szCs w:val="17"/>
          <w:b w:val="1"/>
          <w:bCs w:val="1"/>
          <w:color w:val="auto"/>
        </w:rPr>
      </w:pPr>
    </w:p>
    <w:p>
      <w:pPr>
        <w:ind w:firstLine="1238"/>
        <w:spacing w:after="0" w:line="286" w:lineRule="auto"/>
        <w:tabs>
          <w:tab w:leader="none" w:pos="1500" w:val="left"/>
        </w:tabs>
        <w:numPr>
          <w:ilvl w:val="0"/>
          <w:numId w:val="6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Failure to Cure. </w:t>
      </w:r>
      <w:r>
        <w:rPr>
          <w:rFonts w:ascii="Arial" w:cs="Arial" w:eastAsia="Arial" w:hAnsi="Arial"/>
          <w:sz w:val="17"/>
          <w:szCs w:val="17"/>
          <w:color w:val="auto"/>
        </w:rPr>
        <w:t>If the Notified Party fails to cure a material breach of this Agreement as provided for in Section 13.2(a), then the Non-Breaching Party may terminate this Agreement immediately upon written notice to the Notified Party.</w:t>
      </w:r>
    </w:p>
    <w:p>
      <w:pPr>
        <w:spacing w:after="0" w:line="177"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 xml:space="preserve">Disputes. </w:t>
      </w:r>
      <w:r>
        <w:rPr>
          <w:rFonts w:ascii="Arial" w:cs="Arial" w:eastAsia="Arial" w:hAnsi="Arial"/>
          <w:sz w:val="17"/>
          <w:szCs w:val="17"/>
          <w:color w:val="auto"/>
        </w:rPr>
        <w:t>If a Party gives notice of termination under this Section 13.2 and the other Party disputes whether such termination is proper under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13.2, then the issue of whether this Agreement may properly be terminated (i.e., whether a material breach occurred or whether a material breach was cured) shall be resolved in accordance with Article 14. If as a result of such dispute resolution process it is determined that the notice of termination was proper, then such termination shall be deemed to have been effective [***] days following the date of the notice of breach (or such other time period applicable pursuant to Section 13.2(a)). If, as a result of such dispute resolution process, it is determined that the notice of termination was improper, then no termination shall have occurred and this Agreement shall remain in effect.</w:t>
      </w:r>
    </w:p>
    <w:p>
      <w:pPr>
        <w:spacing w:after="0" w:line="201" w:lineRule="exact"/>
        <w:rPr>
          <w:sz w:val="20"/>
          <w:szCs w:val="20"/>
          <w:color w:val="auto"/>
        </w:rPr>
      </w:pPr>
    </w:p>
    <w:p>
      <w:pPr>
        <w:ind w:left="5620" w:right="2360" w:hanging="5617"/>
        <w:spacing w:after="0" w:line="854" w:lineRule="auto"/>
        <w:tabs>
          <w:tab w:leader="none" w:pos="409" w:val="left"/>
        </w:tabs>
        <w:numPr>
          <w:ilvl w:val="0"/>
          <w:numId w:val="6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4" w:name="page735"/>
    <w:bookmarkEnd w:id="734"/>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85" w:lineRule="auto"/>
        <w:rPr>
          <w:sz w:val="20"/>
          <w:szCs w:val="20"/>
          <w:color w:val="auto"/>
        </w:rPr>
      </w:pPr>
      <w:r>
        <w:rPr>
          <w:rFonts w:ascii="Arial" w:cs="Arial" w:eastAsia="Arial" w:hAnsi="Arial"/>
          <w:sz w:val="16"/>
          <w:szCs w:val="16"/>
          <w:b w:val="1"/>
          <w:bCs w:val="1"/>
          <w:color w:val="auto"/>
        </w:rPr>
        <w:t xml:space="preserve">13.3 Termination For Convenience or for Adverse Regulatory Actions. </w:t>
      </w:r>
      <w:r>
        <w:rPr>
          <w:rFonts w:ascii="Arial" w:cs="Arial" w:eastAsia="Arial" w:hAnsi="Arial"/>
          <w:sz w:val="16"/>
          <w:szCs w:val="16"/>
          <w:color w:val="auto"/>
        </w:rPr>
        <w:t>Cypress shall have the right to terminate this Agreement in its entirety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or no reason at all by providing BioLineRx with at least [***] days prior written notice to BioLineRx of such termination. In addition, Cypress may, in its sole discretion, terminate this Agreement in its entirety, upon at least [***] days written notice to BioLineRx in the event of any significant adverse clinical events or other adverse toxicity, safety or efficacy data relating to a Product or if Cypress determines that there is no basis for filing an NDA for a Product.</w:t>
      </w:r>
    </w:p>
    <w:p>
      <w:pPr>
        <w:spacing w:after="0" w:line="181"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 xml:space="preserve">13.4 Termination for Patent Challenge. </w:t>
      </w:r>
      <w:r>
        <w:rPr>
          <w:rFonts w:ascii="Arial" w:cs="Arial" w:eastAsia="Arial" w:hAnsi="Arial"/>
          <w:sz w:val="16"/>
          <w:szCs w:val="16"/>
          <w:color w:val="auto"/>
        </w:rPr>
        <w:t>BioLineRx shall have the right to terminate this Agreement in its entirety upon at least [***] days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Cypress if (a) Cypress or any of its Affiliates or sublicensees files a lawsuit or brings any other legal or administrative proceeding, or knowingly assists or supports any Third Party in filing a lawsuit or bringing any other legal or administrative proceeding, challenging any of the BioLineRx Patents licensed hereunder, including any action in connection with an opposition, re-examination, revocation, invalidation or cancellation proceeding, or requests a declaration of an interference against or otherwise attacks the validity or enforceability of any BioLineRx Patents licensed hereunder, or contests or disputes BioLineRx’s entitlement to or ownership of any BioLineRx Patents licensed hereunder, and (b) Cypress or its Affiliate or sublicensee (as applicable) fails to cease such lawsuit, proceeding, action, request, attack, contest or dispute within the [***] day period following Cypress’ receipt of such notice from BioLineRx. In such event, the Agreement shall terminate upon expiration of the [***] day notice period (and the cure and dispute provisions set forth above in Section 13.2 shall not apply).</w:t>
      </w:r>
    </w:p>
    <w:p>
      <w:pPr>
        <w:spacing w:after="0" w:line="191" w:lineRule="exact"/>
        <w:rPr>
          <w:sz w:val="20"/>
          <w:szCs w:val="20"/>
          <w:color w:val="auto"/>
        </w:rPr>
      </w:pPr>
    </w:p>
    <w:p>
      <w:pPr>
        <w:jc w:val="both"/>
        <w:ind w:firstLine="617"/>
        <w:spacing w:after="0" w:line="258" w:lineRule="auto"/>
        <w:rPr>
          <w:sz w:val="20"/>
          <w:szCs w:val="20"/>
          <w:color w:val="auto"/>
        </w:rPr>
      </w:pPr>
      <w:r>
        <w:rPr>
          <w:rFonts w:ascii="Arial" w:cs="Arial" w:eastAsia="Arial" w:hAnsi="Arial"/>
          <w:sz w:val="17"/>
          <w:szCs w:val="17"/>
          <w:b w:val="1"/>
          <w:bCs w:val="1"/>
          <w:color w:val="auto"/>
        </w:rPr>
        <w:t xml:space="preserve">13.5 Termination Prior to Effective Date. </w:t>
      </w:r>
      <w:r>
        <w:rPr>
          <w:rFonts w:ascii="Arial" w:cs="Arial" w:eastAsia="Arial" w:hAnsi="Arial"/>
          <w:sz w:val="17"/>
          <w:szCs w:val="17"/>
          <w:color w:val="auto"/>
        </w:rPr>
        <w:t>Notwithstanding anything to the contrary in this Article 13, (a) Cypress may terminate this Agreement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a response from the OCS and each Party’s discharge of its obligations under Section 2.1, with no liability to BioLineRx or Cypress, if (i) Cypress exercises its right to withhold agreement to modifications to the Execution Date Agreement in accordance with Section 2.1(c); or (ii) the OCS does not grant its consent to the Execution Date Agreement or a modified Execution Date Agreement, as such modified Execution Date Agreement and the process for modification are described in Section 2.1; or (b) either Party may terminate this Agreement as set forth in the last paragraph of Section 10.2. The provisions of Section 8.1 (including the Escrow Agreement) and this Section 13.5 shall survive such termination, but all other terms, provisions, representations, rights and obligations contained in this Agreement shall terminate.</w:t>
      </w:r>
    </w:p>
    <w:p>
      <w:pPr>
        <w:spacing w:after="0" w:line="201" w:lineRule="exact"/>
        <w:rPr>
          <w:sz w:val="20"/>
          <w:szCs w:val="20"/>
          <w:color w:val="auto"/>
        </w:rPr>
      </w:pPr>
    </w:p>
    <w:p>
      <w:pPr>
        <w:ind w:left="5620" w:right="2360" w:hanging="5617"/>
        <w:spacing w:after="0" w:line="854" w:lineRule="auto"/>
        <w:tabs>
          <w:tab w:leader="none" w:pos="409" w:val="left"/>
        </w:tabs>
        <w:numPr>
          <w:ilvl w:val="0"/>
          <w:numId w:val="6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735" w:name="page736"/>
    <w:bookmarkEnd w:id="735"/>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13.6 Termination of Upstream Agreement. </w:t>
      </w:r>
      <w:r>
        <w:rPr>
          <w:rFonts w:ascii="Arial" w:cs="Arial" w:eastAsia="Arial" w:hAnsi="Arial"/>
          <w:sz w:val="17"/>
          <w:szCs w:val="17"/>
          <w:color w:val="auto"/>
        </w:rPr>
        <w:t>The Parties acknowledge that, upon termination of the Upstream Agreement (in whole or in part),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5.2.2.2 of the Upstream Agreement, Cypress has the right to request that the Upstream Licensors enter into a new agreement with Cypress on substantially the same terms as those contained in this Agreement.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13.7 Effect of Termination of the Agreement</w:t>
      </w:r>
      <w:r>
        <w:rPr>
          <w:rFonts w:ascii="Arial" w:cs="Arial" w:eastAsia="Arial" w:hAnsi="Arial"/>
          <w:sz w:val="17"/>
          <w:szCs w:val="17"/>
          <w:color w:val="auto"/>
        </w:rPr>
        <w:t>.</w:t>
      </w:r>
    </w:p>
    <w:p>
      <w:pPr>
        <w:spacing w:after="0" w:line="248" w:lineRule="exact"/>
        <w:rPr>
          <w:sz w:val="20"/>
          <w:szCs w:val="20"/>
          <w:color w:val="auto"/>
        </w:rPr>
      </w:pPr>
    </w:p>
    <w:p>
      <w:pPr>
        <w:ind w:left="1480" w:hanging="242"/>
        <w:spacing w:after="0"/>
        <w:tabs>
          <w:tab w:leader="none" w:pos="1480" w:val="left"/>
        </w:tabs>
        <w:numPr>
          <w:ilvl w:val="0"/>
          <w:numId w:val="682"/>
        </w:numPr>
        <w:rPr>
          <w:rFonts w:ascii="Arial" w:cs="Arial" w:eastAsia="Arial" w:hAnsi="Arial"/>
          <w:sz w:val="17"/>
          <w:szCs w:val="17"/>
          <w:b w:val="1"/>
          <w:bCs w:val="1"/>
          <w:color w:val="auto"/>
        </w:rPr>
      </w:pPr>
      <w:r>
        <w:rPr>
          <w:rFonts w:ascii="Arial" w:cs="Arial" w:eastAsia="Arial" w:hAnsi="Arial"/>
          <w:sz w:val="17"/>
          <w:szCs w:val="17"/>
          <w:color w:val="auto"/>
        </w:rPr>
        <w:t>Upon any termination of this Agreement the following shall apply:</w:t>
      </w:r>
    </w:p>
    <w:p>
      <w:pPr>
        <w:spacing w:after="0" w:line="235" w:lineRule="exact"/>
        <w:rPr>
          <w:rFonts w:ascii="Arial" w:cs="Arial" w:eastAsia="Arial" w:hAnsi="Arial"/>
          <w:sz w:val="17"/>
          <w:szCs w:val="17"/>
          <w:b w:val="1"/>
          <w:bCs w:val="1"/>
          <w:color w:val="auto"/>
        </w:rPr>
      </w:pPr>
    </w:p>
    <w:p>
      <w:pPr>
        <w:ind w:firstLine="2473"/>
        <w:spacing w:after="0" w:line="286" w:lineRule="auto"/>
        <w:tabs>
          <w:tab w:leader="none" w:pos="2725" w:val="left"/>
        </w:tabs>
        <w:numPr>
          <w:ilvl w:val="1"/>
          <w:numId w:val="682"/>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Filings; Data</w:t>
      </w:r>
      <w:r>
        <w:rPr>
          <w:rFonts w:ascii="Arial" w:cs="Arial" w:eastAsia="Arial" w:hAnsi="Arial"/>
          <w:sz w:val="17"/>
          <w:szCs w:val="17"/>
          <w:color w:val="auto"/>
        </w:rPr>
        <w:t>. To the extent permitted by applicable Laws, Cypress shall transfer and assign to BioLineRx all</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Filings, Regulatory Approvals, and Cypress Product Data.</w:t>
      </w:r>
    </w:p>
    <w:p>
      <w:pPr>
        <w:spacing w:after="0" w:line="177" w:lineRule="exact"/>
        <w:rPr>
          <w:rFonts w:ascii="Arial" w:cs="Arial" w:eastAsia="Arial" w:hAnsi="Arial"/>
          <w:sz w:val="17"/>
          <w:szCs w:val="17"/>
          <w:b w:val="1"/>
          <w:bCs w:val="1"/>
          <w:color w:val="auto"/>
        </w:rPr>
      </w:pPr>
    </w:p>
    <w:p>
      <w:pPr>
        <w:jc w:val="both"/>
        <w:ind w:firstLine="2473"/>
        <w:spacing w:after="0" w:line="259" w:lineRule="auto"/>
        <w:tabs>
          <w:tab w:leader="none" w:pos="2712" w:val="left"/>
        </w:tabs>
        <w:numPr>
          <w:ilvl w:val="1"/>
          <w:numId w:val="682"/>
        </w:numPr>
        <w:rPr>
          <w:rFonts w:ascii="Arial" w:cs="Arial" w:eastAsia="Arial" w:hAnsi="Arial"/>
          <w:sz w:val="17"/>
          <w:szCs w:val="17"/>
          <w:b w:val="1"/>
          <w:bCs w:val="1"/>
          <w:color w:val="auto"/>
        </w:rPr>
      </w:pPr>
      <w:r>
        <w:rPr>
          <w:rFonts w:ascii="Arial" w:cs="Arial" w:eastAsia="Arial" w:hAnsi="Arial"/>
          <w:sz w:val="17"/>
          <w:szCs w:val="17"/>
          <w:b w:val="1"/>
          <w:bCs w:val="1"/>
          <w:color w:val="auto"/>
        </w:rPr>
        <w:t>Cypress License and Assignment</w:t>
      </w:r>
      <w:r>
        <w:rPr>
          <w:rFonts w:ascii="Arial" w:cs="Arial" w:eastAsia="Arial" w:hAnsi="Arial"/>
          <w:sz w:val="17"/>
          <w:szCs w:val="17"/>
          <w:color w:val="auto"/>
        </w:rPr>
        <w:t>. Cypress hereby grants to BioLineRx an exclusive, royalty-free license, with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grant multiple tiers of sublicenses, under Cypress Technology to Pre-Commercialize, make, have made, use, sell, offer for sale, have sold, import and otherwise Commercialize the Products in the Cypress Territory, which license shall be effective as of the date of such termination. Cypress hereby assigns to BioLineRx, effective only (A) in the event of such termination, (B) upon BioLineRx’s confirmation that BioLineRx desires such assignment at the date of termination, and (C) after reimbursement of all out-of-pocket costs related to such Product Marks, all of its rights and interests in and to the Product Marks (other than the corporate names of Cypress).</w:t>
      </w:r>
    </w:p>
    <w:p>
      <w:pPr>
        <w:spacing w:after="0" w:line="200" w:lineRule="exact"/>
        <w:rPr>
          <w:rFonts w:ascii="Arial" w:cs="Arial" w:eastAsia="Arial" w:hAnsi="Arial"/>
          <w:sz w:val="17"/>
          <w:szCs w:val="17"/>
          <w:b w:val="1"/>
          <w:bCs w:val="1"/>
          <w:color w:val="auto"/>
        </w:rPr>
      </w:pPr>
    </w:p>
    <w:p>
      <w:pPr>
        <w:jc w:val="both"/>
        <w:ind w:firstLine="2473"/>
        <w:spacing w:after="0" w:line="303" w:lineRule="auto"/>
        <w:tabs>
          <w:tab w:leader="none" w:pos="2738" w:val="left"/>
        </w:tabs>
        <w:numPr>
          <w:ilvl w:val="1"/>
          <w:numId w:val="68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Assistance</w:t>
      </w:r>
      <w:r>
        <w:rPr>
          <w:rFonts w:ascii="Arial" w:cs="Arial" w:eastAsia="Arial" w:hAnsi="Arial"/>
          <w:sz w:val="15"/>
          <w:szCs w:val="15"/>
          <w:color w:val="auto"/>
        </w:rPr>
        <w:t>. Cypress shall provide such assistance, at BioLineRx’s request and cost, as may be 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necessary for BioLineRx to commence or continue developing, Pre-Commercializing or Commercializing Products in the Cypress Territory, to the extent Cypress is then performing or has performed such activities, including transferring or amending, as appropriate, upon request of BioLineRx, any agreements or arrangements with Third Party vendors to sell Products in the Cypress Territory. To the extent that any such contract between Cypress and a Third Party is not assignable to BioLineRx, Cypress shall arrange a transition period in which to provide such services with the goal of promptly transitioning the arrangement to BioLineRx.</w:t>
      </w:r>
    </w:p>
    <w:p>
      <w:pPr>
        <w:spacing w:after="0" w:line="171" w:lineRule="exact"/>
        <w:rPr>
          <w:rFonts w:ascii="Arial" w:cs="Arial" w:eastAsia="Arial" w:hAnsi="Arial"/>
          <w:sz w:val="15"/>
          <w:szCs w:val="15"/>
          <w:b w:val="1"/>
          <w:bCs w:val="1"/>
          <w:color w:val="auto"/>
        </w:rPr>
      </w:pPr>
    </w:p>
    <w:p>
      <w:pPr>
        <w:ind w:left="2720" w:hanging="247"/>
        <w:spacing w:after="0"/>
        <w:tabs>
          <w:tab w:leader="none" w:pos="2720" w:val="left"/>
        </w:tabs>
        <w:numPr>
          <w:ilvl w:val="1"/>
          <w:numId w:val="6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Licenses.  </w:t>
      </w:r>
      <w:r>
        <w:rPr>
          <w:rFonts w:ascii="Arial" w:cs="Arial" w:eastAsia="Arial" w:hAnsi="Arial"/>
          <w:sz w:val="16"/>
          <w:szCs w:val="16"/>
          <w:color w:val="auto"/>
        </w:rPr>
        <w:t>The licenses granted in Article 2 shall terminate, and the other rights and obligations of the Parties under this</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Agreement also shall terminate.</w:t>
      </w:r>
    </w:p>
    <w:p>
      <w:pPr>
        <w:spacing w:after="0" w:line="224" w:lineRule="exact"/>
        <w:rPr>
          <w:rFonts w:ascii="Arial" w:cs="Arial" w:eastAsia="Arial" w:hAnsi="Arial"/>
          <w:sz w:val="16"/>
          <w:szCs w:val="16"/>
          <w:b w:val="1"/>
          <w:bCs w:val="1"/>
          <w:color w:val="auto"/>
        </w:rPr>
      </w:pPr>
    </w:p>
    <w:p>
      <w:pPr>
        <w:jc w:val="both"/>
        <w:ind w:firstLine="1238"/>
        <w:spacing w:after="0" w:line="263" w:lineRule="auto"/>
        <w:tabs>
          <w:tab w:leader="none" w:pos="1500" w:val="left"/>
        </w:tabs>
        <w:numPr>
          <w:ilvl w:val="0"/>
          <w:numId w:val="6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Obligations. </w:t>
      </w:r>
      <w:r>
        <w:rPr>
          <w:rFonts w:ascii="Arial" w:cs="Arial" w:eastAsia="Arial" w:hAnsi="Arial"/>
          <w:sz w:val="17"/>
          <w:szCs w:val="17"/>
          <w:color w:val="auto"/>
        </w:rPr>
        <w:t>In any event, expiration or termination of this Agreement shall not relieve the Parties of any liability which accrued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prior to the effective date of such expiration or termination or to which a Party may be contractually committed as of such effective date nor preclude either Party from pursuing all rights and remedies it may have hereunder or at law or in equity with respect to any breach of this Agreement, nor prejudice either Party’s right to obtain performance of any obligation.</w:t>
      </w:r>
    </w:p>
    <w:p>
      <w:pPr>
        <w:spacing w:after="0" w:line="198"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 xml:space="preserve">13.8 Bankruptcy. </w:t>
      </w:r>
      <w:r>
        <w:rPr>
          <w:rFonts w:ascii="Arial" w:cs="Arial" w:eastAsia="Arial" w:hAnsi="Arial"/>
          <w:sz w:val="16"/>
          <w:szCs w:val="16"/>
          <w:color w:val="auto"/>
        </w:rPr>
        <w:t>All rights and licenses granted under this Agreement by one Party to the other Party are, and shall otherwise be deemed to be,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Section 365(n) of the U.S. Bankruptcy Code, licenses of rights to “intellectual property” as defined under Section 101(35A) of the Bankruptcy Code. The Parties agree that a Party shall retain and may fully exercise all of its rights and elections under the Bankruptcy Code in the event of a bankruptcy by the other Party. The Parties further agree that in the event of the commencement of a bankruptcy proceeding by or against one Party under the Bankruptcy Code, the other Party shall be entitled to complete access to any such intellectual property pertaining to the rights granted in the licenses hereunder of the Party by or against whom a bankruptcy proceeding has been commenced and all embodiments of such intellectual property.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36" w:name="page737"/>
    <w:bookmarkEnd w:id="736"/>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13.9 Survival</w:t>
      </w:r>
      <w:r>
        <w:rPr>
          <w:rFonts w:ascii="Arial" w:cs="Arial" w:eastAsia="Arial" w:hAnsi="Arial"/>
          <w:sz w:val="16"/>
          <w:szCs w:val="16"/>
          <w:color w:val="auto"/>
        </w:rPr>
        <w:t>. The following provisions shall survive any expiration or termination of this Agreement for the period of time specified: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1, to the extent definitions are embodied in the following listed Articles and Sections of this Agreement; Articles 11, 12, 14 (with respect to a dispute arising prior to the effective date of termination or expiration) and 15; and Sections 2.4 (with respect to any direct license requested by a sublicensee), 4.7 (with respect to Product Data generated prior to the effective date of termination or expiration), 5.5 (with respect to Product dispositions prior to the effective date of termination or expiration), Sections 8.2 and 8.3 (with respect to milestones achieved, and royalty payments and reports concerning Net Sales made, prior to the effective date of termination or expiration), 8.4 through 8.7, 9.1 through 9.3, 10.5, 13.7, and this 13.9. In addition, any other provisions either required to interpret and enforce the Parties’ rights and obligations under this Agreement shall also survive, but only to the extent required for the full observation and performance of this Agreement, or which by their express terms, survive such expiration or termination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242" w:lineRule="exact"/>
        <w:rPr>
          <w:sz w:val="20"/>
          <w:szCs w:val="20"/>
          <w:color w:val="auto"/>
        </w:rPr>
      </w:pPr>
    </w:p>
    <w:p>
      <w:pPr>
        <w:jc w:val="both"/>
        <w:ind w:firstLine="617"/>
        <w:spacing w:after="0" w:line="278" w:lineRule="auto"/>
        <w:rPr>
          <w:sz w:val="20"/>
          <w:szCs w:val="20"/>
          <w:color w:val="auto"/>
        </w:rPr>
      </w:pPr>
      <w:r>
        <w:rPr>
          <w:rFonts w:ascii="Arial" w:cs="Arial" w:eastAsia="Arial" w:hAnsi="Arial"/>
          <w:sz w:val="16"/>
          <w:szCs w:val="16"/>
          <w:b w:val="1"/>
          <w:bCs w:val="1"/>
          <w:color w:val="auto"/>
        </w:rPr>
        <w:t>14.1 Disputes</w:t>
      </w:r>
      <w:r>
        <w:rPr>
          <w:rFonts w:ascii="Arial" w:cs="Arial" w:eastAsia="Arial" w:hAnsi="Arial"/>
          <w:sz w:val="16"/>
          <w:szCs w:val="16"/>
          <w:color w:val="auto"/>
        </w:rPr>
        <w:t>. The Parties recognize that disputes as to certain matters may from time to time arise during the Term which relate to either Party’s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Article 14 to resolve any controversy or claim arising out of, relating to or in connection with any provision of this Agreement, if and when a dispute arises under this Agreement, other than a dispute related to an alleged breach of this Agreement or the Upstream Agreement by BioLineRx, as to which Cypress may elect to pursue any available legal or equitable remedy, subject to the limitation on liability set forth in this Agreement.</w:t>
      </w:r>
    </w:p>
    <w:p>
      <w:pPr>
        <w:spacing w:after="0" w:line="188"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14.2 Internal Resolution. </w:t>
      </w:r>
      <w:r>
        <w:rPr>
          <w:rFonts w:ascii="Arial" w:cs="Arial" w:eastAsia="Arial" w:hAnsi="Arial"/>
          <w:sz w:val="17"/>
          <w:szCs w:val="17"/>
          <w:color w:val="auto"/>
        </w:rPr>
        <w:t>With respect to all disputes arising between the Parties under this Agreement, including any alleged breach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or any issue relating to the interpretation or application of this Agreement, if the Parties are unable to resolve such dispute within [***] days after such dispute is first identified by either Party in writing to the other, the Parties shall refer such dispute to the Executives of the Parties for attempted resolution by good faith negotiations within [***]days after such notice is received.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737" w:name="page738"/>
    <w:bookmarkEnd w:id="737"/>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 xml:space="preserve">14.3 Binding Arbitration. </w:t>
      </w:r>
      <w:r>
        <w:rPr>
          <w:rFonts w:ascii="Arial" w:cs="Arial" w:eastAsia="Arial" w:hAnsi="Arial"/>
          <w:sz w:val="17"/>
          <w:szCs w:val="17"/>
          <w:color w:val="auto"/>
        </w:rPr>
        <w:t>If the Executives are not able to resolve such disputed matter within [***]days and either Party wishes to pursue the matter,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dispute, controversy or claim that is not an Excluded Claim (defined in Section 14.4 below) shall be finally resolved by binding arbitration administered by JAMS pursuant to JAMS’ Streamlined Arbitration Rules and Procedures then in effect (the </w:t>
      </w:r>
      <w:r>
        <w:rPr>
          <w:rFonts w:ascii="Arial" w:cs="Arial" w:eastAsia="Arial" w:hAnsi="Arial"/>
          <w:sz w:val="17"/>
          <w:szCs w:val="17"/>
          <w:b w:val="1"/>
          <w:bCs w:val="1"/>
          <w:color w:val="auto"/>
        </w:rPr>
        <w:t>“JAMS Rules”</w:t>
      </w:r>
      <w:r>
        <w:rPr>
          <w:rFonts w:ascii="Arial" w:cs="Arial" w:eastAsia="Arial" w:hAnsi="Arial"/>
          <w:sz w:val="17"/>
          <w:szCs w:val="17"/>
          <w:color w:val="auto"/>
        </w:rPr>
        <w:t>), and judgment on the arbitration award may be entered in any court having jurisdiction thereof. The Parties agree that:</w:t>
      </w:r>
    </w:p>
    <w:p>
      <w:pPr>
        <w:spacing w:after="0" w:line="204" w:lineRule="exact"/>
        <w:rPr>
          <w:sz w:val="20"/>
          <w:szCs w:val="20"/>
          <w:color w:val="auto"/>
        </w:rPr>
      </w:pPr>
    </w:p>
    <w:p>
      <w:pPr>
        <w:jc w:val="both"/>
        <w:ind w:firstLine="1238"/>
        <w:spacing w:after="0" w:line="279" w:lineRule="auto"/>
        <w:tabs>
          <w:tab w:leader="none" w:pos="1477" w:val="left"/>
        </w:tabs>
        <w:numPr>
          <w:ilvl w:val="0"/>
          <w:numId w:val="683"/>
        </w:numPr>
        <w:rPr>
          <w:rFonts w:ascii="Arial" w:cs="Arial" w:eastAsia="Arial" w:hAnsi="Arial"/>
          <w:sz w:val="16"/>
          <w:szCs w:val="16"/>
          <w:b w:val="1"/>
          <w:bCs w:val="1"/>
          <w:color w:val="auto"/>
        </w:rPr>
      </w:pPr>
      <w:r>
        <w:rPr>
          <w:rFonts w:ascii="Arial" w:cs="Arial" w:eastAsia="Arial" w:hAnsi="Arial"/>
          <w:sz w:val="16"/>
          <w:szCs w:val="16"/>
          <w:color w:val="auto"/>
        </w:rPr>
        <w:t>The arbitration shall be conducted by a panel of three persons experienced in the pharmaceutical business: within thirty [***] after initiation of arbitration, each Party shall select one person to act as arbitrator and the two Party-selected arbitrators shall select a third arbitrator within [***] days of their appointment. If the arbitrators selected by the Parties are unable or fail to agree upon the third arbitrator, the third arbitrator shall be appointed by JAMS. The place of arbitration shall be New York, New York U.S.A., and all proceedings and communications shall be in English. The panel of arbitrators shall decide the issue within [***] days after appointment of the third arbitrator, and shall render this decision in writing and provide reasons for the decision and any award.</w:t>
      </w:r>
    </w:p>
    <w:p>
      <w:pPr>
        <w:spacing w:after="0" w:line="191" w:lineRule="exact"/>
        <w:rPr>
          <w:rFonts w:ascii="Arial" w:cs="Arial" w:eastAsia="Arial" w:hAnsi="Arial"/>
          <w:sz w:val="16"/>
          <w:szCs w:val="16"/>
          <w:b w:val="1"/>
          <w:bCs w:val="1"/>
          <w:color w:val="auto"/>
        </w:rPr>
      </w:pPr>
    </w:p>
    <w:p>
      <w:pPr>
        <w:jc w:val="both"/>
        <w:ind w:firstLine="1238"/>
        <w:spacing w:after="0" w:line="259" w:lineRule="auto"/>
        <w:tabs>
          <w:tab w:leader="none" w:pos="1500" w:val="left"/>
        </w:tabs>
        <w:numPr>
          <w:ilvl w:val="0"/>
          <w:numId w:val="683"/>
        </w:numPr>
        <w:rPr>
          <w:rFonts w:ascii="Arial" w:cs="Arial" w:eastAsia="Arial" w:hAnsi="Arial"/>
          <w:sz w:val="17"/>
          <w:szCs w:val="17"/>
          <w:b w:val="1"/>
          <w:bCs w:val="1"/>
          <w:color w:val="auto"/>
        </w:rPr>
      </w:pPr>
      <w:r>
        <w:rPr>
          <w:rFonts w:ascii="Arial" w:cs="Arial" w:eastAsia="Arial" w:hAnsi="Arial"/>
          <w:sz w:val="17"/>
          <w:szCs w:val="17"/>
          <w:color w:val="auto"/>
        </w:rPr>
        <w:t>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punitive or any other type of damages not measured by a Party’s compensatory damage. Each Party shall bear its own costs and expenses and attorneys’ fees and an equal share of the arbitrators’ fees and any administrative fees of arbitration regardless of the outcome of such arbitration.</w:t>
      </w:r>
    </w:p>
    <w:p>
      <w:pPr>
        <w:spacing w:after="0" w:line="206"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A Party shall be entitled to deduct or otherwise offset any damage finally awarded under a proceeding initiated under Section 14.3 against payments due under this Agreement.</w:t>
      </w:r>
    </w:p>
    <w:p>
      <w:pPr>
        <w:spacing w:after="0" w:line="184" w:lineRule="exact"/>
        <w:rPr>
          <w:sz w:val="20"/>
          <w:szCs w:val="20"/>
          <w:color w:val="auto"/>
        </w:rPr>
      </w:pPr>
    </w:p>
    <w:p>
      <w:pPr>
        <w:ind w:left="5620" w:right="2360" w:hanging="5617"/>
        <w:spacing w:after="0" w:line="854" w:lineRule="auto"/>
        <w:tabs>
          <w:tab w:leader="none" w:pos="409" w:val="left"/>
        </w:tabs>
        <w:numPr>
          <w:ilvl w:val="0"/>
          <w:numId w:val="6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Omitted pursuant to a confidential treatment request. The confidential portion has been filed separately with the SEC. </w:t>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257415" cy="209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38" w:name="page739"/>
    <w:bookmarkEnd w:id="738"/>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42" w:lineRule="exact"/>
        <w:rPr>
          <w:sz w:val="20"/>
          <w:szCs w:val="20"/>
          <w:color w:val="auto"/>
        </w:rPr>
      </w:pPr>
    </w:p>
    <w:p>
      <w:pPr>
        <w:jc w:val="both"/>
        <w:ind w:firstLine="1238"/>
        <w:spacing w:after="0" w:line="289" w:lineRule="auto"/>
        <w:tabs>
          <w:tab w:leader="none" w:pos="1468" w:val="left"/>
        </w:tabs>
        <w:numPr>
          <w:ilvl w:val="0"/>
          <w:numId w:val="685"/>
        </w:numPr>
        <w:rPr>
          <w:rFonts w:ascii="Arial" w:cs="Arial" w:eastAsia="Arial" w:hAnsi="Arial"/>
          <w:sz w:val="16"/>
          <w:szCs w:val="16"/>
          <w:b w:val="1"/>
          <w:bCs w:val="1"/>
          <w:color w:val="auto"/>
        </w:rPr>
      </w:pPr>
      <w:r>
        <w:rPr>
          <w:rFonts w:ascii="Arial" w:cs="Arial" w:eastAsia="Arial" w:hAnsi="Arial"/>
          <w:sz w:val="16"/>
          <w:szCs w:val="16"/>
          <w:color w:val="auto"/>
        </w:rPr>
        <w:t>Except to the extent necessary to confirm an award or as may be required by law,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New York statute of limitations.</w:t>
      </w:r>
    </w:p>
    <w:p>
      <w:pPr>
        <w:spacing w:after="0" w:line="178"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14.4 Excluded Claim. </w:t>
      </w:r>
      <w:r>
        <w:rPr>
          <w:rFonts w:ascii="Arial" w:cs="Arial" w:eastAsia="Arial" w:hAnsi="Arial"/>
          <w:sz w:val="17"/>
          <w:szCs w:val="17"/>
          <w:color w:val="auto"/>
        </w:rPr>
        <w:t>As used in Section 14.3, the term “</w:t>
      </w:r>
      <w:r>
        <w:rPr>
          <w:rFonts w:ascii="Arial" w:cs="Arial" w:eastAsia="Arial" w:hAnsi="Arial"/>
          <w:sz w:val="17"/>
          <w:szCs w:val="17"/>
          <w:b w:val="1"/>
          <w:bCs w:val="1"/>
          <w:color w:val="auto"/>
        </w:rPr>
        <w:t>Excluded Claim</w:t>
      </w:r>
      <w:r>
        <w:rPr>
          <w:rFonts w:ascii="Arial" w:cs="Arial" w:eastAsia="Arial" w:hAnsi="Arial"/>
          <w:sz w:val="17"/>
          <w:szCs w:val="17"/>
          <w:color w:val="auto"/>
        </w:rPr>
        <w:t>” shall mean a dispute, controversy or claim that concerns (a) the scope, 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inventorship or infringement of a patent, patent application, trademark or copyright; or (b) any antitrust, anti-monopoly or competition law or regulation, whether or not statutory.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42"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15.1 Entire Agreement; Amendment</w:t>
      </w:r>
      <w:r>
        <w:rPr>
          <w:rFonts w:ascii="Arial" w:cs="Arial" w:eastAsia="Arial" w:hAnsi="Arial"/>
          <w:sz w:val="17"/>
          <w:szCs w:val="17"/>
          <w:color w:val="auto"/>
        </w:rPr>
        <w:t>. This Agreement, including the Exhibits hereto, sets forth the complete, final and exclusive agreement and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201" w:lineRule="exact"/>
        <w:rPr>
          <w:sz w:val="20"/>
          <w:szCs w:val="20"/>
          <w:color w:val="auto"/>
        </w:rPr>
      </w:pPr>
    </w:p>
    <w:p>
      <w:pPr>
        <w:jc w:val="both"/>
        <w:ind w:firstLine="617"/>
        <w:spacing w:after="0" w:line="275" w:lineRule="auto"/>
        <w:rPr>
          <w:sz w:val="20"/>
          <w:szCs w:val="20"/>
          <w:color w:val="auto"/>
        </w:rPr>
      </w:pPr>
      <w:r>
        <w:rPr>
          <w:rFonts w:ascii="Arial" w:cs="Arial" w:eastAsia="Arial" w:hAnsi="Arial"/>
          <w:sz w:val="16"/>
          <w:szCs w:val="16"/>
          <w:b w:val="1"/>
          <w:bCs w:val="1"/>
          <w:color w:val="auto"/>
        </w:rPr>
        <w:t>15.2 Force Majeure</w:t>
      </w:r>
      <w:r>
        <w:rPr>
          <w:rFonts w:ascii="Arial" w:cs="Arial" w:eastAsia="Arial" w:hAnsi="Arial"/>
          <w:sz w:val="16"/>
          <w:szCs w:val="16"/>
          <w:color w:val="auto"/>
        </w:rPr>
        <w:t>. Each Party shall be excused from the performance of its obligations under this Agreement to the extent that such performance is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reasonable control of the nonperforming Party, including an act of God or terrorism, involuntary compliance with any regulation, law or order of any government, war, civil commotion, epidemic, failure or default of public utilities or common carriers, destruction of production facilities or materials by fire, earthquake, storm or like catastrophe.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39" w:name="page740"/>
    <w:bookmarkEnd w:id="739"/>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309" w:lineRule="auto"/>
        <w:rPr>
          <w:sz w:val="20"/>
          <w:szCs w:val="20"/>
          <w:color w:val="auto"/>
        </w:rPr>
      </w:pPr>
      <w:r>
        <w:rPr>
          <w:rFonts w:ascii="Arial" w:cs="Arial" w:eastAsia="Arial" w:hAnsi="Arial"/>
          <w:sz w:val="15"/>
          <w:szCs w:val="15"/>
          <w:b w:val="1"/>
          <w:bCs w:val="1"/>
          <w:color w:val="auto"/>
        </w:rPr>
        <w:t>15.3 Notices</w:t>
      </w:r>
      <w:r>
        <w:rPr>
          <w:rFonts w:ascii="Arial" w:cs="Arial" w:eastAsia="Arial" w:hAnsi="Arial"/>
          <w:sz w:val="15"/>
          <w:szCs w:val="15"/>
          <w:color w:val="auto"/>
        </w:rPr>
        <w:t>. Any notice required or permitted to be given under this Agreement shall be in writing, shall specifically refer to this Agreement, and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addressed to the appropriate Party at the address specified below or such other address as may be specified by such Party in writing in accordance with this Section 15.3, and shall be deemed to have been sufficiently given for all purposes when received, if in writing and personally delivered, facsimile transmission (receipt verified) or overnight express courier service (signature required), prepaid, to the Party for which such notice is intended, at the address set forth for such Party below.</w:t>
      </w:r>
    </w:p>
    <w:p>
      <w:pPr>
        <w:sectPr>
          <w:pgSz w:w="11900" w:h="16838" w:orient="portrait"/>
          <w:cols w:equalWidth="0" w:num="1">
            <w:col w:w="11420"/>
          </w:cols>
          <w:pgMar w:left="240" w:top="590" w:right="239" w:bottom="1440" w:gutter="0" w:footer="0" w:header="0"/>
        </w:sectPr>
      </w:pP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to BioLineRx:</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 Box 45158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Jerusalem, 91450, Israel</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Attention: Dr. Kinneret Savitsky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 CFO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 +972 (2) 548-9101</w:t>
      </w:r>
    </w:p>
    <w:p>
      <w:pPr>
        <w:spacing w:after="0" w:line="200" w:lineRule="exact"/>
        <w:rPr>
          <w:sz w:val="20"/>
          <w:szCs w:val="20"/>
          <w:color w:val="auto"/>
        </w:rPr>
      </w:pPr>
    </w:p>
    <w:p>
      <w:pPr>
        <w:sectPr>
          <w:pgSz w:w="11900" w:h="16838" w:orient="portrait"/>
          <w:cols w:equalWidth="0" w:num="2">
            <w:col w:w="2800" w:space="720"/>
            <w:col w:w="7900"/>
          </w:cols>
          <w:pgMar w:left="240" w:top="590" w:right="239" w:bottom="1440" w:gutter="0" w:footer="0" w:header="0"/>
          <w:type w:val="continuous"/>
        </w:sectPr>
      </w:pPr>
    </w:p>
    <w:p>
      <w:pPr>
        <w:spacing w:after="0" w:line="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copies to (which shall not constitute notice):</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Cooley LLP</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11951 Freedom Drive</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Reston, VA 20190-5656</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Attention: Ken Krisko, Esq.</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Fax: 703-456-8100</w:t>
      </w:r>
    </w:p>
    <w:p>
      <w:pPr>
        <w:sectPr>
          <w:pgSz w:w="11900" w:h="16838" w:orient="portrait"/>
          <w:cols w:equalWidth="0" w:num="1">
            <w:col w:w="11420"/>
          </w:cols>
          <w:pgMar w:left="240" w:top="590" w:right="239" w:bottom="1440" w:gutter="0" w:footer="0" w:header="0"/>
          <w:type w:val="continuous"/>
        </w:sect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If to Cypress: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Cypress Bioscience,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4350 Executive Drive, Suite 325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 92121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Attention: Dr. Jay D. Kranzler</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Legal Department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Fax: +1 (858) 452-1222</w:t>
      </w:r>
    </w:p>
    <w:p>
      <w:pPr>
        <w:spacing w:after="0" w:line="200" w:lineRule="exact"/>
        <w:rPr>
          <w:sz w:val="20"/>
          <w:szCs w:val="20"/>
          <w:color w:val="auto"/>
        </w:rPr>
      </w:pPr>
    </w:p>
    <w:p>
      <w:pPr>
        <w:sectPr>
          <w:pgSz w:w="11900" w:h="16838" w:orient="portrait"/>
          <w:cols w:equalWidth="0" w:num="2">
            <w:col w:w="2800" w:space="720"/>
            <w:col w:w="7900"/>
          </w:cols>
          <w:pgMar w:left="240" w:top="590" w:right="239" w:bottom="1440" w:gutter="0" w:footer="0" w:header="0"/>
          <w:type w:val="continuous"/>
        </w:sectPr>
      </w:pPr>
    </w:p>
    <w:p>
      <w:pPr>
        <w:spacing w:after="0" w:line="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copies to (which shall not constitute notice):</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Latham &amp; Watkins LLP</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12636 High Bluff Drive, Suite 400</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San Diego, California 92130</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Attention: Faye H. Russell, Esq.</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Fax: +1 (858) 523-5450</w:t>
      </w:r>
    </w:p>
    <w:p>
      <w:pPr>
        <w:spacing w:after="0" w:line="225"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15.4 No Strict Construction; Headings</w:t>
      </w:r>
      <w:r>
        <w:rPr>
          <w:rFonts w:ascii="Arial" w:cs="Arial" w:eastAsia="Arial" w:hAnsi="Arial"/>
          <w:sz w:val="17"/>
          <w:szCs w:val="17"/>
          <w:color w:val="auto"/>
        </w:rPr>
        <w:t>. This Agreement has been prepared jointly and shall not be strictly construed against either Party. Ambiguities, if</w:t>
      </w:r>
      <w:r>
        <w:rPr>
          <w:rFonts w:ascii="Arial" w:cs="Arial" w:eastAsia="Arial" w:hAnsi="Arial"/>
          <w:sz w:val="17"/>
          <w:szCs w:val="17"/>
          <w:b w:val="1"/>
          <w:bCs w:val="1"/>
          <w:color w:val="auto"/>
        </w:rPr>
        <w:t xml:space="preserve"> </w:t>
      </w:r>
      <w:r>
        <w:rPr>
          <w:rFonts w:ascii="Arial" w:cs="Arial" w:eastAsia="Arial" w:hAnsi="Arial"/>
          <w:sz w:val="17"/>
          <w:szCs w:val="17"/>
          <w:color w:val="auto"/>
        </w:rPr>
        <w:t>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740" w:name="page741"/>
    <w:bookmarkEnd w:id="740"/>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15.5 Assignment</w:t>
      </w:r>
      <w:r>
        <w:rPr>
          <w:rFonts w:ascii="Arial" w:cs="Arial" w:eastAsia="Arial" w:hAnsi="Arial"/>
          <w:sz w:val="17"/>
          <w:szCs w:val="17"/>
          <w:color w:val="auto"/>
        </w:rPr>
        <w:t>. Neither Party may assign or transfer this Agreement or any rights or obligations hereunder without the prior written consent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that a Party may make such an assignment without the other Party’s consent to Affiliates or to a successor to substantially all of the business of such Party to which this Agreement relates (whether by merger, sale of stock, sale of assets or other transaction) (the “</w:t>
      </w:r>
      <w:r>
        <w:rPr>
          <w:rFonts w:ascii="Arial" w:cs="Arial" w:eastAsia="Arial" w:hAnsi="Arial"/>
          <w:sz w:val="17"/>
          <w:szCs w:val="17"/>
          <w:b w:val="1"/>
          <w:bCs w:val="1"/>
          <w:color w:val="auto"/>
        </w:rPr>
        <w:t>Acquisition</w:t>
      </w:r>
      <w:r>
        <w:rPr>
          <w:rFonts w:ascii="Arial" w:cs="Arial" w:eastAsia="Arial" w:hAnsi="Arial"/>
          <w:sz w:val="17"/>
          <w:szCs w:val="17"/>
          <w:color w:val="auto"/>
        </w:rPr>
        <w:t>”). Any permitted successor or assignee of rights or obligations hereunder shall, in writing to the other Party, expressly assume performance of such rights or obligations. Any permitted assignment shall be binding on the successors of the assigning Party. Any assignment or attempted assignment by either Party in violation of the terms of this Section 15.5 shall be null, void and of no legal effect.</w:t>
      </w:r>
    </w:p>
    <w:p>
      <w:pPr>
        <w:spacing w:after="0" w:line="201" w:lineRule="exact"/>
        <w:rPr>
          <w:sz w:val="20"/>
          <w:szCs w:val="20"/>
          <w:color w:val="auto"/>
        </w:rPr>
      </w:pPr>
    </w:p>
    <w:p>
      <w:pPr>
        <w:jc w:val="both"/>
        <w:ind w:firstLine="617"/>
        <w:spacing w:after="0" w:line="259" w:lineRule="auto"/>
        <w:rPr>
          <w:sz w:val="20"/>
          <w:szCs w:val="20"/>
          <w:color w:val="auto"/>
        </w:rPr>
      </w:pPr>
      <w:r>
        <w:rPr>
          <w:rFonts w:ascii="Arial" w:cs="Arial" w:eastAsia="Arial" w:hAnsi="Arial"/>
          <w:sz w:val="17"/>
          <w:szCs w:val="17"/>
          <w:b w:val="1"/>
          <w:bCs w:val="1"/>
          <w:color w:val="auto"/>
        </w:rPr>
        <w:t>15.6 Performance by Affiliates</w:t>
      </w:r>
      <w:r>
        <w:rPr>
          <w:rFonts w:ascii="Arial" w:cs="Arial" w:eastAsia="Arial" w:hAnsi="Arial"/>
          <w:sz w:val="17"/>
          <w:szCs w:val="17"/>
          <w:color w:val="auto"/>
        </w:rPr>
        <w:t>. Each Party may discharge any obligations and exercise any right hereunder through any of its Affiliates, and when any</w:t>
      </w:r>
      <w:r>
        <w:rPr>
          <w:rFonts w:ascii="Arial" w:cs="Arial" w:eastAsia="Arial" w:hAnsi="Arial"/>
          <w:sz w:val="17"/>
          <w:szCs w:val="17"/>
          <w:b w:val="1"/>
          <w:bCs w:val="1"/>
          <w:color w:val="auto"/>
        </w:rPr>
        <w:t xml:space="preserve"> </w:t>
      </w:r>
      <w:r>
        <w:rPr>
          <w:rFonts w:ascii="Arial" w:cs="Arial" w:eastAsia="Arial" w:hAnsi="Arial"/>
          <w:sz w:val="17"/>
          <w:szCs w:val="17"/>
          <w:color w:val="auto"/>
        </w:rPr>
        <w:t>such Affiliate is discharging such obligations or exercising such right, the terms and conditions of this Agreement applicable to such Party also shall be applicable to such Affiliate.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201"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15.7 Further Actions</w:t>
      </w:r>
      <w:r>
        <w:rPr>
          <w:rFonts w:ascii="Arial" w:cs="Arial" w:eastAsia="Arial" w:hAnsi="Arial"/>
          <w:sz w:val="17"/>
          <w:szCs w:val="17"/>
          <w:color w:val="auto"/>
        </w:rPr>
        <w:t>. Each Party agrees to execute, acknowledge and deliver such further instruments, and to do all such other acts, as may be necessary or</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in order to carry out the purposes and intent of this Agreement.</w:t>
      </w:r>
    </w:p>
    <w:p>
      <w:pPr>
        <w:spacing w:after="0" w:line="177" w:lineRule="exact"/>
        <w:rPr>
          <w:sz w:val="20"/>
          <w:szCs w:val="20"/>
          <w:color w:val="auto"/>
        </w:rPr>
      </w:pPr>
    </w:p>
    <w:p>
      <w:pPr>
        <w:jc w:val="both"/>
        <w:ind w:firstLine="617"/>
        <w:spacing w:after="0" w:line="263" w:lineRule="auto"/>
        <w:rPr>
          <w:sz w:val="20"/>
          <w:szCs w:val="20"/>
          <w:color w:val="auto"/>
        </w:rPr>
      </w:pPr>
      <w:r>
        <w:rPr>
          <w:rFonts w:ascii="Arial" w:cs="Arial" w:eastAsia="Arial" w:hAnsi="Arial"/>
          <w:sz w:val="17"/>
          <w:szCs w:val="17"/>
          <w:b w:val="1"/>
          <w:bCs w:val="1"/>
          <w:color w:val="auto"/>
        </w:rPr>
        <w:t>15.8 Severability</w:t>
      </w:r>
      <w:r>
        <w:rPr>
          <w:rFonts w:ascii="Arial" w:cs="Arial" w:eastAsia="Arial" w:hAnsi="Arial"/>
          <w:sz w:val="17"/>
          <w:szCs w:val="17"/>
          <w:color w:val="auto"/>
        </w:rPr>
        <w:t>. If any one or more of the provisions of this Agreement is held to be invalid or unenforceable by any court of competent jurisdiction from</w:t>
      </w:r>
      <w:r>
        <w:rPr>
          <w:rFonts w:ascii="Arial" w:cs="Arial" w:eastAsia="Arial" w:hAnsi="Arial"/>
          <w:sz w:val="17"/>
          <w:szCs w:val="17"/>
          <w:b w:val="1"/>
          <w:bCs w:val="1"/>
          <w:color w:val="auto"/>
        </w:rPr>
        <w:t xml:space="preserve"> </w:t>
      </w:r>
      <w:r>
        <w:rPr>
          <w:rFonts w:ascii="Arial" w:cs="Arial" w:eastAsia="Arial" w:hAnsi="Arial"/>
          <w:sz w:val="17"/>
          <w:szCs w:val="17"/>
          <w:color w:val="auto"/>
        </w:rPr>
        <w:t>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98"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15.9 No Waiver</w:t>
      </w:r>
      <w:r>
        <w:rPr>
          <w:rFonts w:ascii="Arial" w:cs="Arial" w:eastAsia="Arial" w:hAnsi="Arial"/>
          <w:sz w:val="17"/>
          <w:szCs w:val="17"/>
          <w:color w:val="auto"/>
        </w:rPr>
        <w:t>. Any delay in enforcing a Party’s rights under this Agreement or any waiver as to a particular default or other matter shall not constitute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of such Party’s rights to the future enforcement of its rights under this Agreement, except with respect to an express written and signed waiver relating to a particular matter for a particular period of time.</w:t>
      </w:r>
    </w:p>
    <w:p>
      <w:pPr>
        <w:spacing w:after="0" w:line="19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15.10 Independent Contractors</w:t>
      </w:r>
      <w:r>
        <w:rPr>
          <w:rFonts w:ascii="Arial" w:cs="Arial" w:eastAsia="Arial" w:hAnsi="Arial"/>
          <w:sz w:val="17"/>
          <w:szCs w:val="17"/>
          <w:color w:val="auto"/>
        </w:rPr>
        <w:t>. Each Party shall act solely as an independent contractor, and nothing in this Agreement shall be construed to give 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the power or authority to act for, bind, or commit the other Party in any way. Nothing herein shall be construed to create the relationship of partners, principal and agent, or joint-venture partners between the Parties.</w:t>
      </w:r>
    </w:p>
    <w:p>
      <w:pPr>
        <w:spacing w:after="0" w:line="192" w:lineRule="exact"/>
        <w:rPr>
          <w:sz w:val="20"/>
          <w:szCs w:val="20"/>
          <w:color w:val="auto"/>
        </w:rPr>
      </w:pPr>
    </w:p>
    <w:p>
      <w:pPr>
        <w:jc w:val="both"/>
        <w:ind w:firstLine="617"/>
        <w:spacing w:after="0" w:line="269" w:lineRule="auto"/>
        <w:rPr>
          <w:sz w:val="20"/>
          <w:szCs w:val="20"/>
          <w:color w:val="auto"/>
        </w:rPr>
      </w:pPr>
      <w:r>
        <w:rPr>
          <w:rFonts w:ascii="Arial" w:cs="Arial" w:eastAsia="Arial" w:hAnsi="Arial"/>
          <w:sz w:val="17"/>
          <w:szCs w:val="17"/>
          <w:b w:val="1"/>
          <w:bCs w:val="1"/>
          <w:color w:val="auto"/>
        </w:rPr>
        <w:t xml:space="preserve">15.11 No Third Party Beneficiaries. </w:t>
      </w:r>
      <w:r>
        <w:rPr>
          <w:rFonts w:ascii="Arial" w:cs="Arial" w:eastAsia="Arial" w:hAnsi="Arial"/>
          <w:sz w:val="17"/>
          <w:szCs w:val="17"/>
          <w:color w:val="auto"/>
        </w:rPr>
        <w:t>Except for rights and obligations specifically referred to herein that apply to Affiliates, sublicenses or licensees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nothing in this Agreement is intended to confer on any Person other than BioLineRx or Cypress any rights or obligations under this Agreement, and there are no intended Third Party beneficiaries to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1" w:name="page742"/>
    <w:bookmarkEnd w:id="741"/>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jc w:val="both"/>
        <w:ind w:firstLine="617"/>
        <w:spacing w:after="0" w:line="293" w:lineRule="auto"/>
        <w:rPr>
          <w:sz w:val="20"/>
          <w:szCs w:val="20"/>
          <w:color w:val="auto"/>
        </w:rPr>
      </w:pPr>
      <w:r>
        <w:rPr>
          <w:rFonts w:ascii="Arial" w:cs="Arial" w:eastAsia="Arial" w:hAnsi="Arial"/>
          <w:sz w:val="16"/>
          <w:szCs w:val="16"/>
          <w:b w:val="1"/>
          <w:bCs w:val="1"/>
          <w:color w:val="auto"/>
        </w:rPr>
        <w:t xml:space="preserve">15.12 English Language. </w:t>
      </w:r>
      <w:r>
        <w:rPr>
          <w:rFonts w:ascii="Arial" w:cs="Arial" w:eastAsia="Arial" w:hAnsi="Arial"/>
          <w:sz w:val="16"/>
          <w:szCs w:val="16"/>
          <w:color w:val="auto"/>
        </w:rPr>
        <w:t>This Agreement was prepared in the English language, which language shall govern the interpretation of, and any dispute</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terms of this Agreement. To the extent this Agreement requires a Party to provide to the other Party Information, correspondence, notice or other documentation, such Party shall provide such Information, correspondence, notice or other documentation in the English language.</w:t>
      </w:r>
    </w:p>
    <w:p>
      <w:pPr>
        <w:spacing w:after="0" w:line="175" w:lineRule="exact"/>
        <w:rPr>
          <w:sz w:val="20"/>
          <w:szCs w:val="20"/>
          <w:color w:val="auto"/>
        </w:rPr>
      </w:pPr>
    </w:p>
    <w:p>
      <w:pPr>
        <w:jc w:val="both"/>
        <w:ind w:firstLine="617"/>
        <w:spacing w:after="0" w:line="356" w:lineRule="auto"/>
        <w:rPr>
          <w:sz w:val="20"/>
          <w:szCs w:val="20"/>
          <w:color w:val="auto"/>
        </w:rPr>
      </w:pPr>
      <w:r>
        <w:rPr>
          <w:rFonts w:ascii="Arial" w:cs="Arial" w:eastAsia="Arial" w:hAnsi="Arial"/>
          <w:sz w:val="15"/>
          <w:szCs w:val="15"/>
          <w:b w:val="1"/>
          <w:bCs w:val="1"/>
          <w:color w:val="auto"/>
        </w:rPr>
        <w:t>15.13 Governing Law</w:t>
      </w:r>
      <w:r>
        <w:rPr>
          <w:rFonts w:ascii="Arial" w:cs="Arial" w:eastAsia="Arial" w:hAnsi="Arial"/>
          <w:sz w:val="15"/>
          <w:szCs w:val="15"/>
          <w:color w:val="auto"/>
        </w:rPr>
        <w:t>. This Agreement and all disputes arising out of or related to this Agreement or any breach hereof shall be governed by and construed</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laws of the State of New York, without giving effect to any choice of law principles that would require the application of the laws of a different state.</w:t>
      </w:r>
    </w:p>
    <w:p>
      <w:pPr>
        <w:spacing w:after="0" w:line="131" w:lineRule="exact"/>
        <w:rPr>
          <w:sz w:val="20"/>
          <w:szCs w:val="20"/>
          <w:color w:val="auto"/>
        </w:rPr>
      </w:pPr>
    </w:p>
    <w:p>
      <w:pPr>
        <w:jc w:val="both"/>
        <w:ind w:firstLine="617"/>
        <w:spacing w:after="0" w:line="286" w:lineRule="auto"/>
        <w:rPr>
          <w:sz w:val="20"/>
          <w:szCs w:val="20"/>
          <w:color w:val="auto"/>
        </w:rPr>
      </w:pPr>
      <w:r>
        <w:rPr>
          <w:rFonts w:ascii="Arial" w:cs="Arial" w:eastAsia="Arial" w:hAnsi="Arial"/>
          <w:sz w:val="17"/>
          <w:szCs w:val="17"/>
          <w:b w:val="1"/>
          <w:bCs w:val="1"/>
          <w:color w:val="auto"/>
        </w:rPr>
        <w:t>15.14 Counterparts</w:t>
      </w:r>
      <w:r>
        <w:rPr>
          <w:rFonts w:ascii="Arial" w:cs="Arial" w:eastAsia="Arial" w:hAnsi="Arial"/>
          <w:sz w:val="17"/>
          <w:szCs w:val="17"/>
          <w:color w:val="auto"/>
        </w:rPr>
        <w:t>. This Agreement may be executed in one (1) or more counterparts by original or facsimile signature, each of which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shall constitute one and the same instrument.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2" w:name="page743"/>
    <w:bookmarkEnd w:id="742"/>
    <w:p>
      <w:pPr>
        <w:ind w:left="10340"/>
        <w:spacing w:after="0"/>
        <w:rPr>
          <w:sz w:val="20"/>
          <w:szCs w:val="20"/>
          <w:color w:val="auto"/>
        </w:rPr>
      </w:pPr>
      <w:r>
        <w:rPr>
          <w:rFonts w:ascii="Arial" w:cs="Arial" w:eastAsia="Arial" w:hAnsi="Arial"/>
          <w:sz w:val="16"/>
          <w:szCs w:val="16"/>
          <w:b w:val="1"/>
          <w:bCs w:val="1"/>
          <w:i w:val="1"/>
          <w:iCs w:val="1"/>
          <w:color w:val="auto"/>
        </w:rPr>
        <w:t>E</w:t>
      </w:r>
      <w:r>
        <w:rPr>
          <w:rFonts w:ascii="Arial" w:cs="Arial" w:eastAsia="Arial" w:hAnsi="Arial"/>
          <w:sz w:val="10"/>
          <w:szCs w:val="10"/>
          <w:b w:val="1"/>
          <w:bCs w:val="1"/>
          <w:i w:val="1"/>
          <w:iCs w:val="1"/>
          <w:color w:val="auto"/>
        </w:rPr>
        <w:t>XECUTION</w:t>
      </w:r>
      <w:r>
        <w:rPr>
          <w:rFonts w:ascii="Arial" w:cs="Arial" w:eastAsia="Arial" w:hAnsi="Arial"/>
          <w:sz w:val="16"/>
          <w:szCs w:val="16"/>
          <w:b w:val="1"/>
          <w:bCs w:val="1"/>
          <w:i w:val="1"/>
          <w:iCs w:val="1"/>
          <w:color w:val="auto"/>
        </w:rPr>
        <w:t xml:space="preserve"> C</w:t>
      </w:r>
      <w:r>
        <w:rPr>
          <w:rFonts w:ascii="Arial" w:cs="Arial" w:eastAsia="Arial" w:hAnsi="Arial"/>
          <w:sz w:val="10"/>
          <w:szCs w:val="10"/>
          <w:b w:val="1"/>
          <w:bCs w:val="1"/>
          <w:i w:val="1"/>
          <w:iCs w:val="1"/>
          <w:color w:val="auto"/>
        </w:rPr>
        <w:t>OPY</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have executed this Agreement in duplicate originals by their duly authorized officers as of the Execution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IO</w:t>
            </w:r>
            <w:r>
              <w:rPr>
                <w:rFonts w:ascii="Arial" w:cs="Arial" w:eastAsia="Arial" w:hAnsi="Arial"/>
                <w:sz w:val="17"/>
                <w:szCs w:val="17"/>
                <w:b w:val="1"/>
                <w:bCs w:val="1"/>
                <w:color w:val="auto"/>
              </w:rPr>
              <w:t>L</w:t>
            </w:r>
            <w:r>
              <w:rPr>
                <w:rFonts w:ascii="Arial" w:cs="Arial" w:eastAsia="Arial" w:hAnsi="Arial"/>
                <w:sz w:val="11"/>
                <w:szCs w:val="11"/>
                <w:b w:val="1"/>
                <w:bCs w:val="1"/>
                <w:color w:val="auto"/>
              </w:rPr>
              <w:t>INE</w:t>
            </w:r>
            <w:r>
              <w:rPr>
                <w:rFonts w:ascii="Arial" w:cs="Arial" w:eastAsia="Arial" w:hAnsi="Arial"/>
                <w:sz w:val="17"/>
                <w:szCs w:val="17"/>
                <w:b w:val="1"/>
                <w:bCs w:val="1"/>
                <w:color w:val="auto"/>
              </w:rPr>
              <w:t>R</w:t>
            </w:r>
            <w:r>
              <w:rPr>
                <w:rFonts w:ascii="Arial" w:cs="Arial" w:eastAsia="Arial" w:hAnsi="Arial"/>
                <w:sz w:val="11"/>
                <w:szCs w:val="11"/>
                <w:b w:val="1"/>
                <w:bCs w:val="1"/>
                <w:color w:val="auto"/>
              </w:rPr>
              <w:t>X</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TD</w:t>
            </w:r>
            <w:r>
              <w:rPr>
                <w:rFonts w:ascii="Arial" w:cs="Arial" w:eastAsia="Arial" w:hAnsi="Arial"/>
                <w:sz w:val="17"/>
                <w:szCs w:val="17"/>
                <w:b w:val="1"/>
                <w:bCs w:val="1"/>
                <w:color w:val="auto"/>
              </w:rPr>
              <w:t>.</w:t>
            </w:r>
          </w:p>
        </w:tc>
        <w:tc>
          <w:tcPr>
            <w:tcW w:w="5700" w:type="dxa"/>
            <w:vAlign w:val="bottom"/>
            <w:gridSpan w:val="2"/>
          </w:tcPr>
          <w:p>
            <w:pPr>
              <w:ind w:left="90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YPRESS</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IOSCIENCE</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c>
          <w:tcPr>
            <w:tcW w:w="900" w:type="dxa"/>
            <w:vAlign w:val="bottom"/>
          </w:tcPr>
          <w:p>
            <w:pPr>
              <w:spacing w:after="0"/>
              <w:rPr>
                <w:sz w:val="19"/>
                <w:szCs w:val="19"/>
                <w:color w:val="auto"/>
              </w:rPr>
            </w:pPr>
          </w:p>
        </w:tc>
      </w:tr>
      <w:tr>
        <w:trPr>
          <w:trHeight w:val="445"/>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Kinneret Livnat-Savitsky</w:t>
            </w:r>
          </w:p>
        </w:tc>
        <w:tc>
          <w:tcPr>
            <w:tcW w:w="1580" w:type="dxa"/>
            <w:vAlign w:val="bottom"/>
          </w:tcPr>
          <w:p>
            <w:pPr>
              <w:ind w:left="900"/>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Jay D. Kranzler</w:t>
            </w:r>
          </w:p>
        </w:tc>
        <w:tc>
          <w:tcPr>
            <w:tcW w:w="900" w:type="dxa"/>
            <w:vAlign w:val="bottom"/>
          </w:tcPr>
          <w:p>
            <w:pPr>
              <w:spacing w:after="0"/>
              <w:rPr>
                <w:sz w:val="24"/>
                <w:szCs w:val="24"/>
                <w:color w:val="auto"/>
              </w:rPr>
            </w:pPr>
          </w:p>
        </w:tc>
      </w:tr>
      <w:tr>
        <w:trPr>
          <w:trHeight w:val="193"/>
        </w:trPr>
        <w:tc>
          <w:tcPr>
            <w:tcW w:w="70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4120" w:type="dxa"/>
            <w:vAlign w:val="bottom"/>
          </w:tcPr>
          <w:p>
            <w:pPr>
              <w:spacing w:after="0" w:line="194" w:lineRule="exact"/>
              <w:rPr>
                <w:sz w:val="20"/>
                <w:szCs w:val="20"/>
                <w:color w:val="auto"/>
              </w:rPr>
            </w:pPr>
            <w:r>
              <w:rPr>
                <w:rFonts w:ascii="Arial" w:cs="Arial" w:eastAsia="Arial" w:hAnsi="Arial"/>
                <w:sz w:val="17"/>
                <w:szCs w:val="17"/>
                <w:color w:val="auto"/>
              </w:rPr>
              <w:t>Kinneret Livnat-Savitsky, PhD</w:t>
            </w:r>
          </w:p>
        </w:tc>
        <w:tc>
          <w:tcPr>
            <w:tcW w:w="1580" w:type="dxa"/>
            <w:vAlign w:val="bottom"/>
          </w:tcPr>
          <w:p>
            <w:pPr>
              <w:ind w:left="900"/>
              <w:spacing w:after="0" w:line="194" w:lineRule="exact"/>
              <w:rPr>
                <w:sz w:val="20"/>
                <w:szCs w:val="20"/>
                <w:color w:val="auto"/>
              </w:rPr>
            </w:pPr>
            <w:r>
              <w:rPr>
                <w:rFonts w:ascii="Arial" w:cs="Arial" w:eastAsia="Arial" w:hAnsi="Arial"/>
                <w:sz w:val="17"/>
                <w:szCs w:val="17"/>
                <w:color w:val="auto"/>
              </w:rPr>
              <w:t>Name:</w:t>
            </w:r>
          </w:p>
        </w:tc>
        <w:tc>
          <w:tcPr>
            <w:tcW w:w="4120" w:type="dxa"/>
            <w:vAlign w:val="bottom"/>
          </w:tcPr>
          <w:p>
            <w:pPr>
              <w:spacing w:after="0" w:line="194" w:lineRule="exact"/>
              <w:rPr>
                <w:sz w:val="20"/>
                <w:szCs w:val="20"/>
                <w:color w:val="auto"/>
              </w:rPr>
            </w:pPr>
            <w:r>
              <w:rPr>
                <w:rFonts w:ascii="Arial" w:cs="Arial" w:eastAsia="Arial" w:hAnsi="Arial"/>
                <w:sz w:val="17"/>
                <w:szCs w:val="17"/>
                <w:color w:val="auto"/>
              </w:rPr>
              <w:t>Jay D. Kranzler, MD, PhD</w:t>
            </w:r>
          </w:p>
        </w:tc>
        <w:tc>
          <w:tcPr>
            <w:tcW w:w="900" w:type="dxa"/>
            <w:vAlign w:val="bottom"/>
          </w:tcPr>
          <w:p>
            <w:pPr>
              <w:spacing w:after="0"/>
              <w:rPr>
                <w:sz w:val="16"/>
                <w:szCs w:val="16"/>
                <w:color w:val="auto"/>
              </w:rPr>
            </w:pPr>
          </w:p>
        </w:tc>
      </w:tr>
      <w:tr>
        <w:trPr>
          <w:trHeight w:val="217"/>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12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1580" w:type="dxa"/>
            <w:vAlign w:val="bottom"/>
          </w:tcPr>
          <w:p>
            <w:pPr>
              <w:ind w:left="900"/>
              <w:spacing w:after="0"/>
              <w:rPr>
                <w:sz w:val="20"/>
                <w:szCs w:val="20"/>
                <w:color w:val="auto"/>
              </w:rPr>
            </w:pPr>
            <w:r>
              <w:rPr>
                <w:rFonts w:ascii="Arial" w:cs="Arial" w:eastAsia="Arial" w:hAnsi="Arial"/>
                <w:sz w:val="17"/>
                <w:szCs w:val="17"/>
                <w:color w:val="auto"/>
              </w:rPr>
              <w:t>Title:</w:t>
            </w:r>
          </w:p>
        </w:tc>
        <w:tc>
          <w:tcPr>
            <w:tcW w:w="412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900" w:type="dxa"/>
            <w:vAlign w:val="bottom"/>
          </w:tcPr>
          <w:p>
            <w:pPr>
              <w:spacing w:after="0"/>
              <w:rPr>
                <w:sz w:val="18"/>
                <w:szCs w:val="18"/>
                <w:color w:val="auto"/>
              </w:rPr>
            </w:pPr>
          </w:p>
        </w:tc>
      </w:tr>
      <w:tr>
        <w:trPr>
          <w:trHeight w:val="808"/>
        </w:trPr>
        <w:tc>
          <w:tcPr>
            <w:tcW w:w="70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3" w:name="page744"/>
    <w:bookmarkEnd w:id="743"/>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Chemical Structure of BL-1020</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522605</wp:posOffset>
            </wp:positionV>
            <wp:extent cx="7257415" cy="209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4" w:name="page745"/>
    <w:bookmarkEnd w:id="744"/>
    <w:p>
      <w:pPr>
        <w:jc w:val="right"/>
        <w:spacing w:after="0"/>
        <w:rPr>
          <w:sz w:val="20"/>
          <w:szCs w:val="20"/>
          <w:color w:val="auto"/>
        </w:rPr>
      </w:pPr>
      <w:r>
        <w:rPr>
          <w:rFonts w:ascii="Arial" w:cs="Arial" w:eastAsia="Arial" w:hAnsi="Arial"/>
          <w:sz w:val="17"/>
          <w:szCs w:val="17"/>
          <w:b w:val="1"/>
          <w:bCs w:val="1"/>
          <w:i w:val="1"/>
          <w:iCs w:val="1"/>
          <w:color w:val="auto"/>
        </w:rPr>
        <w:t>E</w:t>
      </w:r>
      <w:r>
        <w:rPr>
          <w:rFonts w:ascii="Arial" w:cs="Arial" w:eastAsia="Arial" w:hAnsi="Arial"/>
          <w:sz w:val="11"/>
          <w:szCs w:val="11"/>
          <w:b w:val="1"/>
          <w:bCs w:val="1"/>
          <w:i w:val="1"/>
          <w:iCs w:val="1"/>
          <w:color w:val="auto"/>
        </w:rPr>
        <w:t>XECUTION</w:t>
      </w:r>
      <w:r>
        <w:rPr>
          <w:rFonts w:ascii="Arial" w:cs="Arial" w:eastAsia="Arial" w:hAnsi="Arial"/>
          <w:sz w:val="17"/>
          <w:szCs w:val="17"/>
          <w:b w:val="1"/>
          <w:bCs w:val="1"/>
          <w:i w:val="1"/>
          <w:iCs w:val="1"/>
          <w:color w:val="auto"/>
        </w:rPr>
        <w:t xml:space="preserve"> C</w:t>
      </w:r>
      <w:r>
        <w:rPr>
          <w:rFonts w:ascii="Arial" w:cs="Arial" w:eastAsia="Arial" w:hAnsi="Arial"/>
          <w:sz w:val="11"/>
          <w:szCs w:val="11"/>
          <w:b w:val="1"/>
          <w:bCs w:val="1"/>
          <w:i w:val="1"/>
          <w:iCs w:val="1"/>
          <w:color w:val="auto"/>
        </w:rPr>
        <w:t>OPY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BioLineRx Patents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(all of the BioLineRx Patents set forth in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as of the Execution Date are UA Patents)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Pr>
          <w:p>
            <w:pPr>
              <w:spacing w:after="0"/>
              <w:rPr>
                <w:sz w:val="20"/>
                <w:szCs w:val="20"/>
                <w:color w:val="auto"/>
              </w:rPr>
            </w:pPr>
            <w:r>
              <w:rPr>
                <w:rFonts w:ascii="Arial" w:cs="Arial" w:eastAsia="Arial" w:hAnsi="Arial"/>
                <w:sz w:val="17"/>
                <w:szCs w:val="17"/>
                <w:color w:val="auto"/>
              </w:rPr>
              <w:t>Family I</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2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Issue Date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Our Ref</w:t>
            </w:r>
          </w:p>
        </w:tc>
        <w:tc>
          <w:tcPr>
            <w:tcW w:w="220" w:type="dxa"/>
            <w:vAlign w:val="bottom"/>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Title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Country</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Earliest Priority</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Entry Date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Application No.</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Patent No.</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Status</w:t>
            </w:r>
          </w:p>
        </w:tc>
      </w:tr>
      <w:tr>
        <w:trPr>
          <w:trHeight w:val="217"/>
        </w:trPr>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425"/>
        </w:trPr>
        <w:tc>
          <w:tcPr>
            <w:tcW w:w="1220" w:type="dxa"/>
            <w:vAlign w:val="bottom"/>
          </w:tcPr>
          <w:p>
            <w:pPr>
              <w:spacing w:after="0"/>
              <w:rPr>
                <w:sz w:val="20"/>
                <w:szCs w:val="20"/>
                <w:color w:val="auto"/>
              </w:rPr>
            </w:pPr>
            <w:r>
              <w:rPr>
                <w:rFonts w:ascii="Arial" w:cs="Arial" w:eastAsia="Arial" w:hAnsi="Arial"/>
                <w:sz w:val="17"/>
                <w:szCs w:val="17"/>
                <w:color w:val="auto"/>
              </w:rPr>
              <w:t>Family II</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Issue Date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Ref</w:t>
            </w:r>
          </w:p>
        </w:tc>
        <w:tc>
          <w:tcPr>
            <w:tcW w:w="220" w:type="dxa"/>
            <w:vAlign w:val="bottom"/>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Title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Country</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Earliest Priority</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Entry Date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Application No.</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Patent No.</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Status</w:t>
            </w:r>
          </w:p>
        </w:tc>
      </w:tr>
      <w:tr>
        <w:trPr>
          <w:trHeight w:val="217"/>
        </w:trPr>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425"/>
        </w:trPr>
        <w:tc>
          <w:tcPr>
            <w:tcW w:w="1220" w:type="dxa"/>
            <w:vAlign w:val="bottom"/>
          </w:tcPr>
          <w:p>
            <w:pPr>
              <w:spacing w:after="0"/>
              <w:rPr>
                <w:sz w:val="20"/>
                <w:szCs w:val="20"/>
                <w:color w:val="auto"/>
              </w:rPr>
            </w:pPr>
            <w:r>
              <w:rPr>
                <w:rFonts w:ascii="Arial" w:cs="Arial" w:eastAsia="Arial" w:hAnsi="Arial"/>
                <w:sz w:val="17"/>
                <w:szCs w:val="17"/>
                <w:color w:val="auto"/>
              </w:rPr>
              <w:t>Family III</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Issue Date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Ref</w:t>
            </w:r>
          </w:p>
        </w:tc>
        <w:tc>
          <w:tcPr>
            <w:tcW w:w="220" w:type="dxa"/>
            <w:vAlign w:val="bottom"/>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Title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Country</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Earliest Priority</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Entry Date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Application No.</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Patent No.</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Status</w:t>
            </w:r>
          </w:p>
        </w:tc>
      </w:tr>
      <w:tr>
        <w:trPr>
          <w:trHeight w:val="217"/>
        </w:trPr>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425"/>
        </w:trPr>
        <w:tc>
          <w:tcPr>
            <w:tcW w:w="1220" w:type="dxa"/>
            <w:vAlign w:val="bottom"/>
          </w:tcPr>
          <w:p>
            <w:pPr>
              <w:spacing w:after="0"/>
              <w:rPr>
                <w:sz w:val="20"/>
                <w:szCs w:val="20"/>
                <w:color w:val="auto"/>
              </w:rPr>
            </w:pPr>
            <w:r>
              <w:rPr>
                <w:rFonts w:ascii="Arial" w:cs="Arial" w:eastAsia="Arial" w:hAnsi="Arial"/>
                <w:sz w:val="17"/>
                <w:szCs w:val="17"/>
                <w:color w:val="auto"/>
              </w:rPr>
              <w:t>Family IV</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Issue Date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Ref</w:t>
            </w:r>
          </w:p>
        </w:tc>
        <w:tc>
          <w:tcPr>
            <w:tcW w:w="220" w:type="dxa"/>
            <w:vAlign w:val="bottom"/>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Title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Country</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Earliest Priority</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Entry Date</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Application No.</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Patent No.</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Status</w:t>
            </w:r>
          </w:p>
        </w:tc>
      </w:tr>
      <w:tr>
        <w:trPr>
          <w:trHeight w:val="217"/>
        </w:trPr>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522605</wp:posOffset>
            </wp:positionV>
            <wp:extent cx="7257415" cy="209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5" w:name="page746"/>
    <w:bookmarkEnd w:id="745"/>
    <w:tbl>
      <w:tblPr>
        <w:tblLayout w:type="fixed"/>
        <w:tblInd w:w="0" w:type="dxa"/>
        <w:tblCellMar>
          <w:top w:w="0" w:type="dxa"/>
          <w:left w:w="0" w:type="dxa"/>
          <w:bottom w:w="0" w:type="dxa"/>
          <w:right w:w="0" w:type="dxa"/>
        </w:tblCellMar>
      </w:tblPr>
      <w:tr>
        <w:trPr>
          <w:trHeight w:val="217"/>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b w:val="1"/>
                <w:bCs w:val="1"/>
                <w:i w:val="1"/>
                <w:iCs w:val="1"/>
                <w:color w:val="auto"/>
                <w:w w:val="99"/>
              </w:rPr>
              <w:t>E</w:t>
            </w:r>
            <w:r>
              <w:rPr>
                <w:rFonts w:ascii="Arial" w:cs="Arial" w:eastAsia="Arial" w:hAnsi="Arial"/>
                <w:sz w:val="11"/>
                <w:szCs w:val="11"/>
                <w:b w:val="1"/>
                <w:bCs w:val="1"/>
                <w:i w:val="1"/>
                <w:iCs w:val="1"/>
                <w:color w:val="auto"/>
                <w:w w:val="99"/>
              </w:rPr>
              <w:t>XECUTION</w:t>
            </w:r>
            <w:r>
              <w:rPr>
                <w:rFonts w:ascii="Arial" w:cs="Arial" w:eastAsia="Arial" w:hAnsi="Arial"/>
                <w:sz w:val="17"/>
                <w:szCs w:val="17"/>
                <w:b w:val="1"/>
                <w:bCs w:val="1"/>
                <w:i w:val="1"/>
                <w:iCs w:val="1"/>
                <w:color w:val="auto"/>
                <w:w w:val="99"/>
              </w:rPr>
              <w:t xml:space="preserve"> C</w:t>
            </w:r>
            <w:r>
              <w:rPr>
                <w:rFonts w:ascii="Arial" w:cs="Arial" w:eastAsia="Arial" w:hAnsi="Arial"/>
                <w:sz w:val="11"/>
                <w:szCs w:val="11"/>
                <w:b w:val="1"/>
                <w:bCs w:val="1"/>
                <w:i w:val="1"/>
                <w:iCs w:val="1"/>
                <w:color w:val="auto"/>
                <w:w w:val="99"/>
              </w:rPr>
              <w:t>OPY</w:t>
            </w:r>
          </w:p>
        </w:tc>
      </w:tr>
      <w:tr>
        <w:trPr>
          <w:trHeight w:val="437"/>
        </w:trPr>
        <w:tc>
          <w:tcPr>
            <w:tcW w:w="1220" w:type="dxa"/>
            <w:vAlign w:val="bottom"/>
          </w:tcPr>
          <w:p>
            <w:pPr>
              <w:spacing w:after="0"/>
              <w:rPr>
                <w:sz w:val="20"/>
                <w:szCs w:val="20"/>
                <w:color w:val="auto"/>
              </w:rPr>
            </w:pPr>
            <w:r>
              <w:rPr>
                <w:rFonts w:ascii="Arial" w:cs="Arial" w:eastAsia="Arial" w:hAnsi="Arial"/>
                <w:sz w:val="17"/>
                <w:szCs w:val="17"/>
                <w:color w:val="auto"/>
              </w:rPr>
              <w:t>Family V</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Issue Date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4"/>
              </w:rPr>
              <w:t>Ref</w:t>
            </w:r>
          </w:p>
        </w:tc>
        <w:tc>
          <w:tcPr>
            <w:tcW w:w="22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Arial" w:cs="Arial" w:eastAsia="Arial" w:hAnsi="Arial"/>
                <w:sz w:val="17"/>
                <w:szCs w:val="17"/>
                <w:b w:val="1"/>
                <w:bCs w:val="1"/>
                <w:color w:val="auto"/>
              </w:rPr>
              <w:t>Title</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5"/>
              </w:rPr>
              <w:t>Country</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5"/>
              </w:rPr>
              <w:t>Earliest Priority</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6"/>
              </w:rPr>
              <w:t>Entry Date</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1"/>
              </w:rPr>
              <w:t>Application No.</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2"/>
              </w:rPr>
              <w:t>Patent No.</w:t>
            </w:r>
          </w:p>
        </w:tc>
        <w:tc>
          <w:tcPr>
            <w:tcW w:w="240" w:type="dxa"/>
            <w:vAlign w:val="bottom"/>
          </w:tcPr>
          <w:p>
            <w:pPr>
              <w:spacing w:after="0"/>
              <w:rPr>
                <w:sz w:val="19"/>
                <w:szCs w:val="19"/>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4"/>
              </w:rPr>
              <w:t>Status</w:t>
            </w:r>
          </w:p>
        </w:tc>
      </w:tr>
      <w:tr>
        <w:trPr>
          <w:trHeight w:val="217"/>
        </w:trPr>
        <w:tc>
          <w:tcPr>
            <w:tcW w:w="1220" w:type="dxa"/>
            <w:vAlign w:val="bottom"/>
            <w:tcBorders>
              <w:top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522605</wp:posOffset>
            </wp:positionV>
            <wp:extent cx="7257415" cy="209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46" w:name="page747"/>
    <w:bookmarkEnd w:id="746"/>
    <w:p>
      <w:pPr>
        <w:jc w:val="center"/>
        <w:spacing w:after="0"/>
        <w:rPr>
          <w:sz w:val="20"/>
          <w:szCs w:val="20"/>
          <w:color w:val="auto"/>
        </w:rPr>
      </w:pPr>
      <w:r>
        <w:rPr>
          <w:rFonts w:ascii="Arial" w:cs="Arial" w:eastAsia="Arial" w:hAnsi="Arial"/>
          <w:sz w:val="17"/>
          <w:szCs w:val="17"/>
          <w:color w:val="auto"/>
        </w:rPr>
        <w:t>CONFIDENTIAL MATERIALS OMITTED AND FILED SEPARATELY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AND EXCHANGE COMMISSION. ASTERISKS DENOTE OMISSIONS.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4.25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DATE EXTENSION AMENDMENT</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Ikaria Development Subsidiary One LLC, a Delaware limited liability company having a principal place of business at 6 State Route 173, Clinton, NJ 08809, USA (“</w:t>
      </w:r>
      <w:r>
        <w:rPr>
          <w:rFonts w:ascii="Arial" w:cs="Arial" w:eastAsia="Arial" w:hAnsi="Arial"/>
          <w:sz w:val="16"/>
          <w:szCs w:val="16"/>
          <w:u w:val="single" w:color="auto"/>
          <w:color w:val="auto"/>
        </w:rPr>
        <w:t>Ikaria</w:t>
      </w:r>
      <w:r>
        <w:rPr>
          <w:rFonts w:ascii="Arial" w:cs="Arial" w:eastAsia="Arial" w:hAnsi="Arial"/>
          <w:sz w:val="16"/>
          <w:szCs w:val="16"/>
          <w:color w:val="auto"/>
        </w:rPr>
        <w:t>”), BioLineRx Ltd., a corporation organized and existing under the laws of the State of Israel and having a principal place of business at 19 Hartum Street, P.O. Box 45158, Jerusalem 91450, Israel (“</w:t>
      </w:r>
      <w:r>
        <w:rPr>
          <w:rFonts w:ascii="Arial" w:cs="Arial" w:eastAsia="Arial" w:hAnsi="Arial"/>
          <w:sz w:val="16"/>
          <w:szCs w:val="16"/>
          <w:u w:val="single" w:color="auto"/>
          <w:color w:val="auto"/>
        </w:rPr>
        <w:t>BioLineRx Ltd.</w:t>
      </w:r>
      <w:r>
        <w:rPr>
          <w:rFonts w:ascii="Arial" w:cs="Arial" w:eastAsia="Arial" w:hAnsi="Arial"/>
          <w:sz w:val="16"/>
          <w:szCs w:val="16"/>
          <w:color w:val="auto"/>
        </w:rPr>
        <w:t>”), and BioLine Innovations Jerusalem L.P., a limited partnership organized and existing under the laws of the State of Israel and having a principal place of business at 19 Hartum Street, P.O. Box 45158, Jerusalem 91450, Israel (“BioLine Innovations”; together with BioLineRx Ltd., “</w:t>
      </w:r>
      <w:r>
        <w:rPr>
          <w:rFonts w:ascii="Arial" w:cs="Arial" w:eastAsia="Arial" w:hAnsi="Arial"/>
          <w:sz w:val="16"/>
          <w:szCs w:val="16"/>
          <w:u w:val="single" w:color="auto"/>
          <w:color w:val="auto"/>
        </w:rPr>
        <w:t>BioLineRx</w:t>
      </w:r>
      <w:r>
        <w:rPr>
          <w:rFonts w:ascii="Arial" w:cs="Arial" w:eastAsia="Arial" w:hAnsi="Arial"/>
          <w:sz w:val="16"/>
          <w:szCs w:val="16"/>
          <w:color w:val="auto"/>
        </w:rPr>
        <w:t>”) are party to an Amended and Restated License and Commercialization Agreement dated as of the 26th day of August, 2009 (the “</w:t>
      </w:r>
      <w:r>
        <w:rPr>
          <w:rFonts w:ascii="Arial" w:cs="Arial" w:eastAsia="Arial" w:hAnsi="Arial"/>
          <w:sz w:val="16"/>
          <w:szCs w:val="16"/>
          <w:u w:val="single" w:color="auto"/>
          <w:color w:val="auto"/>
        </w:rPr>
        <w:t>Agreement</w:t>
      </w:r>
      <w:r>
        <w:rPr>
          <w:rFonts w:ascii="Arial" w:cs="Arial" w:eastAsia="Arial" w:hAnsi="Arial"/>
          <w:sz w:val="16"/>
          <w:szCs w:val="16"/>
          <w:color w:val="auto"/>
        </w:rPr>
        <w:t>”). Any defined terms used herein shall have them meaning ascribed thereto in the Agreement.</w:t>
      </w:r>
    </w:p>
    <w:p>
      <w:pPr>
        <w:spacing w:after="0" w:line="192"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the Agreement, Ikaria is required to make a milestone payment to BioLineRx of USD $10,000,000 upon the Successful Completion of the On-Going Phase I/II Trial (the “</w:t>
      </w:r>
      <w:r>
        <w:rPr>
          <w:rFonts w:ascii="Arial" w:cs="Arial" w:eastAsia="Arial" w:hAnsi="Arial"/>
          <w:sz w:val="16"/>
          <w:szCs w:val="16"/>
          <w:u w:val="single" w:color="auto"/>
          <w:color w:val="auto"/>
        </w:rPr>
        <w:t>Second Milestone Payment</w:t>
      </w:r>
      <w:r>
        <w:rPr>
          <w:rFonts w:ascii="Arial" w:cs="Arial" w:eastAsia="Arial" w:hAnsi="Arial"/>
          <w:sz w:val="16"/>
          <w:szCs w:val="16"/>
          <w:color w:val="auto"/>
        </w:rPr>
        <w:t>”) on or before [***]. BioLine and Ikaria are currently in discussions to determine whether Ikaria is required to withhold United States federal income taxes from the Second Milestone Payment. In order to enable the parties to complete those discussions, Ikaria and BioLine hereby agree that the due date for the Second Milestone Payment is hereby extended to [***].</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Sections 10.2 (“</w:t>
      </w:r>
      <w:r>
        <w:rPr>
          <w:rFonts w:ascii="Arial" w:cs="Arial" w:eastAsia="Arial" w:hAnsi="Arial"/>
          <w:sz w:val="17"/>
          <w:szCs w:val="17"/>
          <w:i w:val="1"/>
          <w:iCs w:val="1"/>
          <w:color w:val="auto"/>
        </w:rPr>
        <w:t>Governing Law</w:t>
      </w:r>
      <w:r>
        <w:rPr>
          <w:rFonts w:ascii="Arial" w:cs="Arial" w:eastAsia="Arial" w:hAnsi="Arial"/>
          <w:sz w:val="17"/>
          <w:szCs w:val="17"/>
          <w:color w:val="auto"/>
        </w:rPr>
        <w:t>”) and 10.3 (“</w:t>
      </w:r>
      <w:r>
        <w:rPr>
          <w:rFonts w:ascii="Arial" w:cs="Arial" w:eastAsia="Arial" w:hAnsi="Arial"/>
          <w:sz w:val="17"/>
          <w:szCs w:val="17"/>
          <w:i w:val="1"/>
          <w:iCs w:val="1"/>
          <w:color w:val="auto"/>
        </w:rPr>
        <w:t>Submission to Jurisdiction</w:t>
      </w:r>
      <w:r>
        <w:rPr>
          <w:rFonts w:ascii="Arial" w:cs="Arial" w:eastAsia="Arial" w:hAnsi="Arial"/>
          <w:sz w:val="17"/>
          <w:szCs w:val="17"/>
          <w:color w:val="auto"/>
        </w:rPr>
        <w:t>”) of the Agreement are hereby incorporated herein by reference.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20"/>
                <w:szCs w:val="20"/>
                <w:color w:val="auto"/>
              </w:rPr>
            </w:pPr>
            <w:r>
              <w:rPr>
                <w:rFonts w:ascii="Arial" w:cs="Arial" w:eastAsia="Arial" w:hAnsi="Arial"/>
                <w:sz w:val="17"/>
                <w:szCs w:val="17"/>
                <w:b w:val="1"/>
                <w:bCs w:val="1"/>
                <w:color w:val="auto"/>
              </w:rPr>
              <w:t>Acknowledged, Agreed, and Confirmed</w:t>
            </w:r>
          </w:p>
        </w:tc>
        <w:tc>
          <w:tcPr>
            <w:tcW w:w="208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19"/>
        </w:trPr>
        <w:tc>
          <w:tcPr>
            <w:tcW w:w="4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Daniel Tassé</w:t>
            </w:r>
          </w:p>
        </w:tc>
        <w:tc>
          <w:tcPr>
            <w:tcW w:w="208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Kinneret Savitsky</w:t>
            </w:r>
          </w:p>
        </w:tc>
      </w:tr>
      <w:tr>
        <w:trPr>
          <w:trHeight w:val="193"/>
        </w:trPr>
        <w:tc>
          <w:tcPr>
            <w:tcW w:w="4000" w:type="dxa"/>
            <w:vAlign w:val="bottom"/>
          </w:tcPr>
          <w:p>
            <w:pPr>
              <w:spacing w:after="0" w:line="194" w:lineRule="exact"/>
              <w:rPr>
                <w:sz w:val="20"/>
                <w:szCs w:val="20"/>
                <w:color w:val="auto"/>
              </w:rPr>
            </w:pPr>
            <w:r>
              <w:rPr>
                <w:rFonts w:ascii="Arial" w:cs="Arial" w:eastAsia="Arial" w:hAnsi="Arial"/>
                <w:sz w:val="17"/>
                <w:szCs w:val="17"/>
                <w:color w:val="auto"/>
              </w:rPr>
              <w:t>Daniel Tassé</w:t>
            </w:r>
          </w:p>
        </w:tc>
        <w:tc>
          <w:tcPr>
            <w:tcW w:w="208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Kinneret Savitsky,</w:t>
            </w: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208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06"/>
        </w:trPr>
        <w:tc>
          <w:tcPr>
            <w:tcW w:w="4000" w:type="dxa"/>
            <w:vAlign w:val="bottom"/>
          </w:tcPr>
          <w:p>
            <w:pPr>
              <w:spacing w:after="0"/>
              <w:rPr>
                <w:sz w:val="20"/>
                <w:szCs w:val="20"/>
                <w:color w:val="auto"/>
              </w:rPr>
            </w:pPr>
            <w:r>
              <w:rPr>
                <w:rFonts w:ascii="Arial" w:cs="Arial" w:eastAsia="Arial" w:hAnsi="Arial"/>
                <w:sz w:val="17"/>
                <w:szCs w:val="17"/>
                <w:color w:val="auto"/>
              </w:rPr>
              <w:t>Ikaria Development Subsidiary One LLC</w:t>
            </w:r>
          </w:p>
        </w:tc>
        <w:tc>
          <w:tcPr>
            <w:tcW w:w="208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b w:val="1"/>
                <w:bCs w:val="1"/>
                <w:i w:val="1"/>
                <w:iCs w:val="1"/>
                <w:color w:val="auto"/>
                <w:w w:val="89"/>
              </w:rPr>
              <w:t>On behalf of, and as authorized representative of, both</w:t>
            </w:r>
          </w:p>
        </w:tc>
      </w:tr>
      <w:tr>
        <w:trPr>
          <w:trHeight w:val="206"/>
        </w:trPr>
        <w:tc>
          <w:tcPr>
            <w:tcW w:w="40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b w:val="1"/>
                <w:bCs w:val="1"/>
                <w:i w:val="1"/>
                <w:iCs w:val="1"/>
                <w:color w:val="auto"/>
                <w:w w:val="96"/>
              </w:rPr>
              <w:t>BioLineRx Ltd. and BioLine Innovations Jerusalem</w:t>
            </w:r>
          </w:p>
        </w:tc>
      </w:tr>
      <w:tr>
        <w:trPr>
          <w:trHeight w:val="217"/>
        </w:trPr>
        <w:tc>
          <w:tcPr>
            <w:tcW w:w="4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b w:val="1"/>
                <w:bCs w:val="1"/>
                <w:i w:val="1"/>
                <w:iCs w:val="1"/>
                <w:color w:val="auto"/>
              </w:rPr>
              <w:t>L.P.</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522605</wp:posOffset>
            </wp:positionV>
            <wp:extent cx="7257415" cy="209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47" w:name="page748"/>
    <w:bookmarkEnd w:id="747"/>
    <w:p>
      <w:pPr>
        <w:jc w:val="right"/>
        <w:spacing w:after="0"/>
        <w:rPr>
          <w:sz w:val="20"/>
          <w:szCs w:val="20"/>
          <w:color w:val="auto"/>
        </w:rPr>
      </w:pPr>
      <w:r>
        <w:rPr>
          <w:rFonts w:ascii="Arial" w:cs="Arial" w:eastAsia="Arial" w:hAnsi="Arial"/>
          <w:sz w:val="17"/>
          <w:szCs w:val="17"/>
          <w:b w:val="1"/>
          <w:bCs w:val="1"/>
          <w:color w:val="auto"/>
        </w:rPr>
        <w:t>EXHIBIT 4.26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THE AMENDED AND RESTATED LICENSE AND COMMERCIALIZATION AGREEMENT</w:t>
      </w:r>
    </w:p>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This Amendment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this 21st day of April 2010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Ikaria Development</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 One LLC</w:t>
      </w:r>
      <w:r>
        <w:rPr>
          <w:rFonts w:ascii="Arial" w:cs="Arial" w:eastAsia="Arial" w:hAnsi="Arial"/>
          <w:sz w:val="17"/>
          <w:szCs w:val="17"/>
          <w:color w:val="auto"/>
        </w:rPr>
        <w:t>, a Delaware limited liability company with a place of business at 6 Route 173, Clinton, NJ, 08809 USA (“</w:t>
      </w:r>
      <w:r>
        <w:rPr>
          <w:rFonts w:ascii="Arial" w:cs="Arial" w:eastAsia="Arial" w:hAnsi="Arial"/>
          <w:sz w:val="17"/>
          <w:szCs w:val="17"/>
          <w:u w:val="single" w:color="auto"/>
          <w:color w:val="auto"/>
        </w:rPr>
        <w:t>Ikaria</w:t>
      </w:r>
      <w:r>
        <w:rPr>
          <w:rFonts w:ascii="Arial" w:cs="Arial" w:eastAsia="Arial" w:hAnsi="Arial"/>
          <w:sz w:val="17"/>
          <w:szCs w:val="17"/>
          <w:color w:val="auto"/>
        </w:rPr>
        <w:t>”), and</w:t>
      </w:r>
      <w:r>
        <w:rPr>
          <w:rFonts w:ascii="Arial" w:cs="Arial" w:eastAsia="Arial" w:hAnsi="Arial"/>
          <w:sz w:val="17"/>
          <w:szCs w:val="17"/>
          <w:b w:val="1"/>
          <w:bCs w:val="1"/>
          <w:color w:val="auto"/>
        </w:rPr>
        <w:t xml:space="preserve"> BiolineRx Ltd.</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organized and existing under the laws of the State of Israel and having a principal place of business at 19 Hartum Street, P.O. Box 45158, Jerusalem 91450, Israel (“</w:t>
      </w:r>
      <w:r>
        <w:rPr>
          <w:rFonts w:ascii="Arial" w:cs="Arial" w:eastAsia="Arial" w:hAnsi="Arial"/>
          <w:sz w:val="17"/>
          <w:szCs w:val="17"/>
          <w:u w:val="single" w:color="auto"/>
          <w:color w:val="auto"/>
        </w:rPr>
        <w:t>BioLineRx Ltd.</w:t>
      </w:r>
      <w:r>
        <w:rPr>
          <w:rFonts w:ascii="Arial" w:cs="Arial" w:eastAsia="Arial" w:hAnsi="Arial"/>
          <w:sz w:val="17"/>
          <w:szCs w:val="17"/>
          <w:color w:val="auto"/>
        </w:rPr>
        <w:t xml:space="preserve">”), and </w:t>
      </w:r>
      <w:r>
        <w:rPr>
          <w:rFonts w:ascii="Arial" w:cs="Arial" w:eastAsia="Arial" w:hAnsi="Arial"/>
          <w:sz w:val="17"/>
          <w:szCs w:val="17"/>
          <w:b w:val="1"/>
          <w:bCs w:val="1"/>
          <w:color w:val="auto"/>
        </w:rPr>
        <w:t>BioLine Innovations Jerusalem L.P.</w:t>
      </w:r>
      <w:r>
        <w:rPr>
          <w:rFonts w:ascii="Arial" w:cs="Arial" w:eastAsia="Arial" w:hAnsi="Arial"/>
          <w:sz w:val="17"/>
          <w:szCs w:val="17"/>
          <w:color w:val="auto"/>
        </w:rPr>
        <w:t>, a limited partnership organized and existing under the laws of the State of Israel and having a principal place of business at 19 Hartum Street, P.O. Box 45158 Jerusalem 91450, Israel (“</w:t>
      </w:r>
      <w:r>
        <w:rPr>
          <w:rFonts w:ascii="Arial" w:cs="Arial" w:eastAsia="Arial" w:hAnsi="Arial"/>
          <w:sz w:val="17"/>
          <w:szCs w:val="17"/>
          <w:u w:val="single" w:color="auto"/>
          <w:color w:val="auto"/>
        </w:rPr>
        <w:t>BioLine Innovations</w:t>
      </w:r>
      <w:r>
        <w:rPr>
          <w:rFonts w:ascii="Arial" w:cs="Arial" w:eastAsia="Arial" w:hAnsi="Arial"/>
          <w:sz w:val="17"/>
          <w:szCs w:val="17"/>
          <w:color w:val="auto"/>
        </w:rPr>
        <w:t>”; together with BioLineRx Ltd., “</w:t>
      </w:r>
      <w:r>
        <w:rPr>
          <w:rFonts w:ascii="Arial" w:cs="Arial" w:eastAsia="Arial" w:hAnsi="Arial"/>
          <w:sz w:val="17"/>
          <w:szCs w:val="17"/>
          <w:u w:val="single" w:color="auto"/>
          <w:color w:val="auto"/>
        </w:rPr>
        <w:t>BioLine</w:t>
      </w:r>
      <w:r>
        <w:rPr>
          <w:rFonts w:ascii="Arial" w:cs="Arial" w:eastAsia="Arial" w:hAnsi="Arial"/>
          <w:sz w:val="17"/>
          <w:szCs w:val="17"/>
          <w:color w:val="auto"/>
        </w:rPr>
        <w:t xml:space="preserve"> </w:t>
      </w:r>
      <w:r>
        <w:rPr>
          <w:rFonts w:ascii="Arial" w:cs="Arial" w:eastAsia="Arial" w:hAnsi="Arial"/>
          <w:sz w:val="17"/>
          <w:szCs w:val="17"/>
          <w:u w:val="single" w:color="auto"/>
          <w:color w:val="auto"/>
        </w:rPr>
        <w:t>Rx</w:t>
      </w:r>
      <w:r>
        <w:rPr>
          <w:rFonts w:ascii="Arial" w:cs="Arial" w:eastAsia="Arial" w:hAnsi="Arial"/>
          <w:sz w:val="17"/>
          <w:szCs w:val="17"/>
          <w:color w:val="auto"/>
        </w:rPr>
        <w:t>”) . This Amendment amends the Amended and Restated License and Commercialization Agreement entered into by and between Ikaria and BioLineRx dated as of the 26th day of August 2009 (the “</w:t>
      </w:r>
      <w:r>
        <w:rPr>
          <w:rFonts w:ascii="Arial" w:cs="Arial" w:eastAsia="Arial" w:hAnsi="Arial"/>
          <w:sz w:val="17"/>
          <w:szCs w:val="17"/>
          <w:u w:val="single" w:color="auto"/>
          <w:color w:val="auto"/>
        </w:rPr>
        <w:t>Agreement</w:t>
      </w:r>
      <w:r>
        <w:rPr>
          <w:rFonts w:ascii="Arial" w:cs="Arial" w:eastAsia="Arial" w:hAnsi="Arial"/>
          <w:sz w:val="17"/>
          <w:szCs w:val="17"/>
          <w:color w:val="auto"/>
        </w:rPr>
        <w:t>”). Any defined term used in this Amendment not expressly defined herein shall have the meaning ascribed thereto in the Agreement.</w:t>
      </w:r>
    </w:p>
    <w:p>
      <w:pPr>
        <w:spacing w:after="0" w:line="209" w:lineRule="exact"/>
        <w:rPr>
          <w:sz w:val="20"/>
          <w:szCs w:val="20"/>
          <w:color w:val="auto"/>
        </w:rPr>
      </w:pPr>
    </w:p>
    <w:p>
      <w:pPr>
        <w:ind w:right="240" w:firstLine="3"/>
        <w:spacing w:after="0" w:line="278" w:lineRule="auto"/>
        <w:tabs>
          <w:tab w:leader="none" w:pos="171" w:val="left"/>
        </w:tabs>
        <w:numPr>
          <w:ilvl w:val="0"/>
          <w:numId w:val="686"/>
        </w:numPr>
        <w:rPr>
          <w:rFonts w:ascii="Arial" w:cs="Arial" w:eastAsia="Arial" w:hAnsi="Arial"/>
          <w:sz w:val="17"/>
          <w:szCs w:val="17"/>
          <w:color w:val="auto"/>
        </w:rPr>
      </w:pPr>
      <w:r>
        <w:rPr>
          <w:rFonts w:ascii="Arial" w:cs="Arial" w:eastAsia="Arial" w:hAnsi="Arial"/>
          <w:sz w:val="17"/>
          <w:szCs w:val="17"/>
          <w:u w:val="single" w:color="auto"/>
          <w:color w:val="auto"/>
        </w:rPr>
        <w:t>Modification of Payee</w:t>
      </w:r>
      <w:r>
        <w:rPr>
          <w:rFonts w:ascii="Arial" w:cs="Arial" w:eastAsia="Arial" w:hAnsi="Arial"/>
          <w:sz w:val="17"/>
          <w:szCs w:val="17"/>
          <w:color w:val="auto"/>
        </w:rPr>
        <w:t>. All payments to be made under the Agreement shall be made to BiolineRx Ltd. or any Third Party assignee of BioLineRx Ltd. permitted under Section 10.4 of the Agreement.</w:t>
      </w:r>
    </w:p>
    <w:p>
      <w:pPr>
        <w:spacing w:after="0" w:line="190" w:lineRule="exact"/>
        <w:rPr>
          <w:rFonts w:ascii="Arial" w:cs="Arial" w:eastAsia="Arial" w:hAnsi="Arial"/>
          <w:sz w:val="17"/>
          <w:szCs w:val="17"/>
          <w:color w:val="auto"/>
        </w:rPr>
      </w:pPr>
    </w:p>
    <w:p>
      <w:pPr>
        <w:ind w:left="180" w:hanging="177"/>
        <w:spacing w:after="0"/>
        <w:tabs>
          <w:tab w:leader="none" w:pos="180" w:val="left"/>
        </w:tabs>
        <w:numPr>
          <w:ilvl w:val="0"/>
          <w:numId w:val="686"/>
        </w:numPr>
        <w:rPr>
          <w:rFonts w:ascii="Arial" w:cs="Arial" w:eastAsia="Arial" w:hAnsi="Arial"/>
          <w:sz w:val="17"/>
          <w:szCs w:val="17"/>
          <w:color w:val="auto"/>
        </w:rPr>
      </w:pPr>
      <w:r>
        <w:rPr>
          <w:rFonts w:ascii="Arial" w:cs="Arial" w:eastAsia="Arial" w:hAnsi="Arial"/>
          <w:sz w:val="17"/>
          <w:szCs w:val="17"/>
          <w:u w:val="single" w:color="auto"/>
          <w:color w:val="auto"/>
        </w:rPr>
        <w:t>Modification of Assignment</w:t>
      </w:r>
      <w:r>
        <w:rPr>
          <w:rFonts w:ascii="Arial" w:cs="Arial" w:eastAsia="Arial" w:hAnsi="Arial"/>
          <w:sz w:val="17"/>
          <w:szCs w:val="17"/>
          <w:color w:val="auto"/>
        </w:rPr>
        <w:t xml:space="preserve">. The last two sentences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of the Agreement are hereby amended and restated as follows:</w:t>
      </w:r>
    </w:p>
    <w:p>
      <w:pPr>
        <w:spacing w:after="0" w:line="242"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“BioLineRx Ltd. may assign its right to receive payments hereunder to a Third Party, in its sole discretion, provided that BioLineRx Ltd. provides Ikaria with prior written notice of the assignment and the name and address of the assignee. Any such Third Party assignee may not further assign the right to receive payments hereunder without providing Ikaria with prior written notice of the assignment and the name and address of the assignee. Ikaria shall maintain a written record of any such assignments. The parties intend that this Agreement shall be considered to be in “registered form” as defined in United States Treasury Regulations Section</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5f.103-1(c). BiolineRx shall not otherwise be permitted to assign this Agreement, in whole or in part, without the prior written consent of Ikaria, which approval shall not be unreasonably withheld, conditioned, or delayed. Any assignment in contravention of this Section 10.4 shall be null and void.”</w:t>
      </w:r>
    </w:p>
    <w:p>
      <w:pPr>
        <w:spacing w:after="0" w:line="201" w:lineRule="exact"/>
        <w:rPr>
          <w:sz w:val="20"/>
          <w:szCs w:val="20"/>
          <w:color w:val="auto"/>
        </w:rPr>
      </w:pPr>
    </w:p>
    <w:p>
      <w:pPr>
        <w:ind w:right="20" w:firstLine="3"/>
        <w:spacing w:after="0" w:line="311" w:lineRule="auto"/>
        <w:tabs>
          <w:tab w:leader="none" w:pos="171" w:val="left"/>
        </w:tabs>
        <w:numPr>
          <w:ilvl w:val="0"/>
          <w:numId w:val="687"/>
        </w:numPr>
        <w:rPr>
          <w:rFonts w:ascii="Arial" w:cs="Arial" w:eastAsia="Arial" w:hAnsi="Arial"/>
          <w:sz w:val="16"/>
          <w:szCs w:val="16"/>
          <w:color w:val="auto"/>
        </w:rPr>
      </w:pPr>
      <w:r>
        <w:rPr>
          <w:rFonts w:ascii="Arial" w:cs="Arial" w:eastAsia="Arial" w:hAnsi="Arial"/>
          <w:sz w:val="16"/>
          <w:szCs w:val="16"/>
          <w:u w:val="single" w:color="auto"/>
          <w:color w:val="auto"/>
        </w:rPr>
        <w:t>Ratification of Agreement</w:t>
      </w:r>
      <w:r>
        <w:rPr>
          <w:rFonts w:ascii="Arial" w:cs="Arial" w:eastAsia="Arial" w:hAnsi="Arial"/>
          <w:sz w:val="16"/>
          <w:szCs w:val="16"/>
          <w:color w:val="auto"/>
        </w:rPr>
        <w:t>. Except as set forth in this Amendment, all of the other terms and conditions of the Agreement are hereby ratified and confirmed to be of full force and effect, and shall continue in full force and effect. This Amendment is hereby integrated into and made a part of the Agreement.</w:t>
      </w:r>
    </w:p>
    <w:p>
      <w:pPr>
        <w:spacing w:after="0" w:line="166" w:lineRule="exact"/>
        <w:rPr>
          <w:rFonts w:ascii="Arial" w:cs="Arial" w:eastAsia="Arial" w:hAnsi="Arial"/>
          <w:sz w:val="16"/>
          <w:szCs w:val="16"/>
          <w:color w:val="auto"/>
        </w:rPr>
      </w:pPr>
    </w:p>
    <w:p>
      <w:pPr>
        <w:ind w:right="400" w:firstLine="3"/>
        <w:spacing w:after="0" w:line="265" w:lineRule="auto"/>
        <w:tabs>
          <w:tab w:leader="none" w:pos="171" w:val="left"/>
        </w:tabs>
        <w:numPr>
          <w:ilvl w:val="0"/>
          <w:numId w:val="68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two or more counterparts, each of which shall be effective as of the Amendment Effective Date, and all of which shall constitute one and the same instrument. Each such counterpart shall be deemed an original, and it shall not be necessary in making proof of this Amendment to produce or account for more than one such counterpart.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518795</wp:posOffset>
            </wp:positionV>
            <wp:extent cx="7257415" cy="209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748" w:name="page749"/>
    <w:bookmarkEnd w:id="748"/>
    <w:p>
      <w:pPr>
        <w:ind w:right="60" w:firstLine="3"/>
        <w:spacing w:after="0" w:line="278" w:lineRule="auto"/>
        <w:tabs>
          <w:tab w:leader="none" w:pos="171" w:val="left"/>
        </w:tabs>
        <w:numPr>
          <w:ilvl w:val="0"/>
          <w:numId w:val="688"/>
        </w:numPr>
        <w:rPr>
          <w:rFonts w:ascii="Arial" w:cs="Arial" w:eastAsia="Arial" w:hAnsi="Arial"/>
          <w:sz w:val="17"/>
          <w:szCs w:val="17"/>
          <w:color w:val="auto"/>
        </w:rPr>
      </w:pPr>
      <w:r>
        <w:rPr>
          <w:rFonts w:ascii="Arial" w:cs="Arial" w:eastAsia="Arial" w:hAnsi="Arial"/>
          <w:sz w:val="17"/>
          <w:szCs w:val="17"/>
          <w:u w:val="single" w:color="auto"/>
          <w:color w:val="auto"/>
        </w:rPr>
        <w:t>Execution and Delivery</w:t>
      </w:r>
      <w:r>
        <w:rPr>
          <w:rFonts w:ascii="Arial" w:cs="Arial" w:eastAsia="Arial" w:hAnsi="Arial"/>
          <w:sz w:val="17"/>
          <w:szCs w:val="17"/>
          <w:color w:val="auto"/>
        </w:rPr>
        <w:t>. This Amendment shall be deemed executed by the parties when any one or more counterparts hereof, individually or taken together, bears the signatures of each of the parties hereto.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Acknowledged and Agreed to:</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gridSpan w:val="3"/>
          </w:tcPr>
          <w:p>
            <w:pPr>
              <w:spacing w:after="0"/>
              <w:rPr>
                <w:sz w:val="20"/>
                <w:szCs w:val="20"/>
                <w:color w:val="auto"/>
              </w:rPr>
            </w:pPr>
            <w:r>
              <w:rPr>
                <w:rFonts w:ascii="Arial" w:cs="Arial" w:eastAsia="Arial" w:hAnsi="Arial"/>
                <w:sz w:val="17"/>
                <w:szCs w:val="17"/>
                <w:b w:val="1"/>
                <w:bCs w:val="1"/>
                <w:color w:val="auto"/>
              </w:rPr>
              <w:t>BIOLINERX LTD.</w:t>
            </w:r>
          </w:p>
        </w:tc>
        <w:tc>
          <w:tcPr>
            <w:tcW w:w="6600" w:type="dxa"/>
            <w:vAlign w:val="bottom"/>
            <w:gridSpan w:val="3"/>
          </w:tcPr>
          <w:p>
            <w:pPr>
              <w:ind w:left="1020"/>
              <w:spacing w:after="0"/>
              <w:rPr>
                <w:sz w:val="20"/>
                <w:szCs w:val="20"/>
                <w:color w:val="auto"/>
              </w:rPr>
            </w:pPr>
            <w:r>
              <w:rPr>
                <w:rFonts w:ascii="Arial" w:cs="Arial" w:eastAsia="Arial" w:hAnsi="Arial"/>
                <w:sz w:val="17"/>
                <w:szCs w:val="17"/>
                <w:b w:val="1"/>
                <w:bCs w:val="1"/>
                <w:color w:val="auto"/>
              </w:rPr>
              <w:t>IKARIA DEVELOPMENT SUBSIDIARY ONE LLC</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Signature</w:t>
            </w:r>
          </w:p>
        </w:tc>
        <w:tc>
          <w:tcPr>
            <w:tcW w:w="3660" w:type="dxa"/>
            <w:vAlign w:val="bottom"/>
            <w:gridSpan w:val="2"/>
          </w:tcPr>
          <w:p>
            <w:pPr>
              <w:ind w:left="220"/>
              <w:spacing w:after="0"/>
              <w:rPr>
                <w:sz w:val="20"/>
                <w:szCs w:val="20"/>
                <w:color w:val="auto"/>
              </w:rPr>
            </w:pPr>
            <w:r>
              <w:rPr>
                <w:rFonts w:ascii="Arial" w:cs="Arial" w:eastAsia="Arial" w:hAnsi="Arial"/>
                <w:sz w:val="17"/>
                <w:szCs w:val="17"/>
                <w:color w:val="auto"/>
              </w:rPr>
              <w:t>By: /s/ Kinneret L. Savitsky</w:t>
            </w:r>
          </w:p>
        </w:tc>
        <w:tc>
          <w:tcPr>
            <w:tcW w:w="2240" w:type="dxa"/>
            <w:vAlign w:val="bottom"/>
          </w:tcPr>
          <w:p>
            <w:pPr>
              <w:ind w:left="1020"/>
              <w:spacing w:after="0"/>
              <w:rPr>
                <w:sz w:val="20"/>
                <w:szCs w:val="20"/>
                <w:color w:val="auto"/>
              </w:rPr>
            </w:pPr>
            <w:r>
              <w:rPr>
                <w:rFonts w:ascii="Arial" w:cs="Arial" w:eastAsia="Arial" w:hAnsi="Arial"/>
                <w:sz w:val="17"/>
                <w:szCs w:val="17"/>
                <w:color w:val="auto"/>
              </w:rPr>
              <w:t>Signature</w:t>
            </w:r>
          </w:p>
        </w:tc>
        <w:tc>
          <w:tcPr>
            <w:tcW w:w="4360" w:type="dxa"/>
            <w:vAlign w:val="bottom"/>
            <w:gridSpan w:val="2"/>
          </w:tcPr>
          <w:p>
            <w:pPr>
              <w:ind w:left="260"/>
              <w:spacing w:after="0"/>
              <w:rPr>
                <w:sz w:val="20"/>
                <w:szCs w:val="20"/>
                <w:color w:val="auto"/>
              </w:rPr>
            </w:pPr>
            <w:r>
              <w:rPr>
                <w:rFonts w:ascii="Arial" w:cs="Arial" w:eastAsia="Arial" w:hAnsi="Arial"/>
                <w:sz w:val="17"/>
                <w:szCs w:val="17"/>
                <w:color w:val="auto"/>
              </w:rPr>
              <w:t>By: /s/ Matthew M. Bennett</w:t>
            </w:r>
          </w:p>
        </w:tc>
      </w:tr>
      <w:tr>
        <w:trPr>
          <w:trHeight w:val="193"/>
        </w:trPr>
        <w:tc>
          <w:tcPr>
            <w:tcW w:w="1160" w:type="dxa"/>
            <w:vAlign w:val="bottom"/>
          </w:tcPr>
          <w:p>
            <w:pPr>
              <w:spacing w:after="0" w:line="194" w:lineRule="exact"/>
              <w:rPr>
                <w:sz w:val="20"/>
                <w:szCs w:val="20"/>
                <w:color w:val="auto"/>
              </w:rPr>
            </w:pPr>
            <w:r>
              <w:rPr>
                <w:rFonts w:ascii="Arial" w:cs="Arial" w:eastAsia="Arial" w:hAnsi="Arial"/>
                <w:sz w:val="17"/>
                <w:szCs w:val="17"/>
                <w:color w:val="auto"/>
              </w:rPr>
              <w:t>Printed Name</w:t>
            </w:r>
          </w:p>
        </w:tc>
        <w:tc>
          <w:tcPr>
            <w:tcW w:w="560" w:type="dxa"/>
            <w:vAlign w:val="bottom"/>
          </w:tcPr>
          <w:p>
            <w:pPr>
              <w:spacing w:after="0"/>
              <w:rPr>
                <w:sz w:val="16"/>
                <w:szCs w:val="16"/>
                <w:color w:val="auto"/>
              </w:rPr>
            </w:pPr>
          </w:p>
        </w:tc>
        <w:tc>
          <w:tcPr>
            <w:tcW w:w="3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Kinneret L. Savitsky</w:t>
            </w:r>
          </w:p>
        </w:tc>
        <w:tc>
          <w:tcPr>
            <w:tcW w:w="2240" w:type="dxa"/>
            <w:vAlign w:val="bottom"/>
          </w:tcPr>
          <w:p>
            <w:pPr>
              <w:ind w:left="1020"/>
              <w:spacing w:after="0" w:line="194" w:lineRule="exact"/>
              <w:rPr>
                <w:sz w:val="20"/>
                <w:szCs w:val="20"/>
                <w:color w:val="auto"/>
              </w:rPr>
            </w:pPr>
            <w:r>
              <w:rPr>
                <w:rFonts w:ascii="Arial" w:cs="Arial" w:eastAsia="Arial" w:hAnsi="Arial"/>
                <w:sz w:val="17"/>
                <w:szCs w:val="17"/>
                <w:color w:val="auto"/>
              </w:rPr>
              <w:t>Printed Name</w:t>
            </w:r>
          </w:p>
        </w:tc>
        <w:tc>
          <w:tcPr>
            <w:tcW w:w="600" w:type="dxa"/>
            <w:vAlign w:val="bottom"/>
          </w:tcPr>
          <w:p>
            <w:pPr>
              <w:spacing w:after="0"/>
              <w:rPr>
                <w:sz w:val="16"/>
                <w:szCs w:val="16"/>
                <w:color w:val="auto"/>
              </w:rPr>
            </w:pPr>
          </w:p>
        </w:tc>
        <w:tc>
          <w:tcPr>
            <w:tcW w:w="37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Matthew M. Bennett</w:t>
            </w:r>
          </w:p>
        </w:tc>
      </w:tr>
      <w:tr>
        <w:trPr>
          <w:trHeight w:val="206"/>
        </w:trPr>
        <w:tc>
          <w:tcPr>
            <w:tcW w:w="116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CEO</w:t>
            </w:r>
          </w:p>
        </w:tc>
        <w:tc>
          <w:tcPr>
            <w:tcW w:w="2240" w:type="dxa"/>
            <w:vAlign w:val="bottom"/>
          </w:tcPr>
          <w:p>
            <w:pPr>
              <w:ind w:left="1020"/>
              <w:spacing w:after="0"/>
              <w:rPr>
                <w:sz w:val="20"/>
                <w:szCs w:val="20"/>
                <w:color w:val="auto"/>
              </w:rPr>
            </w:pPr>
            <w:r>
              <w:rPr>
                <w:rFonts w:ascii="Arial" w:cs="Arial" w:eastAsia="Arial" w:hAnsi="Arial"/>
                <w:sz w:val="17"/>
                <w:szCs w:val="17"/>
                <w:color w:val="auto"/>
              </w:rPr>
              <w:t>Title</w:t>
            </w:r>
          </w:p>
        </w:tc>
        <w:tc>
          <w:tcPr>
            <w:tcW w:w="4360" w:type="dxa"/>
            <w:vAlign w:val="bottom"/>
            <w:gridSpan w:val="2"/>
          </w:tcPr>
          <w:p>
            <w:pPr>
              <w:ind w:left="600"/>
              <w:spacing w:after="0"/>
              <w:rPr>
                <w:sz w:val="20"/>
                <w:szCs w:val="20"/>
                <w:color w:val="auto"/>
              </w:rPr>
            </w:pPr>
            <w:r>
              <w:rPr>
                <w:rFonts w:ascii="Arial" w:cs="Arial" w:eastAsia="Arial" w:hAnsi="Arial"/>
                <w:sz w:val="17"/>
                <w:szCs w:val="17"/>
                <w:color w:val="auto"/>
              </w:rPr>
              <w:t>Vice President and Secretary</w:t>
            </w:r>
          </w:p>
        </w:tc>
      </w:tr>
      <w:tr>
        <w:trPr>
          <w:trHeight w:val="217"/>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April 21, 2010</w:t>
            </w:r>
          </w:p>
        </w:tc>
        <w:tc>
          <w:tcPr>
            <w:tcW w:w="2240" w:type="dxa"/>
            <w:vAlign w:val="bottom"/>
          </w:tcPr>
          <w:p>
            <w:pPr>
              <w:spacing w:after="0"/>
              <w:rPr>
                <w:sz w:val="18"/>
                <w:szCs w:val="18"/>
                <w:color w:val="auto"/>
              </w:rPr>
            </w:pPr>
          </w:p>
        </w:tc>
        <w:tc>
          <w:tcPr>
            <w:tcW w:w="4360" w:type="dxa"/>
            <w:vAlign w:val="bottom"/>
            <w:gridSpan w:val="2"/>
          </w:tcPr>
          <w:p>
            <w:pPr>
              <w:ind w:left="600"/>
              <w:spacing w:after="0"/>
              <w:rPr>
                <w:sz w:val="20"/>
                <w:szCs w:val="20"/>
                <w:color w:val="auto"/>
              </w:rPr>
            </w:pPr>
            <w:r>
              <w:rPr>
                <w:rFonts w:ascii="Arial" w:cs="Arial" w:eastAsia="Arial" w:hAnsi="Arial"/>
                <w:sz w:val="17"/>
                <w:szCs w:val="17"/>
                <w:color w:val="auto"/>
              </w:rPr>
              <w:t>April 21, 2010</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Signature</w:t>
            </w:r>
          </w:p>
        </w:tc>
        <w:tc>
          <w:tcPr>
            <w:tcW w:w="3660" w:type="dxa"/>
            <w:vAlign w:val="bottom"/>
            <w:gridSpan w:val="2"/>
          </w:tcPr>
          <w:p>
            <w:pPr>
              <w:ind w:left="220"/>
              <w:spacing w:after="0"/>
              <w:rPr>
                <w:sz w:val="20"/>
                <w:szCs w:val="20"/>
                <w:color w:val="auto"/>
              </w:rPr>
            </w:pPr>
            <w:r>
              <w:rPr>
                <w:rFonts w:ascii="Arial" w:cs="Arial" w:eastAsia="Arial" w:hAnsi="Arial"/>
                <w:sz w:val="17"/>
                <w:szCs w:val="17"/>
                <w:color w:val="auto"/>
              </w:rPr>
              <w:t>By: /s/ Philip Serlin</w:t>
            </w: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3"/>
        </w:trPr>
        <w:tc>
          <w:tcPr>
            <w:tcW w:w="1160" w:type="dxa"/>
            <w:vAlign w:val="bottom"/>
          </w:tcPr>
          <w:p>
            <w:pPr>
              <w:spacing w:after="0" w:line="194" w:lineRule="exact"/>
              <w:rPr>
                <w:sz w:val="20"/>
                <w:szCs w:val="20"/>
                <w:color w:val="auto"/>
              </w:rPr>
            </w:pPr>
            <w:r>
              <w:rPr>
                <w:rFonts w:ascii="Arial" w:cs="Arial" w:eastAsia="Arial" w:hAnsi="Arial"/>
                <w:sz w:val="17"/>
                <w:szCs w:val="17"/>
                <w:color w:val="auto"/>
              </w:rPr>
              <w:t>Printed Name</w:t>
            </w:r>
          </w:p>
        </w:tc>
        <w:tc>
          <w:tcPr>
            <w:tcW w:w="560" w:type="dxa"/>
            <w:vAlign w:val="bottom"/>
          </w:tcPr>
          <w:p>
            <w:pPr>
              <w:spacing w:after="0"/>
              <w:rPr>
                <w:sz w:val="16"/>
                <w:szCs w:val="16"/>
                <w:color w:val="auto"/>
              </w:rPr>
            </w:pPr>
          </w:p>
        </w:tc>
        <w:tc>
          <w:tcPr>
            <w:tcW w:w="3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Philip Serlin</w:t>
            </w:r>
          </w:p>
        </w:tc>
        <w:tc>
          <w:tcPr>
            <w:tcW w:w="2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CFO</w:t>
            </w: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7"/>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April 21, 2010</w:t>
            </w: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420"/>
        </w:trPr>
        <w:tc>
          <w:tcPr>
            <w:tcW w:w="4820" w:type="dxa"/>
            <w:vAlign w:val="bottom"/>
            <w:gridSpan w:val="3"/>
          </w:tcPr>
          <w:p>
            <w:pPr>
              <w:spacing w:after="0"/>
              <w:rPr>
                <w:sz w:val="20"/>
                <w:szCs w:val="20"/>
                <w:color w:val="auto"/>
              </w:rPr>
            </w:pPr>
            <w:r>
              <w:rPr>
                <w:rFonts w:ascii="Arial" w:cs="Arial" w:eastAsia="Arial" w:hAnsi="Arial"/>
                <w:sz w:val="17"/>
                <w:szCs w:val="17"/>
                <w:b w:val="1"/>
                <w:bCs w:val="1"/>
                <w:color w:val="auto"/>
              </w:rPr>
              <w:t>BIOLINE INNOVATIONS JERUSALEM L.P., BY ITS</w:t>
            </w: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6"/>
        </w:trPr>
        <w:tc>
          <w:tcPr>
            <w:tcW w:w="4820" w:type="dxa"/>
            <w:vAlign w:val="bottom"/>
            <w:gridSpan w:val="3"/>
          </w:tcPr>
          <w:p>
            <w:pPr>
              <w:spacing w:after="0"/>
              <w:rPr>
                <w:sz w:val="20"/>
                <w:szCs w:val="20"/>
                <w:color w:val="auto"/>
              </w:rPr>
            </w:pPr>
            <w:r>
              <w:rPr>
                <w:rFonts w:ascii="Arial" w:cs="Arial" w:eastAsia="Arial" w:hAnsi="Arial"/>
                <w:sz w:val="17"/>
                <w:szCs w:val="17"/>
                <w:b w:val="1"/>
                <w:bCs w:val="1"/>
                <w:color w:val="auto"/>
              </w:rPr>
              <w:t>GENERAL PARTNER BIOLINE INNOVATIONS</w:t>
            </w: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23"/>
        </w:trPr>
        <w:tc>
          <w:tcPr>
            <w:tcW w:w="4820" w:type="dxa"/>
            <w:vAlign w:val="bottom"/>
            <w:gridSpan w:val="3"/>
          </w:tcPr>
          <w:p>
            <w:pPr>
              <w:spacing w:after="0"/>
              <w:rPr>
                <w:sz w:val="20"/>
                <w:szCs w:val="20"/>
                <w:color w:val="auto"/>
              </w:rPr>
            </w:pPr>
            <w:r>
              <w:rPr>
                <w:rFonts w:ascii="Arial" w:cs="Arial" w:eastAsia="Arial" w:hAnsi="Arial"/>
                <w:sz w:val="17"/>
                <w:szCs w:val="17"/>
                <w:b w:val="1"/>
                <w:bCs w:val="1"/>
                <w:color w:val="auto"/>
              </w:rPr>
              <w:t>JERUSALEM, LTD.</w:t>
            </w:r>
          </w:p>
        </w:tc>
        <w:tc>
          <w:tcPr>
            <w:tcW w:w="2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Signature</w:t>
            </w:r>
          </w:p>
        </w:tc>
        <w:tc>
          <w:tcPr>
            <w:tcW w:w="3660" w:type="dxa"/>
            <w:vAlign w:val="bottom"/>
            <w:gridSpan w:val="2"/>
          </w:tcPr>
          <w:p>
            <w:pPr>
              <w:ind w:left="220"/>
              <w:spacing w:after="0"/>
              <w:rPr>
                <w:sz w:val="20"/>
                <w:szCs w:val="20"/>
                <w:color w:val="auto"/>
              </w:rPr>
            </w:pPr>
            <w:r>
              <w:rPr>
                <w:rFonts w:ascii="Arial" w:cs="Arial" w:eastAsia="Arial" w:hAnsi="Arial"/>
                <w:sz w:val="17"/>
                <w:szCs w:val="17"/>
                <w:color w:val="auto"/>
              </w:rPr>
              <w:t>By: /s/ Kinneret L. Savitsky</w:t>
            </w: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3"/>
        </w:trPr>
        <w:tc>
          <w:tcPr>
            <w:tcW w:w="1160" w:type="dxa"/>
            <w:vAlign w:val="bottom"/>
          </w:tcPr>
          <w:p>
            <w:pPr>
              <w:spacing w:after="0" w:line="194" w:lineRule="exact"/>
              <w:rPr>
                <w:sz w:val="20"/>
                <w:szCs w:val="20"/>
                <w:color w:val="auto"/>
              </w:rPr>
            </w:pPr>
            <w:r>
              <w:rPr>
                <w:rFonts w:ascii="Arial" w:cs="Arial" w:eastAsia="Arial" w:hAnsi="Arial"/>
                <w:sz w:val="17"/>
                <w:szCs w:val="17"/>
                <w:color w:val="auto"/>
              </w:rPr>
              <w:t>Printed Name</w:t>
            </w:r>
          </w:p>
        </w:tc>
        <w:tc>
          <w:tcPr>
            <w:tcW w:w="560" w:type="dxa"/>
            <w:vAlign w:val="bottom"/>
          </w:tcPr>
          <w:p>
            <w:pPr>
              <w:spacing w:after="0"/>
              <w:rPr>
                <w:sz w:val="16"/>
                <w:szCs w:val="16"/>
                <w:color w:val="auto"/>
              </w:rPr>
            </w:pPr>
          </w:p>
        </w:tc>
        <w:tc>
          <w:tcPr>
            <w:tcW w:w="3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Kinneret L. Savitsky</w:t>
            </w:r>
          </w:p>
        </w:tc>
        <w:tc>
          <w:tcPr>
            <w:tcW w:w="2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CEO</w:t>
            </w: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7"/>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April 21, 2010</w:t>
            </w: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625"/>
        </w:trPr>
        <w:tc>
          <w:tcPr>
            <w:tcW w:w="1160" w:type="dxa"/>
            <w:vAlign w:val="bottom"/>
          </w:tcPr>
          <w:p>
            <w:pPr>
              <w:spacing w:after="0"/>
              <w:rPr>
                <w:sz w:val="20"/>
                <w:szCs w:val="20"/>
                <w:color w:val="auto"/>
              </w:rPr>
            </w:pPr>
            <w:r>
              <w:rPr>
                <w:rFonts w:ascii="Arial" w:cs="Arial" w:eastAsia="Arial" w:hAnsi="Arial"/>
                <w:sz w:val="17"/>
                <w:szCs w:val="17"/>
                <w:color w:val="auto"/>
              </w:rPr>
              <w:t>Signature</w:t>
            </w:r>
          </w:p>
        </w:tc>
        <w:tc>
          <w:tcPr>
            <w:tcW w:w="3660" w:type="dxa"/>
            <w:vAlign w:val="bottom"/>
            <w:gridSpan w:val="2"/>
          </w:tcPr>
          <w:p>
            <w:pPr>
              <w:ind w:left="220"/>
              <w:spacing w:after="0"/>
              <w:rPr>
                <w:sz w:val="20"/>
                <w:szCs w:val="20"/>
                <w:color w:val="auto"/>
              </w:rPr>
            </w:pPr>
            <w:r>
              <w:rPr>
                <w:rFonts w:ascii="Arial" w:cs="Arial" w:eastAsia="Arial" w:hAnsi="Arial"/>
                <w:sz w:val="17"/>
                <w:szCs w:val="17"/>
                <w:color w:val="auto"/>
              </w:rPr>
              <w:t>By: /s/ Philip Serlin</w:t>
            </w: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3"/>
        </w:trPr>
        <w:tc>
          <w:tcPr>
            <w:tcW w:w="1160" w:type="dxa"/>
            <w:vAlign w:val="bottom"/>
          </w:tcPr>
          <w:p>
            <w:pPr>
              <w:spacing w:after="0" w:line="194" w:lineRule="exact"/>
              <w:rPr>
                <w:sz w:val="20"/>
                <w:szCs w:val="20"/>
                <w:color w:val="auto"/>
              </w:rPr>
            </w:pPr>
            <w:r>
              <w:rPr>
                <w:rFonts w:ascii="Arial" w:cs="Arial" w:eastAsia="Arial" w:hAnsi="Arial"/>
                <w:sz w:val="17"/>
                <w:szCs w:val="17"/>
                <w:color w:val="auto"/>
              </w:rPr>
              <w:t>Printed Name</w:t>
            </w:r>
          </w:p>
        </w:tc>
        <w:tc>
          <w:tcPr>
            <w:tcW w:w="560" w:type="dxa"/>
            <w:vAlign w:val="bottom"/>
          </w:tcPr>
          <w:p>
            <w:pPr>
              <w:spacing w:after="0"/>
              <w:rPr>
                <w:sz w:val="16"/>
                <w:szCs w:val="16"/>
                <w:color w:val="auto"/>
              </w:rPr>
            </w:pPr>
          </w:p>
        </w:tc>
        <w:tc>
          <w:tcPr>
            <w:tcW w:w="3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Philip Serlin</w:t>
            </w:r>
          </w:p>
        </w:tc>
        <w:tc>
          <w:tcPr>
            <w:tcW w:w="2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7"/>
                <w:szCs w:val="17"/>
                <w:color w:val="auto"/>
              </w:rPr>
              <w:t>Title</w:t>
            </w:r>
          </w:p>
        </w:tc>
        <w:tc>
          <w:tcPr>
            <w:tcW w:w="56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CFO</w:t>
            </w: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7"/>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April 21, 2010</w:t>
            </w: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60" w:type="dxa"/>
            <w:vAlign w:val="bottom"/>
          </w:tcPr>
          <w:p>
            <w:pPr>
              <w:spacing w:after="0"/>
              <w:rPr>
                <w:sz w:val="18"/>
                <w:szCs w:val="18"/>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518795</wp:posOffset>
            </wp:positionV>
            <wp:extent cx="7257415" cy="209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9" w:name="page750"/>
    <w:bookmarkEnd w:id="749"/>
    <w:p>
      <w:pPr>
        <w:ind w:left="10400"/>
        <w:spacing w:after="0"/>
        <w:rPr>
          <w:sz w:val="20"/>
          <w:szCs w:val="20"/>
          <w:color w:val="auto"/>
        </w:rPr>
      </w:pPr>
      <w:r>
        <w:rPr>
          <w:rFonts w:ascii="Arial" w:cs="Arial" w:eastAsia="Arial" w:hAnsi="Arial"/>
          <w:sz w:val="16"/>
          <w:szCs w:val="16"/>
          <w:color w:val="auto"/>
        </w:rPr>
        <w:t>EXHIBIT 4.27</w:t>
      </w:r>
    </w:p>
    <w:p>
      <w:pPr>
        <w:spacing w:after="0" w:line="25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TRANSLATION FROM HEBREW</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State of Israel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Ministry of Industry, Trade, and Employment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Industrial Research and Development Administration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 of the Chief Scientist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Technological Incubator Administration</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Tel Aviv, Jan. 2, 2011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Leah Klapper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BioLine Innovations,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POB 45158</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91450 Jerusalem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Fax: (02) 5489101</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Meeting No. 2010/3, December 30, 2010 (file 35583)</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 hereby inform you that the Biotechnology Incubators Committee considered your request and decided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Background: The BioLine incubator is specific for biotechnology. Its franchise began in January 2005 and ends in December 2010.</w:t>
      </w:r>
    </w:p>
    <w:p>
      <w:pPr>
        <w:spacing w:after="0" w:line="242"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Pursuant to the agreement for operation of the incubator, signed by the State and the BioLine Incubator, BioLine is entitled to file a request to extend the term of the agreement for an additional three years.</w:t>
      </w:r>
    </w:p>
    <w:p>
      <w:pPr>
        <w:spacing w:after="0" w:line="19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The BioLine Incubator filed a request to extend the term of the agreement for an additional three years, beginning in January 2011 and running through the end of December 2013.</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Decision: To approve the extension of the term of the agreement for two years, beginning in January 2011 and running through the end of December 2012.</w:t>
      </w:r>
    </w:p>
    <w:p>
      <w:pPr>
        <w:spacing w:after="0" w:line="253" w:lineRule="exact"/>
        <w:rPr>
          <w:sz w:val="20"/>
          <w:szCs w:val="20"/>
          <w:color w:val="auto"/>
        </w:rPr>
      </w:pPr>
    </w:p>
    <w:p>
      <w:pPr>
        <w:ind w:right="600"/>
        <w:spacing w:after="0" w:line="278" w:lineRule="auto"/>
        <w:rPr>
          <w:sz w:val="20"/>
          <w:szCs w:val="20"/>
          <w:color w:val="auto"/>
        </w:rPr>
      </w:pPr>
      <w:r>
        <w:rPr>
          <w:rFonts w:ascii="Arial" w:cs="Arial" w:eastAsia="Arial" w:hAnsi="Arial"/>
          <w:sz w:val="17"/>
          <w:szCs w:val="17"/>
          <w:color w:val="auto"/>
        </w:rPr>
        <w:t>The BioLine Incubator will be entitled to submit a request for another extension of the agreement, for an additional year (until the end of December 2013), on condition that the request is submitted not before January 2012 and not after June 2012.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 Yossi Smolar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Yossi Smolar</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Director, Biotechnology Incubators Program</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cc: Ora Dar, professional investigator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209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750" w:name="page751"/>
    <w:bookmarkEnd w:id="750"/>
    <w:p>
      <w:pPr>
        <w:jc w:val="right"/>
        <w:spacing w:after="0"/>
        <w:rPr>
          <w:sz w:val="20"/>
          <w:szCs w:val="20"/>
          <w:color w:val="auto"/>
        </w:rPr>
      </w:pPr>
      <w:r>
        <w:rPr>
          <w:rFonts w:ascii="Arial" w:cs="Arial" w:eastAsia="Arial" w:hAnsi="Arial"/>
          <w:sz w:val="17"/>
          <w:szCs w:val="17"/>
          <w:color w:val="auto"/>
        </w:rPr>
        <w:t>EXHIBIT 4.28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SPONSORED RESEARCH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Made in Jerusalem this 23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day of June, 2011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YISSUM RESEARCH DEVELOPMENT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OF THE HEBREW UNIVERSITY OF JERUSALEM</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Hi Tech Park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Edmond J. Safra Campus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Givat Ram</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Jerusalem, 91390,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(hereinafter referred to as “</w:t>
      </w:r>
      <w:r>
        <w:rPr>
          <w:rFonts w:ascii="Arial" w:cs="Arial" w:eastAsia="Arial" w:hAnsi="Arial"/>
          <w:sz w:val="17"/>
          <w:szCs w:val="17"/>
          <w:b w:val="1"/>
          <w:bCs w:val="1"/>
          <w:color w:val="auto"/>
        </w:rPr>
        <w:t>Yissum</w:t>
      </w:r>
      <w:r>
        <w:rPr>
          <w:rFonts w:ascii="Arial" w:cs="Arial" w:eastAsia="Arial" w:hAnsi="Arial"/>
          <w:sz w:val="17"/>
          <w:szCs w:val="17"/>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the one part;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BIOLINERX, LTD.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 Hartum Street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 O. Box 45158</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Har Hotzvim Industrial Park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Jerusalem, 91480,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(hereinafter referred to as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the other part;</w:t>
      </w:r>
    </w:p>
    <w:p>
      <w:pPr>
        <w:spacing w:after="0" w:line="225" w:lineRule="exact"/>
        <w:rPr>
          <w:sz w:val="20"/>
          <w:szCs w:val="20"/>
          <w:color w:val="auto"/>
        </w:rPr>
      </w:pPr>
    </w:p>
    <w:p>
      <w:pPr>
        <w:jc w:val="both"/>
        <w:ind w:left="1240" w:hanging="1234"/>
        <w:spacing w:after="0" w:line="278" w:lineRule="auto"/>
        <w:tabs>
          <w:tab w:leader="none" w:pos="1220" w:val="left"/>
        </w:tabs>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Company is in the business of identifying, evaluating and in-licensing promising drug product candidates and planning, managing and implementing drug development programs; and</w:t>
      </w:r>
    </w:p>
    <w:p>
      <w:pPr>
        <w:spacing w:after="0" w:line="19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Company and Yissum have entered into a License Agreement dated June 23, 2011 (the “License Agreement”); and</w:t>
      </w:r>
    </w:p>
    <w:p>
      <w:pPr>
        <w:spacing w:after="0" w:line="242" w:lineRule="exact"/>
        <w:rPr>
          <w:sz w:val="20"/>
          <w:szCs w:val="20"/>
          <w:color w:val="auto"/>
        </w:rPr>
      </w:pPr>
    </w:p>
    <w:p>
      <w:pPr>
        <w:jc w:val="both"/>
        <w:ind w:left="1240" w:hanging="1234"/>
        <w:spacing w:after="0" w:line="265" w:lineRule="auto"/>
        <w:tabs>
          <w:tab w:leader="none" w:pos="1220" w:val="left"/>
        </w:tabs>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Company wishes to fund certain Research (as defined hereunder) relating to various aspects of the Know-How in accordance with the Research Plan, and Yissum has agreed to procure the conduct of such Research from the Research Team at the University, all in accordance with the terms hereof;</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THEREFORE THE PARTIES, INTENDING TO BE LEGALLY BOUND, HEREBY AS FOLLOWS:</w:t>
      </w:r>
    </w:p>
    <w:p>
      <w:pPr>
        <w:spacing w:after="0" w:line="242" w:lineRule="exact"/>
        <w:rPr>
          <w:sz w:val="20"/>
          <w:szCs w:val="20"/>
          <w:color w:val="auto"/>
        </w:rPr>
      </w:pPr>
    </w:p>
    <w:p>
      <w:pPr>
        <w:ind w:left="600" w:hanging="597"/>
        <w:spacing w:after="0"/>
        <w:tabs>
          <w:tab w:leader="none" w:pos="600" w:val="left"/>
        </w:tabs>
        <w:numPr>
          <w:ilvl w:val="0"/>
          <w:numId w:val="689"/>
        </w:numPr>
        <w:rPr>
          <w:rFonts w:ascii="Arial" w:cs="Arial" w:eastAsia="Arial" w:hAnsi="Arial"/>
          <w:sz w:val="17"/>
          <w:szCs w:val="17"/>
          <w:b w:val="1"/>
          <w:bCs w:val="1"/>
          <w:color w:val="auto"/>
        </w:rPr>
      </w:pPr>
      <w:r>
        <w:rPr>
          <w:rFonts w:ascii="Arial" w:cs="Arial" w:eastAsia="Arial" w:hAnsi="Arial"/>
          <w:sz w:val="17"/>
          <w:szCs w:val="17"/>
          <w:b w:val="1"/>
          <w:bCs w:val="1"/>
          <w:color w:val="auto"/>
        </w:rPr>
        <w:t>Recitals and Definitions</w:t>
      </w:r>
    </w:p>
    <w:p>
      <w:pPr>
        <w:spacing w:after="0" w:line="247" w:lineRule="exact"/>
        <w:rPr>
          <w:rFonts w:ascii="Arial" w:cs="Arial" w:eastAsia="Arial" w:hAnsi="Arial"/>
          <w:sz w:val="17"/>
          <w:szCs w:val="17"/>
          <w:b w:val="1"/>
          <w:bCs w:val="1"/>
          <w:color w:val="auto"/>
        </w:rPr>
      </w:pPr>
    </w:p>
    <w:p>
      <w:pPr>
        <w:ind w:left="1280" w:hanging="660"/>
        <w:spacing w:after="0"/>
        <w:tabs>
          <w:tab w:leader="none" w:pos="1280" w:val="left"/>
        </w:tabs>
        <w:numPr>
          <w:ilvl w:val="1"/>
          <w:numId w:val="689"/>
        </w:numPr>
        <w:rPr>
          <w:rFonts w:ascii="Arial" w:cs="Arial" w:eastAsia="Arial" w:hAnsi="Arial"/>
          <w:sz w:val="17"/>
          <w:szCs w:val="17"/>
          <w:color w:val="auto"/>
        </w:rPr>
      </w:pPr>
      <w:r>
        <w:rPr>
          <w:rFonts w:ascii="Arial" w:cs="Arial" w:eastAsia="Arial" w:hAnsi="Arial"/>
          <w:sz w:val="17"/>
          <w:szCs w:val="17"/>
          <w:color w:val="auto"/>
        </w:rPr>
        <w:t>The recitals hereto constitute an integral part hereof.</w:t>
      </w:r>
    </w:p>
    <w:p>
      <w:pPr>
        <w:spacing w:after="0" w:line="241" w:lineRule="exact"/>
        <w:rPr>
          <w:rFonts w:ascii="Arial" w:cs="Arial" w:eastAsia="Arial" w:hAnsi="Arial"/>
          <w:sz w:val="17"/>
          <w:szCs w:val="17"/>
          <w:color w:val="auto"/>
        </w:rPr>
      </w:pPr>
    </w:p>
    <w:p>
      <w:pPr>
        <w:ind w:firstLine="620"/>
        <w:spacing w:after="0" w:line="278" w:lineRule="auto"/>
        <w:tabs>
          <w:tab w:leader="none" w:pos="1324" w:val="left"/>
        </w:tabs>
        <w:numPr>
          <w:ilvl w:val="1"/>
          <w:numId w:val="689"/>
        </w:numPr>
        <w:rPr>
          <w:rFonts w:ascii="Arial" w:cs="Arial" w:eastAsia="Arial" w:hAnsi="Arial"/>
          <w:sz w:val="17"/>
          <w:szCs w:val="17"/>
          <w:color w:val="auto"/>
        </w:rPr>
      </w:pPr>
      <w:r>
        <w:rPr>
          <w:rFonts w:ascii="Arial" w:cs="Arial" w:eastAsia="Arial" w:hAnsi="Arial"/>
          <w:sz w:val="17"/>
          <w:szCs w:val="17"/>
          <w:color w:val="auto"/>
        </w:rPr>
        <w:t>In this Agreement, unless otherwise required or indicated by the context, the singular shall include the plural and vice-versa, the masculine gender shall include all other genders.</w:t>
      </w:r>
    </w:p>
    <w:p>
      <w:pPr>
        <w:spacing w:after="0" w:line="190" w:lineRule="exact"/>
        <w:rPr>
          <w:rFonts w:ascii="Arial" w:cs="Arial" w:eastAsia="Arial" w:hAnsi="Arial"/>
          <w:sz w:val="17"/>
          <w:szCs w:val="17"/>
          <w:color w:val="auto"/>
        </w:rPr>
      </w:pPr>
    </w:p>
    <w:p>
      <w:pPr>
        <w:ind w:firstLine="620"/>
        <w:spacing w:after="0" w:line="278" w:lineRule="auto"/>
        <w:tabs>
          <w:tab w:leader="none" w:pos="1357" w:val="left"/>
        </w:tabs>
        <w:numPr>
          <w:ilvl w:val="1"/>
          <w:numId w:val="689"/>
        </w:numPr>
        <w:rPr>
          <w:rFonts w:ascii="Arial" w:cs="Arial" w:eastAsia="Arial" w:hAnsi="Arial"/>
          <w:sz w:val="17"/>
          <w:szCs w:val="17"/>
          <w:color w:val="auto"/>
        </w:rPr>
      </w:pPr>
      <w:r>
        <w:rPr>
          <w:rFonts w:ascii="Arial" w:cs="Arial" w:eastAsia="Arial" w:hAnsi="Arial"/>
          <w:sz w:val="17"/>
          <w:szCs w:val="17"/>
          <w:color w:val="auto"/>
        </w:rPr>
        <w:t>In this agreement the following expressions shall have the meanings appearing alongside them, unless the context otherwise requires. Terms not specifically defined herein shall have the meaning attributed thereto in the License Agreement between the parties.</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w:t>
      </w:r>
      <w:r>
        <w:rPr>
          <w:rFonts w:ascii="Arial" w:cs="Arial" w:eastAsia="Arial" w:hAnsi="Arial"/>
          <w:sz w:val="17"/>
          <w:szCs w:val="17"/>
          <w:color w:val="auto"/>
        </w:rPr>
        <w:t>” means the research, which shall be carried out and conducted in the University subject to and as generally set forth in the Research Program under the supervision of the Researchers.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51" w:name="page752"/>
    <w:bookmarkEnd w:id="751"/>
    <w:p>
      <w:pPr>
        <w:ind w:firstLine="6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Researchers</w:t>
      </w:r>
      <w:r>
        <w:rPr>
          <w:rFonts w:ascii="Arial" w:cs="Arial" w:eastAsia="Arial" w:hAnsi="Arial"/>
          <w:sz w:val="17"/>
          <w:szCs w:val="17"/>
          <w:color w:val="auto"/>
        </w:rPr>
        <w:t>” means Professor Hermona Soreq and or such other person as determined and appointed from time to time by Yissum to supervise and to perform the Research in accordance with the Research Program.</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 Fee</w:t>
      </w:r>
      <w:r>
        <w:rPr>
          <w:rFonts w:ascii="Arial" w:cs="Arial" w:eastAsia="Arial" w:hAnsi="Arial"/>
          <w:sz w:val="17"/>
          <w:szCs w:val="17"/>
          <w:color w:val="auto"/>
        </w:rPr>
        <w:t>” means the research fee as detailed in Appendix “B”.</w:t>
      </w:r>
    </w:p>
    <w:p>
      <w:pPr>
        <w:spacing w:after="0" w:line="242"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 Period</w:t>
      </w:r>
      <w:r>
        <w:rPr>
          <w:rFonts w:ascii="Arial" w:cs="Arial" w:eastAsia="Arial" w:hAnsi="Arial"/>
          <w:sz w:val="17"/>
          <w:szCs w:val="17"/>
          <w:color w:val="auto"/>
        </w:rPr>
        <w:t>” means the two (2) year period set forth in the Research Program for the performance of the Research and any extension thereto agreed upon between the Parties in writing.</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 Program</w:t>
      </w:r>
      <w:r>
        <w:rPr>
          <w:rFonts w:ascii="Arial" w:cs="Arial" w:eastAsia="Arial" w:hAnsi="Arial"/>
          <w:sz w:val="17"/>
          <w:szCs w:val="17"/>
          <w:color w:val="auto"/>
        </w:rPr>
        <w:t>” means the research program relating to the planned performance of the Research attached hereto as Appendix “A”, and any modifications or additions thereto agreed upon from time to time between the parties in writing.</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 Results</w:t>
      </w:r>
      <w:r>
        <w:rPr>
          <w:rFonts w:ascii="Arial" w:cs="Arial" w:eastAsia="Arial" w:hAnsi="Arial"/>
          <w:sz w:val="17"/>
          <w:szCs w:val="17"/>
          <w:color w:val="auto"/>
        </w:rPr>
        <w:t>” means any patents, patent applications, information, material, results, devices and know-how discovered or acquired by, or on behalf of, members of the Research Team in the course of the performance of the Research during the Research Period.</w:t>
      </w:r>
    </w:p>
    <w:p>
      <w:pPr>
        <w:spacing w:after="0" w:line="190" w:lineRule="exact"/>
        <w:rPr>
          <w:sz w:val="20"/>
          <w:szCs w:val="20"/>
          <w:color w:val="auto"/>
        </w:rPr>
      </w:pPr>
    </w:p>
    <w:p>
      <w:pPr>
        <w:ind w:firstLine="6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Research Team</w:t>
      </w:r>
      <w:r>
        <w:rPr>
          <w:rFonts w:ascii="Arial" w:cs="Arial" w:eastAsia="Arial" w:hAnsi="Arial"/>
          <w:sz w:val="17"/>
          <w:szCs w:val="17"/>
          <w:color w:val="auto"/>
        </w:rPr>
        <w:t>” means the Researchers and those researchers, scientists, students and technicians working at the University’s facilities under the Researchers’ direction on the Research.</w:t>
      </w:r>
    </w:p>
    <w:p>
      <w:pPr>
        <w:spacing w:after="0" w:line="184" w:lineRule="exact"/>
        <w:rPr>
          <w:sz w:val="20"/>
          <w:szCs w:val="20"/>
          <w:color w:val="auto"/>
        </w:rPr>
      </w:pPr>
    </w:p>
    <w:p>
      <w:pPr>
        <w:ind w:left="600" w:hanging="597"/>
        <w:spacing w:after="0"/>
        <w:tabs>
          <w:tab w:leader="none" w:pos="600" w:val="left"/>
        </w:tabs>
        <w:numPr>
          <w:ilvl w:val="0"/>
          <w:numId w:val="690"/>
        </w:numPr>
        <w:rPr>
          <w:rFonts w:ascii="Arial" w:cs="Arial" w:eastAsia="Arial" w:hAnsi="Arial"/>
          <w:sz w:val="17"/>
          <w:szCs w:val="17"/>
          <w:b w:val="1"/>
          <w:bCs w:val="1"/>
          <w:color w:val="auto"/>
        </w:rPr>
      </w:pPr>
      <w:r>
        <w:rPr>
          <w:rFonts w:ascii="Arial" w:cs="Arial" w:eastAsia="Arial" w:hAnsi="Arial"/>
          <w:sz w:val="17"/>
          <w:szCs w:val="17"/>
          <w:b w:val="1"/>
          <w:bCs w:val="1"/>
          <w:color w:val="auto"/>
        </w:rPr>
        <w:t>The Research and its Performance</w:t>
      </w:r>
    </w:p>
    <w:p>
      <w:pPr>
        <w:spacing w:after="0" w:line="248" w:lineRule="exact"/>
        <w:rPr>
          <w:sz w:val="20"/>
          <w:szCs w:val="20"/>
          <w:color w:val="auto"/>
        </w:rPr>
      </w:pPr>
    </w:p>
    <w:p>
      <w:pPr>
        <w:ind w:firstLine="3"/>
        <w:spacing w:after="0" w:line="278" w:lineRule="auto"/>
        <w:tabs>
          <w:tab w:leader="none" w:pos="701" w:val="left"/>
        </w:tabs>
        <w:numPr>
          <w:ilvl w:val="0"/>
          <w:numId w:val="691"/>
        </w:numPr>
        <w:rPr>
          <w:rFonts w:ascii="Arial" w:cs="Arial" w:eastAsia="Arial" w:hAnsi="Arial"/>
          <w:sz w:val="17"/>
          <w:szCs w:val="17"/>
          <w:color w:val="auto"/>
        </w:rPr>
      </w:pPr>
      <w:r>
        <w:rPr>
          <w:rFonts w:ascii="Arial" w:cs="Arial" w:eastAsia="Arial" w:hAnsi="Arial"/>
          <w:sz w:val="17"/>
          <w:szCs w:val="17"/>
          <w:color w:val="auto"/>
        </w:rPr>
        <w:t>Yissum shall procure the conduct of the Research in accordance with the Research Program during the Research Period. The Research will be directed and supervised by the Researchers, who shall have primary responsibility for the performance of the Research.</w:t>
      </w:r>
    </w:p>
    <w:p>
      <w:pPr>
        <w:spacing w:after="0" w:line="190" w:lineRule="exact"/>
        <w:rPr>
          <w:rFonts w:ascii="Arial" w:cs="Arial" w:eastAsia="Arial" w:hAnsi="Arial"/>
          <w:sz w:val="17"/>
          <w:szCs w:val="17"/>
          <w:color w:val="auto"/>
        </w:rPr>
      </w:pPr>
    </w:p>
    <w:p>
      <w:pPr>
        <w:jc w:val="both"/>
        <w:ind w:firstLine="620"/>
        <w:spacing w:after="0" w:line="259" w:lineRule="auto"/>
        <w:tabs>
          <w:tab w:leader="none" w:pos="1293" w:val="left"/>
        </w:tabs>
        <w:numPr>
          <w:ilvl w:val="1"/>
          <w:numId w:val="691"/>
        </w:numPr>
        <w:rPr>
          <w:rFonts w:ascii="Arial" w:cs="Arial" w:eastAsia="Arial" w:hAnsi="Arial"/>
          <w:sz w:val="17"/>
          <w:szCs w:val="17"/>
          <w:color w:val="auto"/>
        </w:rPr>
      </w:pPr>
      <w:r>
        <w:rPr>
          <w:rFonts w:ascii="Arial" w:cs="Arial" w:eastAsia="Arial" w:hAnsi="Arial"/>
          <w:sz w:val="17"/>
          <w:szCs w:val="17"/>
          <w:color w:val="auto"/>
        </w:rPr>
        <w:t>If the Researchers cease to supervise the Research for any reason, Yissum will so notify the Company, and Yissum shall endeavor to find a scientist or scientists acceptable to the Company to continue the supervision of the Research as a replacement Researcher. If Yissum is unable to find such a scientist reasonably acceptable to the Company within sixty (60) days after such notice to the Company, the Company shall have the option to terminate the funding of the Research. The Company shall promptly advise Yissum in writing if the Company so elects. Such election shall terminate Yissum’s obligations to procure the Research and the Company may terminate this Agreement.</w:t>
      </w:r>
    </w:p>
    <w:p>
      <w:pPr>
        <w:spacing w:after="0" w:line="205" w:lineRule="exact"/>
        <w:rPr>
          <w:rFonts w:ascii="Arial" w:cs="Arial" w:eastAsia="Arial" w:hAnsi="Arial"/>
          <w:sz w:val="17"/>
          <w:szCs w:val="17"/>
          <w:color w:val="auto"/>
        </w:rPr>
      </w:pPr>
    </w:p>
    <w:p>
      <w:pPr>
        <w:jc w:val="both"/>
        <w:ind w:firstLine="620"/>
        <w:spacing w:after="0" w:line="259" w:lineRule="auto"/>
        <w:tabs>
          <w:tab w:leader="none" w:pos="1283" w:val="left"/>
        </w:tabs>
        <w:numPr>
          <w:ilvl w:val="1"/>
          <w:numId w:val="691"/>
        </w:numPr>
        <w:rPr>
          <w:rFonts w:ascii="Arial" w:cs="Arial" w:eastAsia="Arial" w:hAnsi="Arial"/>
          <w:sz w:val="17"/>
          <w:szCs w:val="17"/>
          <w:color w:val="auto"/>
        </w:rPr>
      </w:pPr>
      <w:r>
        <w:rPr>
          <w:rFonts w:ascii="Arial" w:cs="Arial" w:eastAsia="Arial" w:hAnsi="Arial"/>
          <w:sz w:val="17"/>
          <w:szCs w:val="17"/>
          <w:color w:val="auto"/>
        </w:rPr>
        <w:t>Every six (6) months Yissum shall provide the Company with written scientific reports describing the progress of the Research, as well as Research accomplishments and significant findings. In addition, Yissum shall provide the Company with oral reports on a quarterly basis in which Yissum will update the Company on the progress of the Research, as well as Research accomplishments and significant findings. Within thirty (30) days of the expiration of the Research Period, Yissum shall provide the Company with a report detailing the results and conclusions of the Research. For the avoidance of doubt, Yissum shall have no obligation to prepare financial reports or budgets with respect to the Research.</w:t>
      </w:r>
    </w:p>
    <w:p>
      <w:pPr>
        <w:spacing w:after="0" w:line="205" w:lineRule="exact"/>
        <w:rPr>
          <w:rFonts w:ascii="Arial" w:cs="Arial" w:eastAsia="Arial" w:hAnsi="Arial"/>
          <w:sz w:val="17"/>
          <w:szCs w:val="17"/>
          <w:color w:val="auto"/>
        </w:rPr>
      </w:pPr>
    </w:p>
    <w:p>
      <w:pPr>
        <w:jc w:val="both"/>
        <w:ind w:firstLine="620"/>
        <w:spacing w:after="0" w:line="265" w:lineRule="auto"/>
        <w:tabs>
          <w:tab w:leader="none" w:pos="1336" w:val="left"/>
        </w:tabs>
        <w:numPr>
          <w:ilvl w:val="1"/>
          <w:numId w:val="691"/>
        </w:numPr>
        <w:rPr>
          <w:rFonts w:ascii="Arial" w:cs="Arial" w:eastAsia="Arial" w:hAnsi="Arial"/>
          <w:sz w:val="17"/>
          <w:szCs w:val="17"/>
          <w:color w:val="auto"/>
        </w:rPr>
      </w:pPr>
      <w:r>
        <w:rPr>
          <w:rFonts w:ascii="Arial" w:cs="Arial" w:eastAsia="Arial" w:hAnsi="Arial"/>
          <w:sz w:val="17"/>
          <w:szCs w:val="17"/>
          <w:color w:val="auto"/>
        </w:rPr>
        <w:t>The Researchers shall record, and shall cause all members of the Research Team to record, all Research Results, accomplishments and significant findings generated in the course of performing the Research in designated notebooks provided by the Company for this purpose in accordance with the Company’s guidelines.</w:t>
      </w:r>
    </w:p>
    <w:p>
      <w:pPr>
        <w:spacing w:after="0" w:line="201" w:lineRule="exact"/>
        <w:rPr>
          <w:rFonts w:ascii="Arial" w:cs="Arial" w:eastAsia="Arial" w:hAnsi="Arial"/>
          <w:sz w:val="17"/>
          <w:szCs w:val="17"/>
          <w:color w:val="auto"/>
        </w:rPr>
      </w:pPr>
    </w:p>
    <w:p>
      <w:pPr>
        <w:jc w:val="both"/>
        <w:ind w:firstLine="620"/>
        <w:spacing w:after="0" w:line="261" w:lineRule="auto"/>
        <w:tabs>
          <w:tab w:leader="none" w:pos="1476" w:val="left"/>
        </w:tabs>
        <w:numPr>
          <w:ilvl w:val="1"/>
          <w:numId w:val="691"/>
        </w:numPr>
        <w:rPr>
          <w:rFonts w:ascii="Arial" w:cs="Arial" w:eastAsia="Arial" w:hAnsi="Arial"/>
          <w:sz w:val="17"/>
          <w:szCs w:val="17"/>
          <w:color w:val="auto"/>
        </w:rPr>
      </w:pPr>
      <w:r>
        <w:rPr>
          <w:rFonts w:ascii="Arial" w:cs="Arial" w:eastAsia="Arial" w:hAnsi="Arial"/>
          <w:sz w:val="17"/>
          <w:szCs w:val="17"/>
          <w:color w:val="auto"/>
        </w:rPr>
        <w:t>In the event that the Company requires the performance of any additional research not included in the Research Program for the purpose of commercializing the Research Results or the Licensed Technology which is the subject matter of the License Agreement, the Company agrees to discuss with Yissum the possible performance thereof by Yissum. For the avoidance of doubt, the parties understand and agree that the Company shall not be obligated to award the performance of such additional research to Yissum.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52" w:name="page753"/>
    <w:bookmarkEnd w:id="752"/>
    <w:p>
      <w:pPr>
        <w:ind w:firstLine="620"/>
        <w:spacing w:after="0" w:line="311" w:lineRule="auto"/>
        <w:tabs>
          <w:tab w:leader="none" w:pos="1273" w:val="left"/>
        </w:tabs>
        <w:numPr>
          <w:ilvl w:val="1"/>
          <w:numId w:val="692"/>
        </w:numPr>
        <w:rPr>
          <w:rFonts w:ascii="Arial" w:cs="Arial" w:eastAsia="Arial" w:hAnsi="Arial"/>
          <w:sz w:val="16"/>
          <w:szCs w:val="16"/>
          <w:color w:val="auto"/>
        </w:rPr>
      </w:pPr>
      <w:r>
        <w:rPr>
          <w:rFonts w:ascii="Arial" w:cs="Arial" w:eastAsia="Arial" w:hAnsi="Arial"/>
          <w:sz w:val="16"/>
          <w:szCs w:val="16"/>
          <w:color w:val="auto"/>
        </w:rPr>
        <w:t>For the avoidance of doubt, the Agreement in general and this section in particular shall not constitute an obligation and/or confirmation on the part of Yissum that any commercially exploitable results and/or conclusions will be achieved in consequence of the performance of the Research.</w:t>
      </w:r>
    </w:p>
    <w:p>
      <w:pPr>
        <w:spacing w:after="0" w:line="160" w:lineRule="exact"/>
        <w:rPr>
          <w:rFonts w:ascii="Arial" w:cs="Arial" w:eastAsia="Arial" w:hAnsi="Arial"/>
          <w:sz w:val="16"/>
          <w:szCs w:val="16"/>
          <w:color w:val="auto"/>
        </w:rPr>
      </w:pPr>
    </w:p>
    <w:p>
      <w:pPr>
        <w:ind w:left="600" w:hanging="597"/>
        <w:spacing w:after="0"/>
        <w:tabs>
          <w:tab w:leader="none" w:pos="600" w:val="left"/>
        </w:tabs>
        <w:numPr>
          <w:ilvl w:val="0"/>
          <w:numId w:val="693"/>
        </w:numPr>
        <w:rPr>
          <w:rFonts w:ascii="Arial" w:cs="Arial" w:eastAsia="Arial" w:hAnsi="Arial"/>
          <w:sz w:val="17"/>
          <w:szCs w:val="17"/>
          <w:b w:val="1"/>
          <w:bCs w:val="1"/>
          <w:color w:val="auto"/>
        </w:rPr>
      </w:pPr>
      <w:r>
        <w:rPr>
          <w:rFonts w:ascii="Arial" w:cs="Arial" w:eastAsia="Arial" w:hAnsi="Arial"/>
          <w:sz w:val="17"/>
          <w:szCs w:val="17"/>
          <w:b w:val="1"/>
          <w:bCs w:val="1"/>
          <w:color w:val="auto"/>
        </w:rPr>
        <w:t>Finance of the Research</w:t>
      </w:r>
    </w:p>
    <w:p>
      <w:pPr>
        <w:spacing w:after="0" w:line="248" w:lineRule="exact"/>
        <w:rPr>
          <w:sz w:val="20"/>
          <w:szCs w:val="20"/>
          <w:color w:val="auto"/>
        </w:rPr>
      </w:pPr>
    </w:p>
    <w:p>
      <w:pPr>
        <w:ind w:firstLine="3"/>
        <w:spacing w:after="0" w:line="311" w:lineRule="auto"/>
        <w:tabs>
          <w:tab w:leader="none" w:pos="861" w:val="left"/>
        </w:tabs>
        <w:numPr>
          <w:ilvl w:val="0"/>
          <w:numId w:val="694"/>
        </w:numPr>
        <w:rPr>
          <w:rFonts w:ascii="Arial" w:cs="Arial" w:eastAsia="Arial" w:hAnsi="Arial"/>
          <w:sz w:val="16"/>
          <w:szCs w:val="16"/>
          <w:color w:val="auto"/>
        </w:rPr>
      </w:pPr>
      <w:r>
        <w:rPr>
          <w:rFonts w:ascii="Arial" w:cs="Arial" w:eastAsia="Arial" w:hAnsi="Arial"/>
          <w:sz w:val="16"/>
          <w:szCs w:val="16"/>
          <w:color w:val="auto"/>
        </w:rPr>
        <w:t>In consideration for the performance of the Research, the Company undertakes to pay Yissum the Research Fee in accordance with the terms of this Agreement. The Research Fee shall be paid to Yissum in installments in accordance with the terms and conditions as detailed in Appendix “B”.</w:t>
      </w:r>
    </w:p>
    <w:p>
      <w:pPr>
        <w:spacing w:after="0" w:line="166" w:lineRule="exact"/>
        <w:rPr>
          <w:rFonts w:ascii="Arial" w:cs="Arial" w:eastAsia="Arial" w:hAnsi="Arial"/>
          <w:sz w:val="16"/>
          <w:szCs w:val="16"/>
          <w:color w:val="auto"/>
        </w:rPr>
      </w:pPr>
    </w:p>
    <w:p>
      <w:pPr>
        <w:jc w:val="both"/>
        <w:ind w:firstLine="620"/>
        <w:spacing w:after="0" w:line="261" w:lineRule="auto"/>
        <w:tabs>
          <w:tab w:leader="none" w:pos="1295" w:val="left"/>
        </w:tabs>
        <w:numPr>
          <w:ilvl w:val="1"/>
          <w:numId w:val="694"/>
        </w:numPr>
        <w:rPr>
          <w:rFonts w:ascii="Arial" w:cs="Arial" w:eastAsia="Arial" w:hAnsi="Arial"/>
          <w:sz w:val="17"/>
          <w:szCs w:val="17"/>
          <w:color w:val="auto"/>
        </w:rPr>
      </w:pPr>
      <w:r>
        <w:rPr>
          <w:rFonts w:ascii="Arial" w:cs="Arial" w:eastAsia="Arial" w:hAnsi="Arial"/>
          <w:sz w:val="17"/>
          <w:szCs w:val="17"/>
          <w:color w:val="auto"/>
        </w:rPr>
        <w:t>The provisions of this Agreement shall not prevent Yissum and/or the University and/or the Researchers from obtaining further finance or applying for Grants from other entities for the Research, provided that such entities shall not be granted rights in the Research and/or Research Results prejudicing the rights granted to the Company in accordance herewith. Yissum shall notify the Company upon such application for and receiving any such funding, which notification shall include a copy of any agreements and/or notices awarding such funding.</w:t>
      </w:r>
    </w:p>
    <w:p>
      <w:pPr>
        <w:spacing w:after="0" w:line="204" w:lineRule="exact"/>
        <w:rPr>
          <w:rFonts w:ascii="Arial" w:cs="Arial" w:eastAsia="Arial" w:hAnsi="Arial"/>
          <w:sz w:val="17"/>
          <w:szCs w:val="17"/>
          <w:color w:val="auto"/>
        </w:rPr>
      </w:pPr>
    </w:p>
    <w:p>
      <w:pPr>
        <w:jc w:val="both"/>
        <w:ind w:firstLine="620"/>
        <w:spacing w:after="0" w:line="277" w:lineRule="auto"/>
        <w:tabs>
          <w:tab w:leader="none" w:pos="1326" w:val="left"/>
        </w:tabs>
        <w:numPr>
          <w:ilvl w:val="1"/>
          <w:numId w:val="694"/>
        </w:numPr>
        <w:rPr>
          <w:rFonts w:ascii="Arial" w:cs="Arial" w:eastAsia="Arial" w:hAnsi="Arial"/>
          <w:sz w:val="16"/>
          <w:szCs w:val="16"/>
          <w:color w:val="auto"/>
        </w:rPr>
      </w:pPr>
      <w:r>
        <w:rPr>
          <w:rFonts w:ascii="Arial" w:cs="Arial" w:eastAsia="Arial" w:hAnsi="Arial"/>
          <w:sz w:val="16"/>
          <w:szCs w:val="16"/>
          <w:color w:val="auto"/>
        </w:rPr>
        <w:t>The Company shall not, under any circumstances, apart from those set forth in section 2(b), above, cease the financing of the Research during the first year of the Research Period. Subject to the foregoing, in the event that the License Agreement is terminated for any reason, the Company’s obligation to finance the Research shall terminate six (6) months from the later of (i) service of the notice of termination under the License Agreement; and (ii) the end of the first year of the Research Period; provided that the Company shall pay for Research work carried out up until the date of termination, together with any irrevocable financial commitments made by Yissum in connection with the Research prior to the service of the notice of termination. Notwithstanding the foregoing, in no event will the Company’s financing obligations under this Agreement exceed the Research Period.</w:t>
      </w:r>
    </w:p>
    <w:p>
      <w:pPr>
        <w:spacing w:after="0" w:line="186" w:lineRule="exact"/>
        <w:rPr>
          <w:sz w:val="20"/>
          <w:szCs w:val="20"/>
          <w:color w:val="auto"/>
        </w:rPr>
      </w:pPr>
    </w:p>
    <w:p>
      <w:pPr>
        <w:ind w:left="600" w:hanging="597"/>
        <w:spacing w:after="0"/>
        <w:tabs>
          <w:tab w:leader="none" w:pos="600" w:val="left"/>
        </w:tabs>
        <w:numPr>
          <w:ilvl w:val="0"/>
          <w:numId w:val="695"/>
        </w:numPr>
        <w:rPr>
          <w:rFonts w:ascii="Arial" w:cs="Arial" w:eastAsia="Arial" w:hAnsi="Arial"/>
          <w:sz w:val="17"/>
          <w:szCs w:val="17"/>
          <w:b w:val="1"/>
          <w:bCs w:val="1"/>
          <w:color w:val="auto"/>
        </w:rPr>
      </w:pPr>
      <w:r>
        <w:rPr>
          <w:rFonts w:ascii="Arial" w:cs="Arial" w:eastAsia="Arial" w:hAnsi="Arial"/>
          <w:sz w:val="17"/>
          <w:szCs w:val="17"/>
          <w:b w:val="1"/>
          <w:bCs w:val="1"/>
          <w:color w:val="auto"/>
        </w:rPr>
        <w:t>Title; License</w:t>
      </w:r>
    </w:p>
    <w:p>
      <w:pPr>
        <w:spacing w:after="0" w:line="248"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All rights in the Research Results shall be solely owned by Yissum, and shall be licensed to the Company Rx, Ltd.. pursuant to the terms of the License Agreement. In the event that the Company does not accept a license to the Research Results, the Company shall notify Yissum in writing of such non-acceptance, and shall not have any further rights therein or thereto.</w:t>
      </w:r>
    </w:p>
    <w:p>
      <w:pPr>
        <w:spacing w:after="0" w:line="195" w:lineRule="exact"/>
        <w:rPr>
          <w:sz w:val="20"/>
          <w:szCs w:val="20"/>
          <w:color w:val="auto"/>
        </w:rPr>
      </w:pPr>
    </w:p>
    <w:p>
      <w:pPr>
        <w:ind w:left="600" w:hanging="597"/>
        <w:spacing w:after="0"/>
        <w:tabs>
          <w:tab w:leader="none" w:pos="600" w:val="left"/>
        </w:tabs>
        <w:numPr>
          <w:ilvl w:val="0"/>
          <w:numId w:val="696"/>
        </w:numPr>
        <w:rPr>
          <w:rFonts w:ascii="Arial" w:cs="Arial" w:eastAsia="Arial" w:hAnsi="Arial"/>
          <w:sz w:val="17"/>
          <w:szCs w:val="17"/>
          <w:b w:val="1"/>
          <w:bCs w:val="1"/>
          <w:color w:val="auto"/>
        </w:rPr>
      </w:pPr>
      <w:r>
        <w:rPr>
          <w:rFonts w:ascii="Arial" w:cs="Arial" w:eastAsia="Arial" w:hAnsi="Arial"/>
          <w:sz w:val="17"/>
          <w:szCs w:val="17"/>
          <w:b w:val="1"/>
          <w:bCs w:val="1"/>
          <w:color w:val="auto"/>
        </w:rPr>
        <w:t>Patents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The provisions of Sections 9.2 through 9.6, inclusive, and Section 10 of the License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in respect of the Research Results and/or any part thereof.</w:t>
      </w:r>
    </w:p>
    <w:p>
      <w:pPr>
        <w:spacing w:after="0" w:line="184" w:lineRule="exact"/>
        <w:rPr>
          <w:sz w:val="20"/>
          <w:szCs w:val="20"/>
          <w:color w:val="auto"/>
        </w:rPr>
      </w:pPr>
    </w:p>
    <w:p>
      <w:pPr>
        <w:ind w:left="600" w:hanging="597"/>
        <w:spacing w:after="0"/>
        <w:tabs>
          <w:tab w:leader="none" w:pos="600" w:val="left"/>
        </w:tabs>
        <w:numPr>
          <w:ilvl w:val="0"/>
          <w:numId w:val="697"/>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Publications</w:t>
      </w:r>
    </w:p>
    <w:p>
      <w:pPr>
        <w:spacing w:after="0" w:line="248" w:lineRule="exact"/>
        <w:rPr>
          <w:sz w:val="20"/>
          <w:szCs w:val="20"/>
          <w:color w:val="auto"/>
        </w:rPr>
      </w:pPr>
    </w:p>
    <w:p>
      <w:pPr>
        <w:ind w:firstLine="3"/>
        <w:spacing w:after="0" w:line="278" w:lineRule="auto"/>
        <w:tabs>
          <w:tab w:leader="none" w:pos="699" w:val="left"/>
        </w:tabs>
        <w:numPr>
          <w:ilvl w:val="0"/>
          <w:numId w:val="698"/>
        </w:numPr>
        <w:rPr>
          <w:rFonts w:ascii="Arial" w:cs="Arial" w:eastAsia="Arial" w:hAnsi="Arial"/>
          <w:sz w:val="17"/>
          <w:szCs w:val="17"/>
          <w:color w:val="auto"/>
        </w:rPr>
      </w:pPr>
      <w:r>
        <w:rPr>
          <w:rFonts w:ascii="Arial" w:cs="Arial" w:eastAsia="Arial" w:hAnsi="Arial"/>
          <w:sz w:val="17"/>
          <w:szCs w:val="17"/>
          <w:color w:val="auto"/>
        </w:rPr>
        <w:t xml:space="preserve">The Research Results and any part thereof shall be deemed to be Confidential Information and the provisions of Section 11 of the License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thereto.</w:t>
      </w:r>
    </w:p>
    <w:p>
      <w:pPr>
        <w:spacing w:after="0" w:line="190" w:lineRule="exact"/>
        <w:rPr>
          <w:rFonts w:ascii="Arial" w:cs="Arial" w:eastAsia="Arial" w:hAnsi="Arial"/>
          <w:sz w:val="17"/>
          <w:szCs w:val="17"/>
          <w:color w:val="auto"/>
        </w:rPr>
      </w:pPr>
    </w:p>
    <w:p>
      <w:pPr>
        <w:ind w:left="1320" w:hanging="700"/>
        <w:spacing w:after="0"/>
        <w:tabs>
          <w:tab w:leader="none" w:pos="1320" w:val="left"/>
        </w:tabs>
        <w:numPr>
          <w:ilvl w:val="1"/>
          <w:numId w:val="698"/>
        </w:numPr>
        <w:rPr>
          <w:rFonts w:ascii="Arial" w:cs="Arial" w:eastAsia="Arial" w:hAnsi="Arial"/>
          <w:sz w:val="15"/>
          <w:szCs w:val="15"/>
          <w:color w:val="auto"/>
        </w:rPr>
      </w:pPr>
      <w:r>
        <w:rPr>
          <w:rFonts w:ascii="Arial" w:cs="Arial" w:eastAsia="Arial" w:hAnsi="Arial"/>
          <w:sz w:val="15"/>
          <w:szCs w:val="15"/>
          <w:color w:val="auto"/>
        </w:rPr>
        <w:t xml:space="preserve">The provisions of Section 12 of the License Agreement regarding publications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to the Research Results and any part</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thereof.</w:t>
      </w:r>
    </w:p>
    <w:p>
      <w:pPr>
        <w:spacing w:after="0" w:line="230" w:lineRule="exact"/>
        <w:rPr>
          <w:rFonts w:ascii="Arial" w:cs="Arial" w:eastAsia="Arial" w:hAnsi="Arial"/>
          <w:sz w:val="15"/>
          <w:szCs w:val="15"/>
          <w:color w:val="auto"/>
        </w:rPr>
      </w:pPr>
    </w:p>
    <w:p>
      <w:pPr>
        <w:ind w:left="1280" w:hanging="660"/>
        <w:spacing w:after="0"/>
        <w:tabs>
          <w:tab w:leader="none" w:pos="1280" w:val="left"/>
        </w:tabs>
        <w:numPr>
          <w:ilvl w:val="1"/>
          <w:numId w:val="698"/>
        </w:numPr>
        <w:rPr>
          <w:rFonts w:ascii="Arial" w:cs="Arial" w:eastAsia="Arial" w:hAnsi="Arial"/>
          <w:sz w:val="17"/>
          <w:szCs w:val="17"/>
          <w:color w:val="auto"/>
        </w:rPr>
      </w:pPr>
      <w:r>
        <w:rPr>
          <w:rFonts w:ascii="Arial" w:cs="Arial" w:eastAsia="Arial" w:hAnsi="Arial"/>
          <w:sz w:val="17"/>
          <w:szCs w:val="17"/>
          <w:color w:val="auto"/>
        </w:rPr>
        <w:t>Yissum shall cause all members of the Research Team to execute a team agreement in the form attached hereto as Appendix “C”.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53" w:name="page754"/>
    <w:bookmarkEnd w:id="753"/>
    <w:p>
      <w:pPr>
        <w:ind w:left="600" w:hanging="597"/>
        <w:spacing w:after="0"/>
        <w:tabs>
          <w:tab w:leader="none" w:pos="600" w:val="left"/>
        </w:tabs>
        <w:numPr>
          <w:ilvl w:val="0"/>
          <w:numId w:val="699"/>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p>
    <w:p>
      <w:pPr>
        <w:spacing w:after="0" w:line="248" w:lineRule="exact"/>
        <w:rPr>
          <w:sz w:val="20"/>
          <w:szCs w:val="20"/>
          <w:color w:val="auto"/>
        </w:rPr>
      </w:pPr>
    </w:p>
    <w:p>
      <w:pPr>
        <w:ind w:firstLine="3"/>
        <w:spacing w:after="0" w:line="278" w:lineRule="auto"/>
        <w:tabs>
          <w:tab w:leader="none" w:pos="737" w:val="left"/>
        </w:tabs>
        <w:numPr>
          <w:ilvl w:val="0"/>
          <w:numId w:val="700"/>
        </w:numPr>
        <w:rPr>
          <w:rFonts w:ascii="Arial" w:cs="Arial" w:eastAsia="Arial" w:hAnsi="Arial"/>
          <w:sz w:val="17"/>
          <w:szCs w:val="17"/>
          <w:color w:val="auto"/>
        </w:rPr>
      </w:pPr>
      <w:r>
        <w:rPr>
          <w:rFonts w:ascii="Arial" w:cs="Arial" w:eastAsia="Arial" w:hAnsi="Arial"/>
          <w:sz w:val="17"/>
          <w:szCs w:val="17"/>
          <w:color w:val="auto"/>
        </w:rPr>
        <w:t>The term of this Agreement shall commence on the date of execution hereof and, unless earlier terminated as provided in this Section 7, shall continue in full force and effect until the end of the Research Period.</w:t>
      </w:r>
    </w:p>
    <w:p>
      <w:pPr>
        <w:spacing w:after="0" w:line="216" w:lineRule="exact"/>
        <w:rPr>
          <w:rFonts w:ascii="Arial" w:cs="Arial" w:eastAsia="Arial" w:hAnsi="Arial"/>
          <w:sz w:val="17"/>
          <w:szCs w:val="17"/>
          <w:color w:val="auto"/>
        </w:rPr>
      </w:pPr>
    </w:p>
    <w:p>
      <w:pPr>
        <w:jc w:val="both"/>
        <w:ind w:firstLine="620"/>
        <w:spacing w:after="0" w:line="265" w:lineRule="auto"/>
        <w:tabs>
          <w:tab w:leader="none" w:pos="1464" w:val="left"/>
        </w:tabs>
        <w:numPr>
          <w:ilvl w:val="1"/>
          <w:numId w:val="700"/>
        </w:numPr>
        <w:rPr>
          <w:rFonts w:ascii="Arial" w:cs="Arial" w:eastAsia="Arial" w:hAnsi="Arial"/>
          <w:sz w:val="17"/>
          <w:szCs w:val="17"/>
          <w:color w:val="auto"/>
        </w:rPr>
      </w:pPr>
      <w:r>
        <w:rPr>
          <w:rFonts w:ascii="Arial" w:cs="Arial" w:eastAsia="Arial" w:hAnsi="Arial"/>
          <w:sz w:val="17"/>
          <w:szCs w:val="17"/>
          <w:color w:val="auto"/>
        </w:rPr>
        <w:t>In addition to the Company’s right to terminate this Agreement pursuant to Section 2(b) above, the Company may also terminate this Agreement immediately upon written notice to Yissum in the event that the License Agreement is terminated, subject to the Company’s payment obligations pursuant to Section 3(c).</w:t>
      </w:r>
    </w:p>
    <w:p>
      <w:pPr>
        <w:spacing w:after="0" w:line="227" w:lineRule="exact"/>
        <w:rPr>
          <w:rFonts w:ascii="Arial" w:cs="Arial" w:eastAsia="Arial" w:hAnsi="Arial"/>
          <w:sz w:val="17"/>
          <w:szCs w:val="17"/>
          <w:color w:val="auto"/>
        </w:rPr>
      </w:pPr>
    </w:p>
    <w:p>
      <w:pPr>
        <w:ind w:firstLine="620"/>
        <w:spacing w:after="0" w:line="311" w:lineRule="auto"/>
        <w:tabs>
          <w:tab w:leader="none" w:pos="1493" w:val="left"/>
        </w:tabs>
        <w:numPr>
          <w:ilvl w:val="1"/>
          <w:numId w:val="700"/>
        </w:numPr>
        <w:rPr>
          <w:rFonts w:ascii="Arial" w:cs="Arial" w:eastAsia="Arial" w:hAnsi="Arial"/>
          <w:sz w:val="16"/>
          <w:szCs w:val="16"/>
          <w:color w:val="auto"/>
        </w:rPr>
      </w:pPr>
      <w:r>
        <w:rPr>
          <w:rFonts w:ascii="Arial" w:cs="Arial" w:eastAsia="Arial" w:hAnsi="Arial"/>
          <w:sz w:val="16"/>
          <w:szCs w:val="16"/>
          <w:color w:val="auto"/>
        </w:rPr>
        <w:t>Yissum shall be entitled to terminate this Agreement by prior written notice to the Company of at least thirty (30) days at any time in the event that the Company breaches any term hereof, including the payment of the Research Fee, and fails to cure such breach within such thirty (30) day period.</w:t>
      </w:r>
    </w:p>
    <w:p>
      <w:pPr>
        <w:spacing w:after="0" w:line="192" w:lineRule="exact"/>
        <w:rPr>
          <w:rFonts w:ascii="Arial" w:cs="Arial" w:eastAsia="Arial" w:hAnsi="Arial"/>
          <w:sz w:val="16"/>
          <w:szCs w:val="16"/>
          <w:color w:val="auto"/>
        </w:rPr>
      </w:pPr>
    </w:p>
    <w:p>
      <w:pPr>
        <w:ind w:left="1460" w:hanging="840"/>
        <w:spacing w:after="0"/>
        <w:tabs>
          <w:tab w:leader="none" w:pos="1460" w:val="left"/>
        </w:tabs>
        <w:numPr>
          <w:ilvl w:val="1"/>
          <w:numId w:val="700"/>
        </w:numPr>
        <w:rPr>
          <w:rFonts w:ascii="Arial" w:cs="Arial" w:eastAsia="Arial" w:hAnsi="Arial"/>
          <w:sz w:val="17"/>
          <w:szCs w:val="17"/>
          <w:color w:val="auto"/>
        </w:rPr>
      </w:pPr>
      <w:r>
        <w:rPr>
          <w:rFonts w:ascii="Arial" w:cs="Arial" w:eastAsia="Arial" w:hAnsi="Arial"/>
          <w:sz w:val="17"/>
          <w:szCs w:val="17"/>
          <w:color w:val="auto"/>
        </w:rPr>
        <w:t>This Agreement shall automatically terminate in the event that the License Agreement is terminated pursuant to its terms.</w:t>
      </w:r>
    </w:p>
    <w:p>
      <w:pPr>
        <w:spacing w:after="0" w:line="236" w:lineRule="exact"/>
        <w:rPr>
          <w:sz w:val="20"/>
          <w:szCs w:val="20"/>
          <w:color w:val="auto"/>
        </w:rPr>
      </w:pPr>
    </w:p>
    <w:p>
      <w:pPr>
        <w:ind w:left="520" w:hanging="517"/>
        <w:spacing w:after="0"/>
        <w:tabs>
          <w:tab w:leader="none" w:pos="520" w:val="left"/>
        </w:tabs>
        <w:numPr>
          <w:ilvl w:val="0"/>
          <w:numId w:val="701"/>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47" w:lineRule="exact"/>
        <w:rPr>
          <w:rFonts w:ascii="Arial" w:cs="Arial" w:eastAsia="Arial" w:hAnsi="Arial"/>
          <w:sz w:val="17"/>
          <w:szCs w:val="17"/>
          <w:b w:val="1"/>
          <w:bCs w:val="1"/>
          <w:color w:val="auto"/>
        </w:rPr>
      </w:pPr>
    </w:p>
    <w:p>
      <w:pPr>
        <w:ind w:firstLine="620"/>
        <w:spacing w:after="0" w:line="278" w:lineRule="auto"/>
        <w:tabs>
          <w:tab w:leader="none" w:pos="1292" w:val="left"/>
        </w:tabs>
        <w:numPr>
          <w:ilvl w:val="1"/>
          <w:numId w:val="701"/>
        </w:numPr>
        <w:rPr>
          <w:rFonts w:ascii="Arial" w:cs="Arial" w:eastAsia="Arial" w:hAnsi="Arial"/>
          <w:sz w:val="17"/>
          <w:szCs w:val="17"/>
          <w:color w:val="auto"/>
        </w:rPr>
      </w:pPr>
      <w:r>
        <w:rPr>
          <w:rFonts w:ascii="Arial" w:cs="Arial" w:eastAsia="Arial" w:hAnsi="Arial"/>
          <w:sz w:val="17"/>
          <w:szCs w:val="17"/>
          <w:color w:val="auto"/>
        </w:rPr>
        <w:t>Except for the License Agreement signed between the parties hereto, this Agreement is the sole agreement with respect to the subject matter hereof and except as expressly set forth herein, supersedes all other agreements and understandings between the parties with respect to same.</w:t>
      </w:r>
    </w:p>
    <w:p>
      <w:pPr>
        <w:spacing w:after="0" w:line="190" w:lineRule="exact"/>
        <w:rPr>
          <w:rFonts w:ascii="Arial" w:cs="Arial" w:eastAsia="Arial" w:hAnsi="Arial"/>
          <w:sz w:val="17"/>
          <w:szCs w:val="17"/>
          <w:color w:val="auto"/>
        </w:rPr>
      </w:pPr>
    </w:p>
    <w:p>
      <w:pPr>
        <w:ind w:firstLine="620"/>
        <w:spacing w:after="0" w:line="278" w:lineRule="auto"/>
        <w:tabs>
          <w:tab w:leader="none" w:pos="1459" w:val="left"/>
        </w:tabs>
        <w:numPr>
          <w:ilvl w:val="1"/>
          <w:numId w:val="701"/>
        </w:numPr>
        <w:rPr>
          <w:rFonts w:ascii="Arial" w:cs="Arial" w:eastAsia="Arial" w:hAnsi="Arial"/>
          <w:sz w:val="17"/>
          <w:szCs w:val="17"/>
          <w:color w:val="auto"/>
        </w:rPr>
      </w:pPr>
      <w:r>
        <w:rPr>
          <w:rFonts w:ascii="Arial" w:cs="Arial" w:eastAsia="Arial" w:hAnsi="Arial"/>
          <w:sz w:val="17"/>
          <w:szCs w:val="17"/>
          <w:color w:val="auto"/>
        </w:rPr>
        <w:t xml:space="preserve">The provisions of Sections 13.3, 13.4 and 13.5 of the License Agreement regarding indemnity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the Research Results and any part thereof.</w:t>
      </w:r>
    </w:p>
    <w:p>
      <w:pPr>
        <w:spacing w:after="0" w:line="190" w:lineRule="exact"/>
        <w:rPr>
          <w:rFonts w:ascii="Arial" w:cs="Arial" w:eastAsia="Arial" w:hAnsi="Arial"/>
          <w:sz w:val="17"/>
          <w:szCs w:val="17"/>
          <w:color w:val="auto"/>
        </w:rPr>
      </w:pPr>
    </w:p>
    <w:p>
      <w:pPr>
        <w:ind w:left="1280" w:hanging="660"/>
        <w:spacing w:after="0"/>
        <w:tabs>
          <w:tab w:leader="none" w:pos="1280" w:val="left"/>
        </w:tabs>
        <w:numPr>
          <w:ilvl w:val="1"/>
          <w:numId w:val="701"/>
        </w:numPr>
        <w:rPr>
          <w:rFonts w:ascii="Arial" w:cs="Arial" w:eastAsia="Arial" w:hAnsi="Arial"/>
          <w:sz w:val="17"/>
          <w:szCs w:val="17"/>
          <w:color w:val="auto"/>
        </w:rPr>
      </w:pPr>
      <w:r>
        <w:rPr>
          <w:rFonts w:ascii="Arial" w:cs="Arial" w:eastAsia="Arial" w:hAnsi="Arial"/>
          <w:sz w:val="17"/>
          <w:szCs w:val="17"/>
          <w:color w:val="auto"/>
        </w:rPr>
        <w:t xml:space="preserve">Sections 14.1, 14.2, and 15 through 18 of the License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this Agreement.</w:t>
      </w:r>
    </w:p>
    <w:p>
      <w:pPr>
        <w:spacing w:after="0" w:line="241" w:lineRule="exact"/>
        <w:rPr>
          <w:rFonts w:ascii="Arial" w:cs="Arial" w:eastAsia="Arial" w:hAnsi="Arial"/>
          <w:sz w:val="17"/>
          <w:szCs w:val="17"/>
          <w:color w:val="auto"/>
        </w:rPr>
      </w:pPr>
    </w:p>
    <w:p>
      <w:pPr>
        <w:ind w:left="1280" w:hanging="660"/>
        <w:spacing w:after="0"/>
        <w:tabs>
          <w:tab w:leader="none" w:pos="1280" w:val="left"/>
        </w:tabs>
        <w:numPr>
          <w:ilvl w:val="1"/>
          <w:numId w:val="701"/>
        </w:numPr>
        <w:rPr>
          <w:rFonts w:ascii="Arial" w:cs="Arial" w:eastAsia="Arial" w:hAnsi="Arial"/>
          <w:sz w:val="17"/>
          <w:szCs w:val="17"/>
          <w:color w:val="auto"/>
        </w:rPr>
      </w:pPr>
      <w:r>
        <w:rPr>
          <w:rFonts w:ascii="Arial" w:cs="Arial" w:eastAsia="Arial" w:hAnsi="Arial"/>
          <w:sz w:val="17"/>
          <w:szCs w:val="17"/>
          <w:color w:val="auto"/>
        </w:rPr>
        <w:t>The following exhibits form an integral part of this Agreement:</w:t>
      </w:r>
    </w:p>
    <w:p>
      <w:pPr>
        <w:sectPr>
          <w:pgSz w:w="11900" w:h="16838" w:orient="portrait"/>
          <w:cols w:equalWidth="0" w:num="1">
            <w:col w:w="11420"/>
          </w:cols>
          <w:pgMar w:left="240" w:top="495" w:right="239" w:bottom="1440" w:gutter="0" w:footer="0" w:header="0"/>
        </w:sectPr>
      </w:pP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Appendix A:</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Appendix B:</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Appendix C:</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Research Program</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Research Fees and Payment Schedule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Team Agreement</w:t>
      </w:r>
    </w:p>
    <w:p>
      <w:pPr>
        <w:spacing w:after="0" w:line="200" w:lineRule="exact"/>
        <w:rPr>
          <w:sz w:val="20"/>
          <w:szCs w:val="20"/>
          <w:color w:val="auto"/>
        </w:rPr>
      </w:pPr>
    </w:p>
    <w:p>
      <w:pPr>
        <w:sectPr>
          <w:pgSz w:w="11900" w:h="16838" w:orient="portrait"/>
          <w:cols w:equalWidth="0" w:num="2">
            <w:col w:w="1520" w:space="340"/>
            <w:col w:w="9560"/>
          </w:cols>
          <w:pgMar w:left="240" w:top="495" w:right="239" w:bottom="1440" w:gutter="0" w:footer="0" w:header="0"/>
          <w:type w:val="continuous"/>
        </w:sectPr>
      </w:pPr>
    </w:p>
    <w:p>
      <w:pPr>
        <w:spacing w:after="0" w:line="31" w:lineRule="exact"/>
        <w:rPr>
          <w:sz w:val="20"/>
          <w:szCs w:val="20"/>
          <w:color w:val="auto"/>
        </w:rPr>
      </w:pPr>
    </w:p>
    <w:p>
      <w:pPr>
        <w:jc w:val="both"/>
        <w:ind w:firstLine="620"/>
        <w:spacing w:after="0" w:line="265" w:lineRule="auto"/>
        <w:tabs>
          <w:tab w:leader="none" w:pos="1327" w:val="left"/>
        </w:tabs>
        <w:numPr>
          <w:ilvl w:val="0"/>
          <w:numId w:val="702"/>
        </w:numPr>
        <w:rPr>
          <w:rFonts w:ascii="Arial" w:cs="Arial" w:eastAsia="Arial" w:hAnsi="Arial"/>
          <w:sz w:val="17"/>
          <w:szCs w:val="17"/>
          <w:color w:val="auto"/>
        </w:rPr>
      </w:pPr>
      <w:r>
        <w:rPr>
          <w:rFonts w:ascii="Arial" w:cs="Arial" w:eastAsia="Arial" w:hAnsi="Arial"/>
          <w:sz w:val="17"/>
          <w:szCs w:val="17"/>
          <w:color w:val="auto"/>
        </w:rPr>
        <w:t>The Company shall disclose to Yissum any existing agreement and/or arrangement of any kind with any of the Researchers or the Research Team and or any representative thereof, and shall not enter any agreement and/or arrangement of any kind with the Researchers, or any of the Research Team or representative thereof, without the prior written consent of Yissum.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type w:val="continuous"/>
        </w:sectPr>
      </w:pPr>
    </w:p>
    <w:bookmarkStart w:id="754" w:name="page755"/>
    <w:bookmarkEnd w:id="754"/>
    <w:p>
      <w:pPr>
        <w:spacing w:after="0"/>
        <w:rPr>
          <w:sz w:val="20"/>
          <w:szCs w:val="20"/>
          <w:color w:val="auto"/>
        </w:rPr>
      </w:pPr>
      <w:r>
        <w:rPr>
          <w:rFonts w:ascii="Arial" w:cs="Arial" w:eastAsia="Arial" w:hAnsi="Arial"/>
          <w:sz w:val="17"/>
          <w:szCs w:val="17"/>
          <w:b w:val="1"/>
          <w:bCs w:val="1"/>
          <w:color w:val="auto"/>
        </w:rPr>
        <w:t>In Witness whereof:</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YISSUM RESEARCH DEVELOPMENT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THE HEBREW UNIVERSITY OF JERUSALEM LTD.</w:t>
      </w:r>
    </w:p>
    <w:p>
      <w:pPr>
        <w:sectPr>
          <w:pgSz w:w="11900" w:h="16838" w:orient="portrait"/>
          <w:cols w:equalWidth="0" w:num="1">
            <w:col w:w="11420"/>
          </w:cols>
          <w:pgMar w:left="240" w:top="495" w:right="2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 /s/ Yaakov Michlin</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By: /s/ Shosi Keynan</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Name: Yaakov Michlin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240"/>
        <w:spacing w:after="0"/>
        <w:rPr>
          <w:sz w:val="20"/>
          <w:szCs w:val="20"/>
          <w:color w:val="auto"/>
        </w:rPr>
      </w:pPr>
      <w:r>
        <w:rPr>
          <w:rFonts w:ascii="Arial" w:cs="Arial" w:eastAsia="Arial" w:hAnsi="Arial"/>
          <w:sz w:val="15"/>
          <w:szCs w:val="15"/>
          <w:color w:val="auto"/>
        </w:rPr>
        <w:t>Name: Shosi Keynan</w:t>
      </w:r>
    </w:p>
    <w:p>
      <w:pPr>
        <w:spacing w:after="0" w:line="211"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Title: President and CEO</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Title: VP Licensing Pharmaceuticals</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Date: June 23, 2011</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4340"/>
        <w:spacing w:after="0"/>
        <w:rPr>
          <w:sz w:val="20"/>
          <w:szCs w:val="20"/>
          <w:color w:val="auto"/>
        </w:rPr>
      </w:pPr>
      <w:r>
        <w:rPr>
          <w:rFonts w:ascii="Arial" w:cs="Arial" w:eastAsia="Arial" w:hAnsi="Arial"/>
          <w:sz w:val="15"/>
          <w:szCs w:val="15"/>
          <w:color w:val="auto"/>
        </w:rPr>
        <w:t>Date: June 23, 2011</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BIOLINERX, LTD.</w:t>
      </w:r>
    </w:p>
    <w:p>
      <w:pPr>
        <w:sectPr>
          <w:pgSz w:w="11900" w:h="16838" w:orient="portrait"/>
          <w:cols w:equalWidth="0" w:num="1">
            <w:col w:w="11420"/>
          </w:cols>
          <w:pgMar w:left="240" w:top="495"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 /s/ Philip Serlin</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3940"/>
        <w:spacing w:after="0"/>
        <w:rPr>
          <w:sz w:val="20"/>
          <w:szCs w:val="20"/>
          <w:color w:val="auto"/>
        </w:rPr>
      </w:pPr>
      <w:r>
        <w:rPr>
          <w:rFonts w:ascii="Arial" w:cs="Arial" w:eastAsia="Arial" w:hAnsi="Arial"/>
          <w:sz w:val="16"/>
          <w:szCs w:val="16"/>
          <w:color w:val="auto"/>
        </w:rPr>
        <w:t>By: /s/ Kinneret Savitsky</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Name: Philip Serlin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Name: Dr. Kinneret Savitsky</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Title: Chief Financial &amp; Operating Officer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 CEO</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Date: June 23, 2011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340"/>
        <w:spacing w:after="0"/>
        <w:rPr>
          <w:sz w:val="20"/>
          <w:szCs w:val="20"/>
          <w:color w:val="auto"/>
        </w:rPr>
      </w:pPr>
      <w:r>
        <w:rPr>
          <w:rFonts w:ascii="Arial" w:cs="Arial" w:eastAsia="Arial" w:hAnsi="Arial"/>
          <w:sz w:val="15"/>
          <w:szCs w:val="15"/>
          <w:color w:val="auto"/>
        </w:rPr>
        <w:t>Date: June 23, 2011</w:t>
      </w:r>
    </w:p>
    <w:p>
      <w:pPr>
        <w:spacing w:after="0" w:line="200" w:lineRule="exact"/>
        <w:rPr>
          <w:sz w:val="20"/>
          <w:szCs w:val="20"/>
          <w:color w:val="auto"/>
        </w:rPr>
      </w:pPr>
    </w:p>
    <w:p>
      <w:pPr>
        <w:sectPr>
          <w:pgSz w:w="11900" w:h="16838" w:orient="portrait"/>
          <w:cols w:equalWidth="0" w:num="2">
            <w:col w:w="5000" w:space="720"/>
            <w:col w:w="5700"/>
          </w:cols>
          <w:pgMar w:left="240" w:top="495" w:right="239" w:bottom="1440" w:gutter="0" w:footer="0" w:header="0"/>
          <w:type w:val="continuous"/>
        </w:sectPr>
      </w:pPr>
    </w:p>
    <w:p>
      <w:pPr>
        <w:spacing w:after="0" w:line="6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 the undersigned, Professor Hermona Soreq, have reviewed, am familiar with and agree to all of the above terms and conditions. I hereby undertake to cooperate fully with Yissum in order to ensure their ability to fulfill their obligations hereunder, as set forth herein.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spacing w:after="0"/>
              <w:rPr>
                <w:sz w:val="20"/>
                <w:szCs w:val="20"/>
                <w:color w:val="auto"/>
              </w:rPr>
            </w:pPr>
            <w:r>
              <w:rPr>
                <w:rFonts w:ascii="Arial" w:cs="Arial" w:eastAsia="Arial" w:hAnsi="Arial"/>
                <w:sz w:val="17"/>
                <w:szCs w:val="17"/>
                <w:color w:val="auto"/>
              </w:rPr>
              <w:t>/s/ Hermona Soreq</w:t>
            </w:r>
          </w:p>
        </w:tc>
        <w:tc>
          <w:tcPr>
            <w:tcW w:w="8020" w:type="dxa"/>
            <w:vAlign w:val="bottom"/>
          </w:tcPr>
          <w:p>
            <w:pPr>
              <w:ind w:left="2320"/>
              <w:spacing w:after="0"/>
              <w:rPr>
                <w:sz w:val="20"/>
                <w:szCs w:val="20"/>
                <w:color w:val="auto"/>
              </w:rPr>
            </w:pPr>
            <w:r>
              <w:rPr>
                <w:rFonts w:ascii="Arial" w:cs="Arial" w:eastAsia="Arial" w:hAnsi="Arial"/>
                <w:sz w:val="17"/>
                <w:szCs w:val="17"/>
                <w:color w:val="auto"/>
              </w:rPr>
              <w:t>June 23, 2011</w:t>
            </w:r>
          </w:p>
        </w:tc>
      </w:tr>
      <w:tr>
        <w:trPr>
          <w:trHeight w:val="217"/>
        </w:trPr>
        <w:tc>
          <w:tcPr>
            <w:tcW w:w="3400" w:type="dxa"/>
            <w:vAlign w:val="bottom"/>
          </w:tcPr>
          <w:p>
            <w:pPr>
              <w:spacing w:after="0"/>
              <w:rPr>
                <w:sz w:val="20"/>
                <w:szCs w:val="20"/>
                <w:color w:val="auto"/>
              </w:rPr>
            </w:pPr>
            <w:r>
              <w:rPr>
                <w:rFonts w:ascii="Arial" w:cs="Arial" w:eastAsia="Arial" w:hAnsi="Arial"/>
                <w:sz w:val="17"/>
                <w:szCs w:val="17"/>
                <w:color w:val="auto"/>
              </w:rPr>
              <w:t>Prof. Hermona Soreq</w:t>
            </w:r>
          </w:p>
        </w:tc>
        <w:tc>
          <w:tcPr>
            <w:tcW w:w="8020" w:type="dxa"/>
            <w:vAlign w:val="bottom"/>
          </w:tcPr>
          <w:p>
            <w:pPr>
              <w:ind w:left="2320"/>
              <w:spacing w:after="0"/>
              <w:rPr>
                <w:sz w:val="20"/>
                <w:szCs w:val="20"/>
                <w:color w:val="auto"/>
              </w:rPr>
            </w:pPr>
            <w:r>
              <w:rPr>
                <w:rFonts w:ascii="Arial" w:cs="Arial" w:eastAsia="Arial" w:hAnsi="Arial"/>
                <w:sz w:val="17"/>
                <w:szCs w:val="17"/>
                <w:color w:val="auto"/>
              </w:rPr>
              <w:t>Date signed</w:t>
            </w:r>
          </w:p>
        </w:tc>
      </w:tr>
      <w:tr>
        <w:trPr>
          <w:trHeight w:val="579"/>
        </w:trPr>
        <w:tc>
          <w:tcPr>
            <w:tcW w:w="3400" w:type="dxa"/>
            <w:vAlign w:val="bottom"/>
          </w:tcPr>
          <w:p>
            <w:pPr>
              <w:spacing w:after="0"/>
              <w:rPr>
                <w:sz w:val="24"/>
                <w:szCs w:val="24"/>
                <w:color w:val="auto"/>
              </w:rPr>
            </w:pPr>
          </w:p>
        </w:tc>
        <w:tc>
          <w:tcPr>
            <w:tcW w:w="8020" w:type="dxa"/>
            <w:vAlign w:val="bottom"/>
          </w:tcPr>
          <w:p>
            <w:pPr>
              <w:ind w:left="1920"/>
              <w:spacing w:after="0"/>
              <w:rPr>
                <w:sz w:val="20"/>
                <w:szCs w:val="20"/>
                <w:color w:val="auto"/>
              </w:rPr>
            </w:pPr>
            <w:r>
              <w:rPr>
                <w:rFonts w:ascii="Arial" w:cs="Arial" w:eastAsia="Arial" w:hAnsi="Arial"/>
                <w:sz w:val="17"/>
                <w:szCs w:val="17"/>
                <w:color w:val="auto"/>
              </w:rPr>
              <w:t>Page 5 of 8</w:t>
            </w:r>
          </w:p>
        </w:tc>
      </w:tr>
      <w:tr>
        <w:trPr>
          <w:trHeight w:val="114"/>
        </w:trPr>
        <w:tc>
          <w:tcPr>
            <w:tcW w:w="3400" w:type="dxa"/>
            <w:vAlign w:val="bottom"/>
            <w:tcBorders>
              <w:bottom w:val="single" w:sz="8" w:color="808080"/>
            </w:tcBorders>
          </w:tcPr>
          <w:p>
            <w:pPr>
              <w:spacing w:after="0"/>
              <w:rPr>
                <w:sz w:val="9"/>
                <w:szCs w:val="9"/>
                <w:color w:val="auto"/>
              </w:rPr>
            </w:pPr>
          </w:p>
        </w:tc>
        <w:tc>
          <w:tcPr>
            <w:tcW w:w="8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type w:val="continuous"/>
        </w:sectPr>
      </w:pPr>
    </w:p>
    <w:bookmarkStart w:id="755" w:name="page756"/>
    <w:bookmarkEnd w:id="755"/>
    <w:p>
      <w:pPr>
        <w:jc w:val="center"/>
        <w:spacing w:after="0"/>
        <w:rPr>
          <w:sz w:val="20"/>
          <w:szCs w:val="20"/>
          <w:color w:val="auto"/>
        </w:rPr>
      </w:pPr>
      <w:r>
        <w:rPr>
          <w:rFonts w:ascii="Arial" w:cs="Arial" w:eastAsia="Arial" w:hAnsi="Arial"/>
          <w:sz w:val="17"/>
          <w:szCs w:val="17"/>
          <w:b w:val="1"/>
          <w:bCs w:val="1"/>
          <w:color w:val="auto"/>
        </w:rPr>
        <w:t>Appendix 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Program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INSERTED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Work Plan may be updated and amended quarterly by BioLineRx as necessary.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77470</wp:posOffset>
            </wp:positionV>
            <wp:extent cx="7257415" cy="209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756" w:name="page757"/>
    <w:bookmarkEnd w:id="756"/>
    <w:p>
      <w:pPr>
        <w:jc w:val="center"/>
        <w:ind w:right="-319"/>
        <w:spacing w:after="0"/>
        <w:rPr>
          <w:sz w:val="20"/>
          <w:szCs w:val="20"/>
          <w:color w:val="auto"/>
        </w:rPr>
      </w:pPr>
      <w:r>
        <w:rPr>
          <w:rFonts w:ascii="Arial" w:cs="Arial" w:eastAsia="Arial" w:hAnsi="Arial"/>
          <w:sz w:val="17"/>
          <w:szCs w:val="17"/>
          <w:b w:val="1"/>
          <w:bCs w:val="1"/>
          <w:color w:val="auto"/>
        </w:rPr>
        <w:t>Appendix B</w:t>
      </w: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Research Fee &amp; Payment Schedule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Research Fee shall be as follows:</w:t>
      </w:r>
    </w:p>
    <w:p>
      <w:pPr>
        <w:spacing w:after="0" w:line="21" w:lineRule="exact"/>
        <w:rPr>
          <w:sz w:val="20"/>
          <w:szCs w:val="20"/>
          <w:color w:val="auto"/>
        </w:rPr>
      </w:pPr>
    </w:p>
    <w:p>
      <w:pPr>
        <w:ind w:left="320" w:hanging="189"/>
        <w:spacing w:after="0"/>
        <w:tabs>
          <w:tab w:leader="none" w:pos="320" w:val="left"/>
        </w:tabs>
        <w:numPr>
          <w:ilvl w:val="0"/>
          <w:numId w:val="703"/>
        </w:numPr>
        <w:rPr>
          <w:rFonts w:ascii="Arial" w:cs="Arial" w:eastAsia="Arial" w:hAnsi="Arial"/>
          <w:sz w:val="17"/>
          <w:szCs w:val="17"/>
          <w:color w:val="auto"/>
        </w:rPr>
      </w:pPr>
      <w:r>
        <w:rPr>
          <w:rFonts w:ascii="Arial" w:cs="Arial" w:eastAsia="Arial" w:hAnsi="Arial"/>
          <w:sz w:val="17"/>
          <w:szCs w:val="17"/>
          <w:color w:val="auto"/>
        </w:rPr>
        <w:t>For the initial 12 months of Research Period - $100,000</w:t>
      </w:r>
    </w:p>
    <w:p>
      <w:pPr>
        <w:spacing w:after="0" w:line="10" w:lineRule="exact"/>
        <w:rPr>
          <w:rFonts w:ascii="Arial" w:cs="Arial" w:eastAsia="Arial" w:hAnsi="Arial"/>
          <w:sz w:val="17"/>
          <w:szCs w:val="17"/>
          <w:color w:val="auto"/>
        </w:rPr>
      </w:pPr>
    </w:p>
    <w:p>
      <w:pPr>
        <w:ind w:left="320" w:hanging="189"/>
        <w:spacing w:after="0"/>
        <w:tabs>
          <w:tab w:leader="none" w:pos="320" w:val="left"/>
        </w:tabs>
        <w:numPr>
          <w:ilvl w:val="0"/>
          <w:numId w:val="703"/>
        </w:numPr>
        <w:rPr>
          <w:rFonts w:ascii="Arial" w:cs="Arial" w:eastAsia="Arial" w:hAnsi="Arial"/>
          <w:sz w:val="17"/>
          <w:szCs w:val="17"/>
          <w:color w:val="auto"/>
        </w:rPr>
      </w:pPr>
      <w:r>
        <w:rPr>
          <w:rFonts w:ascii="Arial" w:cs="Arial" w:eastAsia="Arial" w:hAnsi="Arial"/>
          <w:sz w:val="17"/>
          <w:szCs w:val="17"/>
          <w:color w:val="auto"/>
        </w:rPr>
        <w:t>For the subsequent 12 months of Research - $100,000</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Yissum’s standard overhead costs (not to exceed 35% of the applicable Fee payment) shall be added to the above amounts.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Terms of Payment:</w:t>
      </w:r>
    </w:p>
    <w:p>
      <w:pPr>
        <w:spacing w:after="0" w:line="24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Research Fee shall be payable in quarterly installments at the beginning of each quarter, against a valid invoice and the provision of the reports as per Section 2(c) of the Agreement. The first installment shall be paid promptly after the date of execution of this Agreement against receipt of a valid invoice.</w:t>
      </w: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20"/>
          </w:cols>
          <w:pgMar w:left="240" w:top="493" w:right="539" w:bottom="1440" w:gutter="0" w:footer="0" w:header="0"/>
        </w:sectPr>
      </w:pPr>
    </w:p>
    <w:bookmarkStart w:id="757" w:name="page758"/>
    <w:bookmarkEnd w:id="757"/>
    <w:p>
      <w:pPr>
        <w:jc w:val="center"/>
        <w:spacing w:after="0"/>
        <w:rPr>
          <w:sz w:val="20"/>
          <w:szCs w:val="20"/>
          <w:color w:val="auto"/>
        </w:rPr>
      </w:pPr>
      <w:r>
        <w:rPr>
          <w:rFonts w:ascii="Arial" w:cs="Arial" w:eastAsia="Arial" w:hAnsi="Arial"/>
          <w:sz w:val="17"/>
          <w:szCs w:val="17"/>
          <w:b w:val="1"/>
          <w:bCs w:val="1"/>
          <w:color w:val="auto"/>
        </w:rPr>
        <w:t>Appendix 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Team Agreement</w:t>
      </w:r>
    </w:p>
    <w:p>
      <w:pPr>
        <w:spacing w:after="0" w:line="248" w:lineRule="exact"/>
        <w:rPr>
          <w:sz w:val="20"/>
          <w:szCs w:val="20"/>
          <w:color w:val="auto"/>
        </w:rPr>
      </w:pPr>
    </w:p>
    <w:p>
      <w:pPr>
        <w:jc w:val="both"/>
        <w:ind w:firstLine="617"/>
        <w:spacing w:after="0" w:line="265" w:lineRule="auto"/>
        <w:rPr>
          <w:sz w:val="20"/>
          <w:szCs w:val="20"/>
          <w:color w:val="auto"/>
        </w:rPr>
      </w:pPr>
      <w:r>
        <w:rPr>
          <w:rFonts w:ascii="Arial" w:cs="Arial" w:eastAsia="Arial" w:hAnsi="Arial"/>
          <w:sz w:val="17"/>
          <w:szCs w:val="17"/>
          <w:color w:val="auto"/>
        </w:rPr>
        <w:t>I, the undersigned, acknowledge and confirm that the Hebrew University, by means of Yissum Research Development Company of The Hebrew University of Jerusalem (“Yissum”), has undertaken to perform certain research relating to the anti-biofilm/microbial technology (the “Research”), which is being funded by BioLineRX Ltd.(“BioLine”).</w:t>
      </w:r>
    </w:p>
    <w:p>
      <w:pPr>
        <w:spacing w:after="0" w:line="201" w:lineRule="exact"/>
        <w:rPr>
          <w:sz w:val="20"/>
          <w:szCs w:val="20"/>
          <w:color w:val="auto"/>
        </w:rPr>
      </w:pPr>
    </w:p>
    <w:p>
      <w:pPr>
        <w:jc w:val="both"/>
        <w:ind w:firstLine="617"/>
        <w:spacing w:after="0" w:line="273" w:lineRule="auto"/>
        <w:rPr>
          <w:sz w:val="20"/>
          <w:szCs w:val="20"/>
          <w:color w:val="auto"/>
        </w:rPr>
      </w:pPr>
      <w:r>
        <w:rPr>
          <w:rFonts w:ascii="Arial" w:cs="Arial" w:eastAsia="Arial" w:hAnsi="Arial"/>
          <w:sz w:val="16"/>
          <w:szCs w:val="16"/>
          <w:color w:val="auto"/>
        </w:rPr>
        <w:t>I hereby undertake to maintain in strict confidentiality and to do all in my power to prevent unauthorized use or disclosure of all Confidential Information brought to my knowledge regarding the above Research. For the purpose of this letter of undertaking, “Confidential Information” means work, report of work, or any other information developed within the framework of the Research, or any scientific, technical, trade, business or other information provided to me by BioLine and/or Yissum regarding the Research designated as confidential or which otherwise should reasonably be construed under the circumstances as being confidential, whether in oral, written, graphic or machine-readable form. I further undertake to refrain from making public any Confidential Information, or from using (except for purposes of the approved project), presenting or disclosing in any other manner any such Confidential Information in writing and/or orally, without the express prior written consent of Yissum and BioLine, or – absent such consent – in accordance with the provisions of Section 12 of the License Agreement dated November 17th, 2010, between Yissum and BioLine Innovations Jerusalem, L.P., which are incorporated herein by reference. This undertaking does not apply to (i) information already rightfully disclosed in publication, or which has otherwise rightfully become part of the public domain; or (ii) internal publications made in the Hebrew University of Jerusalem for its researchers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072380" cy="1651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5072380" cy="165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tabs>
          <w:tab w:leader="none" w:pos="430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275590</wp:posOffset>
            </wp:positionV>
            <wp:extent cx="2336165" cy="1651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2336165" cy="1651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Name and Israel I.D. /Passport Number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758" w:name="page759"/>
    <w:bookmarkEnd w:id="7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1673225</wp:posOffset>
            </wp:positionH>
            <wp:positionV relativeFrom="page">
              <wp:posOffset>236220</wp:posOffset>
            </wp:positionV>
            <wp:extent cx="4222750" cy="38417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clrChange>
                        <a:clrFrom>
                          <a:srgbClr val="FFFFFF"/>
                        </a:clrFrom>
                        <a:clrTo>
                          <a:srgbClr val="FFFFFF">
                            <a:alpha val="0"/>
                          </a:srgbClr>
                        </a:clrTo>
                      </a:clrChange>
                      <a:extLst>
                        <a:ext uri="{28A0092B-C50C-407E-A947-70E740481C1C}"/>
                      </a:extLst>
                    </a:blip>
                    <a:srcRect/>
                    <a:stretch>
                      <a:fillRect/>
                    </a:stretch>
                  </pic:blipFill>
                  <pic:spPr bwMode="auto">
                    <a:xfrm>
                      <a:off x="0" y="0"/>
                      <a:ext cx="4222750" cy="384175"/>
                    </a:xfrm>
                    <a:prstGeom prst="rect">
                      <a:avLst/>
                    </a:prstGeom>
                    <a:noFill/>
                  </pic:spPr>
                </pic:pic>
              </a:graphicData>
            </a:graphic>
          </wp:anchor>
        </w:drawing>
        <w:drawing>
          <wp:anchor simplePos="0" relativeHeight="251657728" behindDoc="1" locked="0" layoutInCell="0" allowOverlap="1">
            <wp:simplePos x="0" y="0"/>
            <wp:positionH relativeFrom="page">
              <wp:posOffset>2065655</wp:posOffset>
            </wp:positionH>
            <wp:positionV relativeFrom="page">
              <wp:posOffset>922020</wp:posOffset>
            </wp:positionV>
            <wp:extent cx="3438525" cy="105346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clrChange>
                        <a:clrFrom>
                          <a:srgbClr val="FFFFFF"/>
                        </a:clrFrom>
                        <a:clrTo>
                          <a:srgbClr val="FFFFFF">
                            <a:alpha val="0"/>
                          </a:srgbClr>
                        </a:clrTo>
                      </a:clrChange>
                      <a:extLst>
                        <a:ext uri="{28A0092B-C50C-407E-A947-70E740481C1C}"/>
                      </a:extLst>
                    </a:blip>
                    <a:srcRect/>
                    <a:stretch>
                      <a:fillRect/>
                    </a:stretch>
                  </pic:blipFill>
                  <pic:spPr bwMode="auto">
                    <a:xfrm>
                      <a:off x="0" y="0"/>
                      <a:ext cx="3438525" cy="105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40"/>
        <w:spacing w:after="0"/>
        <w:rPr>
          <w:sz w:val="20"/>
          <w:szCs w:val="20"/>
          <w:color w:val="auto"/>
        </w:rPr>
      </w:pPr>
      <w:r>
        <w:rPr>
          <w:rFonts w:ascii="Arial" w:cs="Arial" w:eastAsia="Arial" w:hAnsi="Arial"/>
          <w:sz w:val="41"/>
          <w:szCs w:val="41"/>
          <w:b w:val="1"/>
          <w:bCs w:val="1"/>
          <w:color w:val="auto"/>
        </w:rPr>
        <w:t>EN-101/BL-7040</w:t>
      </w:r>
    </w:p>
    <w:p>
      <w:pPr>
        <w:spacing w:after="0" w:line="236" w:lineRule="exact"/>
        <w:rPr>
          <w:sz w:val="20"/>
          <w:szCs w:val="20"/>
          <w:color w:val="auto"/>
        </w:rPr>
      </w:pPr>
    </w:p>
    <w:p>
      <w:pPr>
        <w:ind w:left="2200"/>
        <w:spacing w:after="0"/>
        <w:rPr>
          <w:sz w:val="20"/>
          <w:szCs w:val="20"/>
          <w:color w:val="auto"/>
        </w:rPr>
      </w:pPr>
      <w:r>
        <w:rPr>
          <w:rFonts w:ascii="Arial" w:cs="Arial" w:eastAsia="Arial" w:hAnsi="Arial"/>
          <w:sz w:val="41"/>
          <w:szCs w:val="41"/>
          <w:b w:val="1"/>
          <w:bCs w:val="1"/>
          <w:color w:val="auto"/>
        </w:rPr>
        <w:t>LICENSE AGREEMENT</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41"/>
          <w:szCs w:val="41"/>
          <w:b w:val="1"/>
          <w:bCs w:val="1"/>
          <w:color w:val="auto"/>
        </w:rPr>
        <w:t>June 23, 2011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77470</wp:posOffset>
            </wp:positionV>
            <wp:extent cx="7257415" cy="209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9" w:name="page760"/>
    <w:bookmarkEnd w:id="759"/>
    <w:p>
      <w:pPr>
        <w:ind w:left="4760"/>
        <w:spacing w:after="0"/>
        <w:rPr>
          <w:sz w:val="20"/>
          <w:szCs w:val="20"/>
          <w:color w:val="auto"/>
        </w:rPr>
      </w:pPr>
      <w:r>
        <w:rPr>
          <w:rFonts w:ascii="Arial" w:cs="Arial" w:eastAsia="Arial" w:hAnsi="Arial"/>
          <w:sz w:val="17"/>
          <w:szCs w:val="17"/>
          <w:b w:val="1"/>
          <w:bCs w:val="1"/>
          <w:color w:val="auto"/>
        </w:rPr>
        <w:t>LICENSE AGREEMENT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Made in Jerusalem as of this 23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day of June, 2011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YISSUM RESEARCH DEVELOPMENT COMPANY OF THE HEBREW UNIVERSITY OF JERUSALEM LTD.</w:t>
      </w:r>
      <w:r>
        <w:rPr>
          <w:rFonts w:ascii="Arial" w:cs="Arial" w:eastAsia="Arial" w:hAnsi="Arial"/>
          <w:sz w:val="17"/>
          <w:szCs w:val="17"/>
          <w:color w:val="auto"/>
        </w:rPr>
        <w:t>, of Hi Tech Park, Edmond J. Safra</w:t>
      </w:r>
      <w:r>
        <w:rPr>
          <w:rFonts w:ascii="Arial" w:cs="Arial" w:eastAsia="Arial" w:hAnsi="Arial"/>
          <w:sz w:val="17"/>
          <w:szCs w:val="17"/>
          <w:b w:val="1"/>
          <w:bCs w:val="1"/>
          <w:color w:val="auto"/>
        </w:rPr>
        <w:t xml:space="preserve"> </w:t>
      </w:r>
      <w:r>
        <w:rPr>
          <w:rFonts w:ascii="Arial" w:cs="Arial" w:eastAsia="Arial" w:hAnsi="Arial"/>
          <w:sz w:val="17"/>
          <w:szCs w:val="17"/>
          <w:color w:val="auto"/>
        </w:rPr>
        <w:t>Campus, Givat Ram, Jerusalem 91390, Israel, Fax: +972-2-658 6689; email: Shoshi.Keynan@yissum.co.il, Attention: Shoshi Keynan ( “</w:t>
      </w:r>
      <w:r>
        <w:rPr>
          <w:rFonts w:ascii="Arial" w:cs="Arial" w:eastAsia="Arial" w:hAnsi="Arial"/>
          <w:sz w:val="17"/>
          <w:szCs w:val="17"/>
          <w:b w:val="1"/>
          <w:bCs w:val="1"/>
          <w:color w:val="auto"/>
        </w:rPr>
        <w:t>Yissum</w:t>
      </w:r>
      <w:r>
        <w:rPr>
          <w:rFonts w:ascii="Arial" w:cs="Arial" w:eastAsia="Arial" w:hAnsi="Arial"/>
          <w:sz w:val="17"/>
          <w:szCs w:val="17"/>
          <w:color w:val="auto"/>
        </w:rPr>
        <w:t>”) of the one part; and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BIOLINERX LTD.</w:t>
      </w:r>
      <w:r>
        <w:rPr>
          <w:rFonts w:ascii="Arial" w:cs="Arial" w:eastAsia="Arial" w:hAnsi="Arial"/>
          <w:sz w:val="16"/>
          <w:szCs w:val="16"/>
          <w:color w:val="auto"/>
        </w:rPr>
        <w:t>, a company organized under the laws of Israel, having a place of business at 19 Hartum Street, P.O. Box 45158, Jerusalem, 91450, Israel, fax:</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+972-2-548-9101, Attention: CFO, (the “</w:t>
      </w:r>
      <w:r>
        <w:rPr>
          <w:rFonts w:ascii="Arial" w:cs="Arial" w:eastAsia="Arial" w:hAnsi="Arial"/>
          <w:sz w:val="17"/>
          <w:szCs w:val="17"/>
          <w:b w:val="1"/>
          <w:bCs w:val="1"/>
          <w:color w:val="auto"/>
        </w:rPr>
        <w:t>Company</w:t>
      </w:r>
      <w:r>
        <w:rPr>
          <w:rFonts w:ascii="Arial" w:cs="Arial" w:eastAsia="Arial" w:hAnsi="Arial"/>
          <w:sz w:val="17"/>
          <w:szCs w:val="17"/>
          <w:color w:val="auto"/>
        </w:rPr>
        <w:t>”), of the second part;</w:t>
      </w:r>
    </w:p>
    <w:p>
      <w:pPr>
        <w:sectPr>
          <w:pgSz w:w="11900" w:h="16838" w:orient="portrait"/>
          <w:cols w:equalWidth="0" w:num="1">
            <w:col w:w="11420"/>
          </w:cols>
          <w:pgMar w:left="240" w:top="495"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Yissum declares and the Company acknowledges that the Licensed Technology was formerly licensed by Yissum to another commercial company (the “</w:t>
      </w:r>
      <w:r>
        <w:rPr>
          <w:rFonts w:ascii="Arial" w:cs="Arial" w:eastAsia="Arial" w:hAnsi="Arial"/>
          <w:sz w:val="17"/>
          <w:szCs w:val="17"/>
          <w:b w:val="1"/>
          <w:bCs w:val="1"/>
          <w:color w:val="auto"/>
        </w:rPr>
        <w:t>Former Licensee</w:t>
      </w:r>
      <w:r>
        <w:rPr>
          <w:rFonts w:ascii="Arial" w:cs="Arial" w:eastAsia="Arial" w:hAnsi="Arial"/>
          <w:sz w:val="17"/>
          <w:szCs w:val="17"/>
          <w:color w:val="auto"/>
        </w:rPr>
        <w:t>”) under a research and license agreement (the “</w:t>
      </w:r>
      <w:r>
        <w:rPr>
          <w:rFonts w:ascii="Arial" w:cs="Arial" w:eastAsia="Arial" w:hAnsi="Arial"/>
          <w:sz w:val="17"/>
          <w:szCs w:val="17"/>
          <w:b w:val="1"/>
          <w:bCs w:val="1"/>
          <w:color w:val="auto"/>
        </w:rPr>
        <w:t>Former License Agreement</w:t>
      </w:r>
      <w:r>
        <w:rPr>
          <w:rFonts w:ascii="Arial" w:cs="Arial" w:eastAsia="Arial" w:hAnsi="Arial"/>
          <w:sz w:val="17"/>
          <w:szCs w:val="17"/>
          <w:color w:val="auto"/>
        </w:rPr>
        <w:t>”); and</w:t>
      </w:r>
    </w:p>
    <w:p>
      <w:pPr>
        <w:spacing w:after="0" w:line="190" w:lineRule="exact"/>
        <w:rPr>
          <w:sz w:val="20"/>
          <w:szCs w:val="20"/>
          <w:color w:val="auto"/>
        </w:rPr>
      </w:pPr>
    </w:p>
    <w:p>
      <w:pPr>
        <w:sectPr>
          <w:pgSz w:w="11900" w:h="16838" w:orient="portrait"/>
          <w:cols w:equalWidth="0" w:num="2">
            <w:col w:w="840" w:space="400"/>
            <w:col w:w="10180"/>
          </w:cols>
          <w:pgMar w:left="240" w:top="495" w:right="239" w:bottom="1440" w:gutter="0" w:footer="0" w:header="0"/>
          <w:type w:val="continuous"/>
        </w:sect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Yissum declares that upon the termination of the Former License Agreement, and pursuant to its terms, the license to the Former Licensee was also terminated, and all rights in the Licensed Technology reverted in full to Yissum; and</w:t>
      </w:r>
    </w:p>
    <w:p>
      <w:pPr>
        <w:spacing w:after="0" w:line="184" w:lineRule="exact"/>
        <w:rPr>
          <w:sz w:val="20"/>
          <w:szCs w:val="20"/>
          <w:color w:val="auto"/>
        </w:rPr>
      </w:pPr>
    </w:p>
    <w:p>
      <w:pPr>
        <w:sectPr>
          <w:pgSz w:w="11900" w:h="16838" w:orient="portrait"/>
          <w:cols w:equalWidth="0" w:num="2">
            <w:col w:w="840" w:space="400"/>
            <w:col w:w="10180"/>
          </w:cols>
          <w:pgMar w:left="240" w:top="495"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WHEREAS:</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 xml:space="preserve">In the course of research at the Hebrew University of Jerusalem, the Researcher (as defined herein) developed certain technology relating to a compound known as EN-101 disclosed in the patent applications set forth in </w:t>
      </w:r>
      <w:r>
        <w:rPr>
          <w:rFonts w:ascii="Arial" w:cs="Arial" w:eastAsia="Arial" w:hAnsi="Arial"/>
          <w:sz w:val="17"/>
          <w:szCs w:val="17"/>
          <w:b w:val="1"/>
          <w:bCs w:val="1"/>
          <w:color w:val="auto"/>
        </w:rPr>
        <w:t>Appendix A</w:t>
      </w:r>
      <w:r>
        <w:rPr>
          <w:rFonts w:ascii="Arial" w:cs="Arial" w:eastAsia="Arial" w:hAnsi="Arial"/>
          <w:sz w:val="17"/>
          <w:szCs w:val="17"/>
          <w:color w:val="auto"/>
        </w:rPr>
        <w:t>; and</w:t>
      </w:r>
    </w:p>
    <w:p>
      <w:pPr>
        <w:spacing w:after="0" w:line="184" w:lineRule="exact"/>
        <w:rPr>
          <w:sz w:val="20"/>
          <w:szCs w:val="20"/>
          <w:color w:val="auto"/>
        </w:rPr>
      </w:pPr>
    </w:p>
    <w:p>
      <w:pPr>
        <w:sectPr>
          <w:pgSz w:w="11900" w:h="16838" w:orient="portrait"/>
          <w:cols w:equalWidth="0" w:num="2">
            <w:col w:w="940" w:space="300"/>
            <w:col w:w="10180"/>
          </w:cols>
          <w:pgMar w:left="240" w:top="495"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The rights and title to the patents and patent applications listed in </w:t>
      </w:r>
      <w:r>
        <w:rPr>
          <w:rFonts w:ascii="Arial" w:cs="Arial" w:eastAsia="Arial" w:hAnsi="Arial"/>
          <w:sz w:val="15"/>
          <w:szCs w:val="15"/>
          <w:b w:val="1"/>
          <w:bCs w:val="1"/>
          <w:color w:val="auto"/>
        </w:rPr>
        <w:t>Appendix A</w:t>
      </w:r>
      <w:r>
        <w:rPr>
          <w:rFonts w:ascii="Arial" w:cs="Arial" w:eastAsia="Arial" w:hAnsi="Arial"/>
          <w:sz w:val="15"/>
          <w:szCs w:val="15"/>
          <w:color w:val="auto"/>
        </w:rPr>
        <w:t xml:space="preserve"> vest solely with Yissum; and</w:t>
      </w:r>
    </w:p>
    <w:p>
      <w:pPr>
        <w:spacing w:after="0" w:line="222" w:lineRule="exact"/>
        <w:rPr>
          <w:sz w:val="20"/>
          <w:szCs w:val="20"/>
          <w:color w:val="auto"/>
        </w:rPr>
      </w:pPr>
    </w:p>
    <w:p>
      <w:pPr>
        <w:sectPr>
          <w:pgSz w:w="11900" w:h="16838" w:orient="portrait"/>
          <w:cols w:equalWidth="0" w:num="2">
            <w:col w:w="940" w:space="300"/>
            <w:col w:w="10180"/>
          </w:cols>
          <w:pgMar w:left="240" w:top="49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Company wishes to obtain a license from Yissum for the commercialization of the Licensed Technology, as defined herein; and</w:t>
      </w:r>
    </w:p>
    <w:p>
      <w:pPr>
        <w:spacing w:after="0" w:line="216" w:lineRule="exact"/>
        <w:rPr>
          <w:sz w:val="20"/>
          <w:szCs w:val="20"/>
          <w:color w:val="auto"/>
        </w:rPr>
      </w:pPr>
    </w:p>
    <w:p>
      <w:pPr>
        <w:sectPr>
          <w:pgSz w:w="11900" w:h="16838" w:orient="portrait"/>
          <w:cols w:equalWidth="0" w:num="2">
            <w:col w:w="940" w:space="300"/>
            <w:col w:w="10180"/>
          </w:cols>
          <w:pgMar w:left="240" w:top="49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Yissum agrees to grant the Company such a license, all in accordance with the terms and conditions of this Agreement.</w:t>
      </w:r>
    </w:p>
    <w:p>
      <w:pPr>
        <w:spacing w:after="0" w:line="216" w:lineRule="exact"/>
        <w:rPr>
          <w:sz w:val="20"/>
          <w:szCs w:val="20"/>
          <w:color w:val="auto"/>
        </w:rPr>
      </w:pPr>
    </w:p>
    <w:p>
      <w:pPr>
        <w:sectPr>
          <w:pgSz w:w="11900" w:h="16838" w:orient="portrait"/>
          <w:cols w:equalWidth="0" w:num="2">
            <w:col w:w="940" w:space="300"/>
            <w:col w:w="10180"/>
          </w:cols>
          <w:pgMar w:left="240" w:top="49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THE PARTIES DO HEREBY AGREE AS FOLLOWS:</w:t>
      </w:r>
    </w:p>
    <w:p>
      <w:pPr>
        <w:spacing w:after="0" w:line="223" w:lineRule="exact"/>
        <w:rPr>
          <w:sz w:val="20"/>
          <w:szCs w:val="20"/>
          <w:color w:val="auto"/>
        </w:rPr>
      </w:pPr>
    </w:p>
    <w:p>
      <w:pPr>
        <w:ind w:left="460" w:hanging="457"/>
        <w:spacing w:after="0"/>
        <w:tabs>
          <w:tab w:leader="none" w:pos="460" w:val="left"/>
        </w:tabs>
        <w:numPr>
          <w:ilvl w:val="0"/>
          <w:numId w:val="704"/>
        </w:numPr>
        <w:rPr>
          <w:rFonts w:ascii="Arial" w:cs="Arial" w:eastAsia="Arial" w:hAnsi="Arial"/>
          <w:sz w:val="21"/>
          <w:szCs w:val="21"/>
          <w:b w:val="1"/>
          <w:bCs w:val="1"/>
          <w:color w:val="auto"/>
        </w:rPr>
      </w:pPr>
      <w:r>
        <w:rPr>
          <w:rFonts w:ascii="Arial" w:cs="Arial" w:eastAsia="Arial" w:hAnsi="Arial"/>
          <w:sz w:val="17"/>
          <w:szCs w:val="17"/>
          <w:b w:val="1"/>
          <w:bCs w:val="1"/>
          <w:color w:val="auto"/>
        </w:rPr>
        <w:t>Interpretation and Definitions</w:t>
      </w:r>
    </w:p>
    <w:p>
      <w:pPr>
        <w:spacing w:after="0" w:line="246"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The preamble and appendices annexed hereto constitute an integral part hereof and shall be read jointly with its terms and conditions.</w:t>
      </w:r>
    </w:p>
    <w:p>
      <w:pPr>
        <w:spacing w:after="0" w:line="242" w:lineRule="exact"/>
        <w:rPr>
          <w:sz w:val="20"/>
          <w:szCs w:val="20"/>
          <w:color w:val="auto"/>
        </w:rPr>
      </w:pPr>
    </w:p>
    <w:p>
      <w:pPr>
        <w:ind w:left="820" w:hanging="616"/>
        <w:spacing w:after="0" w:line="278" w:lineRule="auto"/>
        <w:tabs>
          <w:tab w:leader="none" w:pos="800" w:val="left"/>
        </w:tabs>
        <w:rPr>
          <w:sz w:val="20"/>
          <w:szCs w:val="20"/>
          <w:color w:val="auto"/>
        </w:rPr>
      </w:pPr>
      <w:r>
        <w:rPr>
          <w:rFonts w:ascii="Arial" w:cs="Arial" w:eastAsia="Arial" w:hAnsi="Arial"/>
          <w:sz w:val="17"/>
          <w:szCs w:val="17"/>
          <w:color w:val="auto"/>
        </w:rPr>
        <w:t>1.2.</w:t>
        <w:tab/>
        <w:t xml:space="preserve">In this Agreement, unless otherwise required or indicated by the context, the singular shall include the plural and </w:t>
      </w:r>
      <w:r>
        <w:rPr>
          <w:rFonts w:ascii="Arial" w:cs="Arial" w:eastAsia="Arial" w:hAnsi="Arial"/>
          <w:sz w:val="17"/>
          <w:szCs w:val="17"/>
          <w:i w:val="1"/>
          <w:iCs w:val="1"/>
          <w:color w:val="auto"/>
        </w:rPr>
        <w:t>vice-versa</w:t>
      </w:r>
      <w:r>
        <w:rPr>
          <w:rFonts w:ascii="Arial" w:cs="Arial" w:eastAsia="Arial" w:hAnsi="Arial"/>
          <w:sz w:val="17"/>
          <w:szCs w:val="17"/>
          <w:color w:val="auto"/>
        </w:rPr>
        <w:t>, the masculine gender shall include all other genders.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type w:val="continuous"/>
        </w:sectPr>
      </w:pPr>
    </w:p>
    <w:bookmarkStart w:id="760" w:name="page761"/>
    <w:bookmarkEnd w:id="760"/>
    <w:p>
      <w:pPr>
        <w:spacing w:after="0"/>
        <w:tabs>
          <w:tab w:leader="none" w:pos="4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The headings to the sections in this agreement are for the sake of convenience only and shall not serve in the interpretation of the Agreement.</w:t>
      </w:r>
    </w:p>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In this Agreement the following capitalized terms shall have the meanings appearing alongside them, unless provided otherwise herein:</w:t>
      </w:r>
    </w:p>
    <w:p>
      <w:pPr>
        <w:spacing w:after="0" w:line="242" w:lineRule="exact"/>
        <w:rPr>
          <w:sz w:val="20"/>
          <w:szCs w:val="20"/>
          <w:color w:val="auto"/>
        </w:rPr>
      </w:pPr>
    </w:p>
    <w:p>
      <w:pPr>
        <w:jc w:val="both"/>
        <w:ind w:left="1400" w:hanging="771"/>
        <w:spacing w:after="0" w:line="265" w:lineRule="auto"/>
        <w:tabs>
          <w:tab w:leader="none" w:pos="138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u w:val="single" w:color="auto"/>
          <w:color w:val="auto"/>
        </w:rPr>
        <w:t xml:space="preserve">“Additional Ingredient” </w:t>
      </w:r>
      <w:r>
        <w:rPr>
          <w:rFonts w:ascii="Arial" w:cs="Arial" w:eastAsia="Arial" w:hAnsi="Arial"/>
          <w:sz w:val="17"/>
          <w:szCs w:val="17"/>
          <w:color w:val="auto"/>
        </w:rPr>
        <w:t>shall mean any compound or substance which (i) is contained in a product and (ii) when administered to a patient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has a therapeutic or prophylactic clinical effect independent of a Product, either directly or by acting synergistically with or otherwise enhancing the effect of other compounds or substances contained in such product.</w:t>
      </w:r>
    </w:p>
    <w:p>
      <w:pPr>
        <w:spacing w:after="0" w:line="20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u w:val="single" w:color="auto"/>
          <w:color w:val="auto"/>
        </w:rPr>
        <w:t xml:space="preserve">“Affiliate” </w:t>
      </w:r>
      <w:r>
        <w:rPr>
          <w:rFonts w:ascii="Arial" w:cs="Arial" w:eastAsia="Arial" w:hAnsi="Arial"/>
          <w:sz w:val="15"/>
          <w:szCs w:val="15"/>
          <w:color w:val="auto"/>
        </w:rPr>
        <w:t>means any person, organization or entity Controlling, Controlled by or under common Control with the Company.</w:t>
      </w:r>
    </w:p>
    <w:p>
      <w:pPr>
        <w:spacing w:after="0" w:line="242"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5"/>
          <w:szCs w:val="15"/>
          <w:u w:val="single" w:color="auto"/>
          <w:color w:val="auto"/>
        </w:rPr>
        <w:t xml:space="preserve">“Agreement” </w:t>
      </w:r>
      <w:r>
        <w:rPr>
          <w:rFonts w:ascii="Arial" w:cs="Arial" w:eastAsia="Arial" w:hAnsi="Arial"/>
          <w:sz w:val="15"/>
          <w:szCs w:val="15"/>
          <w:color w:val="auto"/>
        </w:rPr>
        <w:t>means this agreement together with all the appendices and annexes hereto.</w:t>
      </w:r>
    </w:p>
    <w:p>
      <w:pPr>
        <w:spacing w:after="0" w:line="242" w:lineRule="exact"/>
        <w:rPr>
          <w:sz w:val="20"/>
          <w:szCs w:val="20"/>
          <w:color w:val="auto"/>
        </w:rPr>
      </w:pPr>
    </w:p>
    <w:p>
      <w:pPr>
        <w:jc w:val="both"/>
        <w:ind w:left="1400" w:hanging="771"/>
        <w:spacing w:after="0" w:line="278" w:lineRule="auto"/>
        <w:tabs>
          <w:tab w:leader="none" w:pos="138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7"/>
          <w:szCs w:val="17"/>
          <w:u w:val="single" w:color="auto"/>
          <w:color w:val="auto"/>
        </w:rPr>
        <w:t xml:space="preserve">“Calendar Quarter” </w:t>
      </w:r>
      <w:r>
        <w:rPr>
          <w:rFonts w:ascii="Arial" w:cs="Arial" w:eastAsia="Arial" w:hAnsi="Arial"/>
          <w:sz w:val="17"/>
          <w:szCs w:val="17"/>
          <w:color w:val="auto"/>
        </w:rPr>
        <w:t>shall mean the respective periods of three (3) consecutive calendar months ending on March 31, June 30, September 30</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December 31, for so long as this Agreement is in effect.</w:t>
      </w:r>
    </w:p>
    <w:p>
      <w:pPr>
        <w:spacing w:after="0" w:line="190"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5"/>
          <w:szCs w:val="15"/>
          <w:u w:val="single" w:color="auto"/>
          <w:color w:val="auto"/>
        </w:rPr>
        <w:t xml:space="preserve">“Combination Product” </w:t>
      </w:r>
      <w:r>
        <w:rPr>
          <w:rFonts w:ascii="Arial" w:cs="Arial" w:eastAsia="Arial" w:hAnsi="Arial"/>
          <w:sz w:val="15"/>
          <w:szCs w:val="15"/>
          <w:color w:val="auto"/>
        </w:rPr>
        <w:t>shall mean a product, substance or device which comprises a Product and at least one Additional Ingredient.</w:t>
      </w:r>
    </w:p>
    <w:p>
      <w:pPr>
        <w:spacing w:after="0" w:line="242" w:lineRule="exact"/>
        <w:rPr>
          <w:sz w:val="20"/>
          <w:szCs w:val="20"/>
          <w:color w:val="auto"/>
        </w:rPr>
      </w:pPr>
    </w:p>
    <w:p>
      <w:pPr>
        <w:jc w:val="both"/>
        <w:ind w:left="1400" w:hanging="771"/>
        <w:spacing w:after="0" w:line="279" w:lineRule="auto"/>
        <w:tabs>
          <w:tab w:leader="none" w:pos="138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6"/>
          <w:szCs w:val="16"/>
          <w:u w:val="single" w:color="auto"/>
          <w:color w:val="auto"/>
        </w:rPr>
        <w:t xml:space="preserve">“Control” </w:t>
      </w:r>
      <w:r>
        <w:rPr>
          <w:rFonts w:ascii="Arial" w:cs="Arial" w:eastAsia="Arial" w:hAnsi="Arial"/>
          <w:sz w:val="16"/>
          <w:szCs w:val="16"/>
          <w:color w:val="auto"/>
        </w:rPr>
        <w:t>means the possession, directly or indirectly, of the power to direct or cause the direction of the activities, management or policies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a person, organization or entity, whether through the ownership of securities, by contract or otherwise. Without limitation, “Control” shall be presumed to exist when a person, organization, or entity (i) owns or directly controls fifty percent (50%) or more of the outstanding voting stock or other ownership interest of the other organization or entity; or (ii) possess directly or indirectly the power to elect or appoint fifty percent (50%) or more of the members of the governing body of the organization or other entity.</w:t>
      </w:r>
    </w:p>
    <w:p>
      <w:pPr>
        <w:spacing w:after="0" w:line="191"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1.4.7.</w:t>
      </w:r>
      <w:r>
        <w:rPr>
          <w:sz w:val="20"/>
          <w:szCs w:val="20"/>
          <w:color w:val="auto"/>
        </w:rPr>
        <w:tab/>
      </w:r>
      <w:r>
        <w:rPr>
          <w:rFonts w:ascii="Arial" w:cs="Arial" w:eastAsia="Arial" w:hAnsi="Arial"/>
          <w:sz w:val="15"/>
          <w:szCs w:val="15"/>
          <w:u w:val="single" w:color="auto"/>
          <w:color w:val="auto"/>
        </w:rPr>
        <w:t xml:space="preserve">“Development Plan” </w:t>
      </w:r>
      <w:r>
        <w:rPr>
          <w:rFonts w:ascii="Arial" w:cs="Arial" w:eastAsia="Arial" w:hAnsi="Arial"/>
          <w:sz w:val="15"/>
          <w:szCs w:val="15"/>
          <w:color w:val="auto"/>
        </w:rPr>
        <w:t>shall have the meaning set out in Section 4.1 and any amendments thereof.</w:t>
      </w:r>
    </w:p>
    <w:p>
      <w:pPr>
        <w:spacing w:after="0" w:line="242" w:lineRule="exact"/>
        <w:rPr>
          <w:sz w:val="20"/>
          <w:szCs w:val="20"/>
          <w:color w:val="auto"/>
        </w:rPr>
      </w:pPr>
    </w:p>
    <w:p>
      <w:pPr>
        <w:jc w:val="both"/>
        <w:ind w:left="1400" w:hanging="771"/>
        <w:spacing w:after="0" w:line="257" w:lineRule="auto"/>
        <w:tabs>
          <w:tab w:leader="none" w:pos="1380" w:val="left"/>
        </w:tabs>
        <w:rPr>
          <w:sz w:val="20"/>
          <w:szCs w:val="20"/>
          <w:color w:val="auto"/>
        </w:rPr>
      </w:pPr>
      <w:r>
        <w:rPr>
          <w:rFonts w:ascii="Arial" w:cs="Arial" w:eastAsia="Arial" w:hAnsi="Arial"/>
          <w:sz w:val="17"/>
          <w:szCs w:val="17"/>
          <w:color w:val="auto"/>
        </w:rPr>
        <w:t>1.4.8.</w:t>
      </w:r>
      <w:r>
        <w:rPr>
          <w:sz w:val="20"/>
          <w:szCs w:val="20"/>
          <w:color w:val="auto"/>
        </w:rPr>
        <w:tab/>
      </w:r>
      <w:r>
        <w:rPr>
          <w:rFonts w:ascii="Arial" w:cs="Arial" w:eastAsia="Arial" w:hAnsi="Arial"/>
          <w:sz w:val="17"/>
          <w:szCs w:val="17"/>
          <w:u w:val="single" w:color="auto"/>
          <w:color w:val="auto"/>
        </w:rPr>
        <w:t xml:space="preserve">“Development Results” </w:t>
      </w:r>
      <w:r>
        <w:rPr>
          <w:rFonts w:ascii="Arial" w:cs="Arial" w:eastAsia="Arial" w:hAnsi="Arial"/>
          <w:sz w:val="17"/>
          <w:szCs w:val="17"/>
          <w:color w:val="auto"/>
        </w:rPr>
        <w:t>means the results of the activities carried out pursuant to the Development Plan or any amendments thereof,</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including any invention, Patent, product, material, method, process, technique, know-how, data, information or other result which do not form part of the Licensed Technology, discovered in the course of or arising from the performance by the Company of the development work pursuant to Section 4 below, including any regulatory filing or approval, filed or obtained by the Company in respect of the Products, as well as information, material, results, devices and Licensed Technology arising therefrom. For the purpose of Section 15.4 herein, the term “Development Results” shall include not only the results of any of the above activities, but also the activities themselves, to the extent that are still in process, and the control of the activities.</w:t>
      </w:r>
    </w:p>
    <w:p>
      <w:pPr>
        <w:spacing w:after="0" w:line="34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3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61" w:name="page762"/>
    <w:bookmarkEnd w:id="761"/>
    <w:p>
      <w:pPr>
        <w:jc w:val="both"/>
        <w:ind w:left="780" w:hanging="771"/>
        <w:spacing w:after="0" w:line="306" w:lineRule="auto"/>
        <w:tabs>
          <w:tab w:leader="none" w:pos="760" w:val="left"/>
        </w:tabs>
        <w:rPr>
          <w:sz w:val="20"/>
          <w:szCs w:val="20"/>
          <w:color w:val="auto"/>
        </w:rPr>
      </w:pPr>
      <w:r>
        <w:rPr>
          <w:rFonts w:ascii="Arial" w:cs="Arial" w:eastAsia="Arial" w:hAnsi="Arial"/>
          <w:sz w:val="17"/>
          <w:szCs w:val="17"/>
          <w:color w:val="auto"/>
        </w:rPr>
        <w:t>1.4.9.</w:t>
      </w:r>
      <w:r>
        <w:rPr>
          <w:sz w:val="20"/>
          <w:szCs w:val="20"/>
          <w:color w:val="auto"/>
        </w:rPr>
        <w:tab/>
      </w:r>
      <w:r>
        <w:rPr>
          <w:rFonts w:ascii="Arial" w:cs="Arial" w:eastAsia="Arial" w:hAnsi="Arial"/>
          <w:sz w:val="15"/>
          <w:szCs w:val="15"/>
          <w:u w:val="single" w:color="auto"/>
          <w:color w:val="auto"/>
        </w:rPr>
        <w:t>“First Commercial Sale</w:t>
      </w:r>
      <w:r>
        <w:rPr>
          <w:rFonts w:ascii="Arial" w:cs="Arial" w:eastAsia="Arial" w:hAnsi="Arial"/>
          <w:sz w:val="15"/>
          <w:szCs w:val="15"/>
          <w:color w:val="auto"/>
        </w:rPr>
        <w:t>” means the selling of a Product by the Company, an Affiliate and/or by a Sublicensee or sub-Sublicensee – after</w:t>
      </w:r>
      <w:r>
        <w:rPr>
          <w:rFonts w:ascii="Arial" w:cs="Arial" w:eastAsia="Arial" w:hAnsi="Arial"/>
          <w:sz w:val="15"/>
          <w:szCs w:val="15"/>
          <w:u w:val="single" w:color="auto"/>
          <w:color w:val="auto"/>
        </w:rPr>
        <w:t xml:space="preserve"> </w:t>
      </w:r>
      <w:r>
        <w:rPr>
          <w:rFonts w:ascii="Arial" w:cs="Arial" w:eastAsia="Arial" w:hAnsi="Arial"/>
          <w:sz w:val="15"/>
          <w:szCs w:val="15"/>
          <w:color w:val="auto"/>
        </w:rPr>
        <w:t>regulatory marketing approval – in a single transaction or a series of related transactions with a third party who is not an Affiliate, which commences an ongoing stream of sales. For the avoidance of doubt, sales of the Product prior to regulatory marketing approval or sales for test marketing, sampling and promotional uses, compassionate or similar use shall not be considered to constitute a First Commercial Sale.</w:t>
      </w:r>
    </w:p>
    <w:p>
      <w:pPr>
        <w:spacing w:after="0" w:line="175" w:lineRule="exact"/>
        <w:rPr>
          <w:sz w:val="20"/>
          <w:szCs w:val="20"/>
          <w:color w:val="auto"/>
        </w:rPr>
      </w:pPr>
    </w:p>
    <w:p>
      <w:pPr>
        <w:jc w:val="both"/>
        <w:ind w:left="780" w:hanging="771"/>
        <w:spacing w:after="0" w:line="278" w:lineRule="auto"/>
        <w:tabs>
          <w:tab w:leader="none" w:pos="760" w:val="left"/>
        </w:tabs>
        <w:rPr>
          <w:sz w:val="20"/>
          <w:szCs w:val="20"/>
          <w:color w:val="auto"/>
        </w:rPr>
      </w:pPr>
      <w:r>
        <w:rPr>
          <w:rFonts w:ascii="Arial" w:cs="Arial" w:eastAsia="Arial" w:hAnsi="Arial"/>
          <w:sz w:val="17"/>
          <w:szCs w:val="17"/>
          <w:color w:val="auto"/>
        </w:rPr>
        <w:t>1.4.10.</w:t>
      </w:r>
      <w:r>
        <w:rPr>
          <w:sz w:val="20"/>
          <w:szCs w:val="20"/>
          <w:color w:val="auto"/>
        </w:rPr>
        <w:tab/>
      </w:r>
      <w:r>
        <w:rPr>
          <w:rFonts w:ascii="Arial" w:cs="Arial" w:eastAsia="Arial" w:hAnsi="Arial"/>
          <w:sz w:val="17"/>
          <w:szCs w:val="17"/>
          <w:u w:val="single" w:color="auto"/>
          <w:color w:val="auto"/>
        </w:rPr>
        <w:t xml:space="preserve">“Government Programs” </w:t>
      </w:r>
      <w:r>
        <w:rPr>
          <w:rFonts w:ascii="Arial" w:cs="Arial" w:eastAsia="Arial" w:hAnsi="Arial"/>
          <w:sz w:val="17"/>
          <w:szCs w:val="17"/>
          <w:color w:val="auto"/>
        </w:rPr>
        <w:t>shall mean the Biotech Incubators Program of the Office of the Chief Scientist of the Israeli Ministry of Industry</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Trade, and any other funding programs sponsored by the Israeli or other governments.</w:t>
      </w:r>
    </w:p>
    <w:p>
      <w:pPr>
        <w:spacing w:after="0" w:line="190" w:lineRule="exact"/>
        <w:rPr>
          <w:sz w:val="20"/>
          <w:szCs w:val="20"/>
          <w:color w:val="auto"/>
        </w:rPr>
      </w:pPr>
    </w:p>
    <w:p>
      <w:pPr>
        <w:jc w:val="both"/>
        <w:ind w:left="780" w:hanging="771"/>
        <w:spacing w:after="0" w:line="347" w:lineRule="auto"/>
        <w:tabs>
          <w:tab w:leader="none" w:pos="760" w:val="left"/>
        </w:tabs>
        <w:rPr>
          <w:sz w:val="20"/>
          <w:szCs w:val="20"/>
          <w:color w:val="auto"/>
        </w:rPr>
      </w:pPr>
      <w:r>
        <w:rPr>
          <w:rFonts w:ascii="Arial" w:cs="Arial" w:eastAsia="Arial" w:hAnsi="Arial"/>
          <w:sz w:val="17"/>
          <w:szCs w:val="17"/>
          <w:color w:val="auto"/>
        </w:rPr>
        <w:t>1.4.11.</w:t>
      </w:r>
      <w:r>
        <w:rPr>
          <w:sz w:val="20"/>
          <w:szCs w:val="20"/>
          <w:color w:val="auto"/>
        </w:rPr>
        <w:tab/>
      </w:r>
      <w:r>
        <w:rPr>
          <w:rFonts w:ascii="Arial" w:cs="Arial" w:eastAsia="Arial" w:hAnsi="Arial"/>
          <w:sz w:val="15"/>
          <w:szCs w:val="15"/>
          <w:u w:val="single" w:color="auto"/>
          <w:color w:val="auto"/>
        </w:rPr>
        <w:t xml:space="preserve">“Grants” </w:t>
      </w:r>
      <w:r>
        <w:rPr>
          <w:rFonts w:ascii="Arial" w:cs="Arial" w:eastAsia="Arial" w:hAnsi="Arial"/>
          <w:sz w:val="15"/>
          <w:szCs w:val="15"/>
          <w:color w:val="auto"/>
        </w:rPr>
        <w:t>shall mean any funds or benefits received by the Company from governmental, quasi-governmental or other non-profit sources for</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 development of Products, or other benefits, including, but not limited to, grants provided within the context of Government Programs.</w:t>
      </w:r>
    </w:p>
    <w:p>
      <w:pPr>
        <w:spacing w:after="0" w:line="138" w:lineRule="exact"/>
        <w:rPr>
          <w:sz w:val="20"/>
          <w:szCs w:val="20"/>
          <w:color w:val="auto"/>
        </w:rPr>
      </w:pPr>
    </w:p>
    <w:p>
      <w:pPr>
        <w:jc w:val="both"/>
        <w:ind w:left="780" w:hanging="771"/>
        <w:spacing w:after="0" w:line="269" w:lineRule="auto"/>
        <w:tabs>
          <w:tab w:leader="none" w:pos="760" w:val="left"/>
        </w:tabs>
        <w:rPr>
          <w:sz w:val="20"/>
          <w:szCs w:val="20"/>
          <w:color w:val="auto"/>
        </w:rPr>
      </w:pPr>
      <w:r>
        <w:rPr>
          <w:rFonts w:ascii="Arial" w:cs="Arial" w:eastAsia="Arial" w:hAnsi="Arial"/>
          <w:sz w:val="17"/>
          <w:szCs w:val="17"/>
          <w:color w:val="auto"/>
        </w:rPr>
        <w:t>1.4.12.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Licensed Technology</w:t>
      </w:r>
      <w:r>
        <w:rPr>
          <w:rFonts w:ascii="Arial" w:cs="Arial" w:eastAsia="Arial" w:hAnsi="Arial"/>
          <w:sz w:val="17"/>
          <w:szCs w:val="17"/>
          <w:color w:val="auto"/>
        </w:rPr>
        <w:t xml:space="preserve">” means (i) the patents identified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attached hereto; (ii) any information, materials, results, devices and/or know how ancillary thereto developed by Yissum and/or the Yissum Scientist prior to the signing of this Agreement; and (iii) any Patent resulting from (ii) hereinabove, or claiming priority or deriving from (i) or (ii) hereinabove.</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1.4.13.</w:t>
      </w:r>
      <w:r>
        <w:rPr>
          <w:sz w:val="20"/>
          <w:szCs w:val="20"/>
          <w:color w:val="auto"/>
        </w:rPr>
        <w:tab/>
      </w:r>
      <w:r>
        <w:rPr>
          <w:rFonts w:ascii="Arial" w:cs="Arial" w:eastAsia="Arial" w:hAnsi="Arial"/>
          <w:sz w:val="15"/>
          <w:szCs w:val="15"/>
          <w:u w:val="single" w:color="auto"/>
          <w:color w:val="auto"/>
        </w:rPr>
        <w:t xml:space="preserve">“License” </w:t>
      </w:r>
      <w:r>
        <w:rPr>
          <w:rFonts w:ascii="Arial" w:cs="Arial" w:eastAsia="Arial" w:hAnsi="Arial"/>
          <w:sz w:val="15"/>
          <w:szCs w:val="15"/>
          <w:color w:val="auto"/>
        </w:rPr>
        <w:t>shall mean the License, as such term is defined in Section 2.</w:t>
      </w:r>
    </w:p>
    <w:p>
      <w:pPr>
        <w:spacing w:after="0" w:line="242" w:lineRule="exact"/>
        <w:rPr>
          <w:sz w:val="20"/>
          <w:szCs w:val="20"/>
          <w:color w:val="auto"/>
        </w:rPr>
      </w:pPr>
    </w:p>
    <w:p>
      <w:pPr>
        <w:jc w:val="both"/>
        <w:ind w:left="780" w:hanging="771"/>
        <w:spacing w:after="0" w:line="311" w:lineRule="auto"/>
        <w:tabs>
          <w:tab w:leader="none" w:pos="760" w:val="left"/>
        </w:tabs>
        <w:rPr>
          <w:sz w:val="20"/>
          <w:szCs w:val="20"/>
          <w:color w:val="auto"/>
        </w:rPr>
      </w:pPr>
      <w:r>
        <w:rPr>
          <w:rFonts w:ascii="Arial" w:cs="Arial" w:eastAsia="Arial" w:hAnsi="Arial"/>
          <w:sz w:val="17"/>
          <w:szCs w:val="17"/>
          <w:color w:val="auto"/>
        </w:rPr>
        <w:t>1.4.14.</w:t>
      </w:r>
      <w:r>
        <w:rPr>
          <w:sz w:val="20"/>
          <w:szCs w:val="20"/>
          <w:color w:val="auto"/>
        </w:rPr>
        <w:tab/>
      </w:r>
      <w:r>
        <w:rPr>
          <w:rFonts w:ascii="Arial" w:cs="Arial" w:eastAsia="Arial" w:hAnsi="Arial"/>
          <w:sz w:val="16"/>
          <w:szCs w:val="16"/>
          <w:u w:val="single" w:color="auto"/>
          <w:color w:val="auto"/>
        </w:rPr>
        <w:t xml:space="preserve">“M&amp;A Transaction” </w:t>
      </w:r>
      <w:r>
        <w:rPr>
          <w:rFonts w:ascii="Arial" w:cs="Arial" w:eastAsia="Arial" w:hAnsi="Arial"/>
          <w:sz w:val="16"/>
          <w:szCs w:val="16"/>
          <w:color w:val="auto"/>
        </w:rPr>
        <w:t>shall mean a transaction in which all or substantially all of the assets to which the subject matter of this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relates or all or substantially all of the assets or share capital of the Company are acquired by or assigned to a third party.</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1.4.15.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Net Sales</w:t>
      </w:r>
      <w:r>
        <w:rPr>
          <w:rFonts w:ascii="Arial" w:cs="Arial" w:eastAsia="Arial" w:hAnsi="Arial"/>
          <w:sz w:val="15"/>
          <w:szCs w:val="15"/>
          <w:color w:val="auto"/>
        </w:rPr>
        <w:t>” means</w:t>
      </w:r>
    </w:p>
    <w:p>
      <w:pPr>
        <w:spacing w:after="0" w:line="242" w:lineRule="exact"/>
        <w:rPr>
          <w:sz w:val="20"/>
          <w:szCs w:val="20"/>
          <w:color w:val="auto"/>
        </w:rPr>
      </w:pPr>
    </w:p>
    <w:p>
      <w:pPr>
        <w:ind w:left="1180" w:hanging="373"/>
        <w:spacing w:after="0"/>
        <w:tabs>
          <w:tab w:leader="none" w:pos="1180" w:val="left"/>
        </w:tabs>
        <w:numPr>
          <w:ilvl w:val="0"/>
          <w:numId w:val="705"/>
        </w:numPr>
        <w:rPr>
          <w:rFonts w:ascii="Arial" w:cs="Arial" w:eastAsia="Arial" w:hAnsi="Arial"/>
          <w:sz w:val="17"/>
          <w:szCs w:val="17"/>
          <w:color w:val="auto"/>
        </w:rPr>
      </w:pPr>
      <w:r>
        <w:rPr>
          <w:rFonts w:ascii="Arial" w:cs="Arial" w:eastAsia="Arial" w:hAnsi="Arial"/>
          <w:sz w:val="17"/>
          <w:szCs w:val="17"/>
          <w:color w:val="auto"/>
        </w:rPr>
        <w:t>all amounts in respect whereof invoices are issued by the Company or an Affiliate; and/or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4300"/>
        <w:spacing w:after="0"/>
        <w:rPr>
          <w:rFonts w:ascii="Arial" w:cs="Arial" w:eastAsia="Arial" w:hAnsi="Arial"/>
          <w:sz w:val="17"/>
          <w:szCs w:val="17"/>
          <w:color w:val="auto"/>
        </w:rPr>
      </w:pPr>
      <w:r>
        <w:rPr>
          <w:rFonts w:ascii="Arial" w:cs="Arial" w:eastAsia="Arial" w:hAnsi="Arial"/>
          <w:sz w:val="17"/>
          <w:szCs w:val="17"/>
          <w:color w:val="auto"/>
        </w:rPr>
        <w:t>Page 4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77470</wp:posOffset>
            </wp:positionV>
            <wp:extent cx="7257415" cy="209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40"/>
          </w:cols>
          <w:pgMar w:left="1220" w:top="500" w:right="239" w:bottom="1440" w:gutter="0" w:footer="0" w:header="0"/>
        </w:sectPr>
      </w:pPr>
    </w:p>
    <w:bookmarkStart w:id="762" w:name="page763"/>
    <w:bookmarkEnd w:id="762"/>
    <w:p>
      <w:pPr>
        <w:jc w:val="both"/>
        <w:ind w:left="980" w:hanging="411"/>
        <w:spacing w:after="0" w:line="277" w:lineRule="auto"/>
        <w:tabs>
          <w:tab w:leader="none" w:pos="980" w:val="left"/>
        </w:tabs>
        <w:numPr>
          <w:ilvl w:val="0"/>
          <w:numId w:val="706"/>
        </w:numPr>
        <w:rPr>
          <w:rFonts w:ascii="Arial" w:cs="Arial" w:eastAsia="Arial" w:hAnsi="Arial"/>
          <w:sz w:val="16"/>
          <w:szCs w:val="16"/>
          <w:color w:val="auto"/>
        </w:rPr>
      </w:pPr>
      <w:r>
        <w:rPr>
          <w:rFonts w:ascii="Arial" w:cs="Arial" w:eastAsia="Arial" w:hAnsi="Arial"/>
          <w:sz w:val="16"/>
          <w:szCs w:val="16"/>
          <w:color w:val="auto"/>
        </w:rPr>
        <w:t>the fair market value of non-monetary consideration received in connection with the sale of Products by the Company or its Affiliates to non-Affiliated third parties, after deduction of: (i) all discounts and returns given in respect of such sales; (ii) sales taxes, including VAT; (iii) Third Party Royalties; and (iv) outbound transportation, packing and delivery charges, as well as prepaid freight (including shipping insurance). Such deductions shall be directly related to the sale of Products and shall have been incurred in the regular course of business of the Company or Affiliate. For the sake of clarity, any payment or rebate received by the Company or Affiliate from any governmental agency directly in relation to sales shall be considered as Net Sales.</w:t>
      </w:r>
    </w:p>
    <w:p>
      <w:pPr>
        <w:spacing w:after="0" w:line="192" w:lineRule="exact"/>
        <w:rPr>
          <w:sz w:val="20"/>
          <w:szCs w:val="20"/>
          <w:color w:val="auto"/>
        </w:rPr>
      </w:pPr>
    </w:p>
    <w:p>
      <w:pPr>
        <w:jc w:val="both"/>
        <w:ind w:left="560"/>
        <w:spacing w:after="0" w:line="265" w:lineRule="auto"/>
        <w:rPr>
          <w:sz w:val="20"/>
          <w:szCs w:val="20"/>
          <w:color w:val="auto"/>
        </w:rPr>
      </w:pPr>
      <w:r>
        <w:rPr>
          <w:rFonts w:ascii="Arial" w:cs="Arial" w:eastAsia="Arial" w:hAnsi="Arial"/>
          <w:sz w:val="17"/>
          <w:szCs w:val="17"/>
          <w:color w:val="auto"/>
        </w:rPr>
        <w:t>In the event of sales made through a distributor or marketing agent, the sales made by such distributors and/or marketing agent shall be deemed Net Sales of the Company for the purposes of this Agreement and amounts paid by the Company to such distributor or marketing agent as commissions or marketing fees for such sales shall be deducted from such Net Sales.</w:t>
      </w:r>
    </w:p>
    <w:p>
      <w:pPr>
        <w:spacing w:after="0" w:line="201" w:lineRule="exact"/>
        <w:rPr>
          <w:sz w:val="20"/>
          <w:szCs w:val="20"/>
          <w:color w:val="auto"/>
        </w:rPr>
      </w:pPr>
    </w:p>
    <w:p>
      <w:pPr>
        <w:jc w:val="both"/>
        <w:ind w:left="560"/>
        <w:spacing w:after="0" w:line="261" w:lineRule="auto"/>
        <w:rPr>
          <w:sz w:val="20"/>
          <w:szCs w:val="20"/>
          <w:color w:val="auto"/>
        </w:rPr>
      </w:pPr>
      <w:r>
        <w:rPr>
          <w:rFonts w:ascii="Arial" w:cs="Arial" w:eastAsia="Arial" w:hAnsi="Arial"/>
          <w:sz w:val="17"/>
          <w:szCs w:val="17"/>
          <w:color w:val="auto"/>
        </w:rPr>
        <w:t>In the event of sales or deductions not made at “arms length”, then for the purpose of calculation of Royalties to Yissum, Net Sales shall be calculated in accordance with arms length prices for sale of Products to end users and arm’s length deductions, to be determined by the current market conditions, or in the absence of such conditions, according to the assessment of a independent appraiser to be selected by the parties.</w:t>
      </w:r>
    </w:p>
    <w:p>
      <w:pPr>
        <w:spacing w:after="0" w:line="204" w:lineRule="exact"/>
        <w:rPr>
          <w:sz w:val="20"/>
          <w:szCs w:val="20"/>
          <w:color w:val="auto"/>
        </w:rPr>
      </w:pPr>
    </w:p>
    <w:p>
      <w:pPr>
        <w:jc w:val="both"/>
        <w:ind w:left="560" w:hanging="771"/>
        <w:spacing w:after="0" w:line="259" w:lineRule="auto"/>
        <w:tabs>
          <w:tab w:leader="none" w:pos="540" w:val="left"/>
        </w:tabs>
        <w:rPr>
          <w:sz w:val="20"/>
          <w:szCs w:val="20"/>
          <w:color w:val="auto"/>
        </w:rPr>
      </w:pPr>
      <w:r>
        <w:rPr>
          <w:rFonts w:ascii="Arial" w:cs="Arial" w:eastAsia="Arial" w:hAnsi="Arial"/>
          <w:sz w:val="17"/>
          <w:szCs w:val="17"/>
          <w:color w:val="auto"/>
        </w:rPr>
        <w:t>1.4.16.</w:t>
      </w:r>
      <w:r>
        <w:rPr>
          <w:sz w:val="20"/>
          <w:szCs w:val="20"/>
          <w:color w:val="auto"/>
        </w:rPr>
        <w:tab/>
      </w:r>
      <w:r>
        <w:rPr>
          <w:rFonts w:ascii="Arial" w:cs="Arial" w:eastAsia="Arial" w:hAnsi="Arial"/>
          <w:sz w:val="17"/>
          <w:szCs w:val="17"/>
          <w:u w:val="single" w:color="auto"/>
          <w:color w:val="auto"/>
        </w:rPr>
        <w:t xml:space="preserve">“Patents” </w:t>
      </w:r>
      <w:r>
        <w:rPr>
          <w:rFonts w:ascii="Arial" w:cs="Arial" w:eastAsia="Arial" w:hAnsi="Arial"/>
          <w:sz w:val="17"/>
          <w:szCs w:val="17"/>
          <w:color w:val="auto"/>
        </w:rPr>
        <w:t>means (i) all patents, patent applications, including provisional applications, and any patents and patent applications that claim</w:t>
      </w:r>
      <w:r>
        <w:rPr>
          <w:rFonts w:ascii="Arial" w:cs="Arial" w:eastAsia="Arial" w:hAnsi="Arial"/>
          <w:sz w:val="17"/>
          <w:szCs w:val="17"/>
          <w:u w:val="single" w:color="auto"/>
          <w:color w:val="auto"/>
        </w:rPr>
        <w:t xml:space="preserve"> </w:t>
      </w:r>
      <w:r>
        <w:rPr>
          <w:rFonts w:ascii="Arial" w:cs="Arial" w:eastAsia="Arial" w:hAnsi="Arial"/>
          <w:sz w:val="17"/>
          <w:szCs w:val="17"/>
          <w:color w:val="auto"/>
        </w:rPr>
        <w:t>priority therefrom; (ii) all divisions, continuations, continuations-in-part, re-examinations, reissues, substitutions, or extensions – including without limitation US Patent Term Extensions (PTEs), European Supplementary Protection Certificates (“SPCs”) or equivalents thereof – and any and all patents issuing from, and inventions, methods, processes, and other patentable subject matter disclosed or claimed in, any and all of the foregoing.</w:t>
      </w:r>
    </w:p>
    <w:p>
      <w:pPr>
        <w:spacing w:after="0" w:line="206" w:lineRule="exact"/>
        <w:rPr>
          <w:sz w:val="20"/>
          <w:szCs w:val="20"/>
          <w:color w:val="auto"/>
        </w:rPr>
      </w:pPr>
    </w:p>
    <w:p>
      <w:pPr>
        <w:jc w:val="both"/>
        <w:ind w:left="560" w:hanging="771"/>
        <w:spacing w:after="0" w:line="261" w:lineRule="auto"/>
        <w:tabs>
          <w:tab w:leader="none" w:pos="540" w:val="left"/>
        </w:tabs>
        <w:rPr>
          <w:sz w:val="20"/>
          <w:szCs w:val="20"/>
          <w:color w:val="auto"/>
        </w:rPr>
      </w:pPr>
      <w:r>
        <w:rPr>
          <w:rFonts w:ascii="Arial" w:cs="Arial" w:eastAsia="Arial" w:hAnsi="Arial"/>
          <w:sz w:val="17"/>
          <w:szCs w:val="17"/>
          <w:color w:val="auto"/>
        </w:rPr>
        <w:t>1.4.17.</w:t>
      </w:r>
      <w:r>
        <w:rPr>
          <w:sz w:val="20"/>
          <w:szCs w:val="20"/>
          <w:color w:val="auto"/>
        </w:rPr>
        <w:tab/>
      </w:r>
      <w:r>
        <w:rPr>
          <w:rFonts w:ascii="Arial" w:cs="Arial" w:eastAsia="Arial" w:hAnsi="Arial"/>
          <w:sz w:val="17"/>
          <w:szCs w:val="17"/>
          <w:u w:val="single" w:color="auto"/>
          <w:color w:val="auto"/>
        </w:rPr>
        <w:t xml:space="preserve">“Phase II Clinical Trial” </w:t>
      </w:r>
      <w:r>
        <w:rPr>
          <w:rFonts w:ascii="Arial" w:cs="Arial" w:eastAsia="Arial" w:hAnsi="Arial"/>
          <w:sz w:val="17"/>
          <w:szCs w:val="17"/>
          <w:color w:val="auto"/>
        </w:rPr>
        <w:t>means a human clinical trial in any country conducted to evaluate the effectiveness of a drug for a particular</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indication or indications in patients with the disease or condition under study and, possibly, to determine the common short-term side effects and risks associated with the drug. In the United States, “Phase II Clinical Trial” means a human clinical trial that satisfies the requirements of 21 C.F.R. § 312.21 (b) or its foreign equivalent.</w:t>
      </w:r>
    </w:p>
    <w:p>
      <w:pPr>
        <w:spacing w:after="0" w:line="204" w:lineRule="exact"/>
        <w:rPr>
          <w:sz w:val="20"/>
          <w:szCs w:val="20"/>
          <w:color w:val="auto"/>
        </w:rPr>
      </w:pPr>
    </w:p>
    <w:p>
      <w:pPr>
        <w:jc w:val="both"/>
        <w:ind w:left="560" w:hanging="771"/>
        <w:spacing w:after="0" w:line="282" w:lineRule="auto"/>
        <w:tabs>
          <w:tab w:leader="none" w:pos="540" w:val="left"/>
        </w:tabs>
        <w:rPr>
          <w:sz w:val="20"/>
          <w:szCs w:val="20"/>
          <w:color w:val="auto"/>
        </w:rPr>
      </w:pPr>
      <w:r>
        <w:rPr>
          <w:rFonts w:ascii="Arial" w:cs="Arial" w:eastAsia="Arial" w:hAnsi="Arial"/>
          <w:sz w:val="17"/>
          <w:szCs w:val="17"/>
          <w:color w:val="auto"/>
        </w:rPr>
        <w:t>1.4.18.</w:t>
      </w:r>
      <w:r>
        <w:rPr>
          <w:sz w:val="20"/>
          <w:szCs w:val="20"/>
          <w:color w:val="auto"/>
        </w:rPr>
        <w:tab/>
      </w:r>
      <w:r>
        <w:rPr>
          <w:rFonts w:ascii="Arial" w:cs="Arial" w:eastAsia="Arial" w:hAnsi="Arial"/>
          <w:sz w:val="16"/>
          <w:szCs w:val="16"/>
          <w:u w:val="single" w:color="auto"/>
          <w:color w:val="auto"/>
        </w:rPr>
        <w:t xml:space="preserve">“Phase III Clinical Trial” </w:t>
      </w:r>
      <w:r>
        <w:rPr>
          <w:rFonts w:ascii="Arial" w:cs="Arial" w:eastAsia="Arial" w:hAnsi="Arial"/>
          <w:sz w:val="16"/>
          <w:szCs w:val="16"/>
          <w:color w:val="auto"/>
        </w:rPr>
        <w:t>means the initial controlled and lawful study in humans of the safety and efficacy of such product for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indication, which is prospectively designed to demonstrate statistically whether such product is safe and effective for use for such indication in order to file an application for regulatory approval with respect to such product for such indication. In the United States, “Phase III Clinical Trial” means the phase of the clinical investigation as defined in 21 C.F.R. §312.21(c) or its foreign equivalent.</w:t>
      </w:r>
    </w:p>
    <w:p>
      <w:pPr>
        <w:spacing w:after="0" w:line="33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Page 5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77470</wp:posOffset>
            </wp:positionV>
            <wp:extent cx="7257415" cy="209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1440" w:top="500" w:right="239" w:bottom="1440" w:gutter="0" w:footer="0" w:header="0"/>
        </w:sectPr>
      </w:pPr>
    </w:p>
    <w:bookmarkStart w:id="763" w:name="page764"/>
    <w:bookmarkEnd w:id="763"/>
    <w:p>
      <w:pPr>
        <w:jc w:val="both"/>
        <w:ind w:left="780" w:hanging="771"/>
        <w:spacing w:after="0" w:line="282" w:lineRule="auto"/>
        <w:tabs>
          <w:tab w:leader="none" w:pos="760" w:val="left"/>
        </w:tabs>
        <w:rPr>
          <w:sz w:val="20"/>
          <w:szCs w:val="20"/>
          <w:color w:val="auto"/>
        </w:rPr>
      </w:pPr>
      <w:r>
        <w:rPr>
          <w:rFonts w:ascii="Arial" w:cs="Arial" w:eastAsia="Arial" w:hAnsi="Arial"/>
          <w:sz w:val="17"/>
          <w:szCs w:val="17"/>
          <w:color w:val="auto"/>
        </w:rPr>
        <w:t>1.4.19.</w:t>
      </w:r>
      <w:r>
        <w:rPr>
          <w:sz w:val="20"/>
          <w:szCs w:val="20"/>
          <w:color w:val="auto"/>
        </w:rPr>
        <w:tab/>
      </w:r>
      <w:r>
        <w:rPr>
          <w:rFonts w:ascii="Arial" w:cs="Arial" w:eastAsia="Arial" w:hAnsi="Arial"/>
          <w:sz w:val="16"/>
          <w:szCs w:val="16"/>
          <w:u w:val="single" w:color="auto"/>
          <w:color w:val="auto"/>
        </w:rPr>
        <w:t xml:space="preserve">“Product” </w:t>
      </w:r>
      <w:r>
        <w:rPr>
          <w:rFonts w:ascii="Arial" w:cs="Arial" w:eastAsia="Arial" w:hAnsi="Arial"/>
          <w:sz w:val="16"/>
          <w:szCs w:val="16"/>
          <w:color w:val="auto"/>
        </w:rPr>
        <w:t>means any product and/or process that comprises, contains or incorporates the Licensed Technology and/or the Development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Results or any part thereof, or that uses the Licensed Technology and/or the Development Results as a basis for subsequent modifications that are standard in drug development including, without limitation, the construction of pro-drugs, and modified compounds based on the Licensed Technology that work essentially in a physiologically analogous manner to the Licensed Technology.</w:t>
      </w:r>
    </w:p>
    <w:p>
      <w:pPr>
        <w:spacing w:after="0" w:line="19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1.4.20.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Regulatory Agency</w:t>
      </w:r>
      <w:r>
        <w:rPr>
          <w:rFonts w:ascii="Arial" w:cs="Arial" w:eastAsia="Arial" w:hAnsi="Arial"/>
          <w:sz w:val="15"/>
          <w:szCs w:val="15"/>
          <w:color w:val="auto"/>
        </w:rPr>
        <w:t>” means the FDA or equivalent licensing agency in any jurisdiction.</w:t>
      </w:r>
    </w:p>
    <w:p>
      <w:pPr>
        <w:spacing w:after="0" w:line="24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1.4.21.</w:t>
      </w:r>
      <w:r>
        <w:rPr>
          <w:sz w:val="20"/>
          <w:szCs w:val="20"/>
          <w:color w:val="auto"/>
        </w:rPr>
        <w:tab/>
      </w:r>
      <w:r>
        <w:rPr>
          <w:rFonts w:ascii="Arial" w:cs="Arial" w:eastAsia="Arial" w:hAnsi="Arial"/>
          <w:sz w:val="15"/>
          <w:szCs w:val="15"/>
          <w:u w:val="single" w:color="auto"/>
          <w:color w:val="auto"/>
        </w:rPr>
        <w:t xml:space="preserve">“Royalties” </w:t>
      </w:r>
      <w:r>
        <w:rPr>
          <w:rFonts w:ascii="Arial" w:cs="Arial" w:eastAsia="Arial" w:hAnsi="Arial"/>
          <w:sz w:val="15"/>
          <w:szCs w:val="15"/>
          <w:color w:val="auto"/>
        </w:rPr>
        <w:t>shall have the meaning set out in Section 6.2, below.</w:t>
      </w:r>
    </w:p>
    <w:p>
      <w:pPr>
        <w:spacing w:after="0" w:line="242" w:lineRule="exact"/>
        <w:rPr>
          <w:sz w:val="20"/>
          <w:szCs w:val="20"/>
          <w:color w:val="auto"/>
        </w:rPr>
      </w:pPr>
    </w:p>
    <w:p>
      <w:pPr>
        <w:jc w:val="both"/>
        <w:ind w:left="780" w:hanging="771"/>
        <w:spacing w:after="0" w:line="265" w:lineRule="auto"/>
        <w:tabs>
          <w:tab w:leader="none" w:pos="760" w:val="left"/>
        </w:tabs>
        <w:rPr>
          <w:sz w:val="20"/>
          <w:szCs w:val="20"/>
          <w:color w:val="auto"/>
        </w:rPr>
      </w:pPr>
      <w:r>
        <w:rPr>
          <w:rFonts w:ascii="Arial" w:cs="Arial" w:eastAsia="Arial" w:hAnsi="Arial"/>
          <w:sz w:val="17"/>
          <w:szCs w:val="17"/>
          <w:color w:val="auto"/>
        </w:rPr>
        <w:t>1.4.22.</w:t>
      </w:r>
      <w:r>
        <w:rPr>
          <w:sz w:val="20"/>
          <w:szCs w:val="20"/>
          <w:color w:val="auto"/>
        </w:rPr>
        <w:tab/>
      </w:r>
      <w:r>
        <w:rPr>
          <w:rFonts w:ascii="Arial" w:cs="Arial" w:eastAsia="Arial" w:hAnsi="Arial"/>
          <w:sz w:val="17"/>
          <w:szCs w:val="17"/>
          <w:u w:val="single" w:color="auto"/>
          <w:color w:val="auto"/>
        </w:rPr>
        <w:t xml:space="preserve">“Royalty Term” </w:t>
      </w:r>
      <w:r>
        <w:rPr>
          <w:rFonts w:ascii="Arial" w:cs="Arial" w:eastAsia="Arial" w:hAnsi="Arial"/>
          <w:sz w:val="17"/>
          <w:szCs w:val="17"/>
          <w:color w:val="auto"/>
        </w:rPr>
        <w:t>shall mean the period beginning on the First Commercial Sale of a Product and expiring, on a country-by-country basis, on</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the occurrence of the </w:t>
      </w:r>
      <w:r>
        <w:rPr>
          <w:rFonts w:ascii="Arial" w:cs="Arial" w:eastAsia="Arial" w:hAnsi="Arial"/>
          <w:sz w:val="17"/>
          <w:szCs w:val="17"/>
          <w:i w:val="1"/>
          <w:iCs w:val="1"/>
          <w:color w:val="auto"/>
        </w:rPr>
        <w:t>later</w:t>
      </w:r>
      <w:r>
        <w:rPr>
          <w:rFonts w:ascii="Arial" w:cs="Arial" w:eastAsia="Arial" w:hAnsi="Arial"/>
          <w:sz w:val="17"/>
          <w:szCs w:val="17"/>
          <w:color w:val="auto"/>
        </w:rPr>
        <w:t xml:space="preserve"> of: (a) the expiration in such country of the last-to-expire Patent with a Valid Claim; or (b) the elapse of fifteen (15) years from the date of the First Commercial Sale in such country.</w:t>
      </w:r>
    </w:p>
    <w:p>
      <w:pPr>
        <w:spacing w:after="0" w:line="201" w:lineRule="exact"/>
        <w:rPr>
          <w:sz w:val="20"/>
          <w:szCs w:val="20"/>
          <w:color w:val="auto"/>
        </w:rPr>
      </w:pPr>
    </w:p>
    <w:p>
      <w:pPr>
        <w:jc w:val="both"/>
        <w:ind w:left="780" w:hanging="771"/>
        <w:spacing w:after="0" w:line="278" w:lineRule="auto"/>
        <w:tabs>
          <w:tab w:leader="none" w:pos="760" w:val="left"/>
        </w:tabs>
        <w:rPr>
          <w:sz w:val="20"/>
          <w:szCs w:val="20"/>
          <w:color w:val="auto"/>
        </w:rPr>
      </w:pPr>
      <w:r>
        <w:rPr>
          <w:rFonts w:ascii="Arial" w:cs="Arial" w:eastAsia="Arial" w:hAnsi="Arial"/>
          <w:sz w:val="17"/>
          <w:szCs w:val="17"/>
          <w:color w:val="auto"/>
        </w:rPr>
        <w:t>1.4.23.</w:t>
      </w:r>
      <w:r>
        <w:rPr>
          <w:sz w:val="20"/>
          <w:szCs w:val="20"/>
          <w:color w:val="auto"/>
        </w:rPr>
        <w:tab/>
      </w:r>
      <w:r>
        <w:rPr>
          <w:rFonts w:ascii="Arial" w:cs="Arial" w:eastAsia="Arial" w:hAnsi="Arial"/>
          <w:sz w:val="17"/>
          <w:szCs w:val="17"/>
          <w:u w:val="single" w:color="auto"/>
          <w:color w:val="auto"/>
        </w:rPr>
        <w:t xml:space="preserve">“Sublicense” </w:t>
      </w:r>
      <w:r>
        <w:rPr>
          <w:rFonts w:ascii="Arial" w:cs="Arial" w:eastAsia="Arial" w:hAnsi="Arial"/>
          <w:sz w:val="17"/>
          <w:szCs w:val="17"/>
          <w:color w:val="auto"/>
        </w:rPr>
        <w:t>means any grant by the Company or its Affiliates of any of the rights granted under this Agreement or any part thereof;</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including the right to develop, manufacture, market, sell or distribute the Licensed Technology and/or any Product.</w:t>
      </w:r>
    </w:p>
    <w:p>
      <w:pPr>
        <w:spacing w:after="0" w:line="190" w:lineRule="exact"/>
        <w:rPr>
          <w:sz w:val="20"/>
          <w:szCs w:val="20"/>
          <w:color w:val="auto"/>
        </w:rPr>
      </w:pPr>
    </w:p>
    <w:p>
      <w:pPr>
        <w:jc w:val="both"/>
        <w:ind w:left="780" w:hanging="771"/>
        <w:spacing w:after="0" w:line="296" w:lineRule="auto"/>
        <w:tabs>
          <w:tab w:leader="none" w:pos="760" w:val="left"/>
        </w:tabs>
        <w:rPr>
          <w:sz w:val="20"/>
          <w:szCs w:val="20"/>
          <w:color w:val="auto"/>
        </w:rPr>
      </w:pPr>
      <w:r>
        <w:rPr>
          <w:rFonts w:ascii="Arial" w:cs="Arial" w:eastAsia="Arial" w:hAnsi="Arial"/>
          <w:sz w:val="17"/>
          <w:szCs w:val="17"/>
          <w:color w:val="auto"/>
        </w:rPr>
        <w:t>1.4.24.</w:t>
      </w:r>
      <w:r>
        <w:rPr>
          <w:sz w:val="20"/>
          <w:szCs w:val="20"/>
          <w:color w:val="auto"/>
        </w:rPr>
        <w:tab/>
      </w:r>
      <w:r>
        <w:rPr>
          <w:rFonts w:ascii="Arial" w:cs="Arial" w:eastAsia="Arial" w:hAnsi="Arial"/>
          <w:sz w:val="15"/>
          <w:szCs w:val="15"/>
          <w:u w:val="single" w:color="auto"/>
          <w:color w:val="auto"/>
        </w:rPr>
        <w:t xml:space="preserve">“Sublicense Considerations” </w:t>
      </w:r>
      <w:r>
        <w:rPr>
          <w:rFonts w:ascii="Arial" w:cs="Arial" w:eastAsia="Arial" w:hAnsi="Arial"/>
          <w:sz w:val="15"/>
          <w:szCs w:val="15"/>
          <w:color w:val="auto"/>
        </w:rPr>
        <w:t>means any proceeds and/or consideration and/or benefit of any kind whatsoever that the Company actually</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received from a Sublicensee as a direct or indirect result of the grant of a Sublicense or an option thereto;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that the Company receives non-monetary consideration in connection with a Sublicense or the grant of an option to obtain a Sublicense or in the case of transactions not at arm’s length, Sublicense Considerations shall be calculated based on the fair market value of such consideration or transaction, assuming an arm’s length transaction made in the ordinary course of business</w:t>
      </w:r>
      <w:r>
        <w:rPr>
          <w:rFonts w:ascii="Arial" w:cs="Arial" w:eastAsia="Arial" w:hAnsi="Arial"/>
          <w:sz w:val="15"/>
          <w:szCs w:val="15"/>
          <w:b w:val="1"/>
          <w:bCs w:val="1"/>
          <w:color w:val="auto"/>
        </w:rPr>
        <w:t>.</w:t>
      </w:r>
      <w:r>
        <w:rPr>
          <w:rFonts w:ascii="Arial" w:cs="Arial" w:eastAsia="Arial" w:hAnsi="Arial"/>
          <w:sz w:val="15"/>
          <w:szCs w:val="15"/>
          <w:color w:val="auto"/>
        </w:rPr>
        <w:t xml:space="preserve"> For the avoidance of doubt, Sublicense Considerations shall not include any amounts received as Grants, in connection with Government Programs, or otherwise as research grants from national or international not-for-profit funding bodies, or in connection with an M&amp;A Transaction.</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1.4.25.</w:t>
      </w:r>
      <w:r>
        <w:rPr>
          <w:sz w:val="20"/>
          <w:szCs w:val="20"/>
          <w:color w:val="auto"/>
        </w:rPr>
        <w:tab/>
      </w:r>
      <w:r>
        <w:rPr>
          <w:rFonts w:ascii="Arial" w:cs="Arial" w:eastAsia="Arial" w:hAnsi="Arial"/>
          <w:sz w:val="15"/>
          <w:szCs w:val="15"/>
          <w:u w:val="single" w:color="auto"/>
          <w:color w:val="auto"/>
        </w:rPr>
        <w:t xml:space="preserve">“Sublicense Fees” </w:t>
      </w:r>
      <w:r>
        <w:rPr>
          <w:rFonts w:ascii="Arial" w:cs="Arial" w:eastAsia="Arial" w:hAnsi="Arial"/>
          <w:sz w:val="15"/>
          <w:szCs w:val="15"/>
          <w:color w:val="auto"/>
        </w:rPr>
        <w:t>shall have the meaning set out in Section 7.3, below.</w:t>
      </w:r>
    </w:p>
    <w:p>
      <w:pPr>
        <w:spacing w:after="0" w:line="38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Page 6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77470</wp:posOffset>
            </wp:positionV>
            <wp:extent cx="7257415" cy="209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40"/>
          </w:cols>
          <w:pgMar w:left="1220" w:top="500" w:right="239" w:bottom="1440" w:gutter="0" w:footer="0" w:header="0"/>
        </w:sectPr>
      </w:pPr>
    </w:p>
    <w:bookmarkStart w:id="764" w:name="page765"/>
    <w:bookmarkEnd w:id="764"/>
    <w:p>
      <w:pPr>
        <w:jc w:val="both"/>
        <w:ind w:left="780" w:hanging="771"/>
        <w:spacing w:after="0" w:line="261" w:lineRule="auto"/>
        <w:tabs>
          <w:tab w:leader="none" w:pos="760" w:val="left"/>
        </w:tabs>
        <w:rPr>
          <w:sz w:val="20"/>
          <w:szCs w:val="20"/>
          <w:color w:val="auto"/>
        </w:rPr>
      </w:pPr>
      <w:r>
        <w:rPr>
          <w:rFonts w:ascii="Arial" w:cs="Arial" w:eastAsia="Arial" w:hAnsi="Arial"/>
          <w:sz w:val="17"/>
          <w:szCs w:val="17"/>
          <w:color w:val="auto"/>
        </w:rPr>
        <w:t>1.4.26.</w:t>
      </w:r>
      <w:r>
        <w:rPr>
          <w:sz w:val="20"/>
          <w:szCs w:val="20"/>
          <w:color w:val="auto"/>
        </w:rPr>
        <w:tab/>
      </w:r>
      <w:r>
        <w:rPr>
          <w:rFonts w:ascii="Arial" w:cs="Arial" w:eastAsia="Arial" w:hAnsi="Arial"/>
          <w:sz w:val="17"/>
          <w:szCs w:val="17"/>
          <w:u w:val="single" w:color="auto"/>
          <w:color w:val="auto"/>
        </w:rPr>
        <w:t xml:space="preserve">“Sublicensee” </w:t>
      </w:r>
      <w:r>
        <w:rPr>
          <w:rFonts w:ascii="Arial" w:cs="Arial" w:eastAsia="Arial" w:hAnsi="Arial"/>
          <w:sz w:val="17"/>
          <w:szCs w:val="17"/>
          <w:color w:val="auto"/>
        </w:rPr>
        <w:t>means any third party to whom the Company shall grant a Sublicense or option thereto. For the sake of clarity, Sublicensee</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include sub-sublicensees through a chain of sublicenses, if permitted hereunder, and any other third party to whom such rights shall be transferred, assigned, or who may assume control thereof by operation of law or otherwise. The provisions of this Agreement that relate to Sublicensees shall apply to such sub-sublicensees.</w:t>
      </w:r>
    </w:p>
    <w:p>
      <w:pPr>
        <w:spacing w:after="0" w:line="204" w:lineRule="exact"/>
        <w:rPr>
          <w:sz w:val="20"/>
          <w:szCs w:val="20"/>
          <w:color w:val="auto"/>
        </w:rPr>
      </w:pPr>
    </w:p>
    <w:p>
      <w:pPr>
        <w:jc w:val="both"/>
        <w:ind w:left="780" w:hanging="771"/>
        <w:spacing w:after="0" w:line="259" w:lineRule="auto"/>
        <w:tabs>
          <w:tab w:leader="none" w:pos="760" w:val="left"/>
        </w:tabs>
        <w:rPr>
          <w:sz w:val="20"/>
          <w:szCs w:val="20"/>
          <w:color w:val="auto"/>
        </w:rPr>
      </w:pPr>
      <w:r>
        <w:rPr>
          <w:rFonts w:ascii="Arial" w:cs="Arial" w:eastAsia="Arial" w:hAnsi="Arial"/>
          <w:sz w:val="17"/>
          <w:szCs w:val="17"/>
          <w:color w:val="auto"/>
        </w:rPr>
        <w:t>1.4.27.</w:t>
      </w:r>
      <w:r>
        <w:rPr>
          <w:sz w:val="20"/>
          <w:szCs w:val="20"/>
          <w:color w:val="auto"/>
        </w:rPr>
        <w:tab/>
      </w:r>
      <w:r>
        <w:rPr>
          <w:rFonts w:ascii="Arial" w:cs="Arial" w:eastAsia="Arial" w:hAnsi="Arial"/>
          <w:sz w:val="17"/>
          <w:szCs w:val="17"/>
          <w:u w:val="single" w:color="auto"/>
          <w:color w:val="auto"/>
        </w:rPr>
        <w:t>“Third Party Royalties</w:t>
      </w:r>
      <w:r>
        <w:rPr>
          <w:rFonts w:ascii="Arial" w:cs="Arial" w:eastAsia="Arial" w:hAnsi="Arial"/>
          <w:sz w:val="17"/>
          <w:szCs w:val="17"/>
          <w:color w:val="auto"/>
        </w:rPr>
        <w:t>” means royalties calculated on any amount invoiced by the Company, an Affiliate or a Sublicensee in connection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the sale of a Product and actually paid by the Company, an Affiliate or a Sublicensee to a third party for the right to use patents of such third party, without which right of use the Company, an Affiliate or the Sublicensee would not be entitled to develop, manufacture and sell such Product, provided that the duty to pay the royalty to such third party has been established at arm’s-length and in good faith and is set out in a written agreement.</w:t>
      </w:r>
    </w:p>
    <w:p>
      <w:pPr>
        <w:spacing w:after="0" w:line="20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1.4.28.</w:t>
      </w:r>
      <w:r>
        <w:rPr>
          <w:sz w:val="20"/>
          <w:szCs w:val="20"/>
          <w:color w:val="auto"/>
        </w:rPr>
        <w:tab/>
      </w:r>
      <w:r>
        <w:rPr>
          <w:rFonts w:ascii="Arial" w:cs="Arial" w:eastAsia="Arial" w:hAnsi="Arial"/>
          <w:sz w:val="15"/>
          <w:szCs w:val="15"/>
          <w:u w:val="single" w:color="auto"/>
          <w:color w:val="auto"/>
        </w:rPr>
        <w:t xml:space="preserve">“University” </w:t>
      </w:r>
      <w:r>
        <w:rPr>
          <w:rFonts w:ascii="Arial" w:cs="Arial" w:eastAsia="Arial" w:hAnsi="Arial"/>
          <w:sz w:val="15"/>
          <w:szCs w:val="15"/>
          <w:color w:val="auto"/>
        </w:rPr>
        <w:t>means the Hebrew University of Jerusalem and/or each of its branches.</w:t>
      </w:r>
    </w:p>
    <w:p>
      <w:pPr>
        <w:spacing w:after="0" w:line="242" w:lineRule="exact"/>
        <w:rPr>
          <w:sz w:val="20"/>
          <w:szCs w:val="20"/>
          <w:color w:val="auto"/>
        </w:rPr>
      </w:pPr>
    </w:p>
    <w:p>
      <w:pPr>
        <w:jc w:val="both"/>
        <w:ind w:left="780" w:hanging="771"/>
        <w:spacing w:after="0" w:line="275" w:lineRule="auto"/>
        <w:tabs>
          <w:tab w:leader="none" w:pos="760" w:val="left"/>
        </w:tabs>
        <w:rPr>
          <w:sz w:val="20"/>
          <w:szCs w:val="20"/>
          <w:color w:val="auto"/>
        </w:rPr>
      </w:pPr>
      <w:r>
        <w:rPr>
          <w:rFonts w:ascii="Arial" w:cs="Arial" w:eastAsia="Arial" w:hAnsi="Arial"/>
          <w:sz w:val="17"/>
          <w:szCs w:val="17"/>
          <w:color w:val="auto"/>
        </w:rPr>
        <w:t>1.4.29.</w:t>
      </w:r>
      <w:r>
        <w:rPr>
          <w:sz w:val="20"/>
          <w:szCs w:val="20"/>
          <w:color w:val="auto"/>
        </w:rPr>
        <w:tab/>
      </w:r>
      <w:r>
        <w:rPr>
          <w:rFonts w:ascii="Arial" w:cs="Arial" w:eastAsia="Arial" w:hAnsi="Arial"/>
          <w:sz w:val="16"/>
          <w:szCs w:val="16"/>
          <w:u w:val="single" w:color="auto"/>
          <w:color w:val="auto"/>
        </w:rPr>
        <w:t xml:space="preserve">“Valid Claim” </w:t>
      </w:r>
      <w:r>
        <w:rPr>
          <w:rFonts w:ascii="Arial" w:cs="Arial" w:eastAsia="Arial" w:hAnsi="Arial"/>
          <w:sz w:val="16"/>
          <w:szCs w:val="16"/>
          <w:color w:val="auto"/>
        </w:rPr>
        <w:t>shall mean a claim of an issued Patent included within the Licensed Technology and/or the Development Results, which</w:t>
      </w:r>
      <w:r>
        <w:rPr>
          <w:rFonts w:ascii="Arial" w:cs="Arial" w:eastAsia="Arial" w:hAnsi="Arial"/>
          <w:sz w:val="16"/>
          <w:szCs w:val="16"/>
          <w:u w:val="single" w:color="auto"/>
          <w:color w:val="auto"/>
        </w:rPr>
        <w:t xml:space="preserve"> </w:t>
      </w:r>
      <w:r>
        <w:rPr>
          <w:rFonts w:ascii="Arial" w:cs="Arial" w:eastAsia="Arial" w:hAnsi="Arial"/>
          <w:sz w:val="16"/>
          <w:szCs w:val="16"/>
          <w:color w:val="auto"/>
        </w:rPr>
        <w:t>claim has not lapsed, been cancelled or become abandoned irrevocably and has not been declared invalid or unenforceable by an un-reversed and un-appealable decision or judgment of a court or other appropriate body of competent jurisdiction, and which has not been admitted to be invalid or unenforceable through reissue, disclaimer or otherwise. For the avoidance of doubt, the term “Valid Claim” shall include any extension of the exclusivity period under a claim of an issued patent included within the Licensed Technology through patent term extension, European Supplementary Protection Certificate (“SPC”), US Patent Term Extensions (PTEs), or any other arrangement whereby the exclusivity period of any patent within the Licensed Technology or any part thereof is extended.</w:t>
      </w:r>
    </w:p>
    <w:p>
      <w:pPr>
        <w:spacing w:after="0" w:line="196" w:lineRule="exact"/>
        <w:rPr>
          <w:sz w:val="20"/>
          <w:szCs w:val="20"/>
          <w:color w:val="auto"/>
        </w:rPr>
      </w:pPr>
    </w:p>
    <w:p>
      <w:pPr>
        <w:jc w:val="both"/>
        <w:ind w:left="780" w:hanging="771"/>
        <w:spacing w:after="0" w:line="278" w:lineRule="auto"/>
        <w:tabs>
          <w:tab w:leader="none" w:pos="760" w:val="left"/>
        </w:tabs>
        <w:rPr>
          <w:sz w:val="20"/>
          <w:szCs w:val="20"/>
          <w:color w:val="auto"/>
        </w:rPr>
      </w:pPr>
      <w:r>
        <w:rPr>
          <w:rFonts w:ascii="Arial" w:cs="Arial" w:eastAsia="Arial" w:hAnsi="Arial"/>
          <w:sz w:val="17"/>
          <w:szCs w:val="17"/>
          <w:color w:val="auto"/>
        </w:rPr>
        <w:t>1.4.30.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Yissum Scientist</w:t>
      </w:r>
      <w:r>
        <w:rPr>
          <w:rFonts w:ascii="Arial" w:cs="Arial" w:eastAsia="Arial" w:hAnsi="Arial"/>
          <w:sz w:val="17"/>
          <w:szCs w:val="17"/>
          <w:color w:val="auto"/>
        </w:rPr>
        <w:t>” shall mean Professor Hermona Soreq and any researcher, student or technician working under the direction of the Yissum Scientist.</w:t>
      </w:r>
    </w:p>
    <w:p>
      <w:pPr>
        <w:spacing w:after="0" w:line="332"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Page 7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77470</wp:posOffset>
            </wp:positionV>
            <wp:extent cx="7257415" cy="209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40"/>
          </w:cols>
          <w:pgMar w:left="1220" w:top="501" w:right="239" w:bottom="1440" w:gutter="0" w:footer="0" w:header="0"/>
        </w:sectPr>
      </w:pPr>
    </w:p>
    <w:bookmarkStart w:id="765" w:name="page766"/>
    <w:bookmarkEnd w:id="765"/>
    <w:p>
      <w:pPr>
        <w:ind w:left="460" w:hanging="457"/>
        <w:spacing w:after="0"/>
        <w:tabs>
          <w:tab w:leader="none" w:pos="460" w:val="left"/>
        </w:tabs>
        <w:numPr>
          <w:ilvl w:val="0"/>
          <w:numId w:val="707"/>
        </w:numPr>
        <w:rPr>
          <w:rFonts w:ascii="Arial" w:cs="Arial" w:eastAsia="Arial" w:hAnsi="Arial"/>
          <w:sz w:val="21"/>
          <w:szCs w:val="21"/>
          <w:b w:val="1"/>
          <w:bCs w:val="1"/>
          <w:color w:val="auto"/>
        </w:rPr>
      </w:pPr>
      <w:r>
        <w:rPr>
          <w:rFonts w:ascii="Arial" w:cs="Arial" w:eastAsia="Arial" w:hAnsi="Arial"/>
          <w:sz w:val="17"/>
          <w:szCs w:val="17"/>
          <w:b w:val="1"/>
          <w:bCs w:val="1"/>
          <w:color w:val="auto"/>
        </w:rPr>
        <w:t>The License</w:t>
      </w:r>
    </w:p>
    <w:p>
      <w:pPr>
        <w:spacing w:after="0" w:line="246" w:lineRule="exact"/>
        <w:rPr>
          <w:sz w:val="20"/>
          <w:szCs w:val="20"/>
          <w:color w:val="auto"/>
        </w:rPr>
      </w:pPr>
    </w:p>
    <w:p>
      <w:pPr>
        <w:jc w:val="both"/>
        <w:ind w:left="980" w:hanging="616"/>
        <w:spacing w:after="0" w:line="261" w:lineRule="auto"/>
        <w:tabs>
          <w:tab w:leader="none" w:pos="9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Yissum hereby grant the Company an exclusive worldwide license under Yissum’s rights in the Licensed Technology to develop, have developed, manufacture, have manufactured, use, market, distribute, export, import and/or sell Products, in accordance with this Agreement (hereinafter: the “</w:t>
      </w:r>
      <w:r>
        <w:rPr>
          <w:rFonts w:ascii="Arial" w:cs="Arial" w:eastAsia="Arial" w:hAnsi="Arial"/>
          <w:sz w:val="17"/>
          <w:szCs w:val="17"/>
          <w:b w:val="1"/>
          <w:bCs w:val="1"/>
          <w:color w:val="auto"/>
        </w:rPr>
        <w:t>License</w:t>
      </w:r>
      <w:r>
        <w:rPr>
          <w:rFonts w:ascii="Arial" w:cs="Arial" w:eastAsia="Arial" w:hAnsi="Arial"/>
          <w:sz w:val="17"/>
          <w:szCs w:val="17"/>
          <w:color w:val="auto"/>
        </w:rPr>
        <w:t>”). For purposes of this Section 2.1, the term “exclusive” means that, for as long as this Agreement is in force, Yissum shall not have any right to grant such licenses or rights to any third party or engage in any of the foregoing.</w:t>
      </w:r>
    </w:p>
    <w:p>
      <w:pPr>
        <w:spacing w:after="0" w:line="204" w:lineRule="exact"/>
        <w:rPr>
          <w:sz w:val="20"/>
          <w:szCs w:val="20"/>
          <w:color w:val="auto"/>
        </w:rPr>
      </w:pPr>
    </w:p>
    <w:p>
      <w:pPr>
        <w:jc w:val="both"/>
        <w:ind w:left="980" w:hanging="616"/>
        <w:spacing w:after="0" w:line="282" w:lineRule="auto"/>
        <w:tabs>
          <w:tab w:leader="none" w:pos="9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 xml:space="preserve">For the avoidance of doubt, the grant of the License in Section 2.1 above, shall not derogate from the right of Yissum and the Hebrew University of Jerusalem (including their respective employees and students) to make non-commercial, academic use of the Licensed Technology at the Hebrew University of Jerusalem, including academic research sponsored by third parties and teaching;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commercial or other rights may be granted to such third parties that would interfere or conflict with the License granted to the Company pursuant to this Agreement.</w:t>
      </w:r>
    </w:p>
    <w:p>
      <w:pPr>
        <w:spacing w:after="0" w:line="190" w:lineRule="exact"/>
        <w:rPr>
          <w:sz w:val="20"/>
          <w:szCs w:val="20"/>
          <w:color w:val="auto"/>
        </w:rPr>
      </w:pPr>
    </w:p>
    <w:p>
      <w:pPr>
        <w:jc w:val="both"/>
        <w:ind w:left="980" w:hanging="616"/>
        <w:spacing w:after="0" w:line="298" w:lineRule="auto"/>
        <w:tabs>
          <w:tab w:leader="none" w:pos="9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 xml:space="preserve">In addition, Yissum may grant licenses under the Licensed Technology to third party academic or research institutions for non-commercial, academic research and teaching purposes only, and may transfer any materials arising under this Agreement to such institutions for such use;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any such transfer is made pursuant to a material transfer agreement substantially in the form attached hereto as </w:t>
      </w:r>
      <w:r>
        <w:rPr>
          <w:rFonts w:ascii="Arial" w:cs="Arial" w:eastAsia="Arial" w:hAnsi="Arial"/>
          <w:sz w:val="15"/>
          <w:szCs w:val="15"/>
          <w:b w:val="1"/>
          <w:bCs w:val="1"/>
          <w:color w:val="auto"/>
        </w:rPr>
        <w:t>Appendix C</w:t>
      </w:r>
      <w:r>
        <w:rPr>
          <w:rFonts w:ascii="Arial" w:cs="Arial" w:eastAsia="Arial" w:hAnsi="Arial"/>
          <w:sz w:val="15"/>
          <w:szCs w:val="15"/>
          <w:color w:val="auto"/>
        </w:rPr>
        <w:t xml:space="preserve">;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any results generated as a result of the performance of such non-commercial, academic research and teaching shall be the sole property of Yissum and exclusively licensed to the Company under the License. For the avoidance of doubt, it is clarified that the Yissum Scientist shall not be entitled to transfer materials supplied by the Company to any third party whatsoever, except in order to perform their obligations pursuant to this Agreement.</w:t>
      </w:r>
    </w:p>
    <w:p>
      <w:pPr>
        <w:spacing w:after="0" w:line="157" w:lineRule="exact"/>
        <w:rPr>
          <w:sz w:val="20"/>
          <w:szCs w:val="20"/>
          <w:color w:val="auto"/>
        </w:rPr>
      </w:pPr>
    </w:p>
    <w:p>
      <w:pPr>
        <w:ind w:left="460" w:hanging="457"/>
        <w:spacing w:after="0"/>
        <w:tabs>
          <w:tab w:leader="none" w:pos="460" w:val="left"/>
        </w:tabs>
        <w:numPr>
          <w:ilvl w:val="0"/>
          <w:numId w:val="708"/>
        </w:numPr>
        <w:rPr>
          <w:rFonts w:ascii="Arial" w:cs="Arial" w:eastAsia="Arial" w:hAnsi="Arial"/>
          <w:sz w:val="21"/>
          <w:szCs w:val="21"/>
          <w:b w:val="1"/>
          <w:bCs w:val="1"/>
          <w:color w:val="auto"/>
        </w:rPr>
      </w:pPr>
      <w:r>
        <w:rPr>
          <w:rFonts w:ascii="Arial" w:cs="Arial" w:eastAsia="Arial" w:hAnsi="Arial"/>
          <w:sz w:val="17"/>
          <w:szCs w:val="17"/>
          <w:b w:val="1"/>
          <w:bCs w:val="1"/>
          <w:color w:val="auto"/>
        </w:rPr>
        <w:t>Term of the License</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License shall remain in effect unless this Agreement is earlier terminated pursuant to the provisions of Section 14.</w:t>
      </w:r>
    </w:p>
    <w:p>
      <w:pPr>
        <w:spacing w:after="0" w:line="217" w:lineRule="exact"/>
        <w:rPr>
          <w:sz w:val="20"/>
          <w:szCs w:val="20"/>
          <w:color w:val="auto"/>
        </w:rPr>
      </w:pPr>
    </w:p>
    <w:p>
      <w:pPr>
        <w:ind w:left="460" w:hanging="457"/>
        <w:spacing w:after="0"/>
        <w:tabs>
          <w:tab w:leader="none" w:pos="460" w:val="left"/>
        </w:tabs>
        <w:numPr>
          <w:ilvl w:val="0"/>
          <w:numId w:val="709"/>
        </w:numPr>
        <w:rPr>
          <w:rFonts w:ascii="Arial" w:cs="Arial" w:eastAsia="Arial" w:hAnsi="Arial"/>
          <w:sz w:val="21"/>
          <w:szCs w:val="21"/>
          <w:b w:val="1"/>
          <w:bCs w:val="1"/>
          <w:color w:val="auto"/>
        </w:rPr>
      </w:pPr>
      <w:r>
        <w:rPr>
          <w:rFonts w:ascii="Arial" w:cs="Arial" w:eastAsia="Arial" w:hAnsi="Arial"/>
          <w:sz w:val="17"/>
          <w:szCs w:val="17"/>
          <w:b w:val="1"/>
          <w:bCs w:val="1"/>
          <w:color w:val="auto"/>
        </w:rPr>
        <w:t>Development and Commercialization; Steering Committee; Funding</w:t>
      </w:r>
    </w:p>
    <w:p>
      <w:pPr>
        <w:spacing w:after="0" w:line="246" w:lineRule="exact"/>
        <w:rPr>
          <w:sz w:val="20"/>
          <w:szCs w:val="20"/>
          <w:color w:val="auto"/>
        </w:rPr>
      </w:pPr>
    </w:p>
    <w:p>
      <w:pPr>
        <w:jc w:val="both"/>
        <w:ind w:left="980" w:hanging="616"/>
        <w:spacing w:after="0" w:line="298" w:lineRule="auto"/>
        <w:tabs>
          <w:tab w:leader="none" w:pos="9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The Company undertakes, shall be responsible for, and shall exert reasonable commercial efforts in carrying out the development, regulatory, manufacturing and marketing work necessary to develop and commercialize Products in accordance with the written plan and estimated timetable for the development and the commercialization of Products (herein the “</w:t>
      </w:r>
      <w:r>
        <w:rPr>
          <w:rFonts w:ascii="Arial" w:cs="Arial" w:eastAsia="Arial" w:hAnsi="Arial"/>
          <w:sz w:val="15"/>
          <w:szCs w:val="15"/>
          <w:b w:val="1"/>
          <w:bCs w:val="1"/>
          <w:color w:val="auto"/>
        </w:rPr>
        <w:t>Development Plan</w:t>
      </w:r>
      <w:r>
        <w:rPr>
          <w:rFonts w:ascii="Arial" w:cs="Arial" w:eastAsia="Arial" w:hAnsi="Arial"/>
          <w:sz w:val="15"/>
          <w:szCs w:val="15"/>
          <w:color w:val="auto"/>
        </w:rPr>
        <w:t xml:space="preserve">”) a copy of which is attached hereto as </w:t>
      </w:r>
      <w:r>
        <w:rPr>
          <w:rFonts w:ascii="Arial" w:cs="Arial" w:eastAsia="Arial" w:hAnsi="Arial"/>
          <w:sz w:val="15"/>
          <w:szCs w:val="15"/>
          <w:b w:val="1"/>
          <w:bCs w:val="1"/>
          <w:color w:val="auto"/>
        </w:rPr>
        <w:t>Appendix B</w:t>
      </w:r>
      <w:r>
        <w:rPr>
          <w:rFonts w:ascii="Arial" w:cs="Arial" w:eastAsia="Arial" w:hAnsi="Arial"/>
          <w:sz w:val="15"/>
          <w:szCs w:val="15"/>
          <w:color w:val="auto"/>
        </w:rPr>
        <w:t>. The Development Plan may be modified from time to time by the Company as required in order to achieve the commercialization goals set forth above. All terms and conditions of the License and this Agreement shall apply to the modified Development Plan and the results thereof. The breach of any of the Company’s undertakings and obligations detailed in this sub-section 4.1 shall be considered a material breach of this Agreement.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66" w:name="page767"/>
    <w:bookmarkEnd w:id="766"/>
    <w:tbl>
      <w:tblPr>
        <w:tblLayout w:type="fixed"/>
        <w:tblInd w:w="0" w:type="dxa"/>
        <w:tblCellMar>
          <w:top w:w="0" w:type="dxa"/>
          <w:left w:w="0" w:type="dxa"/>
          <w:bottom w:w="0" w:type="dxa"/>
          <w:right w:w="0" w:type="dxa"/>
        </w:tblCellMar>
      </w:tblPr>
      <w:tr>
        <w:trPr>
          <w:trHeight w:val="232"/>
        </w:trPr>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4.2.</w:t>
            </w:r>
          </w:p>
        </w:tc>
        <w:tc>
          <w:tcPr>
            <w:tcW w:w="10620" w:type="dxa"/>
            <w:vAlign w:val="bottom"/>
          </w:tcPr>
          <w:p>
            <w:pPr>
              <w:ind w:left="180"/>
              <w:spacing w:after="0"/>
              <w:rPr>
                <w:sz w:val="20"/>
                <w:szCs w:val="20"/>
                <w:color w:val="auto"/>
              </w:rPr>
            </w:pPr>
            <w:r>
              <w:rPr>
                <w:rFonts w:ascii="Arial" w:cs="Arial" w:eastAsia="Arial" w:hAnsi="Arial"/>
                <w:sz w:val="17"/>
                <w:szCs w:val="17"/>
                <w:color w:val="auto"/>
                <w:w w:val="93"/>
              </w:rPr>
              <w:t>Upon completion of the development of any Product, the Company undertakes to use commercially reasonable efforts to maximize Net Sales of such</w:t>
            </w:r>
          </w:p>
        </w:tc>
      </w:tr>
      <w:tr>
        <w:trPr>
          <w:trHeight w:val="217"/>
        </w:trPr>
        <w:tc>
          <w:tcPr>
            <w:tcW w:w="4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rPr>
              <w:t>Product on a regular and consistent basis.</w:t>
            </w:r>
          </w:p>
        </w:tc>
      </w:tr>
      <w:tr>
        <w:trPr>
          <w:trHeight w:val="420"/>
        </w:trPr>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4.3.</w:t>
            </w:r>
          </w:p>
        </w:tc>
        <w:tc>
          <w:tcPr>
            <w:tcW w:w="10620" w:type="dxa"/>
            <w:vAlign w:val="bottom"/>
          </w:tcPr>
          <w:p>
            <w:pPr>
              <w:ind w:left="180"/>
              <w:spacing w:after="0"/>
              <w:rPr>
                <w:sz w:val="20"/>
                <w:szCs w:val="20"/>
                <w:color w:val="auto"/>
              </w:rPr>
            </w:pPr>
            <w:r>
              <w:rPr>
                <w:rFonts w:ascii="Arial" w:cs="Arial" w:eastAsia="Arial" w:hAnsi="Arial"/>
                <w:sz w:val="17"/>
                <w:szCs w:val="17"/>
                <w:color w:val="auto"/>
                <w:w w:val="93"/>
              </w:rPr>
              <w:t>The parties shall establish a steering committee (the “</w:t>
            </w:r>
            <w:r>
              <w:rPr>
                <w:rFonts w:ascii="Arial" w:cs="Arial" w:eastAsia="Arial" w:hAnsi="Arial"/>
                <w:sz w:val="17"/>
                <w:szCs w:val="17"/>
                <w:b w:val="1"/>
                <w:bCs w:val="1"/>
                <w:color w:val="auto"/>
                <w:w w:val="93"/>
              </w:rPr>
              <w:t>Committee</w:t>
            </w:r>
            <w:r>
              <w:rPr>
                <w:rFonts w:ascii="Arial" w:cs="Arial" w:eastAsia="Arial" w:hAnsi="Arial"/>
                <w:sz w:val="17"/>
                <w:szCs w:val="17"/>
                <w:color w:val="auto"/>
                <w:w w:val="93"/>
              </w:rPr>
              <w:t>”) to oversee the exercise of the License.  The Company and Yissum shall each be</w:t>
            </w:r>
          </w:p>
        </w:tc>
      </w:tr>
      <w:tr>
        <w:trPr>
          <w:trHeight w:val="212"/>
        </w:trPr>
        <w:tc>
          <w:tcPr>
            <w:tcW w:w="4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4"/>
              </w:rPr>
              <w:t>entitled to designate up to three representatives to the Committee (the “</w:t>
            </w:r>
            <w:r>
              <w:rPr>
                <w:rFonts w:ascii="Arial" w:cs="Arial" w:eastAsia="Arial" w:hAnsi="Arial"/>
                <w:sz w:val="17"/>
                <w:szCs w:val="17"/>
                <w:b w:val="1"/>
                <w:bCs w:val="1"/>
                <w:color w:val="auto"/>
                <w:w w:val="94"/>
              </w:rPr>
              <w:t>Representatives</w:t>
            </w:r>
            <w:r>
              <w:rPr>
                <w:rFonts w:ascii="Arial" w:cs="Arial" w:eastAsia="Arial" w:hAnsi="Arial"/>
                <w:sz w:val="17"/>
                <w:szCs w:val="17"/>
                <w:color w:val="auto"/>
                <w:w w:val="94"/>
              </w:rPr>
              <w:t>”), which shall meet at least twice per calendar year.  The</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2"/>
              </w:rPr>
              <w:t>Representatives shall be bound by the confidentiality arrangements set out in this Agreement. The Company shall consult with Yissum, via the Yissum</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7"/>
              </w:rPr>
              <w:t>Representatives, in respect of significant decisions related to the exercise of the License.  In the event of a material disagreement between the</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3"/>
              </w:rPr>
              <w:t>Representatives regarding the exercise of the License, either party may request that the Chairmen of the Boards of Directors of the parties attempt to</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2"/>
              </w:rPr>
              <w:t>resolve the matter. For the avoidance of doubt, the Committee shall be a forum for the exchange of information between the parties with respect to the</w:t>
            </w:r>
          </w:p>
        </w:tc>
      </w:tr>
      <w:tr>
        <w:trPr>
          <w:trHeight w:val="217"/>
        </w:trPr>
        <w:tc>
          <w:tcPr>
            <w:tcW w:w="4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rPr>
              <w:t>foregoing matters, shall act only in an advisory capacity and shall not have decision-making powers.</w:t>
            </w:r>
          </w:p>
        </w:tc>
      </w:tr>
      <w:tr>
        <w:trPr>
          <w:trHeight w:val="426"/>
        </w:trPr>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4.4.</w:t>
            </w:r>
          </w:p>
        </w:tc>
        <w:tc>
          <w:tcPr>
            <w:tcW w:w="10620" w:type="dxa"/>
            <w:vAlign w:val="bottom"/>
          </w:tcPr>
          <w:p>
            <w:pPr>
              <w:ind w:left="180"/>
              <w:spacing w:after="0"/>
              <w:rPr>
                <w:sz w:val="20"/>
                <w:szCs w:val="20"/>
                <w:color w:val="auto"/>
              </w:rPr>
            </w:pPr>
            <w:r>
              <w:rPr>
                <w:rFonts w:ascii="Arial" w:cs="Arial" w:eastAsia="Arial" w:hAnsi="Arial"/>
                <w:sz w:val="17"/>
                <w:szCs w:val="17"/>
                <w:color w:val="auto"/>
                <w:w w:val="93"/>
              </w:rPr>
              <w:t>The Company shall (i) provide Yissum via Yissum’s Representatives with periodic reports not less than once per every six (6) months concerning all</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6"/>
              </w:rPr>
              <w:t>material activities undertaken in respect of the exercise of the License, (ii) keep Yissum informed via Yissum’s Representatives on a timely basis</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6"/>
              </w:rPr>
              <w:t>concerning all material activities and changes to the Development Plan undertaken in respect of the exercise of the License, and (iii) at Yissum’s</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7"/>
              </w:rPr>
              <w:t>request, from time to time, provide Yissum with further information relating to the Company’s activities in exercise of the License.  The periodic</w:t>
            </w:r>
          </w:p>
        </w:tc>
      </w:tr>
      <w:tr>
        <w:trPr>
          <w:trHeight w:val="200"/>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3"/>
              </w:rPr>
              <w:t>reports shall include a summary of the Development Results and any other related work effected by the Company or by any Affiliate or Sub-Licensee</w:t>
            </w:r>
          </w:p>
        </w:tc>
      </w:tr>
      <w:tr>
        <w:trPr>
          <w:trHeight w:val="212"/>
        </w:trPr>
        <w:tc>
          <w:tcPr>
            <w:tcW w:w="4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2"/>
              </w:rPr>
              <w:t>during the six (6) month period prior to the report (“</w:t>
            </w:r>
            <w:r>
              <w:rPr>
                <w:rFonts w:ascii="Arial" w:cs="Arial" w:eastAsia="Arial" w:hAnsi="Arial"/>
                <w:sz w:val="17"/>
                <w:szCs w:val="17"/>
                <w:b w:val="1"/>
                <w:bCs w:val="1"/>
                <w:color w:val="auto"/>
                <w:w w:val="92"/>
              </w:rPr>
              <w:t>Development Reports</w:t>
            </w:r>
            <w:r>
              <w:rPr>
                <w:rFonts w:ascii="Arial" w:cs="Arial" w:eastAsia="Arial" w:hAnsi="Arial"/>
                <w:sz w:val="17"/>
                <w:szCs w:val="17"/>
                <w:color w:val="auto"/>
                <w:w w:val="92"/>
              </w:rPr>
              <w:t>”). Development Reports shall also set forth a general assessment regarding</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1"/>
              </w:rPr>
              <w:t>the achievement of any milestones, the projected – or actual – completion date of the development of a Product and the marketing thereof, and detail all</w:t>
            </w:r>
          </w:p>
        </w:tc>
      </w:tr>
      <w:tr>
        <w:trPr>
          <w:trHeight w:val="217"/>
        </w:trPr>
        <w:tc>
          <w:tcPr>
            <w:tcW w:w="4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rPr>
              <w:t>proposed changes to the Development Plan, including the reasons therefor.</w:t>
            </w:r>
          </w:p>
        </w:tc>
      </w:tr>
      <w:tr>
        <w:trPr>
          <w:trHeight w:val="426"/>
        </w:trPr>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4.5.</w:t>
            </w:r>
          </w:p>
        </w:tc>
        <w:tc>
          <w:tcPr>
            <w:tcW w:w="10620" w:type="dxa"/>
            <w:vAlign w:val="bottom"/>
          </w:tcPr>
          <w:p>
            <w:pPr>
              <w:ind w:left="180"/>
              <w:spacing w:after="0"/>
              <w:rPr>
                <w:sz w:val="20"/>
                <w:szCs w:val="20"/>
                <w:color w:val="auto"/>
              </w:rPr>
            </w:pPr>
            <w:r>
              <w:rPr>
                <w:rFonts w:ascii="Arial" w:cs="Arial" w:eastAsia="Arial" w:hAnsi="Arial"/>
                <w:sz w:val="17"/>
                <w:szCs w:val="17"/>
                <w:color w:val="auto"/>
                <w:w w:val="92"/>
              </w:rPr>
              <w:t>No Party shall accept any funding from any third party for research relating or connected to Licensed Technology that would prejudice the rights of any</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2"/>
              </w:rPr>
              <w:t>other Party under this Agreement. Notwithstanding the foregoing, the Company may apply for Grants as part of Government Programs for the funding</w:t>
            </w:r>
          </w:p>
        </w:tc>
      </w:tr>
      <w:tr>
        <w:trPr>
          <w:trHeight w:val="206"/>
        </w:trPr>
        <w:tc>
          <w:tcPr>
            <w:tcW w:w="440" w:type="dxa"/>
            <w:vAlign w:val="bottom"/>
          </w:tcPr>
          <w:p>
            <w:pPr>
              <w:spacing w:after="0"/>
              <w:rPr>
                <w:sz w:val="17"/>
                <w:szCs w:val="17"/>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2"/>
              </w:rPr>
              <w:t>of the development and commercialization of Products.  Yissum acknowledges, understands and agrees that if the Company receives Grants and the</w:t>
            </w:r>
          </w:p>
        </w:tc>
      </w:tr>
      <w:tr>
        <w:trPr>
          <w:trHeight w:val="217"/>
        </w:trPr>
        <w:tc>
          <w:tcPr>
            <w:tcW w:w="4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7"/>
                <w:szCs w:val="17"/>
                <w:color w:val="auto"/>
                <w:w w:val="96"/>
              </w:rPr>
              <w:t>associated Government Programs so require, this Agreement will become subject to the applicable laws and regulations governing such Grants</w:t>
            </w:r>
          </w:p>
        </w:tc>
      </w:tr>
    </w:tbl>
    <w:p>
      <w:pPr>
        <w:jc w:val="both"/>
        <w:ind w:left="620"/>
        <w:spacing w:after="0" w:line="256" w:lineRule="auto"/>
        <w:rPr>
          <w:sz w:val="20"/>
          <w:szCs w:val="20"/>
          <w:color w:val="auto"/>
        </w:rPr>
      </w:pPr>
      <w:r>
        <w:rPr>
          <w:rFonts w:ascii="Arial" w:cs="Arial" w:eastAsia="Arial" w:hAnsi="Arial"/>
          <w:sz w:val="17"/>
          <w:szCs w:val="17"/>
          <w:color w:val="auto"/>
        </w:rPr>
        <w:t>including, without limitation, the Law for the Encouragement of Industrial Research and Development, 5744-1984 as amended or supplemented from time to time and all regulations promulgated thereunder, the rules and regulations of the Office of the Chief Scientist (the “</w:t>
      </w:r>
      <w:r>
        <w:rPr>
          <w:rFonts w:ascii="Arial" w:cs="Arial" w:eastAsia="Arial" w:hAnsi="Arial"/>
          <w:sz w:val="17"/>
          <w:szCs w:val="17"/>
          <w:b w:val="1"/>
          <w:bCs w:val="1"/>
          <w:color w:val="auto"/>
        </w:rPr>
        <w:t>OCS</w:t>
      </w:r>
      <w:r>
        <w:rPr>
          <w:rFonts w:ascii="Arial" w:cs="Arial" w:eastAsia="Arial" w:hAnsi="Arial"/>
          <w:sz w:val="17"/>
          <w:szCs w:val="17"/>
          <w:color w:val="auto"/>
        </w:rPr>
        <w:t>”) and the relevant directives of the Director General of the Ministry of Trade, Industry and Employment, and the rules and regulations of the Incubator Program of the OCS.</w:t>
      </w:r>
    </w:p>
    <w:p>
      <w:pPr>
        <w:spacing w:after="0" w:line="351"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9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67" w:name="page768"/>
    <w:bookmarkEnd w:id="767"/>
    <w:p>
      <w:pPr>
        <w:ind w:left="460" w:hanging="457"/>
        <w:spacing w:after="0"/>
        <w:tabs>
          <w:tab w:leader="none" w:pos="460" w:val="left"/>
        </w:tabs>
        <w:numPr>
          <w:ilvl w:val="0"/>
          <w:numId w:val="710"/>
        </w:numPr>
        <w:rPr>
          <w:rFonts w:ascii="Arial" w:cs="Arial" w:eastAsia="Arial" w:hAnsi="Arial"/>
          <w:sz w:val="21"/>
          <w:szCs w:val="21"/>
          <w:b w:val="1"/>
          <w:bCs w:val="1"/>
          <w:color w:val="auto"/>
        </w:rPr>
      </w:pPr>
      <w:r>
        <w:rPr>
          <w:rFonts w:ascii="Arial" w:cs="Arial" w:eastAsia="Arial" w:hAnsi="Arial"/>
          <w:sz w:val="17"/>
          <w:szCs w:val="17"/>
          <w:b w:val="1"/>
          <w:bCs w:val="1"/>
          <w:color w:val="auto"/>
        </w:rPr>
        <w:t>Sublicenses</w:t>
      </w:r>
    </w:p>
    <w:p>
      <w:pPr>
        <w:spacing w:after="0" w:line="246" w:lineRule="exact"/>
        <w:rPr>
          <w:sz w:val="20"/>
          <w:szCs w:val="20"/>
          <w:color w:val="auto"/>
        </w:rPr>
      </w:pPr>
    </w:p>
    <w:p>
      <w:pPr>
        <w:jc w:val="both"/>
        <w:ind w:left="980" w:hanging="616"/>
        <w:spacing w:after="0" w:line="278" w:lineRule="auto"/>
        <w:tabs>
          <w:tab w:leader="none" w:pos="9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The Company shall be entitled to grant Sublicenses. Such Sublicenses shall be made for consideration and in arm’s length transactions. For the sake of clarity, sublicenses to Affiliates of the Company shall not be considered Sublicenses under this Agreement.</w:t>
      </w:r>
    </w:p>
    <w:p>
      <w:pPr>
        <w:spacing w:after="0" w:line="190" w:lineRule="exact"/>
        <w:rPr>
          <w:sz w:val="20"/>
          <w:szCs w:val="20"/>
          <w:color w:val="auto"/>
        </w:rPr>
      </w:pPr>
    </w:p>
    <w:p>
      <w:pPr>
        <w:jc w:val="both"/>
        <w:ind w:left="980" w:hanging="616"/>
        <w:spacing w:after="0" w:line="265" w:lineRule="auto"/>
        <w:tabs>
          <w:tab w:leader="none" w:pos="9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 xml:space="preserve">Sublicenses shall only be granted pursuant to written agreements, which shall be in compliance and not inconsistent with the terms and conditions of this Agreement (except that the consideration may be different than as set forth in this Agreement). Each such sublicense agreement shall contain,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alia</w:t>
      </w:r>
      <w:r>
        <w:rPr>
          <w:rFonts w:ascii="Arial" w:cs="Arial" w:eastAsia="Arial" w:hAnsi="Arial"/>
          <w:sz w:val="17"/>
          <w:szCs w:val="17"/>
          <w:color w:val="auto"/>
        </w:rPr>
        <w:t>, provisions to the following effect:</w:t>
      </w:r>
    </w:p>
    <w:p>
      <w:pPr>
        <w:spacing w:after="0" w:line="201" w:lineRule="exact"/>
        <w:rPr>
          <w:sz w:val="20"/>
          <w:szCs w:val="20"/>
          <w:color w:val="auto"/>
        </w:rPr>
      </w:pPr>
    </w:p>
    <w:p>
      <w:pPr>
        <w:ind w:left="1760" w:hanging="771"/>
        <w:spacing w:after="0" w:line="278" w:lineRule="auto"/>
        <w:tabs>
          <w:tab w:leader="none" w:pos="174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7"/>
          <w:szCs w:val="17"/>
          <w:color w:val="auto"/>
        </w:rPr>
        <w:t>All provisions necessary to ensure the Company’s ability to perform its obligations under this Agreement, including reporting and audit requirements;</w:t>
      </w:r>
    </w:p>
    <w:p>
      <w:pPr>
        <w:spacing w:after="0" w:line="190"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7"/>
          <w:szCs w:val="17"/>
          <w:color w:val="auto"/>
        </w:rPr>
        <w:t>5.2.2.</w:t>
      </w:r>
      <w:r>
        <w:rPr>
          <w:sz w:val="20"/>
          <w:szCs w:val="20"/>
          <w:color w:val="auto"/>
        </w:rPr>
        <w:tab/>
      </w:r>
      <w:r>
        <w:rPr>
          <w:rFonts w:ascii="Arial" w:cs="Arial" w:eastAsia="Arial" w:hAnsi="Arial"/>
          <w:sz w:val="15"/>
          <w:szCs w:val="15"/>
          <w:color w:val="auto"/>
        </w:rPr>
        <w:t>Provisions regarding (i) development and commercialization of Products; (ii) the granting of sub-Sublicenses; (iii) reporting and accounting;</w:t>
      </w:r>
    </w:p>
    <w:p>
      <w:pPr>
        <w:spacing w:after="0" w:line="21" w:lineRule="exact"/>
        <w:rPr>
          <w:sz w:val="20"/>
          <w:szCs w:val="20"/>
          <w:color w:val="auto"/>
        </w:rPr>
      </w:pPr>
    </w:p>
    <w:p>
      <w:pPr>
        <w:jc w:val="both"/>
        <w:ind w:left="1760" w:hanging="8"/>
        <w:spacing w:after="0" w:line="259" w:lineRule="auto"/>
        <w:tabs>
          <w:tab w:leader="none" w:pos="2059" w:val="left"/>
        </w:tabs>
        <w:numPr>
          <w:ilvl w:val="0"/>
          <w:numId w:val="711"/>
        </w:numPr>
        <w:rPr>
          <w:rFonts w:ascii="Arial" w:cs="Arial" w:eastAsia="Arial" w:hAnsi="Arial"/>
          <w:sz w:val="17"/>
          <w:szCs w:val="17"/>
          <w:color w:val="auto"/>
        </w:rPr>
      </w:pPr>
      <w:r>
        <w:rPr>
          <w:rFonts w:ascii="Arial" w:cs="Arial" w:eastAsia="Arial" w:hAnsi="Arial"/>
          <w:sz w:val="17"/>
          <w:szCs w:val="17"/>
          <w:color w:val="auto"/>
        </w:rPr>
        <w:t>Patent registration, extension and maintenance; (v) Patent rights protection; (vi) confidentiality; (vii) ownership; and (viii) liability and indemnification; that place upon the Sublicensee obligations that are not less restrictive than those placed on the Company under this Agreement;</w:t>
      </w:r>
    </w:p>
    <w:p>
      <w:pPr>
        <w:spacing w:after="0" w:line="205" w:lineRule="exact"/>
        <w:rPr>
          <w:sz w:val="20"/>
          <w:szCs w:val="20"/>
          <w:color w:val="auto"/>
        </w:rPr>
      </w:pPr>
    </w:p>
    <w:p>
      <w:pPr>
        <w:jc w:val="both"/>
        <w:ind w:left="1760" w:hanging="771"/>
        <w:spacing w:after="0" w:line="292" w:lineRule="auto"/>
        <w:tabs>
          <w:tab w:leader="none" w:pos="1740" w:val="left"/>
        </w:tabs>
        <w:rPr>
          <w:sz w:val="20"/>
          <w:szCs w:val="20"/>
          <w:color w:val="auto"/>
        </w:rPr>
      </w:pPr>
      <w:r>
        <w:rPr>
          <w:rFonts w:ascii="Arial" w:cs="Arial" w:eastAsia="Arial" w:hAnsi="Arial"/>
          <w:sz w:val="17"/>
          <w:szCs w:val="17"/>
          <w:color w:val="auto"/>
        </w:rPr>
        <w:t>5.2.3.</w:t>
      </w:r>
      <w:r>
        <w:rPr>
          <w:sz w:val="20"/>
          <w:szCs w:val="20"/>
          <w:color w:val="auto"/>
        </w:rPr>
        <w:tab/>
      </w:r>
      <w:r>
        <w:rPr>
          <w:rFonts w:ascii="Arial" w:cs="Arial" w:eastAsia="Arial" w:hAnsi="Arial"/>
          <w:sz w:val="15"/>
          <w:szCs w:val="15"/>
          <w:color w:val="auto"/>
        </w:rPr>
        <w:t xml:space="preserve">Every Sublicense agreement shall also provide that in the event of termination of the Licenses (in whole or in part – e.g. termination in a particular country), any existing agreements that contain a Sublicense of, or other grant of right with respect to, Licensed Technology shall terminate (or – if such agreements relate to technology other than the Licensed Technology – the portions relating to the Sublicense or other rights with respect to the Licensed Technology shall terminate);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for each Sublicensee, upon termination of the Sublicense agreement with such Sublicensee, if the Sublicensee is not then in breach of such Sublicense agreement with the Company such that the Company would have the right to terminate such Sublicense, Yissum shall be obligated to act in one of the two following ways, (the election as to which of the two ways shall be at Yissum’s discretion): (i) enter into a new agreement with such Sublicensee on substantially the same terms as those contained in such Sublicense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terms shall be amended, if necessary, to the extent required to ensure that such Sublicense agreement does not impose any obligations or liabilities on Yissum which are not included in or are greater in scope than Yissum’s obligations or liabilities under this Agreement; or (ii) require the Sublicensee to enter into a license agreement with Yissum under the same terms and conditions as those contained in this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68" w:name="page769"/>
    <w:bookmarkEnd w:id="768"/>
    <w:p>
      <w:pPr>
        <w:jc w:val="both"/>
        <w:ind w:left="620" w:hanging="616"/>
        <w:spacing w:after="0" w:line="306" w:lineRule="auto"/>
        <w:tabs>
          <w:tab w:leader="none" w:pos="6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color w:val="auto"/>
        </w:rPr>
        <w:t>In addition to the foregoing, the Company shall ensure that any Sublicense shall include terms that bind the Sublicensee to observe the terms of this Agreement, the breach of which shall be a fundamental breach resulting in the prompt termination of the Sublicense. In such an event, the Company undertakes to take all reasonable steps to enforce such terms upon the Sublicensee, including the termination of the Sublicense. In all cases, the Company shall immediately notify Yissum of any breach of the terms of a Sublicense, and shall copy Yissum on all correspondence with regard thereto.</w:t>
      </w:r>
    </w:p>
    <w:p>
      <w:pPr>
        <w:spacing w:after="0" w:line="175" w:lineRule="exact"/>
        <w:rPr>
          <w:sz w:val="20"/>
          <w:szCs w:val="20"/>
          <w:color w:val="auto"/>
        </w:rPr>
      </w:pPr>
    </w:p>
    <w:p>
      <w:pPr>
        <w:jc w:val="both"/>
        <w:ind w:left="620" w:hanging="616"/>
        <w:spacing w:after="0" w:line="257" w:lineRule="auto"/>
        <w:tabs>
          <w:tab w:leader="none" w:pos="6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The Company shall inform Yissum of any advanced negotiations to grant a Sublicense and provide Yissum with a description of the general terms of any proposed sublicense at least fifteen (15) days prior to contemplated execution of a Sublicense agreement. In addition, the Company shall provide Yissum with the proposed final text of the Sublicense agreement prior to execution thereof, and shall endeavor to do so at least seven (7) working days before the contemplated execution of the Sublicense agreement. For the avoidance of any misunderstandings between the parties, Yissum acknowledges that, as is often the case with commercial negotiations, the terms of such proposed final text may be subject to revision immediately prior to execution, provided always that the final text after revision shall be in compliance and not inconsistent with the terms and conditions of this Agreement.</w:t>
      </w:r>
    </w:p>
    <w:p>
      <w:pPr>
        <w:spacing w:after="0" w:line="207"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color w:val="auto"/>
        </w:rPr>
        <w:t>Upon submission of the proposed terms of any sublicense agreement for Yissum’s review, the Company shall also (i) fully disclose and submit to Yissum all documentation relating to the Sublicense reasonably necessary to evaluate the terms of the proposed sublicense agreement; (ii) adequately disclose to Yissum any other business connection which it or any of its Affiliates now have or are in the process of forming with the proposed Sublicensee which may reasonably affect the decision of the Company regarding the terms and conditions of the Sublicense; and (iii) notify Yissum in writing whether the proposed Sublicensee is an Affiliate or is otherwise related to the Company.</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the avoidance of doubt, it is understood that for purposes of this Section 5.4, a sublicense to an Affiliate shall be considered a Sublicense.</w:t>
      </w:r>
    </w:p>
    <w:p>
      <w:pPr>
        <w:spacing w:after="0" w:line="253" w:lineRule="exact"/>
        <w:rPr>
          <w:sz w:val="20"/>
          <w:szCs w:val="20"/>
          <w:color w:val="auto"/>
        </w:rPr>
      </w:pPr>
    </w:p>
    <w:p>
      <w:pPr>
        <w:jc w:val="both"/>
        <w:ind w:left="620" w:hanging="616"/>
        <w:spacing w:after="0" w:line="265" w:lineRule="auto"/>
        <w:tabs>
          <w:tab w:leader="none" w:pos="60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Any act or omission of the Sublicensee which is not promptly remedied by the Company or the Sublicensee and which would have constituted a breach of this Agreement by the Company had it been an act or omission of the Company, and which the Company has not made best efforts to promptly cure, including termination of the Sublicense, shall constitute a breach of this Agreement by the Company.</w:t>
      </w:r>
    </w:p>
    <w:p>
      <w:pPr>
        <w:spacing w:after="0" w:line="201" w:lineRule="exact"/>
        <w:rPr>
          <w:sz w:val="20"/>
          <w:szCs w:val="20"/>
          <w:color w:val="auto"/>
        </w:rPr>
      </w:pPr>
    </w:p>
    <w:p>
      <w:pPr>
        <w:jc w:val="both"/>
        <w:ind w:left="620" w:hanging="616"/>
        <w:spacing w:after="0" w:line="265" w:lineRule="auto"/>
        <w:tabs>
          <w:tab w:leader="none" w:pos="6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 xml:space="preserve">A Sublicensee shall be entitled to Sublicense its rights under a Sublicense agreement, and so forth through a chain of sublicenses,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each such sublicense shall be subject to execution of a written agreement consistent with the terms of this section, and shall be made for consideration and in arm’s length transactions.</w:t>
      </w:r>
    </w:p>
    <w:p>
      <w:pPr>
        <w:spacing w:after="0" w:line="34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11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69" w:name="page770"/>
    <w:bookmarkEnd w:id="769"/>
    <w:p>
      <w:pPr>
        <w:jc w:val="both"/>
        <w:ind w:left="980" w:hanging="616"/>
        <w:spacing w:after="0" w:line="265" w:lineRule="auto"/>
        <w:tabs>
          <w:tab w:leader="none" w:pos="96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color w:val="auto"/>
        </w:rPr>
        <w:t>The Company shall provide Yissum with a copy of each executed Sublicense agreement and each sublicense agreement in a chain of sublicenses as detailed in Section 5.6, above, within fifteen (15) days of the later of (i) its execution by all parties to such agreement; or (ii) the receipt of an executed copy of such agreement by the Company.</w:t>
      </w:r>
    </w:p>
    <w:p>
      <w:pPr>
        <w:spacing w:after="0" w:line="177" w:lineRule="exact"/>
        <w:rPr>
          <w:sz w:val="20"/>
          <w:szCs w:val="20"/>
          <w:color w:val="auto"/>
        </w:rPr>
      </w:pPr>
    </w:p>
    <w:p>
      <w:pPr>
        <w:ind w:left="460" w:hanging="457"/>
        <w:spacing w:after="0"/>
        <w:tabs>
          <w:tab w:leader="none" w:pos="460" w:val="left"/>
        </w:tabs>
        <w:numPr>
          <w:ilvl w:val="0"/>
          <w:numId w:val="712"/>
        </w:numPr>
        <w:rPr>
          <w:rFonts w:ascii="Arial" w:cs="Arial" w:eastAsia="Arial" w:hAnsi="Arial"/>
          <w:sz w:val="21"/>
          <w:szCs w:val="21"/>
          <w:b w:val="1"/>
          <w:bCs w:val="1"/>
          <w:color w:val="auto"/>
        </w:rPr>
      </w:pPr>
      <w:r>
        <w:rPr>
          <w:rFonts w:ascii="Arial" w:cs="Arial" w:eastAsia="Arial" w:hAnsi="Arial"/>
          <w:sz w:val="17"/>
          <w:szCs w:val="17"/>
          <w:b w:val="1"/>
          <w:bCs w:val="1"/>
          <w:color w:val="auto"/>
        </w:rPr>
        <w:t>Consideration</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consideration for the grant of the License, the Company shall pay Yissum the following consideration:</w:t>
      </w:r>
    </w:p>
    <w:p>
      <w:pPr>
        <w:spacing w:after="0" w:line="23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a non-refundable License Fee (the “</w:t>
      </w:r>
      <w:r>
        <w:rPr>
          <w:rFonts w:ascii="Arial" w:cs="Arial" w:eastAsia="Arial" w:hAnsi="Arial"/>
          <w:sz w:val="15"/>
          <w:szCs w:val="15"/>
          <w:b w:val="1"/>
          <w:bCs w:val="1"/>
          <w:color w:val="auto"/>
        </w:rPr>
        <w:t>License Fee</w:t>
      </w:r>
      <w:r>
        <w:rPr>
          <w:rFonts w:ascii="Arial" w:cs="Arial" w:eastAsia="Arial" w:hAnsi="Arial"/>
          <w:sz w:val="15"/>
          <w:szCs w:val="15"/>
          <w:color w:val="auto"/>
        </w:rPr>
        <w:t>”), payable in the following installments:</w:t>
      </w:r>
    </w:p>
    <w:p>
      <w:pPr>
        <w:spacing w:after="0" w:line="248" w:lineRule="exact"/>
        <w:rPr>
          <w:sz w:val="20"/>
          <w:szCs w:val="20"/>
          <w:color w:val="auto"/>
        </w:rPr>
      </w:pPr>
    </w:p>
    <w:p>
      <w:pPr>
        <w:ind w:left="1760" w:hanging="771"/>
        <w:spacing w:after="0" w:line="278" w:lineRule="auto"/>
        <w:tabs>
          <w:tab w:leader="none" w:pos="174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$150,000 to be paid upon the completion of the dosing of the last patient to be enrolled in the first Phase II Clinical Trial anywhere in the world with respect to a Product; and</w:t>
      </w:r>
    </w:p>
    <w:p>
      <w:pPr>
        <w:spacing w:after="0" w:line="190"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5"/>
          <w:szCs w:val="15"/>
          <w:color w:val="auto"/>
        </w:rPr>
        <w:t>$450,000 to be paid upon the enrollment of the first patient in a Phase III Clinical Trial anywhere in the world with respect to a Product.</w:t>
      </w:r>
    </w:p>
    <w:p>
      <w:pPr>
        <w:spacing w:after="0" w:line="242" w:lineRule="exact"/>
        <w:rPr>
          <w:sz w:val="20"/>
          <w:szCs w:val="20"/>
          <w:color w:val="auto"/>
        </w:rPr>
      </w:pPr>
    </w:p>
    <w:p>
      <w:pPr>
        <w:jc w:val="both"/>
        <w:ind w:left="980" w:hanging="616"/>
        <w:spacing w:after="0" w:line="282" w:lineRule="auto"/>
        <w:tabs>
          <w:tab w:leader="none" w:pos="96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color w:val="auto"/>
        </w:rPr>
        <w:t>Royalties at a rate of 4.5% of Net Sales of any Product on a Product-by-Product and country-by-country basis during the Royalty Term in the event that the Company itself or any of its Affiliates will actually manufacture and/or sell Products (the “</w:t>
      </w:r>
      <w:r>
        <w:rPr>
          <w:rFonts w:ascii="Arial" w:cs="Arial" w:eastAsia="Arial" w:hAnsi="Arial"/>
          <w:sz w:val="16"/>
          <w:szCs w:val="16"/>
          <w:b w:val="1"/>
          <w:bCs w:val="1"/>
          <w:color w:val="auto"/>
        </w:rPr>
        <w:t>Royalties</w:t>
      </w:r>
      <w:r>
        <w:rPr>
          <w:rFonts w:ascii="Arial" w:cs="Arial" w:eastAsia="Arial" w:hAnsi="Arial"/>
          <w:sz w:val="16"/>
          <w:szCs w:val="16"/>
          <w:color w:val="auto"/>
        </w:rPr>
        <w:t>”). Notwithstanding the above, the royalty rate of Royalties shall be reduced to 2% with respect to the sales of a Product by the Company or any of its Affiliates in a particular country after the expiration in such country of the last-to-expire Patent with a Valid Claim and during the remainder of the Royalty Term.</w:t>
      </w:r>
    </w:p>
    <w:p>
      <w:pPr>
        <w:spacing w:after="0" w:line="190" w:lineRule="exact"/>
        <w:rPr>
          <w:sz w:val="20"/>
          <w:szCs w:val="20"/>
          <w:color w:val="auto"/>
        </w:rPr>
      </w:pPr>
    </w:p>
    <w:p>
      <w:pPr>
        <w:jc w:val="both"/>
        <w:ind w:left="980"/>
        <w:spacing w:after="0" w:line="292" w:lineRule="auto"/>
        <w:rPr>
          <w:sz w:val="20"/>
          <w:szCs w:val="20"/>
          <w:color w:val="auto"/>
        </w:rPr>
      </w:pPr>
      <w:r>
        <w:rPr>
          <w:rFonts w:ascii="Arial" w:cs="Arial" w:eastAsia="Arial" w:hAnsi="Arial"/>
          <w:sz w:val="15"/>
          <w:szCs w:val="15"/>
          <w:color w:val="auto"/>
        </w:rPr>
        <w:t>Notwithstanding anything to the contrary set forth herein, in the event a Product is sold by the Company or an Affiliate of the Company in the form of a Combination Product, Net Sales from such Combination Product, for purposes of determining royalty payments, shall be determined by multiplying the actual Net Sales of such Combination Product during the applicable royalty reporting period, by the fraction A/(A+B) where: “A” is the average sale price of the Product contained in the Combination Product when sold separately by the Company or its Affiliate; and “B” is the average price of the other Additional Ingredients included in the Combination Product when sold separately by its supplier, in each case during the applicable royalty reporting period or if sales of both the Product and/or other Additional Ingredients did not occur in such period, then in the most recent royalty reporting period in which sales of both occurred. In the event that such average sale price cannot be determined for both the Product and all other Additional Ingredients included in the Combination Product, Net Sales for the purpose of determining royalty payments shall be calculated by multiplying the Net Sales of the Combination Products by the fraction of C/(C+D) where “C” is the fair market value of the Product; and “D” is the fair market value of all other Additional Ingredients included in the Combination Product. In such event, the parties shall negotiate in good faith to arrive at a determination of the respective fair market values of the Product and all other Additional Ingredients included in the Combination Product.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70" w:name="page771"/>
    <w:bookmarkEnd w:id="770"/>
    <w:p>
      <w:pPr>
        <w:jc w:val="both"/>
        <w:ind w:left="1760" w:hanging="771"/>
        <w:spacing w:after="0" w:line="269" w:lineRule="auto"/>
        <w:tabs>
          <w:tab w:leader="none" w:pos="174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7"/>
          <w:szCs w:val="17"/>
          <w:color w:val="auto"/>
        </w:rPr>
        <w:t>Sublicense fees (“</w:t>
      </w:r>
      <w:r>
        <w:rPr>
          <w:rFonts w:ascii="Arial" w:cs="Arial" w:eastAsia="Arial" w:hAnsi="Arial"/>
          <w:sz w:val="17"/>
          <w:szCs w:val="17"/>
          <w:b w:val="1"/>
          <w:bCs w:val="1"/>
          <w:color w:val="auto"/>
        </w:rPr>
        <w:t>Sublicense Fees</w:t>
      </w:r>
      <w:r>
        <w:rPr>
          <w:rFonts w:ascii="Arial" w:cs="Arial" w:eastAsia="Arial" w:hAnsi="Arial"/>
          <w:sz w:val="17"/>
          <w:szCs w:val="17"/>
          <w:color w:val="auto"/>
        </w:rPr>
        <w:t>”) for as long as the Company receives any Sublicense Considerations from any Sublicensee, at a rate of: 29.5% of Sublicense Considerations prior to the completion of the dosing of the last patient to be enrolled in the first Phase II Clinical Trial anywhere in the world; and</w:t>
      </w:r>
    </w:p>
    <w:p>
      <w:pPr>
        <w:spacing w:after="0" w:line="198" w:lineRule="exact"/>
        <w:rPr>
          <w:sz w:val="20"/>
          <w:szCs w:val="20"/>
          <w:color w:val="auto"/>
        </w:rPr>
      </w:pPr>
    </w:p>
    <w:p>
      <w:pPr>
        <w:jc w:val="both"/>
        <w:ind w:left="1760" w:hanging="771"/>
        <w:spacing w:after="0" w:line="278" w:lineRule="auto"/>
        <w:tabs>
          <w:tab w:leader="none" w:pos="174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7"/>
          <w:szCs w:val="17"/>
          <w:color w:val="auto"/>
        </w:rPr>
        <w:t>28% of Sublicense Considerations following completion of the dosing of the last patient to be enrolled in the first Phase II Clinical Trial anywhere in the world.</w:t>
      </w:r>
    </w:p>
    <w:p>
      <w:pPr>
        <w:spacing w:after="0" w:line="190" w:lineRule="exact"/>
        <w:rPr>
          <w:sz w:val="20"/>
          <w:szCs w:val="20"/>
          <w:color w:val="auto"/>
        </w:rPr>
      </w:pPr>
    </w:p>
    <w:p>
      <w:pPr>
        <w:jc w:val="both"/>
        <w:ind w:left="980" w:hanging="616"/>
        <w:spacing w:after="0" w:line="261" w:lineRule="auto"/>
        <w:tabs>
          <w:tab w:leader="none" w:pos="9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Notwithstanding the foregoing set out in Section 6 above, the consideration that the Company is required hereunder to actually pay Yissum as a result of royalties or other sales related consideration that the Company receives from its licensees (termed Sublicensees under this Agreement) will in no event be less than three and a half percent (3.5%) of the amount of Net Sales which form the basis for computation of the royalties paid to the Company by such licensees (termed Sublicensees hereunder) of the Company.</w:t>
      </w:r>
    </w:p>
    <w:p>
      <w:pPr>
        <w:spacing w:after="0" w:line="204" w:lineRule="exact"/>
        <w:rPr>
          <w:sz w:val="20"/>
          <w:szCs w:val="20"/>
          <w:color w:val="auto"/>
        </w:rPr>
      </w:pPr>
    </w:p>
    <w:p>
      <w:pPr>
        <w:jc w:val="both"/>
        <w:ind w:left="980" w:hanging="616"/>
        <w:spacing w:after="0" w:line="291" w:lineRule="auto"/>
        <w:tabs>
          <w:tab w:leader="none" w:pos="96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color w:val="auto"/>
        </w:rPr>
        <w:t>In the event that the Company sublicenses or assigns its rights to the Licensed Technology and the Development Results to a corporate entity (the “Entity”) established by the Company for the sole purpose of developing and commercializing the Licensed Technology and the Development Results, the Company will promptly notify Yissum thereof and Yissum shall have the option, exercisable by written notice to the Company not later than thirty</w:t>
      </w:r>
    </w:p>
    <w:p>
      <w:pPr>
        <w:spacing w:after="0" w:line="1" w:lineRule="exact"/>
        <w:rPr>
          <w:sz w:val="20"/>
          <w:szCs w:val="20"/>
          <w:color w:val="auto"/>
        </w:rPr>
      </w:pPr>
    </w:p>
    <w:p>
      <w:pPr>
        <w:ind w:left="980"/>
        <w:spacing w:after="0" w:line="265" w:lineRule="auto"/>
        <w:tabs>
          <w:tab w:leader="none" w:pos="1325" w:val="left"/>
        </w:tabs>
        <w:numPr>
          <w:ilvl w:val="0"/>
          <w:numId w:val="713"/>
        </w:numPr>
        <w:rPr>
          <w:rFonts w:ascii="Arial" w:cs="Arial" w:eastAsia="Arial" w:hAnsi="Arial"/>
          <w:sz w:val="17"/>
          <w:szCs w:val="17"/>
          <w:color w:val="auto"/>
        </w:rPr>
      </w:pPr>
      <w:r>
        <w:rPr>
          <w:rFonts w:ascii="Arial" w:cs="Arial" w:eastAsia="Arial" w:hAnsi="Arial"/>
          <w:sz w:val="17"/>
          <w:szCs w:val="17"/>
          <w:color w:val="auto"/>
        </w:rPr>
        <w:t>days from the date of such notice, to receive 12.5% of the Entity’s ordinary shares and reduced Royalties and Sublicense Fees pursuant to this Agreement equal to 1.875% and 12.5% respectively.</w:t>
      </w:r>
    </w:p>
    <w:p>
      <w:pPr>
        <w:spacing w:after="0" w:line="201" w:lineRule="exact"/>
        <w:rPr>
          <w:sz w:val="20"/>
          <w:szCs w:val="20"/>
          <w:color w:val="auto"/>
        </w:rPr>
      </w:pPr>
    </w:p>
    <w:p>
      <w:pPr>
        <w:jc w:val="both"/>
        <w:ind w:left="980" w:hanging="616"/>
        <w:spacing w:after="0" w:line="282" w:lineRule="auto"/>
        <w:tabs>
          <w:tab w:leader="none" w:pos="96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color w:val="auto"/>
        </w:rPr>
        <w:t>In the event that any US federal agency, department or institution exercises any rights pursuant to that certain Assistance Agreement dated July, 1999 pursuant to which development funds were provided by the US Army Medical Research Acquisition Activity to the Hebrew University of Jerusalem, the Parties agree that the commercial impact of the aforementioned exercise of rights shall be equitably allocated between the Parties by way of a readjustment of the commercial terms of this Agreement to be negotiated in good faith between the parties.</w:t>
      </w:r>
    </w:p>
    <w:p>
      <w:pPr>
        <w:spacing w:after="0" w:line="165" w:lineRule="exact"/>
        <w:rPr>
          <w:sz w:val="20"/>
          <w:szCs w:val="20"/>
          <w:color w:val="auto"/>
        </w:rPr>
      </w:pPr>
    </w:p>
    <w:p>
      <w:pPr>
        <w:ind w:left="460" w:hanging="457"/>
        <w:spacing w:after="0"/>
        <w:tabs>
          <w:tab w:leader="none" w:pos="460" w:val="left"/>
        </w:tabs>
        <w:numPr>
          <w:ilvl w:val="0"/>
          <w:numId w:val="714"/>
        </w:numPr>
        <w:rPr>
          <w:rFonts w:ascii="Arial" w:cs="Arial" w:eastAsia="Arial" w:hAnsi="Arial"/>
          <w:sz w:val="21"/>
          <w:szCs w:val="21"/>
          <w:b w:val="1"/>
          <w:bCs w:val="1"/>
          <w:color w:val="auto"/>
        </w:rPr>
      </w:pPr>
      <w:r>
        <w:rPr>
          <w:rFonts w:ascii="Arial" w:cs="Arial" w:eastAsia="Arial" w:hAnsi="Arial"/>
          <w:sz w:val="17"/>
          <w:szCs w:val="17"/>
          <w:b w:val="1"/>
          <w:bCs w:val="1"/>
          <w:color w:val="auto"/>
        </w:rPr>
        <w:t>Reports and Accounting</w:t>
      </w:r>
    </w:p>
    <w:p>
      <w:pPr>
        <w:spacing w:after="0" w:line="246" w:lineRule="exact"/>
        <w:rPr>
          <w:sz w:val="20"/>
          <w:szCs w:val="20"/>
          <w:color w:val="auto"/>
        </w:rPr>
      </w:pPr>
    </w:p>
    <w:p>
      <w:pPr>
        <w:jc w:val="both"/>
        <w:ind w:left="980" w:hanging="616"/>
        <w:spacing w:after="0" w:line="279" w:lineRule="auto"/>
        <w:tabs>
          <w:tab w:leader="none" w:pos="9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Sixty (60) days after the end of each Calendar Quarter commencing from the date of the First Commercial Sale by the Company or its Affiliate, the grant of a Sublicense or the receipt of Sublicense Consideration, generating a right to Royalties or Sublicense Fees under this Agreement, the Company shall furnish Yissum with a quarterly report (“</w:t>
      </w:r>
      <w:r>
        <w:rPr>
          <w:rFonts w:ascii="Arial" w:cs="Arial" w:eastAsia="Arial" w:hAnsi="Arial"/>
          <w:sz w:val="16"/>
          <w:szCs w:val="16"/>
          <w:b w:val="1"/>
          <w:bCs w:val="1"/>
          <w:color w:val="auto"/>
        </w:rPr>
        <w:t>Quarterly Report</w:t>
      </w:r>
      <w:r>
        <w:rPr>
          <w:rFonts w:ascii="Arial" w:cs="Arial" w:eastAsia="Arial" w:hAnsi="Arial"/>
          <w:sz w:val="16"/>
          <w:szCs w:val="16"/>
          <w:color w:val="auto"/>
        </w:rPr>
        <w:t>”) detailing the total sales effected and/or Sublicense Consideration received during the preceding Calendar Quarter and the total Royalties and Sublicense Fees due to Yissum in respect of that period. The Quarterly Report shall be provided whether or not Royalties and/or Sublicense Fees are payable in a particular Calendar Quarter.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771" w:name="page772"/>
    <w:bookmarkEnd w:id="771"/>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Company shall give Yissum written notice of (a) the First Commercial Sale of any Product by itself or by any Affiliate or by any Sublicensee; and/or (b) the first receipt of Sublicense Consideration within Sixty (60) days thereof.</w:t>
      </w:r>
    </w:p>
    <w:p>
      <w:pPr>
        <w:spacing w:after="0" w:line="190" w:lineRule="exact"/>
        <w:rPr>
          <w:sz w:val="20"/>
          <w:szCs w:val="20"/>
          <w:color w:val="auto"/>
        </w:rPr>
      </w:pPr>
    </w:p>
    <w:p>
      <w:pPr>
        <w:jc w:val="both"/>
        <w:ind w:left="620" w:hanging="616"/>
        <w:spacing w:after="0" w:line="289" w:lineRule="auto"/>
        <w:tabs>
          <w:tab w:leader="none" w:pos="60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color w:val="auto"/>
        </w:rPr>
        <w:t>The Quarterly Reports shall contain full particulars – country-by-country and Product-by-Product – of all sales made by the Company and/or Affiliates and of all Sublicense Consideration received, including a breakdown of the number of Products sold, discounts, returns, the currency in which the sales were made, invoice date and all other data enabling the Royalties and Sublicense Fees payable to be calculated accurately.</w:t>
      </w:r>
    </w:p>
    <w:p>
      <w:pPr>
        <w:spacing w:after="0" w:line="184" w:lineRule="exact"/>
        <w:rPr>
          <w:sz w:val="20"/>
          <w:szCs w:val="20"/>
          <w:color w:val="auto"/>
        </w:rPr>
      </w:pPr>
    </w:p>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On the date prescribed for the submission of each Quarterly Report, the Company shall pay the Royalties and Sublicense Fees due to Yissum, if any, for the reported period.</w:t>
      </w:r>
    </w:p>
    <w:p>
      <w:pPr>
        <w:spacing w:after="0" w:line="190" w:lineRule="exact"/>
        <w:rPr>
          <w:sz w:val="20"/>
          <w:szCs w:val="20"/>
          <w:color w:val="auto"/>
        </w:rPr>
      </w:pPr>
    </w:p>
    <w:p>
      <w:pPr>
        <w:jc w:val="both"/>
        <w:ind w:left="620" w:hanging="616"/>
        <w:spacing w:after="0" w:line="282" w:lineRule="auto"/>
        <w:tabs>
          <w:tab w:leader="none" w:pos="60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6"/>
          <w:szCs w:val="16"/>
          <w:color w:val="auto"/>
        </w:rPr>
        <w:t>The value of each sale shall be computed on the date of sale in US Dollars based on the rates published in the Wall Street Journal on the last business day prior to actual payment. The Royalties shall be computed and paid in US Dollars, Euros or New Israeli Shekels. Payment of Value Added Tax – or of any analogous foreign tax, charge or levy (if charged), applicable to the sale of Products shall be added to each payment in accordance with the statutory rate in force at such time. Sublicense Fees shall be paid in US Dollars, Euros or New Israeli Shekels.</w:t>
      </w:r>
    </w:p>
    <w:p>
      <w:pPr>
        <w:spacing w:after="0" w:line="190" w:lineRule="exact"/>
        <w:rPr>
          <w:sz w:val="20"/>
          <w:szCs w:val="20"/>
          <w:color w:val="auto"/>
        </w:rPr>
      </w:pPr>
    </w:p>
    <w:p>
      <w:pPr>
        <w:jc w:val="both"/>
        <w:ind w:left="620" w:hanging="616"/>
        <w:spacing w:after="0" w:line="277" w:lineRule="auto"/>
        <w:tabs>
          <w:tab w:leader="none" w:pos="60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6"/>
          <w:szCs w:val="16"/>
          <w:color w:val="auto"/>
        </w:rPr>
        <w:t>The Company shall keep full and correct books of account in accordance with Generally Accepted Accounting Principles as required by Israeli accounting standards enabling the Royalties and Sublicense Fees to be calculated accurately. The Company shall ensure that Sublicensees, if any, also keep such books of account as aforesaid. The CEO or CFO of the Company shall certify in writing that all the particulars mentioned in each Quarterly Report are correct and accurate. Starting from the first calendar year after the first sale generating Royalties, or the first grant of a Sublicense, whichever occurs first, an annual report, authorized by a certified public accountant, shall be submitted at the end of each calendar year, detailing Net Sales and Sublicense Considerations, Royalties and Sublicense Fees, both due and paid (the “</w:t>
      </w:r>
      <w:r>
        <w:rPr>
          <w:rFonts w:ascii="Arial" w:cs="Arial" w:eastAsia="Arial" w:hAnsi="Arial"/>
          <w:sz w:val="16"/>
          <w:szCs w:val="16"/>
          <w:b w:val="1"/>
          <w:bCs w:val="1"/>
          <w:color w:val="auto"/>
        </w:rPr>
        <w:t>Annual Reports</w:t>
      </w:r>
      <w:r>
        <w:rPr>
          <w:rFonts w:ascii="Arial" w:cs="Arial" w:eastAsia="Arial" w:hAnsi="Arial"/>
          <w:sz w:val="16"/>
          <w:szCs w:val="16"/>
          <w:color w:val="auto"/>
        </w:rPr>
        <w:t>”).</w:t>
      </w:r>
    </w:p>
    <w:p>
      <w:pPr>
        <w:spacing w:after="0" w:line="192"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The Company shall and shall require and cause its Affiliates and Sublicensees to retain the foregoing books of account for five (5) years after the end of each calendar year during the period of this Agreement, and, if this Agreement is terminated for any reason whatsoever, for five (5) years after the end of the calendar year in which such termination becomes effective.</w:t>
      </w:r>
    </w:p>
    <w:p>
      <w:pPr>
        <w:spacing w:after="0" w:line="34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14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72" w:name="page773"/>
    <w:bookmarkEnd w:id="772"/>
    <w:p>
      <w:pPr>
        <w:jc w:val="both"/>
        <w:ind w:left="620" w:hanging="616"/>
        <w:spacing w:after="0" w:line="273" w:lineRule="auto"/>
        <w:tabs>
          <w:tab w:leader="none" w:pos="60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6"/>
          <w:szCs w:val="16"/>
          <w:color w:val="auto"/>
        </w:rPr>
        <w:t>Yissum shall be entitled to appoint an independent certified public accountant or such other professional as the parties may agree from time to time (the “</w:t>
      </w:r>
      <w:r>
        <w:rPr>
          <w:rFonts w:ascii="Arial" w:cs="Arial" w:eastAsia="Arial" w:hAnsi="Arial"/>
          <w:sz w:val="16"/>
          <w:szCs w:val="16"/>
          <w:b w:val="1"/>
          <w:bCs w:val="1"/>
          <w:color w:val="auto"/>
        </w:rPr>
        <w:t>Representative</w:t>
      </w:r>
      <w:r>
        <w:rPr>
          <w:rFonts w:ascii="Arial" w:cs="Arial" w:eastAsia="Arial" w:hAnsi="Arial"/>
          <w:sz w:val="16"/>
          <w:szCs w:val="16"/>
          <w:color w:val="auto"/>
        </w:rPr>
        <w:t>”), and who is subject to reasonably acceptable confidentiality arrangements with the Company and/or its Affiliates, to inspect during normal business hours the Company’s and its Affiliates’ books of account, records and other relevant documentation to the extent relevant or necessary for the sole purpose of verifying the performance of the Company’s payment obligations under this Agreement, and the calculation of amounts due to Yissum under this Agreement and of all financial information provided in the Quarterly Reports, provided that Yissum shall coordinate such inspection with the Company and/or its Affiliate (as the case may be) in advance. In addition, Yissum may request that the Company, through the Representative, inspect during normal business hours the books of account, records and other relevant documentation of any Sublicensees, to the extent relevant or necessary for the sole purpose of verifying the performance of the Company’s payment obligations under this Agreement, and the calculation of amounts due to Yissum under this Agreement and of all financial information provided in the Quarterly Reports, and the Company shall cause such inspection to be performed.</w:t>
      </w:r>
    </w:p>
    <w:p>
      <w:pPr>
        <w:spacing w:after="0" w:line="197" w:lineRule="exact"/>
        <w:rPr>
          <w:sz w:val="20"/>
          <w:szCs w:val="20"/>
          <w:color w:val="auto"/>
        </w:rPr>
      </w:pPr>
    </w:p>
    <w:p>
      <w:pPr>
        <w:jc w:val="both"/>
        <w:ind w:left="620"/>
        <w:spacing w:after="0" w:line="301" w:lineRule="auto"/>
        <w:rPr>
          <w:sz w:val="20"/>
          <w:szCs w:val="20"/>
          <w:color w:val="auto"/>
        </w:rPr>
      </w:pPr>
      <w:r>
        <w:rPr>
          <w:rFonts w:ascii="Arial" w:cs="Arial" w:eastAsia="Arial" w:hAnsi="Arial"/>
          <w:sz w:val="15"/>
          <w:szCs w:val="15"/>
          <w:color w:val="auto"/>
        </w:rPr>
        <w:t>Such Representative shall not disclose to Yissum or any third party any information and documents gained during the course of such inspection, except that the Representative may disclose to Yissum and the Company information gained during the course of such inspection relating to the accuracy of reports and payments delivered under this Agreement. The Company shall take all commercially reasonable steps so that all such books of account, records and other relevant documentation of the Company and/or its Affiliates are available for inspection as aforesaid at a single location. Subject to the terms and conditions hereof, the right of inspection shall include the right of the Representative to make copies of relevant documents.</w:t>
      </w:r>
    </w:p>
    <w:p>
      <w:pPr>
        <w:spacing w:after="0" w:line="153"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color w:val="auto"/>
        </w:rPr>
        <w:t>The parties shall reconcile any underpayment or overpayment within thirty (30) days after the Representative deliver the results of the audit; any underpayment shall be subject to interest in accordance with the terms of sub-section 7.8, below. In the event that any inspection as aforesaid reveals any underpayment by the Company to Yissum in respect of any year of the Agreement in an amount exceeding five percent (5%) of the amount actually paid by the Company to Yissum in respect of such year, then the Company shall pay the cost of such inspection. Yissum may exercise their rights under this section only once every year per audited party.</w:t>
      </w:r>
    </w:p>
    <w:p>
      <w:pPr>
        <w:spacing w:after="0" w:line="206" w:lineRule="exact"/>
        <w:rPr>
          <w:sz w:val="20"/>
          <w:szCs w:val="20"/>
          <w:color w:val="auto"/>
        </w:rPr>
      </w:pPr>
    </w:p>
    <w:p>
      <w:pPr>
        <w:ind w:left="620" w:hanging="616"/>
        <w:spacing w:after="0" w:line="278" w:lineRule="auto"/>
        <w:tabs>
          <w:tab w:leader="none" w:pos="60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7"/>
          <w:szCs w:val="17"/>
          <w:color w:val="auto"/>
        </w:rPr>
        <w:t>Any sum of money due to Yissum which is not duly paid shall bear interest from the due date of payment until the actual date of payment at the rate of the Prime rate published by the Bank of Israel plus five percent (5%) on an annual basis.</w:t>
      </w:r>
    </w:p>
    <w:p>
      <w:pPr>
        <w:spacing w:after="0" w:line="33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15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1" w:right="239" w:bottom="1440" w:gutter="0" w:footer="0" w:header="0"/>
        </w:sectPr>
      </w:pPr>
    </w:p>
    <w:bookmarkStart w:id="773" w:name="page774"/>
    <w:bookmarkEnd w:id="773"/>
    <w:p>
      <w:pPr>
        <w:jc w:val="both"/>
        <w:ind w:left="980" w:hanging="616"/>
        <w:spacing w:after="0" w:line="294" w:lineRule="auto"/>
        <w:tabs>
          <w:tab w:leader="none" w:pos="96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color w:val="auto"/>
        </w:rPr>
        <w:t>Should any payment required to be made to Yissum in accordance with the provisions of this Agreement, be subject to withholding under law of any taxes assessable upon Yissum, the Company shall inform Yissum of such withholding requirement in advance allowing sufficient time for Yissum to obtain and provide the Company with an appropriate certificate of exemption, if available. The Company shall fully cooperate with Yissum in its efforts to obtain such exemption (or in obtaining any refund if applicable). No withholding shall be made if a legally acceptable exemption shall be obtained. Except as permitted herein, all payments made shall be free and clear of any other withholding of any kind. Yissum shall have the option to direct the Company to hold the sums due to it that are subject to withholding until the exemption is obtained (and in such an event the Company shall hold the funds in trust for Yissum until the exemption is received and the payment to Yissum is made), all provided that there is no liability or exposure to the Company in so doing; or to direct the Company to pay the sums due after withholding and in such an event the Company shall reasonably cooperate with Yissum, at Yissum’s expense, in its efforts to reclaim the amount that was withheld and paid to the relevant tax authorities.</w:t>
      </w:r>
    </w:p>
    <w:p>
      <w:pPr>
        <w:spacing w:after="0" w:line="157" w:lineRule="exact"/>
        <w:rPr>
          <w:sz w:val="20"/>
          <w:szCs w:val="20"/>
          <w:color w:val="auto"/>
        </w:rPr>
      </w:pPr>
    </w:p>
    <w:p>
      <w:pPr>
        <w:ind w:left="460" w:hanging="457"/>
        <w:spacing w:after="0"/>
        <w:tabs>
          <w:tab w:leader="none" w:pos="460" w:val="left"/>
        </w:tabs>
        <w:numPr>
          <w:ilvl w:val="0"/>
          <w:numId w:val="715"/>
        </w:numPr>
        <w:rPr>
          <w:rFonts w:ascii="Arial" w:cs="Arial" w:eastAsia="Arial" w:hAnsi="Arial"/>
          <w:sz w:val="21"/>
          <w:szCs w:val="21"/>
          <w:b w:val="1"/>
          <w:bCs w:val="1"/>
          <w:color w:val="auto"/>
        </w:rPr>
      </w:pPr>
      <w:r>
        <w:rPr>
          <w:rFonts w:ascii="Arial" w:cs="Arial" w:eastAsia="Arial" w:hAnsi="Arial"/>
          <w:sz w:val="17"/>
          <w:szCs w:val="17"/>
          <w:b w:val="1"/>
          <w:bCs w:val="1"/>
          <w:color w:val="auto"/>
        </w:rPr>
        <w:t>Ownership</w:t>
      </w:r>
    </w:p>
    <w:p>
      <w:pPr>
        <w:spacing w:after="0" w:line="246" w:lineRule="exact"/>
        <w:rPr>
          <w:sz w:val="20"/>
          <w:szCs w:val="20"/>
          <w:color w:val="auto"/>
        </w:rPr>
      </w:pPr>
    </w:p>
    <w:p>
      <w:pPr>
        <w:jc w:val="both"/>
        <w:ind w:left="980"/>
        <w:spacing w:after="0" w:line="265" w:lineRule="auto"/>
        <w:rPr>
          <w:sz w:val="20"/>
          <w:szCs w:val="20"/>
          <w:color w:val="auto"/>
        </w:rPr>
      </w:pPr>
      <w:r>
        <w:rPr>
          <w:rFonts w:ascii="Arial" w:cs="Arial" w:eastAsia="Arial" w:hAnsi="Arial"/>
          <w:sz w:val="17"/>
          <w:szCs w:val="17"/>
          <w:color w:val="auto"/>
        </w:rPr>
        <w:t>All rights in the Licensed Technology shall be solely owned by Yissum, and the Company shall hold the rights granted pursuant to the License, and shall make use of them, solely in accordance with the terms of this Agreement. For the avoidance of doubt, the Development Results shall be solely owned by the Company</w:t>
      </w:r>
    </w:p>
    <w:p>
      <w:pPr>
        <w:spacing w:after="0" w:line="177" w:lineRule="exact"/>
        <w:rPr>
          <w:sz w:val="20"/>
          <w:szCs w:val="20"/>
          <w:color w:val="auto"/>
        </w:rPr>
      </w:pPr>
    </w:p>
    <w:p>
      <w:pPr>
        <w:ind w:left="460" w:hanging="457"/>
        <w:spacing w:after="0"/>
        <w:tabs>
          <w:tab w:leader="none" w:pos="460" w:val="left"/>
        </w:tabs>
        <w:numPr>
          <w:ilvl w:val="0"/>
          <w:numId w:val="716"/>
        </w:numPr>
        <w:rPr>
          <w:rFonts w:ascii="Arial" w:cs="Arial" w:eastAsia="Arial" w:hAnsi="Arial"/>
          <w:sz w:val="21"/>
          <w:szCs w:val="21"/>
          <w:b w:val="1"/>
          <w:bCs w:val="1"/>
          <w:color w:val="auto"/>
        </w:rPr>
      </w:pPr>
      <w:r>
        <w:rPr>
          <w:rFonts w:ascii="Arial" w:cs="Arial" w:eastAsia="Arial" w:hAnsi="Arial"/>
          <w:sz w:val="17"/>
          <w:szCs w:val="17"/>
          <w:b w:val="1"/>
          <w:bCs w:val="1"/>
          <w:color w:val="auto"/>
        </w:rPr>
        <w:t>Patents</w:t>
      </w:r>
    </w:p>
    <w:p>
      <w:pPr>
        <w:spacing w:after="0" w:line="246" w:lineRule="exact"/>
        <w:rPr>
          <w:sz w:val="20"/>
          <w:szCs w:val="20"/>
          <w:color w:val="auto"/>
        </w:rPr>
      </w:pPr>
    </w:p>
    <w:p>
      <w:pPr>
        <w:ind w:left="980" w:hanging="616"/>
        <w:spacing w:after="0" w:line="311" w:lineRule="auto"/>
        <w:tabs>
          <w:tab w:leader="none" w:pos="9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6"/>
          <w:szCs w:val="16"/>
          <w:color w:val="auto"/>
        </w:rPr>
        <w:t xml:space="preserve">The Company shall reimburse Yissum for all previous documented expenses and costs directly incurred by Yissum relating to the registration and maintenance of the Patents listed in </w:t>
      </w:r>
      <w:r>
        <w:rPr>
          <w:rFonts w:ascii="Arial" w:cs="Arial" w:eastAsia="Arial" w:hAnsi="Arial"/>
          <w:sz w:val="16"/>
          <w:szCs w:val="16"/>
          <w:u w:val="single" w:color="auto"/>
          <w:color w:val="auto"/>
        </w:rPr>
        <w:t>Appendix A</w:t>
      </w:r>
      <w:r>
        <w:rPr>
          <w:rFonts w:ascii="Arial" w:cs="Arial" w:eastAsia="Arial" w:hAnsi="Arial"/>
          <w:sz w:val="16"/>
          <w:szCs w:val="16"/>
          <w:color w:val="auto"/>
        </w:rPr>
        <w:t>, in an amount not to exceed US $30,000, within ten (10) days of the execution of this Agreement.</w:t>
      </w:r>
    </w:p>
    <w:p>
      <w:pPr>
        <w:spacing w:after="0" w:line="166" w:lineRule="exact"/>
        <w:rPr>
          <w:sz w:val="20"/>
          <w:szCs w:val="20"/>
          <w:color w:val="auto"/>
        </w:rPr>
      </w:pPr>
    </w:p>
    <w:p>
      <w:pPr>
        <w:ind w:left="980" w:hanging="616"/>
        <w:spacing w:after="0" w:line="278" w:lineRule="auto"/>
        <w:tabs>
          <w:tab w:leader="none" w:pos="9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The Company, following consultation with Yissum, shall have the first right to prepare, file, prosecute and maintain any patent applications and Patents, at the Company’s expense and subject to the following conditions:</w:t>
      </w:r>
    </w:p>
    <w:p>
      <w:pPr>
        <w:spacing w:after="0" w:line="190"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7"/>
          <w:szCs w:val="17"/>
          <w:color w:val="auto"/>
        </w:rPr>
        <w:t>9.2.1.</w:t>
      </w:r>
      <w:r>
        <w:rPr>
          <w:sz w:val="20"/>
          <w:szCs w:val="20"/>
          <w:color w:val="auto"/>
        </w:rPr>
        <w:tab/>
      </w:r>
      <w:r>
        <w:rPr>
          <w:rFonts w:ascii="Arial" w:cs="Arial" w:eastAsia="Arial" w:hAnsi="Arial"/>
          <w:sz w:val="15"/>
          <w:szCs w:val="15"/>
          <w:color w:val="auto"/>
        </w:rPr>
        <w:t>Unless the parties shall agree otherwise, the Company shall file each Patent application at least in the United States, Europe and Japan;</w:t>
      </w:r>
    </w:p>
    <w:p>
      <w:pPr>
        <w:spacing w:after="0" w:line="242"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7"/>
          <w:szCs w:val="17"/>
          <w:color w:val="auto"/>
        </w:rPr>
        <w:t>9.2.2.</w:t>
      </w:r>
      <w:r>
        <w:rPr>
          <w:sz w:val="20"/>
          <w:szCs w:val="20"/>
          <w:color w:val="auto"/>
        </w:rPr>
        <w:tab/>
      </w:r>
      <w:r>
        <w:rPr>
          <w:rFonts w:ascii="Arial" w:cs="Arial" w:eastAsia="Arial" w:hAnsi="Arial"/>
          <w:sz w:val="15"/>
          <w:szCs w:val="15"/>
          <w:color w:val="auto"/>
        </w:rPr>
        <w:t>Each application and every Patent registration as aforesaid shall be registered in the name of Yissum;</w:t>
      </w:r>
    </w:p>
    <w:p>
      <w:pPr>
        <w:spacing w:after="0" w:line="242" w:lineRule="exact"/>
        <w:rPr>
          <w:sz w:val="20"/>
          <w:szCs w:val="20"/>
          <w:color w:val="auto"/>
        </w:rPr>
      </w:pPr>
    </w:p>
    <w:p>
      <w:pPr>
        <w:jc w:val="both"/>
        <w:ind w:left="1760" w:hanging="771"/>
        <w:spacing w:after="0" w:line="261" w:lineRule="auto"/>
        <w:tabs>
          <w:tab w:leader="none" w:pos="1740" w:val="left"/>
        </w:tabs>
        <w:rPr>
          <w:sz w:val="20"/>
          <w:szCs w:val="20"/>
          <w:color w:val="auto"/>
        </w:rPr>
      </w:pPr>
      <w:r>
        <w:rPr>
          <w:rFonts w:ascii="Arial" w:cs="Arial" w:eastAsia="Arial" w:hAnsi="Arial"/>
          <w:sz w:val="17"/>
          <w:szCs w:val="17"/>
          <w:color w:val="auto"/>
        </w:rPr>
        <w:t>9.2.3.</w:t>
      </w:r>
      <w:r>
        <w:rPr>
          <w:sz w:val="20"/>
          <w:szCs w:val="20"/>
          <w:color w:val="auto"/>
        </w:rPr>
        <w:tab/>
      </w:r>
      <w:r>
        <w:rPr>
          <w:rFonts w:ascii="Arial" w:cs="Arial" w:eastAsia="Arial" w:hAnsi="Arial"/>
          <w:sz w:val="17"/>
          <w:szCs w:val="17"/>
          <w:color w:val="auto"/>
        </w:rPr>
        <w:t>Patent prosecution decisions (such as the filing of continuation and decisional applications, abandoning an application, changing claims in the course of prosecution or contentious proceedings, electing invention and presenting arguments in the course of prosecution of contentious proceedings) shall be made by the Company, and Patent applications shall be filed by the Company, only after review and comment by Yissum of such decisions and the text of such applications.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16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74" w:name="page775"/>
    <w:bookmarkEnd w:id="774"/>
    <w:p>
      <w:pPr>
        <w:jc w:val="both"/>
        <w:ind w:left="780"/>
        <w:spacing w:after="0" w:line="265" w:lineRule="auto"/>
        <w:rPr>
          <w:sz w:val="20"/>
          <w:szCs w:val="20"/>
          <w:color w:val="auto"/>
        </w:rPr>
      </w:pPr>
      <w:r>
        <w:rPr>
          <w:rFonts w:ascii="Arial" w:cs="Arial" w:eastAsia="Arial" w:hAnsi="Arial"/>
          <w:sz w:val="17"/>
          <w:szCs w:val="17"/>
          <w:color w:val="auto"/>
        </w:rPr>
        <w:t>Yissum shall provide its comments to a Patent prosecution decision or a Patent application as aforesaid within thirty (30) days of receipt from the Company of the proposed text of such prosecution decision or patent application. In the event that Yissum fails to provide its comments within such time period, the Company may proceed to make and file such decisions and filings.</w:t>
      </w:r>
    </w:p>
    <w:p>
      <w:pPr>
        <w:spacing w:after="0" w:line="176" w:lineRule="exact"/>
        <w:rPr>
          <w:sz w:val="20"/>
          <w:szCs w:val="20"/>
          <w:color w:val="auto"/>
        </w:rPr>
      </w:pPr>
    </w:p>
    <w:p>
      <w:pPr>
        <w:jc w:val="both"/>
        <w:ind w:left="780"/>
        <w:spacing w:after="0" w:line="257" w:lineRule="auto"/>
        <w:rPr>
          <w:sz w:val="20"/>
          <w:szCs w:val="20"/>
          <w:color w:val="auto"/>
        </w:rPr>
      </w:pPr>
      <w:r>
        <w:rPr>
          <w:rFonts w:ascii="Arial" w:cs="Arial" w:eastAsia="Arial" w:hAnsi="Arial"/>
          <w:sz w:val="17"/>
          <w:szCs w:val="17"/>
          <w:color w:val="auto"/>
        </w:rPr>
        <w:t>Yissum undertakes to cooperate in a timely manner with the Company’s efforts to register and prosecute the Patents, including by executing any documents as may be required for such purpose. The Company will perform its obligations hereunder through a law or patent attorney firm selected by the Company, subject to Yissum’s approval, not to be unreasonably withheld (“</w:t>
      </w:r>
      <w:r>
        <w:rPr>
          <w:rFonts w:ascii="Arial" w:cs="Arial" w:eastAsia="Arial" w:hAnsi="Arial"/>
          <w:sz w:val="17"/>
          <w:szCs w:val="17"/>
          <w:b w:val="1"/>
          <w:bCs w:val="1"/>
          <w:color w:val="auto"/>
        </w:rPr>
        <w:t>Patent Counsel</w:t>
      </w:r>
      <w:r>
        <w:rPr>
          <w:rFonts w:ascii="Arial" w:cs="Arial" w:eastAsia="Arial" w:hAnsi="Arial"/>
          <w:sz w:val="17"/>
          <w:szCs w:val="17"/>
          <w:color w:val="auto"/>
        </w:rPr>
        <w:t>”). In the course of providing comments as contemplated herein, if Yissum expresses its reasonable disagreement with the company’s proposed course of action, and Yissum and the Company are unable to reconcile their differences in an expeditious manner, the matter shall be resolved pursuant to the judgment of Patent Counsel;</w:t>
      </w:r>
    </w:p>
    <w:p>
      <w:pPr>
        <w:spacing w:after="0" w:line="210" w:lineRule="exact"/>
        <w:rPr>
          <w:sz w:val="20"/>
          <w:szCs w:val="20"/>
          <w:color w:val="auto"/>
        </w:rPr>
      </w:pPr>
    </w:p>
    <w:p>
      <w:pPr>
        <w:jc w:val="both"/>
        <w:ind w:left="780" w:hanging="771"/>
        <w:spacing w:after="0" w:line="265" w:lineRule="auto"/>
        <w:tabs>
          <w:tab w:leader="none" w:pos="760" w:val="left"/>
        </w:tabs>
        <w:rPr>
          <w:sz w:val="20"/>
          <w:szCs w:val="20"/>
          <w:color w:val="auto"/>
        </w:rPr>
      </w:pPr>
      <w:r>
        <w:rPr>
          <w:rFonts w:ascii="Arial" w:cs="Arial" w:eastAsia="Arial" w:hAnsi="Arial"/>
          <w:sz w:val="17"/>
          <w:szCs w:val="17"/>
          <w:color w:val="auto"/>
        </w:rPr>
        <w:t>9.2.4.</w:t>
      </w:r>
      <w:r>
        <w:rPr>
          <w:sz w:val="20"/>
          <w:szCs w:val="20"/>
          <w:color w:val="auto"/>
        </w:rPr>
        <w:tab/>
      </w:r>
      <w:r>
        <w:rPr>
          <w:rFonts w:ascii="Arial" w:cs="Arial" w:eastAsia="Arial" w:hAnsi="Arial"/>
          <w:sz w:val="17"/>
          <w:szCs w:val="17"/>
          <w:color w:val="auto"/>
        </w:rPr>
        <w:t>Yissum shall be provided with a copy of all material documents generated or received by the Company and/or its attorneys in connection with the prosecution and maintenance of Patent applications and Patents, including – without derogating from the generality of the above, – briefs, office actions, examinations, correspondence, etc.</w:t>
      </w:r>
    </w:p>
    <w:p>
      <w:pPr>
        <w:spacing w:after="0" w:line="201" w:lineRule="exact"/>
        <w:rPr>
          <w:sz w:val="20"/>
          <w:szCs w:val="20"/>
          <w:color w:val="auto"/>
        </w:rPr>
      </w:pPr>
    </w:p>
    <w:p>
      <w:pPr>
        <w:jc w:val="both"/>
        <w:ind w:left="780"/>
        <w:spacing w:after="0" w:line="261" w:lineRule="auto"/>
        <w:rPr>
          <w:sz w:val="20"/>
          <w:szCs w:val="20"/>
          <w:color w:val="auto"/>
        </w:rPr>
      </w:pPr>
      <w:r>
        <w:rPr>
          <w:rFonts w:ascii="Arial" w:cs="Arial" w:eastAsia="Arial" w:hAnsi="Arial"/>
          <w:sz w:val="17"/>
          <w:szCs w:val="17"/>
          <w:color w:val="auto"/>
        </w:rPr>
        <w:t>In order to avoid delays, the Company (i) shall instruct Patent Counsel to provide simultaneous copies of all correspondence to both the Company and Yissum, (ii) shall – subject to the provisions of sub-section 9.2.39.1.3 above – send Yissum a copy of any document it generates at the same time it is sent to its intended recipient, and (iii) shall provide Yissum with a copy of any document it receives that has not also been sent to Yissum within three (3) days of its receipt;</w:t>
      </w:r>
    </w:p>
    <w:p>
      <w:pPr>
        <w:spacing w:after="0" w:line="204" w:lineRule="exact"/>
        <w:rPr>
          <w:sz w:val="20"/>
          <w:szCs w:val="20"/>
          <w:color w:val="auto"/>
        </w:rPr>
      </w:pPr>
    </w:p>
    <w:p>
      <w:pPr>
        <w:jc w:val="right"/>
        <w:spacing w:after="0" w:line="275" w:lineRule="auto"/>
        <w:rPr>
          <w:sz w:val="20"/>
          <w:szCs w:val="20"/>
          <w:color w:val="auto"/>
        </w:rPr>
      </w:pPr>
      <w:r>
        <w:rPr>
          <w:rFonts w:ascii="Arial" w:cs="Arial" w:eastAsia="Arial" w:hAnsi="Arial"/>
          <w:sz w:val="16"/>
          <w:szCs w:val="16"/>
          <w:color w:val="auto"/>
        </w:rPr>
        <w:t>9.2.5.     In any event of termination of the License with respect to a Patent, the control of the patent file with respect to such Patent (and in case of termination of the License in its entirety, the control of all patent files) shall revert to Yissum. The Company shall take all necessary steps to</w:t>
      </w:r>
    </w:p>
    <w:p>
      <w:pPr>
        <w:spacing w:after="0" w:line="1" w:lineRule="exact"/>
        <w:rPr>
          <w:sz w:val="20"/>
          <w:szCs w:val="20"/>
          <w:color w:val="auto"/>
        </w:rPr>
      </w:pPr>
    </w:p>
    <w:p>
      <w:pPr>
        <w:jc w:val="both"/>
        <w:ind w:left="780" w:hanging="8"/>
        <w:spacing w:after="0" w:line="255" w:lineRule="auto"/>
        <w:tabs>
          <w:tab w:leader="none" w:pos="993" w:val="left"/>
        </w:tabs>
        <w:numPr>
          <w:ilvl w:val="0"/>
          <w:numId w:val="717"/>
        </w:numPr>
        <w:rPr>
          <w:rFonts w:ascii="Arial" w:cs="Arial" w:eastAsia="Arial" w:hAnsi="Arial"/>
          <w:sz w:val="17"/>
          <w:szCs w:val="17"/>
          <w:color w:val="auto"/>
        </w:rPr>
      </w:pPr>
      <w:r>
        <w:rPr>
          <w:rFonts w:ascii="Arial" w:cs="Arial" w:eastAsia="Arial" w:hAnsi="Arial"/>
          <w:sz w:val="17"/>
          <w:szCs w:val="17"/>
          <w:color w:val="auto"/>
        </w:rPr>
        <w:t>notify the relevant patent offices that Yissum has assumed the sole right to prosecute and maintain the Patent; and (ii) instruct its patent attorney or attorneys to consider Yissum as its client with regard to the Patent, such that Yissum shall have the sole right to enter the Company’s place vis-à-vis the attorney with respect to such Patent, or – at Yissum’s sole discretion – to instruct the attorney to transfer the patent file and the right to act on behalf of Yissum with respect to such Patent to Yissum itself, or to another attorney or patent attorney which Yissum shall identify.</w:t>
      </w:r>
    </w:p>
    <w:p>
      <w:pPr>
        <w:spacing w:after="0" w:line="353"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Page 17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77470</wp:posOffset>
            </wp:positionV>
            <wp:extent cx="7257415" cy="209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440"/>
          </w:cols>
          <w:pgMar w:left="1220" w:top="501" w:right="239" w:bottom="1440" w:gutter="0" w:footer="0" w:header="0"/>
        </w:sectPr>
      </w:pPr>
    </w:p>
    <w:bookmarkStart w:id="775" w:name="page776"/>
    <w:bookmarkEnd w:id="775"/>
    <w:p>
      <w:pPr>
        <w:jc w:val="both"/>
        <w:ind w:left="620" w:hanging="616"/>
        <w:spacing w:after="0" w:line="257" w:lineRule="auto"/>
        <w:tabs>
          <w:tab w:leader="none" w:pos="60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Notwithstanding the foregoing in Section 9.2, above, should the Company sublicense the Licensed Technology, the Sublicensee shall not be obligated to consult with Yissum concerning the prosecution and maintenance of the Patents and Patent Applications, but shall be required to provide the Company with a copy of all material documents generated or received by the Subicensee and/or its attorneys in connection with the prosecution and maintenance of Patent applications and Patents, and the Company shall promptly provide same to Yissum. In order to avoid delays, the Sublicensee shall instruct its patent counsel to provide simultaneous copies of all material correspondence to both the Sublicensee and the Company, which will in turn promptly provide same to Yissum.</w:t>
      </w:r>
    </w:p>
    <w:p>
      <w:pPr>
        <w:spacing w:after="0" w:line="204" w:lineRule="exact"/>
        <w:rPr>
          <w:sz w:val="20"/>
          <w:szCs w:val="20"/>
          <w:color w:val="auto"/>
        </w:rPr>
      </w:pPr>
    </w:p>
    <w:p>
      <w:pPr>
        <w:jc w:val="both"/>
        <w:ind w:left="620" w:hanging="616"/>
        <w:spacing w:after="0" w:line="275" w:lineRule="auto"/>
        <w:tabs>
          <w:tab w:leader="none" w:pos="60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color w:val="auto"/>
        </w:rPr>
        <w:t xml:space="preserve">In the event that the Company is not willing to fund the registering or maintenance of a patent listed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in a certain territory included in the territories listed in Section 9.2.1, solely on the basis of reasonable commercial considerations to be provided in writing by the Company to Yissum, the Company will not be required to effect the registration and/or maintenance of the patent in such territory and Yissum may proceed to do so. In the event that Yissum decides to proceed with the registration and/or maintenance of the Patent in a certain territory as aforesaid, Yissum shall provide the Company with notice of its intention. The Company shall then have sixty (60) days to reconsider its decision and, if it then decides to proceed with the registration and/or maintenance of the Patent in such territory, it may do so. In the event that the Company does not reconsider its decision or fails to register or maintain the Patent following such reconsideration, then, and notwithstanding any other terms of this Agreement, the Company shall continue to pay Yissum Royalties due on any Net Sales made in such territory.</w:t>
      </w:r>
    </w:p>
    <w:p>
      <w:pPr>
        <w:spacing w:after="0" w:line="197" w:lineRule="exact"/>
        <w:rPr>
          <w:sz w:val="20"/>
          <w:szCs w:val="20"/>
          <w:color w:val="auto"/>
        </w:rPr>
      </w:pPr>
    </w:p>
    <w:p>
      <w:pPr>
        <w:jc w:val="both"/>
        <w:ind w:left="620" w:hanging="616"/>
        <w:spacing w:after="0" w:line="289" w:lineRule="auto"/>
        <w:tabs>
          <w:tab w:leader="none" w:pos="60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6"/>
          <w:szCs w:val="16"/>
          <w:color w:val="auto"/>
        </w:rPr>
        <w:t>The foregoing does not constitute an obligation on the part of any of the parties that any Patent or Patent registration application will indeed be made and/or registered and/or be registerable in respect of the Licensed Technology and/or any part thereof, nor shall it constitute an obligation, warranty, or declaration on the part of any of the parties that a patent registered as aforesaid will afford due protection.</w:t>
      </w:r>
    </w:p>
    <w:p>
      <w:pPr>
        <w:spacing w:after="0" w:line="178" w:lineRule="exact"/>
        <w:rPr>
          <w:sz w:val="20"/>
          <w:szCs w:val="20"/>
          <w:color w:val="auto"/>
        </w:rPr>
      </w:pPr>
    </w:p>
    <w:p>
      <w:pPr>
        <w:jc w:val="both"/>
        <w:ind w:left="620"/>
        <w:spacing w:after="0" w:line="263" w:lineRule="auto"/>
        <w:rPr>
          <w:sz w:val="20"/>
          <w:szCs w:val="20"/>
          <w:color w:val="auto"/>
        </w:rPr>
      </w:pPr>
      <w:r>
        <w:rPr>
          <w:rFonts w:ascii="Arial" w:cs="Arial" w:eastAsia="Arial" w:hAnsi="Arial"/>
          <w:sz w:val="17"/>
          <w:szCs w:val="17"/>
          <w:color w:val="auto"/>
        </w:rPr>
        <w:t xml:space="preserve">For the avoidance of doubt, the provisions of this Agreement and of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do not constitute a representation or warranty on the part of Yissum regarding the validity of and/or the protection afforded by any of the Patents and/or Patent registration applications detailed in </w:t>
      </w:r>
      <w:r>
        <w:rPr>
          <w:rFonts w:ascii="Arial" w:cs="Arial" w:eastAsia="Arial" w:hAnsi="Arial"/>
          <w:sz w:val="17"/>
          <w:szCs w:val="17"/>
          <w:b w:val="1"/>
          <w:bCs w:val="1"/>
          <w:color w:val="auto"/>
        </w:rPr>
        <w:t>Appendix A</w:t>
      </w:r>
      <w:r>
        <w:rPr>
          <w:rFonts w:ascii="Arial" w:cs="Arial" w:eastAsia="Arial" w:hAnsi="Arial"/>
          <w:sz w:val="17"/>
          <w:szCs w:val="17"/>
          <w:color w:val="auto"/>
        </w:rPr>
        <w:t>, and Yissum hereby expresses that it has made no examination as to the validity of the Patents and/or Patent applications as aforesaid before the submission thereof for registration.</w:t>
      </w:r>
    </w:p>
    <w:p>
      <w:pPr>
        <w:spacing w:after="0" w:line="345"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18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499" w:right="239" w:bottom="1440" w:gutter="0" w:footer="0" w:header="0"/>
        </w:sectPr>
      </w:pPr>
    </w:p>
    <w:bookmarkStart w:id="776" w:name="page777"/>
    <w:bookmarkEnd w:id="776"/>
    <w:p>
      <w:pPr>
        <w:jc w:val="both"/>
        <w:ind w:left="980" w:hanging="616"/>
        <w:spacing w:after="0" w:line="281" w:lineRule="auto"/>
        <w:tabs>
          <w:tab w:leader="none" w:pos="96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6"/>
          <w:szCs w:val="16"/>
          <w:color w:val="auto"/>
        </w:rPr>
        <w:t xml:space="preserve">The parties shall assist each other in all respects relating to the preparation of documents for the registration of any patent included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or any patent-related right forthwith upon the request of the other party, including taking all appropriate action in order to extend the duration of the patent or obtain any other extension obtainable under law, to maximize the scope of the protection afforded by the patents listed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The Company shall be primarily responsible to seek extension of protection for the Patents, and in the event it is not willing to do so with respect to a particular Patent, and Yissum obtains such an extension, then the provisions of Section 9.3 shall apply to such Patent </w:t>
      </w:r>
      <w:r>
        <w:rPr>
          <w:rFonts w:ascii="Arial" w:cs="Arial" w:eastAsia="Arial" w:hAnsi="Arial"/>
          <w:sz w:val="16"/>
          <w:szCs w:val="16"/>
          <w:i w:val="1"/>
          <w:iCs w:val="1"/>
          <w:color w:val="auto"/>
        </w:rPr>
        <w:t>mutatis mutandis.</w:t>
      </w:r>
    </w:p>
    <w:p>
      <w:pPr>
        <w:spacing w:after="0" w:line="165" w:lineRule="exact"/>
        <w:rPr>
          <w:sz w:val="20"/>
          <w:szCs w:val="20"/>
          <w:color w:val="auto"/>
        </w:rPr>
      </w:pPr>
    </w:p>
    <w:p>
      <w:pPr>
        <w:ind w:left="460" w:hanging="457"/>
        <w:spacing w:after="0"/>
        <w:tabs>
          <w:tab w:leader="none" w:pos="460" w:val="left"/>
        </w:tabs>
        <w:numPr>
          <w:ilvl w:val="0"/>
          <w:numId w:val="718"/>
        </w:numPr>
        <w:rPr>
          <w:rFonts w:ascii="Arial" w:cs="Arial" w:eastAsia="Arial" w:hAnsi="Arial"/>
          <w:sz w:val="21"/>
          <w:szCs w:val="21"/>
          <w:b w:val="1"/>
          <w:bCs w:val="1"/>
          <w:color w:val="auto"/>
        </w:rPr>
      </w:pPr>
      <w:r>
        <w:rPr>
          <w:rFonts w:ascii="Arial" w:cs="Arial" w:eastAsia="Arial" w:hAnsi="Arial"/>
          <w:sz w:val="17"/>
          <w:szCs w:val="17"/>
          <w:b w:val="1"/>
          <w:bCs w:val="1"/>
          <w:color w:val="auto"/>
        </w:rPr>
        <w:t>Patent Rights Protection</w:t>
      </w:r>
    </w:p>
    <w:p>
      <w:pPr>
        <w:spacing w:after="0" w:line="246" w:lineRule="exact"/>
        <w:rPr>
          <w:sz w:val="20"/>
          <w:szCs w:val="20"/>
          <w:color w:val="auto"/>
        </w:rPr>
      </w:pPr>
    </w:p>
    <w:p>
      <w:pPr>
        <w:jc w:val="both"/>
        <w:ind w:left="980" w:hanging="616"/>
        <w:spacing w:after="0" w:line="259" w:lineRule="auto"/>
        <w:tabs>
          <w:tab w:leader="none" w:pos="9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 xml:space="preserve">The Company undertakes, in reasonable commercial circumstances and after consultation with Patent Counsel, to take action in the prosecution, prevention, or termination of any Infringement of the Patents listed in </w:t>
      </w:r>
      <w:r>
        <w:rPr>
          <w:rFonts w:ascii="Arial" w:cs="Arial" w:eastAsia="Arial" w:hAnsi="Arial"/>
          <w:sz w:val="17"/>
          <w:szCs w:val="17"/>
          <w:b w:val="1"/>
          <w:bCs w:val="1"/>
          <w:color w:val="auto"/>
        </w:rPr>
        <w:t>Appendix A</w:t>
      </w:r>
      <w:r>
        <w:rPr>
          <w:rFonts w:ascii="Arial" w:cs="Arial" w:eastAsia="Arial" w:hAnsi="Arial"/>
          <w:sz w:val="17"/>
          <w:szCs w:val="17"/>
          <w:color w:val="auto"/>
        </w:rPr>
        <w:t>, and to advise Yissum forthwith upon learning of such Infringement. The Company shall provide Yissum with a written report summarizing the grounds for its decision to take action as aforesaid or to refrain therefrom. For the purposes hereof, “</w:t>
      </w:r>
      <w:r>
        <w:rPr>
          <w:rFonts w:ascii="Arial" w:cs="Arial" w:eastAsia="Arial" w:hAnsi="Arial"/>
          <w:sz w:val="17"/>
          <w:szCs w:val="17"/>
          <w:b w:val="1"/>
          <w:bCs w:val="1"/>
          <w:color w:val="auto"/>
        </w:rPr>
        <w:t>Infringement</w:t>
      </w:r>
      <w:r>
        <w:rPr>
          <w:rFonts w:ascii="Arial" w:cs="Arial" w:eastAsia="Arial" w:hAnsi="Arial"/>
          <w:sz w:val="17"/>
          <w:szCs w:val="17"/>
          <w:color w:val="auto"/>
        </w:rPr>
        <w:t xml:space="preserve">” shall mean any possible or actual infringement or unauthorized possession, knowledge or use of any Patents listed in </w:t>
      </w:r>
      <w:r>
        <w:rPr>
          <w:rFonts w:ascii="Arial" w:cs="Arial" w:eastAsia="Arial" w:hAnsi="Arial"/>
          <w:sz w:val="17"/>
          <w:szCs w:val="17"/>
          <w:b w:val="1"/>
          <w:bCs w:val="1"/>
          <w:color w:val="auto"/>
        </w:rPr>
        <w:t>Appendix A</w:t>
      </w:r>
      <w:r>
        <w:rPr>
          <w:rFonts w:ascii="Arial" w:cs="Arial" w:eastAsia="Arial" w:hAnsi="Arial"/>
          <w:sz w:val="20"/>
          <w:szCs w:val="20"/>
          <w:color w:val="auto"/>
        </w:rPr>
        <w:t>.</w:t>
      </w:r>
    </w:p>
    <w:p>
      <w:pPr>
        <w:spacing w:after="0" w:line="194" w:lineRule="exact"/>
        <w:rPr>
          <w:sz w:val="20"/>
          <w:szCs w:val="20"/>
          <w:color w:val="auto"/>
        </w:rPr>
      </w:pPr>
    </w:p>
    <w:p>
      <w:pPr>
        <w:jc w:val="both"/>
        <w:ind w:left="980" w:hanging="616"/>
        <w:spacing w:after="0" w:line="295" w:lineRule="auto"/>
        <w:tabs>
          <w:tab w:leader="none" w:pos="96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Should the Company bring suit against an infringer as aforesaid, and Yissum needs to be joined as party plaintiff in any such suit, Yissum shall consent to such joinder and shall have the right to approve the counsel selected by the Company to represent the Company and Yissum, such approval not to be unreasonably withheld. The expenses of such suit or suits that the Company elects to bring, including any expenses of Yissum incurred in conjunction with the prosecution of such suits or the settlement thereof, shall be paid for entirely by the Company, and the Company shall hold Yissum free, clear and harmless from and against any and all costs of such litigation, including attorneys’ fees. The Company shall not compromise or settle such litigation, or acquire a license to any third party intellectual property in order to settle or bring to a conclusion such litigation, without the prior written consent of Yissum, which consent shall not be unreasonably withheld or delayed, except in cases where the Company can show conclusively that the results of such settlement will have no effect whatsoever on Yissum and/or its past, present or future rights.</w:t>
      </w:r>
    </w:p>
    <w:p>
      <w:pPr>
        <w:spacing w:after="0" w:line="182" w:lineRule="exact"/>
        <w:rPr>
          <w:sz w:val="20"/>
          <w:szCs w:val="20"/>
          <w:color w:val="auto"/>
        </w:rPr>
      </w:pPr>
    </w:p>
    <w:p>
      <w:pPr>
        <w:jc w:val="both"/>
        <w:ind w:left="980" w:hanging="616"/>
        <w:spacing w:after="0" w:line="257" w:lineRule="auto"/>
        <w:tabs>
          <w:tab w:leader="none" w:pos="96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Any award or settlement payment resulting from legal action initiated by the Company in accordance with the foregoing, shall be utilized, first, to effect reimbursement of documented out-of-pocket expenses incurred by the Company in relation to such legal action, including the reimbursement of amounts required by Section 10.2, above, to be paid to Yissum, and thereafter shall be paid to the Company and shall be deemed Sublicense Consideration received under this Agreement. Should the Company acquire a license to any third party intellectual property in order to settle or bring to a conclusion any legal action taken as contemplated by this Section 10, then amounts payable to such third party under the license shall be deemed Third Party Royalties.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19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77" w:name="page778"/>
    <w:bookmarkEnd w:id="777"/>
    <w:p>
      <w:pPr>
        <w:jc w:val="both"/>
        <w:ind w:left="620" w:hanging="616"/>
        <w:spacing w:after="0" w:line="293" w:lineRule="auto"/>
        <w:tabs>
          <w:tab w:leader="none" w:pos="6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If the Company does not take action in the prosecution, prevention, or termination of any Infringement as aforesaid, and has not commenced negotiations with the infringer for the discontinuance of said Infringement within ninety (90) days after receipt of notice to the Company by Yissum of the existence of an Infringement, and if Yissum in good faith disagrees with the Company that it is in the parties’ mutual best interest not to pursue any such remedies, then the Company shall, in the Company’s sole election, either (a) bestow upon Yissum the right to pursue such remedies, at Yissum’s sole cost, in connection with the Infringement, provided that Yissum does not make any settlement or compromise that affects the interests of the Company in the Product without the prior written consent of the Company, such consent not to be unreasonably withheld, conditioned or delayed; or (b) pay Yissum the royalties that Yissum would otherwise receive from the Company attributable to the lost sales resulting from such alleged infringement in such country where the alleged infringement is occurring (in other words, the lost sales in such country due to such infringement shall be treated as Net Sales for purposes of determining any royalty owed to Yissum under Section 6.2, above). The Company shall provide Yissum with all reasonable information relating to lost sales (including information of sales by the infringers, as may be available).</w:t>
      </w:r>
    </w:p>
    <w:p>
      <w:pPr>
        <w:spacing w:after="0" w:line="184" w:lineRule="exact"/>
        <w:rPr>
          <w:sz w:val="20"/>
          <w:szCs w:val="20"/>
          <w:color w:val="auto"/>
        </w:rPr>
      </w:pPr>
    </w:p>
    <w:p>
      <w:pPr>
        <w:jc w:val="both"/>
        <w:ind w:left="620" w:hanging="616"/>
        <w:spacing w:after="0" w:line="275" w:lineRule="auto"/>
        <w:tabs>
          <w:tab w:leader="none" w:pos="6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color w:val="auto"/>
        </w:rPr>
        <w:t xml:space="preserve">Should Yissum elect to bring suit against an infringer as aforesaid, if the Company needs to be joined as party plaintiff in any such suit, the Company shall consent to such joinder, and shall have the right to approve the counsel selected by Yissum to represent Yissum and the Company, such approval not to be unreasonably withheld. The expenses of such suit or suits that Yissum elects to bring, including any reasonable expenses of the Company incurred in conjunction with the prosecution of such suits or the settlement thereof, shall be paid for entirely by Yissum and Yissum shall hold the Company free, clear and harmless from and against any and all costs of such litigation, including reasonable attorneys’ fees. Yissum shall have the sole authority and discretion to compromise or settle such litigation without the prior written consent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compromise or settlement, as the case may be, does not impact upon or restrict the Company’s rights.</w:t>
      </w:r>
    </w:p>
    <w:p>
      <w:pPr>
        <w:spacing w:after="0" w:line="196" w:lineRule="exact"/>
        <w:rPr>
          <w:sz w:val="20"/>
          <w:szCs w:val="20"/>
          <w:color w:val="auto"/>
        </w:rPr>
      </w:pPr>
    </w:p>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Subject to the provisions of Section 10.5, above, with respect to the reimbursement of the Company’s expenses, any award or settlement payment resulting from legal action initiated by Yissum in accordance with Section 10.5, above, shall be retained in full by Yissum.</w:t>
      </w:r>
    </w:p>
    <w:p>
      <w:pPr>
        <w:spacing w:after="0" w:line="190" w:lineRule="exact"/>
        <w:rPr>
          <w:sz w:val="20"/>
          <w:szCs w:val="20"/>
          <w:color w:val="auto"/>
        </w:rPr>
      </w:pPr>
    </w:p>
    <w:p>
      <w:pPr>
        <w:jc w:val="both"/>
        <w:ind w:left="620" w:hanging="616"/>
        <w:spacing w:after="0" w:line="317" w:lineRule="auto"/>
        <w:tabs>
          <w:tab w:leader="none" w:pos="6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Each party shall notify the other immediately upon learning of any Infringement. Each party shall give the other party prompt written notice of any approach made to it by a patent examiner and/or attorney in connection with any matter that is the subject matter of this Agreement. The party so approached shall only reply to such approaches after consultation with the other party and subject to their consent, not be to be unreasonably withheld.</w:t>
      </w:r>
    </w:p>
    <w:p>
      <w:pPr>
        <w:spacing w:after="0" w:line="165" w:lineRule="exact"/>
        <w:rPr>
          <w:sz w:val="20"/>
          <w:szCs w:val="20"/>
          <w:color w:val="auto"/>
        </w:rPr>
      </w:pPr>
    </w:p>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 xml:space="preserve">Each party shall keep the other party apprised of the progress of its actions in providing protection of patent rights as detailed above, and the provisions of sub-section 9.2.49.1.4,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with respect to protection of patent rights.</w:t>
      </w:r>
    </w:p>
    <w:p>
      <w:pPr>
        <w:spacing w:after="0" w:line="33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20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78" w:name="page779"/>
    <w:bookmarkEnd w:id="778"/>
    <w:p>
      <w:pPr>
        <w:jc w:val="both"/>
        <w:ind w:left="980" w:hanging="616"/>
        <w:spacing w:after="0" w:line="271" w:lineRule="auto"/>
        <w:tabs>
          <w:tab w:leader="none" w:pos="96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Each party shall have the right to select its own legal counsel, at its own expense in any suit instituted under this Section 10 by another party for Infringement. Each party agrees to cooperate fully in any action under this Section 10 which is controlled by another party, provided that the controlling party reimburses the cooperating party promptly for any costs and expenses incurred by the cooperating party in connection with providing such assistance.</w:t>
      </w:r>
    </w:p>
    <w:p>
      <w:pPr>
        <w:spacing w:after="0" w:line="173" w:lineRule="exact"/>
        <w:rPr>
          <w:sz w:val="20"/>
          <w:szCs w:val="20"/>
          <w:color w:val="auto"/>
        </w:rPr>
      </w:pPr>
    </w:p>
    <w:p>
      <w:pPr>
        <w:ind w:left="620" w:hanging="617"/>
        <w:spacing w:after="0"/>
        <w:tabs>
          <w:tab w:leader="none" w:pos="620" w:val="left"/>
        </w:tabs>
        <w:numPr>
          <w:ilvl w:val="0"/>
          <w:numId w:val="719"/>
        </w:numPr>
        <w:rPr>
          <w:rFonts w:ascii="Arial" w:cs="Arial" w:eastAsia="Arial" w:hAnsi="Arial"/>
          <w:sz w:val="21"/>
          <w:szCs w:val="21"/>
          <w:b w:val="1"/>
          <w:bCs w:val="1"/>
          <w:color w:val="auto"/>
        </w:rPr>
      </w:pPr>
      <w:r>
        <w:rPr>
          <w:rFonts w:ascii="Arial" w:cs="Arial" w:eastAsia="Arial" w:hAnsi="Arial"/>
          <w:sz w:val="17"/>
          <w:szCs w:val="17"/>
          <w:b w:val="1"/>
          <w:bCs w:val="1"/>
          <w:color w:val="auto"/>
        </w:rPr>
        <w:t>Confidentiality</w:t>
      </w:r>
    </w:p>
    <w:p>
      <w:pPr>
        <w:spacing w:after="0" w:line="246" w:lineRule="exact"/>
        <w:rPr>
          <w:sz w:val="20"/>
          <w:szCs w:val="20"/>
          <w:color w:val="auto"/>
        </w:rPr>
      </w:pPr>
    </w:p>
    <w:p>
      <w:pPr>
        <w:jc w:val="both"/>
        <w:ind w:left="980" w:hanging="616"/>
        <w:spacing w:after="0" w:line="274" w:lineRule="auto"/>
        <w:tabs>
          <w:tab w:leader="none" w:pos="9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6"/>
          <w:szCs w:val="16"/>
          <w:color w:val="auto"/>
        </w:rPr>
        <w:t>The Company warrants and undertakes that, without the prior written consent of Yissum, during the term of this Agreement and for a period of five (5) years subsequent thereto, it shall treat the Yissum Confidential Information (as herein defined) with the same degree of confidentiality as it keeps its own confidential information, but in all events no less than a reasonable degree of confidentiality. The Company shall also be responsible for its officers and/or employees and/or representatives and/or persons acting on its behalf maintaining the confidentiality of the Yissum Confidential Information. For the purpose hereof, “Yissum Confidential Information” means any scientific, technical, trade, business or personal information relating to the subject matter of this Agreement, Yissum, the University, and the Yissum Scientist designated as confidential or which otherwise should reasonably be construed under the circumstances as being confidential disclosed by or on behalf of Yissum or any of their employees, researcher or students to the Company, whether in oral, written, graphic or machine-readable form.</w:t>
      </w:r>
    </w:p>
    <w:p>
      <w:pPr>
        <w:spacing w:after="0" w:line="198" w:lineRule="exact"/>
        <w:rPr>
          <w:sz w:val="20"/>
          <w:szCs w:val="20"/>
          <w:color w:val="auto"/>
        </w:rPr>
      </w:pPr>
    </w:p>
    <w:p>
      <w:pPr>
        <w:jc w:val="both"/>
        <w:ind w:left="980" w:hanging="616"/>
        <w:spacing w:after="0" w:line="289" w:lineRule="auto"/>
        <w:tabs>
          <w:tab w:leader="none" w:pos="9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The obligation contained in this section shall not apply to information which (i) is in the public domain as at the date hereof or to information which hereafter comes into the public domain, unless the Company breaches its obligations pursuant to this Agreement and as a result thereof the information comes into the public domain; (ii) was known to the Company at the time it was disclosed, other than by previous disclosure by or on behalf of Yissum or any of their employees, researcher to students, as evidenced by the Company’s written records at the time of disclosure; (iii) is lawfully and in good faith made available to the Company by a third party who is not subject to obligations of confidentiality to Yissum with respect to such information; or</w:t>
      </w:r>
    </w:p>
    <w:p>
      <w:pPr>
        <w:spacing w:after="0" w:line="2" w:lineRule="exact"/>
        <w:rPr>
          <w:sz w:val="20"/>
          <w:szCs w:val="20"/>
          <w:color w:val="auto"/>
        </w:rPr>
      </w:pPr>
    </w:p>
    <w:p>
      <w:pPr>
        <w:ind w:left="980"/>
        <w:spacing w:after="0" w:line="265" w:lineRule="auto"/>
        <w:tabs>
          <w:tab w:leader="none" w:pos="1310" w:val="left"/>
        </w:tabs>
        <w:numPr>
          <w:ilvl w:val="0"/>
          <w:numId w:val="720"/>
        </w:numPr>
        <w:rPr>
          <w:rFonts w:ascii="Arial" w:cs="Arial" w:eastAsia="Arial" w:hAnsi="Arial"/>
          <w:sz w:val="17"/>
          <w:szCs w:val="17"/>
          <w:color w:val="auto"/>
        </w:rPr>
      </w:pPr>
      <w:r>
        <w:rPr>
          <w:rFonts w:ascii="Arial" w:cs="Arial" w:eastAsia="Arial" w:hAnsi="Arial"/>
          <w:sz w:val="17"/>
          <w:szCs w:val="17"/>
          <w:color w:val="auto"/>
        </w:rPr>
        <w:t>is independently developed by the Company without the use of or reference to the Yissum Confidential Information, as demonstrated by documentary evidence created contemporaneously with such independent development.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21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79" w:name="page780"/>
    <w:bookmarkEnd w:id="779"/>
    <w:p>
      <w:pPr>
        <w:jc w:val="both"/>
        <w:ind w:left="620" w:hanging="616"/>
        <w:spacing w:after="0" w:line="296" w:lineRule="auto"/>
        <w:tabs>
          <w:tab w:leader="none" w:pos="60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 xml:space="preserve">Notwithstanding the above, the Company may disclose Yissum Confidential Information only (a) to its employees, Affiliates and Sublicensees, as necessary for the performance of its obligations pursuant to this Agreement, provided that such employees, Affiliates’ and Sublicensees are legally bound by a confidentiality agreement substantially similar in content to this Section 11; (b) to actual and potential business partners, investors, service providers and consultants, provided, in each case, that such recipient of the Yissum Confidential Information first enters into a legally binding agreement with the Company which imposes confidentiality obligations with respect to the Yissum Confidential Information comparable to those set forth in this Agreement and has a minimum term of seven (7) years from date of signature of the binding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where the recipient refuses to agree to a seven year term, the Company may agree to a lesser term which, in no event, shall be less than five (5) years</w:t>
      </w:r>
    </w:p>
    <w:p>
      <w:pPr>
        <w:spacing w:after="0" w:line="183" w:lineRule="exact"/>
        <w:rPr>
          <w:sz w:val="20"/>
          <w:szCs w:val="20"/>
          <w:color w:val="auto"/>
        </w:rPr>
      </w:pPr>
    </w:p>
    <w:p>
      <w:pPr>
        <w:jc w:val="both"/>
        <w:ind w:left="620" w:hanging="616"/>
        <w:spacing w:after="0" w:line="289" w:lineRule="auto"/>
        <w:tabs>
          <w:tab w:leader="none" w:pos="60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6"/>
          <w:szCs w:val="16"/>
          <w:color w:val="auto"/>
        </w:rPr>
        <w:t xml:space="preserve">Without prejudice to the foregoing, the Company shall not mention the name of the University and/or Yissum in any manner or for any purpose in connection with this Agreement or any matter relating to the Licensed Technology, without obtaining the prior written consent of Yissum;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make such mention if required by law or in the reasonable and ordinary course of exercising the License.</w:t>
      </w:r>
    </w:p>
    <w:p>
      <w:pPr>
        <w:spacing w:after="0" w:line="184" w:lineRule="exact"/>
        <w:rPr>
          <w:sz w:val="20"/>
          <w:szCs w:val="20"/>
          <w:color w:val="auto"/>
        </w:rPr>
      </w:pPr>
    </w:p>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color w:val="auto"/>
        </w:rPr>
        <w:t>Yissum shall procure that the Yissum Scientist and/or any other person connected with it with regard to the License execute a confidentiality agreement substantially similar in content to this Section 11.</w:t>
      </w:r>
    </w:p>
    <w:p>
      <w:pPr>
        <w:spacing w:after="0" w:line="190" w:lineRule="exact"/>
        <w:rPr>
          <w:sz w:val="20"/>
          <w:szCs w:val="20"/>
          <w:color w:val="auto"/>
        </w:rPr>
      </w:pPr>
    </w:p>
    <w:p>
      <w:pPr>
        <w:jc w:val="both"/>
        <w:ind w:left="620" w:hanging="616"/>
        <w:spacing w:after="0" w:line="271" w:lineRule="auto"/>
        <w:tabs>
          <w:tab w:leader="none" w:pos="60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6"/>
          <w:szCs w:val="16"/>
          <w:color w:val="auto"/>
        </w:rPr>
        <w:t>Yissum agrees that, without the prior written consent of the Company, in each case, during the term of this Agreement and for five (5) years thereafter, it will keep confidential, and not disclose or use Company Confidential Information (as defined below) other than for the purposes of this Agreement. Yissum shall treat such Company Confidential Information with the same degree of confidentiality as it keeps its own confidential information, but in all events no less than a reasonable degree of confidentiality. Yissum may disclose the Company Confidential Information only to employees and consultants of Yissum who have a “need to know” such information in order to enable Yissum to exercise its rights or fulfill its obligations under this Agreement and are legally bound by agreements which impose confidentiality and non-use obligations comparable to those set forth in this Agreement. For purposes of this Agreement, “</w:t>
      </w:r>
      <w:r>
        <w:rPr>
          <w:rFonts w:ascii="Arial" w:cs="Arial" w:eastAsia="Arial" w:hAnsi="Arial"/>
          <w:sz w:val="16"/>
          <w:szCs w:val="16"/>
          <w:b w:val="1"/>
          <w:bCs w:val="1"/>
          <w:color w:val="auto"/>
        </w:rPr>
        <w:t>Company Confidential Information</w:t>
      </w:r>
      <w:r>
        <w:rPr>
          <w:rFonts w:ascii="Arial" w:cs="Arial" w:eastAsia="Arial" w:hAnsi="Arial"/>
          <w:sz w:val="16"/>
          <w:szCs w:val="16"/>
          <w:color w:val="auto"/>
        </w:rPr>
        <w:t>” means any scientific, technical, trade or business information relating to the subject matter of this Agreement designated as confidential or which otherwise should reasonably be construed under the circumstances as being confidential disclosed by or on behalf of Company pursuant to this Agreement, whether in oral, written, graphic or machine-readable form, except to the extent such information: (i) was known to Yissum at the time it was disclosed, other than by previous disclosure by or on behalf of Company as evidenced by Yissum’s written records at the time of disclosure; (ii) is at the time of disclosure or later becomes publicly known under circumstances involving no breach of this Agreement; (iii) is lawfully and in good faith made available to Yissum by a third party who is not subject to obligations of confidentiality to Company with respect to such information; or (iv) is independently developed by Yissum without the use of or reference to the Company Confidential Information, as demonstrated by documentary evidence. For the avoidance of doubt, the Development Results and any part thereof shall be deemed to be Company Confidential Information.</w:t>
      </w:r>
    </w:p>
    <w:p>
      <w:pPr>
        <w:spacing w:after="0" w:line="34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22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80" w:name="page781"/>
    <w:bookmarkEnd w:id="780"/>
    <w:p>
      <w:pPr>
        <w:jc w:val="both"/>
        <w:ind w:left="980" w:hanging="616"/>
        <w:spacing w:after="0" w:line="257" w:lineRule="auto"/>
        <w:tabs>
          <w:tab w:leader="none" w:pos="96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color w:val="auto"/>
        </w:rPr>
        <w:t>Notwithstanding anything to the contrary herein, each party may disclose non-commercial or non-confidential terms of this Agreement to the extent required, in the reasonable opinion of such party’s legal counsel, to comply with applicable laws. If a party discloses this Agreement or any of the terms hereof as aforesaid, such party agrees, where possible, to seek confidential treatment of portions of this Agreement or such terms, as may be reasonably requested by the other party. For the avoidance of doubt, the Company may disclose commercial or confidential terms of this Agreement, as necessary or required under applicable laws and regulations, including Israeli and other applicable securities laws and the regulations of the Tel-Aviv Stock Exchange and other applicable exchanges.</w:t>
      </w:r>
    </w:p>
    <w:p>
      <w:pPr>
        <w:spacing w:after="0" w:line="210" w:lineRule="exact"/>
        <w:rPr>
          <w:sz w:val="20"/>
          <w:szCs w:val="20"/>
          <w:color w:val="auto"/>
        </w:rPr>
      </w:pPr>
    </w:p>
    <w:p>
      <w:pPr>
        <w:jc w:val="both"/>
        <w:ind w:left="980" w:hanging="616"/>
        <w:spacing w:after="0" w:line="293" w:lineRule="auto"/>
        <w:tabs>
          <w:tab w:leader="none" w:pos="96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5"/>
          <w:szCs w:val="15"/>
          <w:color w:val="auto"/>
        </w:rPr>
        <w:t>Without derogating from the terms of this Section 11, the Company may make announcements, publications, presentations and similar disclosures relating to the general subject matter of this Agreement, in connection with the marketing or sale of any Products, or in respect of the progress of the exercise of the License granted hereunder with the prior written approval of Yissum, provided that no such announcement, publications, presentations or similar disclosures may be made where the content of such would state or imply that Yissum, the University or the Yissum Scientist approve of the actions of the Company in connection with this Agreement. No such consent shall be required, however, under the following cumulative conditions: (a) the Company does not disclose any of Yissum Confidential Information (as defined above), (b) the commercial terms of this Agreement are not disclosed, and (c) no information which is likely to be considered material by Yissum in connection with their rights and obligations hereunder is disclosed. Except as provided above, no party hereto will make any public announcement regarding this Agreement without the prior written approval of the other party. The announcing party shall notify the other party in writing and provide a draft of such public announcement and the other party shall inform the announcing party within 5 business days in the event it has any objections to the draft announcement.</w:t>
      </w:r>
    </w:p>
    <w:p>
      <w:pPr>
        <w:spacing w:after="0" w:line="184"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5"/>
          <w:szCs w:val="15"/>
          <w:color w:val="auto"/>
        </w:rPr>
        <w:t>This Section 11 shall survive expiry or termination of this Agreement for 5 years subsequent to the termination of this Agreement.</w:t>
      </w:r>
    </w:p>
    <w:p>
      <w:pPr>
        <w:spacing w:after="0" w:line="242"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5"/>
          <w:szCs w:val="15"/>
          <w:color w:val="auto"/>
        </w:rPr>
        <w:t>The provisions of this section shall be subject to permitted publications pursuant to Section 12 herein.</w:t>
      </w:r>
    </w:p>
    <w:p>
      <w:pPr>
        <w:spacing w:after="0" w:line="217" w:lineRule="exact"/>
        <w:rPr>
          <w:sz w:val="20"/>
          <w:szCs w:val="20"/>
          <w:color w:val="auto"/>
        </w:rPr>
      </w:pPr>
    </w:p>
    <w:p>
      <w:pPr>
        <w:ind w:left="460" w:hanging="457"/>
        <w:spacing w:after="0"/>
        <w:tabs>
          <w:tab w:leader="none" w:pos="460" w:val="left"/>
        </w:tabs>
        <w:numPr>
          <w:ilvl w:val="0"/>
          <w:numId w:val="721"/>
        </w:numPr>
        <w:rPr>
          <w:rFonts w:ascii="Arial" w:cs="Arial" w:eastAsia="Arial" w:hAnsi="Arial"/>
          <w:sz w:val="21"/>
          <w:szCs w:val="21"/>
          <w:b w:val="1"/>
          <w:bCs w:val="1"/>
          <w:color w:val="auto"/>
        </w:rPr>
      </w:pPr>
      <w:r>
        <w:rPr>
          <w:rFonts w:ascii="Arial" w:cs="Arial" w:eastAsia="Arial" w:hAnsi="Arial"/>
          <w:sz w:val="17"/>
          <w:szCs w:val="17"/>
          <w:b w:val="1"/>
          <w:bCs w:val="1"/>
          <w:color w:val="auto"/>
        </w:rPr>
        <w:t>Publications</w:t>
      </w:r>
    </w:p>
    <w:p>
      <w:pPr>
        <w:spacing w:after="0" w:line="246" w:lineRule="exact"/>
        <w:rPr>
          <w:sz w:val="20"/>
          <w:szCs w:val="20"/>
          <w:color w:val="auto"/>
        </w:rPr>
      </w:pPr>
    </w:p>
    <w:p>
      <w:pPr>
        <w:jc w:val="both"/>
        <w:ind w:left="980" w:hanging="616"/>
        <w:spacing w:after="0" w:line="261" w:lineRule="auto"/>
        <w:tabs>
          <w:tab w:leader="none" w:pos="9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Yissum shall ensure that no publications in writing, in scientific journals or otherwise, or presentations or other oral disclosures at scientific conventions relating to the Development Plan, the Development Results or the Licensed Technology, and which are subject to the terms and conditions of this Agreement, are published or presented, as the case may be, by it or by the Yissum Scientists, or at the Yissum Scientists’ direction, without the prior written consent of the Company, which consent shall not be unreasonably withheld.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23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81" w:name="page782"/>
    <w:bookmarkEnd w:id="781"/>
    <w:p>
      <w:pPr>
        <w:jc w:val="both"/>
        <w:ind w:left="980" w:hanging="616"/>
        <w:spacing w:after="0" w:line="261" w:lineRule="auto"/>
        <w:tabs>
          <w:tab w:leader="none" w:pos="9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Yissum shall provide the Company with a written copy of the material to be so submitted or presented, and shall allow the Company to review such submission to determine whether the publication or presentation contains subject matter for which patent protection should be sought prior to publication or presentation. The Company undertakes to reply to any such request for consent by Yissum within thirty (30) days of application. The Company may only decline such an application upon reasonable grounds, which shall be fully detailed in writing.</w:t>
      </w:r>
    </w:p>
    <w:p>
      <w:pPr>
        <w:spacing w:after="0" w:line="204" w:lineRule="exact"/>
        <w:rPr>
          <w:sz w:val="20"/>
          <w:szCs w:val="20"/>
          <w:color w:val="auto"/>
        </w:rPr>
      </w:pPr>
    </w:p>
    <w:p>
      <w:pPr>
        <w:jc w:val="both"/>
        <w:ind w:left="980" w:hanging="616"/>
        <w:spacing w:after="0" w:line="293" w:lineRule="auto"/>
        <w:tabs>
          <w:tab w:leader="none" w:pos="9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Should the Company decide not to allow publication or presentation as provided above, publication shall be postponed for a period of not more than three (3) months from the date of submission of the request to the Company, in order to enable the necessary patent filings to be made. After such three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(3) months period, the Yissum Scientist shall be free to publish or present the postponed publication in any manner they see fit.</w:t>
      </w:r>
    </w:p>
    <w:p>
      <w:pPr>
        <w:spacing w:after="0" w:line="231" w:lineRule="exact"/>
        <w:rPr>
          <w:sz w:val="20"/>
          <w:szCs w:val="20"/>
          <w:color w:val="auto"/>
        </w:rPr>
      </w:pPr>
    </w:p>
    <w:p>
      <w:pPr>
        <w:jc w:val="both"/>
        <w:ind w:left="980" w:hanging="616"/>
        <w:spacing w:after="0" w:line="311" w:lineRule="auto"/>
        <w:tabs>
          <w:tab w:leader="none" w:pos="9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color w:val="auto"/>
        </w:rPr>
        <w:t>Any publication by the Company of information that was developed in whole or in part by the Yissum Scientist or at their direction shall include appropriate credit for, and recognition of, the Yissum Scientist’ contribution, and shall take into account the confidentiality provisions in section 11.</w:t>
      </w:r>
    </w:p>
    <w:p>
      <w:pPr>
        <w:spacing w:after="0" w:line="16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5"/>
          <w:szCs w:val="15"/>
          <w:color w:val="auto"/>
        </w:rPr>
        <w:t>The provisions of this section shall not prejudice any other right which Yissum has pursuant to this Agreement or at law.</w:t>
      </w:r>
    </w:p>
    <w:p>
      <w:pPr>
        <w:spacing w:after="0" w:line="242" w:lineRule="exact"/>
        <w:rPr>
          <w:sz w:val="20"/>
          <w:szCs w:val="20"/>
          <w:color w:val="auto"/>
        </w:rPr>
      </w:pPr>
    </w:p>
    <w:p>
      <w:pPr>
        <w:jc w:val="both"/>
        <w:ind w:left="980" w:hanging="616"/>
        <w:spacing w:after="0" w:line="265" w:lineRule="auto"/>
        <w:tabs>
          <w:tab w:leader="none" w:pos="96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color w:val="auto"/>
        </w:rPr>
        <w:t>For the avoidance of doubt, the provisions of this section in connection with the prohibition against publication shall not apply to internal publication by Yissum made in the University for its researcher and employees who are subject to confidentiality agreement with Yissum or the University, and provided that a confidentiality warning is attached to each publication.</w:t>
      </w:r>
    </w:p>
    <w:p>
      <w:pPr>
        <w:spacing w:after="0" w:line="177" w:lineRule="exact"/>
        <w:rPr>
          <w:sz w:val="20"/>
          <w:szCs w:val="20"/>
          <w:color w:val="auto"/>
        </w:rPr>
      </w:pPr>
    </w:p>
    <w:p>
      <w:pPr>
        <w:ind w:left="460" w:hanging="457"/>
        <w:spacing w:after="0"/>
        <w:tabs>
          <w:tab w:leader="none" w:pos="460" w:val="left"/>
        </w:tabs>
        <w:numPr>
          <w:ilvl w:val="0"/>
          <w:numId w:val="722"/>
        </w:numPr>
        <w:rPr>
          <w:rFonts w:ascii="Arial" w:cs="Arial" w:eastAsia="Arial" w:hAnsi="Arial"/>
          <w:sz w:val="21"/>
          <w:szCs w:val="21"/>
          <w:b w:val="1"/>
          <w:bCs w:val="1"/>
          <w:color w:val="auto"/>
        </w:rPr>
      </w:pPr>
      <w:r>
        <w:rPr>
          <w:rFonts w:ascii="Arial" w:cs="Arial" w:eastAsia="Arial" w:hAnsi="Arial"/>
          <w:sz w:val="17"/>
          <w:szCs w:val="17"/>
          <w:b w:val="1"/>
          <w:bCs w:val="1"/>
          <w:color w:val="auto"/>
        </w:rPr>
        <w:t>Liability and Indemnity</w:t>
      </w:r>
    </w:p>
    <w:p>
      <w:pPr>
        <w:spacing w:after="0" w:line="240" w:lineRule="exact"/>
        <w:rPr>
          <w:sz w:val="20"/>
          <w:szCs w:val="20"/>
          <w:color w:val="auto"/>
        </w:rPr>
      </w:pPr>
    </w:p>
    <w:p>
      <w:pPr>
        <w:jc w:val="both"/>
        <w:ind w:left="980" w:hanging="616"/>
        <w:spacing w:after="0" w:line="276" w:lineRule="auto"/>
        <w:tabs>
          <w:tab w:leader="none" w:pos="9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6"/>
          <w:szCs w:val="16"/>
          <w:color w:val="auto"/>
        </w:rPr>
        <w:t xml:space="preserve">Yissum hereby represents and warrants that (i) it has sole and exclusive ownership of the Patents and patent applications listed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attached hereto; (ii) it has not granted any rights in or to Licensed Technology that are inconsistent with the rights granted to the Company under this Agreement; (iii) to the best of Yissum’s knowledge and belief, it has the right to grant the License granted under this Agreement free and clear of any third party rights or claims; (iv) it will not transfer, assign, encumber, grant, sell, lease or otherwise dispose of the Licensed Technology other than as may be expressly permitted herein; and (v) it has no knowledge as of the date hereof of any legal suit or proceeding by a third party against Yissum contesting the ownership or validity of the Patents and patent applications listed in </w:t>
      </w:r>
      <w:r>
        <w:rPr>
          <w:rFonts w:ascii="Arial" w:cs="Arial" w:eastAsia="Arial" w:hAnsi="Arial"/>
          <w:sz w:val="16"/>
          <w:szCs w:val="16"/>
          <w:b w:val="1"/>
          <w:bCs w:val="1"/>
          <w:color w:val="auto"/>
        </w:rPr>
        <w:t>Appendix A</w:t>
      </w:r>
      <w:r>
        <w:rPr>
          <w:rFonts w:ascii="Arial" w:cs="Arial" w:eastAsia="Arial" w:hAnsi="Arial"/>
          <w:sz w:val="16"/>
          <w:szCs w:val="16"/>
          <w:color w:val="auto"/>
        </w:rPr>
        <w:t>, or claiming that the practice of such Patents and patent applications in the manner contemplated by this Agreement would infringe the rights of such third party.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24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82" w:name="page783"/>
    <w:bookmarkEnd w:id="782"/>
    <w:p>
      <w:pPr>
        <w:jc w:val="both"/>
        <w:ind w:left="620" w:hanging="616"/>
        <w:spacing w:after="0" w:line="273" w:lineRule="auto"/>
        <w:tabs>
          <w:tab w:leader="none" w:pos="60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6"/>
          <w:szCs w:val="16"/>
          <w:color w:val="auto"/>
        </w:rPr>
        <w:t>Except as stated above, Yissum makes no warranties of any kind with respect to the Licensed Technology. In particular, Yissum makes no express or implied warranties of merchantability or fitness for a particular purpose, or that the use of the Licensed Technology will not infringe any patent, copyright, trademark or other rights of any third party. In addition, nothing in this Agreement may be deemed a representation or warranty by Yissum as to the validity of any of the patents or their registrability or of the accuracy, safety, efficacy, or usefulness, for any purpose, of the Licensed Technology. Yissum has no obligation, express or implied, to supervise, monitor, review or otherwise assume responsibility for the production, manufacture, testing, marketing or sale of any product or service. Yissum shall have no liability whatsoever to the Company or to any third party for or on account of any injury, loss, or damage, of any kind or nature, sustained by the Company or by any third party, for any damage assessed or asserted against the Company, or for any other liability incurred by or imposed upon the Company or any other person or entity, arising out of or in connection with or resulting from (i) the production, manufacture, use, practice, lease, or sale of any Product or service; (ii) the use of the Licensed Technology; or (iii) any advertising or other promotional activities with respect to any of the foregoing.</w:t>
      </w:r>
    </w:p>
    <w:p>
      <w:pPr>
        <w:spacing w:after="0" w:line="197" w:lineRule="exact"/>
        <w:rPr>
          <w:sz w:val="20"/>
          <w:szCs w:val="20"/>
          <w:color w:val="auto"/>
        </w:rPr>
      </w:pPr>
    </w:p>
    <w:p>
      <w:pPr>
        <w:jc w:val="both"/>
        <w:ind w:left="620" w:hanging="616"/>
        <w:spacing w:after="0" w:line="283" w:lineRule="auto"/>
        <w:tabs>
          <w:tab w:leader="none" w:pos="60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6"/>
          <w:szCs w:val="16"/>
          <w:color w:val="auto"/>
        </w:rPr>
        <w:t>The Company shall be liable for any loss, injury and/or damage whatsoever caused to its employees and/or to any person acting on its behalf and/or to the employees of Yissum and/or to any person acting on its behalf and/or the Yissum Scientist, and/or to any third party by reason of the Company’s acts and/or omissions pursuant to this Agreement and/or by reason of any lawful use made of the Licensed Technology, the Development Results or any Product. Notwithstanding anything else in this Agreement or otherwise, neither Yissum nor the Company will be liable to the other with respect to any subject matter of this Agreement under any contract, negligence, strict liability or other legal or equitable theory for (i) any indirect, incidental or punitive damages or lost profits or (ii) cost of procurement of substitute goods, technology or services.</w:t>
      </w:r>
    </w:p>
    <w:p>
      <w:pPr>
        <w:spacing w:after="0" w:line="190" w:lineRule="exact"/>
        <w:rPr>
          <w:sz w:val="20"/>
          <w:szCs w:val="20"/>
          <w:color w:val="auto"/>
        </w:rPr>
      </w:pPr>
    </w:p>
    <w:p>
      <w:pPr>
        <w:jc w:val="both"/>
        <w:ind w:left="620" w:hanging="616"/>
        <w:spacing w:after="0" w:line="259" w:lineRule="auto"/>
        <w:tabs>
          <w:tab w:leader="none" w:pos="60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The Company undertakes to compensate, indemnify, defend and hold harmless Yissum and/or any person acting on its behalf and/or any of their employees and/or representatives and/or the University and/or the Yissum Scientist (herein referred to as “</w:t>
      </w:r>
      <w:r>
        <w:rPr>
          <w:rFonts w:ascii="Arial" w:cs="Arial" w:eastAsia="Arial" w:hAnsi="Arial"/>
          <w:sz w:val="17"/>
          <w:szCs w:val="17"/>
          <w:b w:val="1"/>
          <w:bCs w:val="1"/>
          <w:color w:val="auto"/>
        </w:rPr>
        <w:t>Indemnitees</w:t>
      </w:r>
      <w:r>
        <w:rPr>
          <w:rFonts w:ascii="Arial" w:cs="Arial" w:eastAsia="Arial" w:hAnsi="Arial"/>
          <w:sz w:val="17"/>
          <w:szCs w:val="17"/>
          <w:color w:val="auto"/>
        </w:rPr>
        <w:t>”) against any liability including, without limitation, product liability, damage, loss or expenses including reasonable legal fees and litigation expenses incurred by or imposed upon the Indemnitees by reason of the Company's acts and/or omissions and/or which derive from its use, development, manufacture, marketing, sale and/or sub-licensing of any Product and/or Licensed Technology (“</w:t>
      </w:r>
      <w:r>
        <w:rPr>
          <w:rFonts w:ascii="Arial" w:cs="Arial" w:eastAsia="Arial" w:hAnsi="Arial"/>
          <w:sz w:val="17"/>
          <w:szCs w:val="17"/>
          <w:b w:val="1"/>
          <w:bCs w:val="1"/>
          <w:color w:val="auto"/>
        </w:rPr>
        <w:t>Claims</w:t>
      </w:r>
      <w:r>
        <w:rPr>
          <w:rFonts w:ascii="Arial" w:cs="Arial" w:eastAsia="Arial" w:hAnsi="Arial"/>
          <w:sz w:val="17"/>
          <w:szCs w:val="17"/>
          <w:color w:val="auto"/>
        </w:rPr>
        <w:t>”).</w:t>
      </w:r>
    </w:p>
    <w:p>
      <w:pPr>
        <w:spacing w:after="0" w:line="206" w:lineRule="exact"/>
        <w:rPr>
          <w:sz w:val="20"/>
          <w:szCs w:val="20"/>
          <w:color w:val="auto"/>
        </w:rPr>
      </w:pPr>
    </w:p>
    <w:p>
      <w:pPr>
        <w:jc w:val="both"/>
        <w:ind w:left="620" w:hanging="616"/>
        <w:spacing w:after="0" w:line="273" w:lineRule="auto"/>
        <w:tabs>
          <w:tab w:leader="none" w:pos="60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6"/>
          <w:szCs w:val="16"/>
          <w:color w:val="auto"/>
        </w:rPr>
        <w:t xml:space="preserve">If any Indemnities receives notice of any Claim, such Indemnities shall, as promptly as is reasonably possible, give the Company notice of such Claim;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failure to give such notice promptly shall only relieve the Company of any indemnification obligation it may have hereunder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extent such failure diminishes the ability of the Company to respond to or to defend the Indemnities against such Claim. Yissum and the Company shall consult and cooperate with each other regarding the response to and the defense of any such Claim and the Company shall, upon its acknowledgment in writing of its obligation to indemnify the Indemnities, be entitled to and shall assume the defense or represent the interests of the Indemnities in respect of such Claim, that shall include the right to select and direct legal counsel and other consultants to appear in proceedings on behalf of the Indemnities and to propose, accept or reject offers of settlement, all at its sole cost;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settlement shall be made without the written consent of the Indemnities, such consent not to be unreasonably withheld. Nothing herein shall prevent the Indemnities from retaining its own counsel and participating in its own defense at its own cost and expense.</w:t>
      </w:r>
    </w:p>
    <w:p>
      <w:pPr>
        <w:spacing w:after="0" w:line="34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25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83" w:name="page784"/>
    <w:bookmarkEnd w:id="783"/>
    <w:p>
      <w:pPr>
        <w:jc w:val="both"/>
        <w:ind w:left="980" w:hanging="616"/>
        <w:spacing w:after="0" w:line="282" w:lineRule="auto"/>
        <w:tabs>
          <w:tab w:leader="none" w:pos="96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6"/>
          <w:szCs w:val="16"/>
          <w:color w:val="auto"/>
        </w:rPr>
        <w:t>During the term of this Agreement and/or of the License granted hereunder, and after the expiration or termination of this Agreement, for as long as a Product relating to and/or developed pursuant to this Agreement is being commercially distributed or sold by the Company, any Affiliate of the Company and/or by a Sublicensee, the Company and/or its Affiliates and/or a Sublicensee shall, at their own cost and expense, (i) procure and maintain insurance covering clinical trials, and (ii) procure and maintain any other insurance that is consistent with industry standards.</w:t>
      </w:r>
    </w:p>
    <w:p>
      <w:pPr>
        <w:spacing w:after="0" w:line="190" w:lineRule="exact"/>
        <w:rPr>
          <w:sz w:val="20"/>
          <w:szCs w:val="20"/>
          <w:color w:val="auto"/>
        </w:rPr>
      </w:pPr>
    </w:p>
    <w:p>
      <w:pPr>
        <w:jc w:val="both"/>
        <w:ind w:left="980"/>
        <w:spacing w:after="0" w:line="265" w:lineRule="auto"/>
        <w:rPr>
          <w:sz w:val="20"/>
          <w:szCs w:val="20"/>
          <w:color w:val="auto"/>
        </w:rPr>
      </w:pPr>
      <w:r>
        <w:rPr>
          <w:rFonts w:ascii="Arial" w:cs="Arial" w:eastAsia="Arial" w:hAnsi="Arial"/>
          <w:sz w:val="17"/>
          <w:szCs w:val="17"/>
          <w:color w:val="auto"/>
        </w:rPr>
        <w:t>The minimum amounts of insurance coverage required under this section shall not be construed to create a limit of the Company’s liability with respect to its indemnification under this Agreement. The Company shall name Yissum as an additional insured without any right of subrogation against Yissum in all such insurance policies.</w:t>
      </w:r>
    </w:p>
    <w:p>
      <w:pPr>
        <w:spacing w:after="0" w:line="201" w:lineRule="exact"/>
        <w:rPr>
          <w:sz w:val="20"/>
          <w:szCs w:val="20"/>
          <w:color w:val="auto"/>
        </w:rPr>
      </w:pPr>
    </w:p>
    <w:p>
      <w:pPr>
        <w:jc w:val="both"/>
        <w:ind w:left="980" w:hanging="616"/>
        <w:spacing w:after="0" w:line="317" w:lineRule="auto"/>
        <w:tabs>
          <w:tab w:leader="none" w:pos="96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5"/>
          <w:szCs w:val="15"/>
          <w:color w:val="auto"/>
        </w:rPr>
        <w:t>The Company shall provide Yissum with written evidence of such insurance upon Yissum’s request. The Company shall provide Yissum with written notice at least fifteen (15) days prior to the cancellation, non-renewal or material change in such insurance. A failure by the Company to obtain replacement insurance providing comparable coverage within such fifteen-day period shall be considered a material breach of this Agreement.</w:t>
      </w:r>
    </w:p>
    <w:p>
      <w:pPr>
        <w:spacing w:after="0" w:line="165"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5"/>
          <w:szCs w:val="15"/>
          <w:color w:val="auto"/>
        </w:rPr>
        <w:t>The breach of any of the Parties’ undertakings and obligations detailed in this Section 13 shall be considered a material breach of this Agreement.</w:t>
      </w:r>
    </w:p>
    <w:p>
      <w:pPr>
        <w:spacing w:after="0" w:line="217" w:lineRule="exact"/>
        <w:rPr>
          <w:sz w:val="20"/>
          <w:szCs w:val="20"/>
          <w:color w:val="auto"/>
        </w:rPr>
      </w:pPr>
    </w:p>
    <w:p>
      <w:pPr>
        <w:ind w:left="460" w:hanging="457"/>
        <w:spacing w:after="0"/>
        <w:tabs>
          <w:tab w:leader="none" w:pos="460" w:val="left"/>
        </w:tabs>
        <w:numPr>
          <w:ilvl w:val="0"/>
          <w:numId w:val="723"/>
        </w:numPr>
        <w:rPr>
          <w:rFonts w:ascii="Arial" w:cs="Arial" w:eastAsia="Arial" w:hAnsi="Arial"/>
          <w:sz w:val="21"/>
          <w:szCs w:val="21"/>
          <w:b w:val="1"/>
          <w:bCs w:val="1"/>
          <w:color w:val="auto"/>
        </w:rPr>
      </w:pPr>
      <w:r>
        <w:rPr>
          <w:rFonts w:ascii="Arial" w:cs="Arial" w:eastAsia="Arial" w:hAnsi="Arial"/>
          <w:sz w:val="17"/>
          <w:szCs w:val="17"/>
          <w:b w:val="1"/>
          <w:bCs w:val="1"/>
          <w:color w:val="auto"/>
        </w:rPr>
        <w:t>Termination of the Agreement</w:t>
      </w:r>
    </w:p>
    <w:p>
      <w:pPr>
        <w:spacing w:after="0" w:line="246" w:lineRule="exact"/>
        <w:rPr>
          <w:sz w:val="20"/>
          <w:szCs w:val="20"/>
          <w:color w:val="auto"/>
        </w:rPr>
      </w:pPr>
    </w:p>
    <w:p>
      <w:pPr>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Without prejudice to the parties’ rights pursuant to this Agreement or at law, either the Company or Yissum may terminate this Agreement by written notice to the other in any of the following cases:</w:t>
      </w:r>
    </w:p>
    <w:p>
      <w:pPr>
        <w:spacing w:after="0" w:line="190" w:lineRule="exact"/>
        <w:rPr>
          <w:sz w:val="20"/>
          <w:szCs w:val="20"/>
          <w:color w:val="auto"/>
        </w:rPr>
      </w:pPr>
    </w:p>
    <w:p>
      <w:pPr>
        <w:jc w:val="both"/>
        <w:ind w:left="1760" w:hanging="771"/>
        <w:spacing w:after="0" w:line="261" w:lineRule="auto"/>
        <w:tabs>
          <w:tab w:leader="none" w:pos="1740" w:val="left"/>
        </w:tabs>
        <w:rPr>
          <w:sz w:val="20"/>
          <w:szCs w:val="20"/>
          <w:color w:val="auto"/>
        </w:rPr>
      </w:pPr>
      <w:r>
        <w:rPr>
          <w:rFonts w:ascii="Arial" w:cs="Arial" w:eastAsia="Arial" w:hAnsi="Arial"/>
          <w:sz w:val="17"/>
          <w:szCs w:val="17"/>
          <w:color w:val="auto"/>
        </w:rPr>
        <w:t>14.1.1.</w:t>
      </w:r>
      <w:r>
        <w:rPr>
          <w:sz w:val="20"/>
          <w:szCs w:val="20"/>
          <w:color w:val="auto"/>
        </w:rPr>
        <w:tab/>
      </w:r>
      <w:r>
        <w:rPr>
          <w:rFonts w:ascii="Arial" w:cs="Arial" w:eastAsia="Arial" w:hAnsi="Arial"/>
          <w:sz w:val="17"/>
          <w:szCs w:val="17"/>
          <w:color w:val="auto"/>
        </w:rPr>
        <w:t>Immediately upon such written notice, if: (i) the other party passes a resolution for voluntary winding up or a winding up application is made against it and not set aside within sixty (60) days; and/or (ii) a receiver or liquidator is appointed for the other party; and/or (iii) the other party enters into winding up or insolvency or bankruptcy proceedings. The Company and Yissum undertake to notify the other within seven (7) days if any of the abovementioned events occur.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26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84" w:name="page785"/>
    <w:bookmarkEnd w:id="784"/>
    <w:p>
      <w:pPr>
        <w:jc w:val="both"/>
        <w:ind w:left="1400" w:hanging="771"/>
        <w:spacing w:after="0" w:line="265" w:lineRule="auto"/>
        <w:tabs>
          <w:tab w:leader="none" w:pos="1380" w:val="left"/>
        </w:tabs>
        <w:rPr>
          <w:sz w:val="20"/>
          <w:szCs w:val="20"/>
          <w:color w:val="auto"/>
        </w:rPr>
      </w:pPr>
      <w:r>
        <w:rPr>
          <w:rFonts w:ascii="Arial" w:cs="Arial" w:eastAsia="Arial" w:hAnsi="Arial"/>
          <w:sz w:val="17"/>
          <w:szCs w:val="17"/>
          <w:color w:val="auto"/>
        </w:rPr>
        <w:t>14.1.2.</w:t>
      </w:r>
      <w:r>
        <w:rPr>
          <w:sz w:val="20"/>
          <w:szCs w:val="20"/>
          <w:color w:val="auto"/>
        </w:rPr>
        <w:tab/>
      </w:r>
      <w:r>
        <w:rPr>
          <w:rFonts w:ascii="Arial" w:cs="Arial" w:eastAsia="Arial" w:hAnsi="Arial"/>
          <w:sz w:val="17"/>
          <w:szCs w:val="17"/>
          <w:color w:val="auto"/>
        </w:rPr>
        <w:t>Notwithstanding the foregoing, in the event a receiver or trustee (or the like) is appointed or the Company has entered into a settlement with its creditors and the Company is otherwise meeting its obligations pursuant to this Agreement, Yissum shall not be entitled to terminate this Agreement as contemplated under Section 14.1.1 during such period.</w:t>
      </w:r>
    </w:p>
    <w:p>
      <w:pPr>
        <w:spacing w:after="0" w:line="201" w:lineRule="exact"/>
        <w:rPr>
          <w:sz w:val="20"/>
          <w:szCs w:val="20"/>
          <w:color w:val="auto"/>
        </w:rPr>
      </w:pPr>
    </w:p>
    <w:p>
      <w:pPr>
        <w:jc w:val="both"/>
        <w:ind w:left="1400" w:hanging="771"/>
        <w:spacing w:after="0" w:line="267" w:lineRule="auto"/>
        <w:tabs>
          <w:tab w:leader="none" w:pos="1380" w:val="left"/>
        </w:tabs>
        <w:rPr>
          <w:sz w:val="20"/>
          <w:szCs w:val="20"/>
          <w:color w:val="auto"/>
        </w:rPr>
      </w:pPr>
      <w:r>
        <w:rPr>
          <w:rFonts w:ascii="Arial" w:cs="Arial" w:eastAsia="Arial" w:hAnsi="Arial"/>
          <w:sz w:val="17"/>
          <w:szCs w:val="17"/>
          <w:color w:val="auto"/>
        </w:rPr>
        <w:t>14.1.3.</w:t>
      </w:r>
      <w:r>
        <w:rPr>
          <w:sz w:val="20"/>
          <w:szCs w:val="20"/>
          <w:color w:val="auto"/>
        </w:rPr>
        <w:tab/>
      </w:r>
      <w:r>
        <w:rPr>
          <w:rFonts w:ascii="Arial" w:cs="Arial" w:eastAsia="Arial" w:hAnsi="Arial"/>
          <w:sz w:val="17"/>
          <w:szCs w:val="17"/>
          <w:color w:val="auto"/>
        </w:rPr>
        <w:t>After 60 days of such written notice, upon material breach of this Agreement, where such breach has not been remedied within the 60 day period; and after 90 days of such written notice upon a remediable non-material breach of this Agreement where such breach has not been remedied within the 90 day period. Notwithstanding the foregoing, in the event that any breach is not susceptible of cure within the stated period and the breaching party uses diligent good faith efforts to cure such breach, the stated period will be extended by an additional 30 days.</w:t>
      </w:r>
    </w:p>
    <w:p>
      <w:pPr>
        <w:spacing w:after="0" w:line="199" w:lineRule="exact"/>
        <w:rPr>
          <w:sz w:val="20"/>
          <w:szCs w:val="20"/>
          <w:color w:val="auto"/>
        </w:rPr>
      </w:pPr>
    </w:p>
    <w:p>
      <w:pPr>
        <w:jc w:val="both"/>
        <w:ind w:left="620"/>
        <w:spacing w:after="0" w:line="291" w:lineRule="auto"/>
        <w:rPr>
          <w:sz w:val="20"/>
          <w:szCs w:val="20"/>
          <w:color w:val="auto"/>
        </w:rPr>
      </w:pPr>
      <w:r>
        <w:rPr>
          <w:rFonts w:ascii="Arial" w:cs="Arial" w:eastAsia="Arial" w:hAnsi="Arial"/>
          <w:sz w:val="15"/>
          <w:szCs w:val="15"/>
          <w:color w:val="auto"/>
        </w:rPr>
        <w:t>In addition to the above, and without prejudice to Yissum’s rights pursuant to this Agreement or at law, Yissum shall be entitled to terminate this Agreement (i) immediately upon written notice to the Company if an attachment is made over the Company’s assets and/or if execution proceedings are taken against the Company and the same are not set aside within 60 days of the date the attachment is made or the execution proceedings are taken; or</w:t>
      </w:r>
    </w:p>
    <w:p>
      <w:pPr>
        <w:spacing w:after="0" w:line="1" w:lineRule="exact"/>
        <w:rPr>
          <w:sz w:val="20"/>
          <w:szCs w:val="20"/>
          <w:color w:val="auto"/>
        </w:rPr>
      </w:pPr>
    </w:p>
    <w:p>
      <w:pPr>
        <w:jc w:val="both"/>
        <w:ind w:left="620"/>
        <w:spacing w:after="0" w:line="282" w:lineRule="auto"/>
        <w:tabs>
          <w:tab w:leader="none" w:pos="880" w:val="left"/>
        </w:tabs>
        <w:numPr>
          <w:ilvl w:val="0"/>
          <w:numId w:val="724"/>
        </w:numPr>
        <w:rPr>
          <w:rFonts w:ascii="Arial" w:cs="Arial" w:eastAsia="Arial" w:hAnsi="Arial"/>
          <w:sz w:val="16"/>
          <w:szCs w:val="16"/>
          <w:color w:val="auto"/>
        </w:rPr>
      </w:pPr>
      <w:r>
        <w:rPr>
          <w:rFonts w:ascii="Arial" w:cs="Arial" w:eastAsia="Arial" w:hAnsi="Arial"/>
          <w:sz w:val="16"/>
          <w:szCs w:val="16"/>
          <w:color w:val="auto"/>
        </w:rPr>
        <w:t>if the Company fails to pay in full the Research Fee (as defined in the Sponsored Research Agreement, signed between it and Yissum on June xx, 2011) (the “</w:t>
      </w:r>
      <w:r>
        <w:rPr>
          <w:rFonts w:ascii="Arial" w:cs="Arial" w:eastAsia="Arial" w:hAnsi="Arial"/>
          <w:sz w:val="16"/>
          <w:szCs w:val="16"/>
          <w:b w:val="1"/>
          <w:bCs w:val="1"/>
          <w:color w:val="auto"/>
        </w:rPr>
        <w:t>Research Agreement</w:t>
      </w:r>
      <w:r>
        <w:rPr>
          <w:rFonts w:ascii="Arial" w:cs="Arial" w:eastAsia="Arial" w:hAnsi="Arial"/>
          <w:sz w:val="16"/>
          <w:szCs w:val="16"/>
          <w:color w:val="auto"/>
        </w:rPr>
        <w:t>”), on the schedule set forth on Appendix B of the Research Agreement, within thirty (30) days written notice to pay by Yissum, other than because of Yissum’s inability to replace the Yissum Scientist as set forth in Section 2(b) of the Research Agreement.</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The Company may terminate this Agreement upon thirty (30) days prior written notice to Yissum.</w:t>
      </w:r>
    </w:p>
    <w:p>
      <w:pPr>
        <w:spacing w:after="0" w:line="242" w:lineRule="exact"/>
        <w:rPr>
          <w:sz w:val="20"/>
          <w:szCs w:val="20"/>
          <w:color w:val="auto"/>
        </w:rPr>
      </w:pPr>
    </w:p>
    <w:p>
      <w:pPr>
        <w:jc w:val="both"/>
        <w:ind w:left="620" w:hanging="616"/>
        <w:spacing w:after="0" w:line="261" w:lineRule="auto"/>
        <w:tabs>
          <w:tab w:leader="none" w:pos="60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Upon termination of this Agreement, the Licenses shall terminate. Upon termination of the Licenses for any reason or under any circumstances, the Licensed Technology and all rights included therein shall revert to Yissum, and Yissum shall be free to enter into agreements with any other third parties for the granting of a license and/or to deal in any other manner with such right as it shall see fit at its sole discretion. The foregoing shall not derogate from the provisions of Section 5.2.3, above.</w:t>
      </w:r>
    </w:p>
    <w:p>
      <w:pPr>
        <w:spacing w:after="0" w:line="204" w:lineRule="exact"/>
        <w:rPr>
          <w:sz w:val="20"/>
          <w:szCs w:val="20"/>
          <w:color w:val="auto"/>
        </w:rPr>
      </w:pPr>
    </w:p>
    <w:p>
      <w:pPr>
        <w:jc w:val="both"/>
        <w:ind w:left="620"/>
        <w:spacing w:after="0" w:line="279" w:lineRule="auto"/>
        <w:rPr>
          <w:sz w:val="20"/>
          <w:szCs w:val="20"/>
          <w:color w:val="auto"/>
        </w:rPr>
      </w:pPr>
      <w:r>
        <w:rPr>
          <w:rFonts w:ascii="Arial" w:cs="Arial" w:eastAsia="Arial" w:hAnsi="Arial"/>
          <w:sz w:val="16"/>
          <w:szCs w:val="16"/>
          <w:color w:val="auto"/>
        </w:rPr>
        <w:t xml:space="preserve">The Company shall return and/or transfer to Yissum, within 30 days of termination of the Licenses, all material, in soft or hard copy, relating to the Licensed Technology and/or Products connected with the Licenses, and it may not make any further use thereof. In case of termination as set out herein, the Company will not be entitled to any reimbursement of any amount paid to Yissum under this Agreement. Yissum shall be entitled to conduct an audit in order to ascertain compliance with this provision and the Company agrees to allow access to Yissum and/or their representatives for this purpose, all in accordance with the applicable provisions of this Agreement,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27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1" w:right="239" w:bottom="1440" w:gutter="0" w:footer="0" w:header="0"/>
        </w:sectPr>
      </w:pPr>
    </w:p>
    <w:bookmarkStart w:id="785" w:name="page786"/>
    <w:bookmarkEnd w:id="785"/>
    <w:p>
      <w:pPr>
        <w:jc w:val="both"/>
        <w:ind w:left="620" w:hanging="616"/>
        <w:spacing w:after="0" w:line="272" w:lineRule="auto"/>
        <w:tabs>
          <w:tab w:leader="none" w:pos="60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6"/>
          <w:szCs w:val="16"/>
          <w:color w:val="auto"/>
        </w:rPr>
        <w:t xml:space="preserve">Upon the termination of the License for any reason other than the expiration of its term, including termination by the Company of this Agreement pursuant to Section 14.2, or termination by Yissum of this Agreement pursuant to Sections 14.1.1, 14.1.3, or 17.9 hereof, the Company shall transfer and assign to Yissum all of the Development Results and any information and documents, in whatever form, relating thereto; </w:t>
      </w:r>
      <w:r>
        <w:rPr>
          <w:rFonts w:ascii="Arial" w:cs="Arial" w:eastAsia="Arial" w:hAnsi="Arial"/>
          <w:sz w:val="16"/>
          <w:szCs w:val="16"/>
          <w:i w:val="1"/>
          <w:iCs w:val="1"/>
          <w:color w:val="auto"/>
        </w:rPr>
        <w:t>subject, however</w:t>
      </w:r>
      <w:r>
        <w:rPr>
          <w:rFonts w:ascii="Arial" w:cs="Arial" w:eastAsia="Arial" w:hAnsi="Arial"/>
          <w:sz w:val="16"/>
          <w:szCs w:val="16"/>
          <w:color w:val="auto"/>
        </w:rPr>
        <w:t>, to any conditions preventing or governing such transfer and assignment set out in the applicable laws and regulations governing the Grants received by the Company and used in generation of the Development Results, (“</w:t>
      </w:r>
      <w:r>
        <w:rPr>
          <w:rFonts w:ascii="Arial" w:cs="Arial" w:eastAsia="Arial" w:hAnsi="Arial"/>
          <w:sz w:val="16"/>
          <w:szCs w:val="16"/>
          <w:b w:val="1"/>
          <w:bCs w:val="1"/>
          <w:color w:val="auto"/>
        </w:rPr>
        <w:t>Grant Transfer Conditions</w:t>
      </w:r>
      <w:r>
        <w:rPr>
          <w:rFonts w:ascii="Arial" w:cs="Arial" w:eastAsia="Arial" w:hAnsi="Arial"/>
          <w:sz w:val="16"/>
          <w:szCs w:val="16"/>
          <w:color w:val="auto"/>
        </w:rPr>
        <w:t xml:space="preserve">”), in which case the Company will not be required to transfer and assign the Development Results as contemplated above </w:t>
      </w:r>
      <w:r>
        <w:rPr>
          <w:rFonts w:ascii="Arial" w:cs="Arial" w:eastAsia="Arial" w:hAnsi="Arial"/>
          <w:sz w:val="16"/>
          <w:szCs w:val="16"/>
          <w:i w:val="1"/>
          <w:iCs w:val="1"/>
          <w:color w:val="auto"/>
        </w:rPr>
        <w:t>unless and until</w:t>
      </w:r>
      <w:r>
        <w:rPr>
          <w:rFonts w:ascii="Arial" w:cs="Arial" w:eastAsia="Arial" w:hAnsi="Arial"/>
          <w:sz w:val="16"/>
          <w:szCs w:val="16"/>
          <w:color w:val="auto"/>
        </w:rPr>
        <w:t xml:space="preserve"> Yissum either (i) agrees in writing to assume all obligations required by the Grant Transfer Conditions, or (ii) reaches another arrangement with the grantors of the Grants which absolves the Company of any liability to such grantors with respect to the transfer and/or assignment of the Development Results. The Company shall fully cooperate with Yissum to effect such transfer and assignment and shall execute any document and perform any acts required to do so. Subsequent to such transfer and assignment, the Company acknowledges that Yissum shall be free to utilize the Development Results as it sees fit (subject to the Grant Transfer Conditions), including but not limited to the grant of licenses to third parties.</w:t>
      </w:r>
    </w:p>
    <w:p>
      <w:pPr>
        <w:spacing w:after="0" w:line="202" w:lineRule="exact"/>
        <w:rPr>
          <w:sz w:val="20"/>
          <w:szCs w:val="20"/>
          <w:color w:val="auto"/>
        </w:rPr>
      </w:pPr>
    </w:p>
    <w:p>
      <w:pPr>
        <w:jc w:val="both"/>
        <w:ind w:left="620"/>
        <w:spacing w:after="0" w:line="272" w:lineRule="auto"/>
        <w:rPr>
          <w:sz w:val="20"/>
          <w:szCs w:val="20"/>
          <w:color w:val="auto"/>
        </w:rPr>
      </w:pPr>
      <w:r>
        <w:rPr>
          <w:rFonts w:ascii="Arial" w:cs="Arial" w:eastAsia="Arial" w:hAnsi="Arial"/>
          <w:sz w:val="16"/>
          <w:szCs w:val="16"/>
          <w:color w:val="auto"/>
        </w:rPr>
        <w:t>In the event that the Development Results transferred and assigned to Yissum as set forth in this sub-section 14.4 shall be licensed to a third party and shall generate license fees and/or royalties and/or Sublicense fees to Yissum or Yissum’s designate or any assignee, then subject to the Company having complied and continuing to comply with all its obligations under this Agreement which remain in existence following termination of the License as aforesaid, Yissum shall pay to the Company 25% (twenty-five percent) of the Net Proceeds actually received by Yissum or Yissum’s designate or any assignee in respect of such license to such third party, until such time as the Company shall have received, in aggregate, the full amount of the documented capital investment actually expended out-of-pocket by the Company in order to generate the Development Results, less any amounts received or receivable by the Company from third parties in connection with the Licensed Technology or Development Results prior to the transfer and assignment of the Development Results to Yissum, as certified by external independent auditors agreed upon by the Parties (the “</w:t>
      </w:r>
      <w:r>
        <w:rPr>
          <w:rFonts w:ascii="Arial" w:cs="Arial" w:eastAsia="Arial" w:hAnsi="Arial"/>
          <w:sz w:val="16"/>
          <w:szCs w:val="16"/>
          <w:b w:val="1"/>
          <w:bCs w:val="1"/>
          <w:color w:val="auto"/>
        </w:rPr>
        <w:t>Development</w:t>
      </w:r>
      <w:r>
        <w:rPr>
          <w:rFonts w:ascii="Arial" w:cs="Arial" w:eastAsia="Arial" w:hAnsi="Arial"/>
          <w:sz w:val="16"/>
          <w:szCs w:val="16"/>
          <w:color w:val="auto"/>
        </w:rPr>
        <w:t xml:space="preserve"> </w:t>
      </w:r>
      <w:r>
        <w:rPr>
          <w:rFonts w:ascii="Arial" w:cs="Arial" w:eastAsia="Arial" w:hAnsi="Arial"/>
          <w:sz w:val="16"/>
          <w:szCs w:val="16"/>
          <w:b w:val="1"/>
          <w:bCs w:val="1"/>
          <w:color w:val="auto"/>
        </w:rPr>
        <w:t>Reimbursement</w:t>
      </w:r>
      <w:r>
        <w:rPr>
          <w:rFonts w:ascii="Arial" w:cs="Arial" w:eastAsia="Arial" w:hAnsi="Arial"/>
          <w:sz w:val="16"/>
          <w:szCs w:val="16"/>
          <w:color w:val="auto"/>
        </w:rPr>
        <w:t>”). Notwithstanding the foregoing, Yissum shall be entitled to deduct from the Development Reimbursement any amount that they are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pay pursuant to the Grant Transfer Conditions. Yissum shall pay to the Company amounts, if any, payable under this sub-Section 14.4, within ninety (90) days of receipt of the relevant Net Proceeds.</w:t>
      </w:r>
    </w:p>
    <w:p>
      <w:pPr>
        <w:spacing w:after="0" w:line="317"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Page 28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77470</wp:posOffset>
            </wp:positionV>
            <wp:extent cx="7257415" cy="209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60"/>
          </w:cols>
          <w:pgMar w:left="600" w:top="500" w:right="239" w:bottom="1440" w:gutter="0" w:footer="0" w:header="0"/>
        </w:sectPr>
      </w:pPr>
    </w:p>
    <w:bookmarkStart w:id="786" w:name="page787"/>
    <w:bookmarkEnd w:id="786"/>
    <w:p>
      <w:pPr>
        <w:jc w:val="both"/>
        <w:ind w:left="980"/>
        <w:spacing w:after="0" w:line="282" w:lineRule="auto"/>
        <w:rPr>
          <w:sz w:val="20"/>
          <w:szCs w:val="20"/>
          <w:color w:val="auto"/>
        </w:rPr>
      </w:pPr>
      <w:r>
        <w:rPr>
          <w:rFonts w:ascii="Arial" w:cs="Arial" w:eastAsia="Arial" w:hAnsi="Arial"/>
          <w:sz w:val="16"/>
          <w:szCs w:val="16"/>
          <w:color w:val="auto"/>
        </w:rPr>
        <w:t>For the purpose of this section, “Net Proceeds” means royalties or license fees actually received by Yissum or Yissum’s designate or any assignee in respect of such license with a third party (excluding funds for research and/or development at the University, or payments for the supply of services) after deduction of all costs, fees and expenses incurred by Yissum in connection with such license (including, without limitation, patent costs, and all attorneys fees and expenses and other costs and expenses in connection with the negotiation and conclusion of such license).</w:t>
      </w:r>
    </w:p>
    <w:p>
      <w:pPr>
        <w:spacing w:after="0" w:line="190" w:lineRule="exact"/>
        <w:rPr>
          <w:sz w:val="20"/>
          <w:szCs w:val="20"/>
          <w:color w:val="auto"/>
        </w:rPr>
      </w:pPr>
    </w:p>
    <w:p>
      <w:pPr>
        <w:jc w:val="both"/>
        <w:ind w:left="980" w:hanging="616"/>
        <w:spacing w:after="0" w:line="306" w:lineRule="auto"/>
        <w:tabs>
          <w:tab w:leader="none" w:pos="96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5"/>
          <w:szCs w:val="15"/>
          <w:color w:val="auto"/>
        </w:rPr>
        <w:t>Notwithstanding the aforesaid, the expiration or termination of this Agreement or the License thereunder shall not release the Company from its obligation to carry out any financial or other obligation which it was liable to perform prior to the Agreement’s expiration or termination, nor from its obligation to reimburse Yissum under this Agreement for any expense that Yissum became obligated for towards a third party prior to the termination of this Agreement, regardless of whether the bill from the third party was received by Yissum prior to or after the termination of this Agreement.</w:t>
      </w:r>
    </w:p>
    <w:p>
      <w:pPr>
        <w:spacing w:after="0" w:line="175"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14.6.</w:t>
      </w:r>
      <w:r>
        <w:rPr>
          <w:sz w:val="20"/>
          <w:szCs w:val="20"/>
          <w:color w:val="auto"/>
        </w:rPr>
        <w:tab/>
      </w:r>
      <w:r>
        <w:rPr>
          <w:rFonts w:ascii="Arial" w:cs="Arial" w:eastAsia="Arial" w:hAnsi="Arial"/>
          <w:sz w:val="15"/>
          <w:szCs w:val="15"/>
          <w:color w:val="auto"/>
        </w:rPr>
        <w:t>In addition, sections 7, 8, 9.2.5, 11, 13, 14.5, 15, 16, and 18 shall survive the termination of this Agreement.</w:t>
      </w:r>
    </w:p>
    <w:p>
      <w:pPr>
        <w:spacing w:after="0" w:line="217" w:lineRule="exact"/>
        <w:rPr>
          <w:sz w:val="20"/>
          <w:szCs w:val="20"/>
          <w:color w:val="auto"/>
        </w:rPr>
      </w:pPr>
    </w:p>
    <w:p>
      <w:pPr>
        <w:ind w:left="460" w:hanging="457"/>
        <w:spacing w:after="0"/>
        <w:tabs>
          <w:tab w:leader="none" w:pos="460" w:val="left"/>
        </w:tabs>
        <w:numPr>
          <w:ilvl w:val="0"/>
          <w:numId w:val="725"/>
        </w:numPr>
        <w:rPr>
          <w:rFonts w:ascii="Arial" w:cs="Arial" w:eastAsia="Arial" w:hAnsi="Arial"/>
          <w:sz w:val="21"/>
          <w:szCs w:val="21"/>
          <w:b w:val="1"/>
          <w:bCs w:val="1"/>
          <w:color w:val="auto"/>
        </w:rPr>
      </w:pPr>
      <w:r>
        <w:rPr>
          <w:rFonts w:ascii="Arial" w:cs="Arial" w:eastAsia="Arial" w:hAnsi="Arial"/>
          <w:sz w:val="17"/>
          <w:szCs w:val="17"/>
          <w:b w:val="1"/>
          <w:bCs w:val="1"/>
          <w:color w:val="auto"/>
        </w:rPr>
        <w:t>Law</w:t>
      </w:r>
    </w:p>
    <w:p>
      <w:pPr>
        <w:spacing w:after="0" w:line="246" w:lineRule="exact"/>
        <w:rPr>
          <w:sz w:val="20"/>
          <w:szCs w:val="20"/>
          <w:color w:val="auto"/>
        </w:rPr>
      </w:pPr>
    </w:p>
    <w:p>
      <w:pPr>
        <w:jc w:val="both"/>
        <w:ind w:left="980"/>
        <w:spacing w:after="0" w:line="306" w:lineRule="auto"/>
        <w:rPr>
          <w:sz w:val="20"/>
          <w:szCs w:val="20"/>
          <w:color w:val="auto"/>
        </w:rPr>
      </w:pPr>
      <w:r>
        <w:rPr>
          <w:rFonts w:ascii="Arial" w:cs="Arial" w:eastAsia="Arial" w:hAnsi="Arial"/>
          <w:sz w:val="15"/>
          <w:szCs w:val="15"/>
          <w:color w:val="auto"/>
        </w:rPr>
        <w:t>The provisions of this Agreement and everything concerning the relationship between the parties in accordance with this Agreement shall be governed by Israeli law and, subject to the provisions of Section 16, below, jurisdiction shall be granted only to the competent court in Jerusalem, except that Yissum may enforce a final judgment against the Company in any other jurisdiction outside the State of Israel in which the Company has assets or a place of business. The Company hereby waives any immunity it may have against enforcement of any judgment obtained against it by Yissum.</w:t>
      </w:r>
    </w:p>
    <w:p>
      <w:pPr>
        <w:spacing w:after="0" w:line="150" w:lineRule="exact"/>
        <w:rPr>
          <w:sz w:val="20"/>
          <w:szCs w:val="20"/>
          <w:color w:val="auto"/>
        </w:rPr>
      </w:pPr>
    </w:p>
    <w:p>
      <w:pPr>
        <w:ind w:left="460" w:hanging="457"/>
        <w:spacing w:after="0"/>
        <w:tabs>
          <w:tab w:leader="none" w:pos="460" w:val="left"/>
        </w:tabs>
        <w:numPr>
          <w:ilvl w:val="0"/>
          <w:numId w:val="726"/>
        </w:numPr>
        <w:rPr>
          <w:rFonts w:ascii="Arial" w:cs="Arial" w:eastAsia="Arial" w:hAnsi="Arial"/>
          <w:sz w:val="21"/>
          <w:szCs w:val="21"/>
          <w:b w:val="1"/>
          <w:bCs w:val="1"/>
          <w:color w:val="auto"/>
        </w:rPr>
      </w:pPr>
      <w:r>
        <w:rPr>
          <w:rFonts w:ascii="Arial" w:cs="Arial" w:eastAsia="Arial" w:hAnsi="Arial"/>
          <w:sz w:val="17"/>
          <w:szCs w:val="17"/>
          <w:b w:val="1"/>
          <w:bCs w:val="1"/>
          <w:color w:val="auto"/>
        </w:rPr>
        <w:t>Arbitration</w:t>
      </w:r>
    </w:p>
    <w:p>
      <w:pPr>
        <w:spacing w:after="0" w:line="246" w:lineRule="exact"/>
        <w:rPr>
          <w:sz w:val="20"/>
          <w:szCs w:val="20"/>
          <w:color w:val="auto"/>
        </w:rPr>
      </w:pPr>
    </w:p>
    <w:p>
      <w:pPr>
        <w:jc w:val="both"/>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All differences and disputes arising between the parties in connection with the Agreement and/or its interpretation and/or its performance and/or breach, shall be referred for the decision of a single arbitrator, whose identity shall be determined by mutual consent of the parties.</w:t>
      </w:r>
    </w:p>
    <w:p>
      <w:pPr>
        <w:spacing w:after="0" w:line="190" w:lineRule="exact"/>
        <w:rPr>
          <w:sz w:val="20"/>
          <w:szCs w:val="20"/>
          <w:color w:val="auto"/>
        </w:rPr>
      </w:pPr>
    </w:p>
    <w:p>
      <w:pPr>
        <w:jc w:val="both"/>
        <w:ind w:left="980" w:hanging="616"/>
        <w:spacing w:after="0" w:line="265" w:lineRule="auto"/>
        <w:tabs>
          <w:tab w:leader="none" w:pos="96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Should the parties not reach agreement as to the identity of the arbitrator within 14 days of request by either party for the appointment of an arbitrator, the arbitrator shall be appointed by the Chairman of the Jerusalem District Committee of the Israel Bar Association on the application of either of the parties.</w:t>
      </w:r>
    </w:p>
    <w:p>
      <w:pPr>
        <w:spacing w:after="0" w:line="201" w:lineRule="exact"/>
        <w:rPr>
          <w:sz w:val="20"/>
          <w:szCs w:val="20"/>
          <w:color w:val="auto"/>
        </w:rPr>
      </w:pPr>
    </w:p>
    <w:p>
      <w:pPr>
        <w:jc w:val="both"/>
        <w:ind w:left="980" w:hanging="616"/>
        <w:spacing w:after="0" w:line="265" w:lineRule="auto"/>
        <w:tabs>
          <w:tab w:leader="none" w:pos="96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7"/>
          <w:szCs w:val="17"/>
          <w:color w:val="auto"/>
        </w:rPr>
        <w:t>The arbitration shall be held in Israel. The arbitrator shall not be bound by the civil procedure regulations and laws of evidence but shall base his/her decision on the substantive law of Israel and shall give grounds for his/her decision. The arbitrator shall be empowered to grant temporary injunctions and orders, which shall be enforceable in foreign jurisdictions, as per section 16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29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87" w:name="page788"/>
    <w:bookmarkEnd w:id="787"/>
    <w:p>
      <w:pPr>
        <w:ind w:left="360"/>
        <w:spacing w:after="0"/>
        <w:tabs>
          <w:tab w:leader="none" w:pos="96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5"/>
          <w:szCs w:val="15"/>
          <w:color w:val="auto"/>
        </w:rPr>
        <w:t>The decision of the arbitrator shall be final and binding upon the parties, and shall be enforceable in foreign jurisdictions.</w:t>
      </w:r>
    </w:p>
    <w:p>
      <w:pPr>
        <w:spacing w:after="0" w:line="242"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5"/>
          <w:szCs w:val="15"/>
          <w:color w:val="auto"/>
        </w:rPr>
        <w:t>The execution of this Agreement shall constitute the execution of an Arbitration Agreement.</w:t>
      </w:r>
    </w:p>
    <w:p>
      <w:pPr>
        <w:spacing w:after="0" w:line="217" w:lineRule="exact"/>
        <w:rPr>
          <w:sz w:val="20"/>
          <w:szCs w:val="20"/>
          <w:color w:val="auto"/>
        </w:rPr>
      </w:pPr>
    </w:p>
    <w:p>
      <w:pPr>
        <w:ind w:left="460" w:hanging="457"/>
        <w:spacing w:after="0"/>
        <w:tabs>
          <w:tab w:leader="none" w:pos="460" w:val="left"/>
        </w:tabs>
        <w:numPr>
          <w:ilvl w:val="0"/>
          <w:numId w:val="727"/>
        </w:numPr>
        <w:rPr>
          <w:rFonts w:ascii="Arial" w:cs="Arial" w:eastAsia="Arial" w:hAnsi="Arial"/>
          <w:sz w:val="21"/>
          <w:szCs w:val="21"/>
          <w:b w:val="1"/>
          <w:bCs w:val="1"/>
          <w:color w:val="auto"/>
        </w:rPr>
      </w:pPr>
      <w:r>
        <w:rPr>
          <w:rFonts w:ascii="Arial" w:cs="Arial" w:eastAsia="Arial" w:hAnsi="Arial"/>
          <w:sz w:val="17"/>
          <w:szCs w:val="17"/>
          <w:b w:val="1"/>
          <w:bCs w:val="1"/>
          <w:color w:val="auto"/>
        </w:rPr>
        <w:t>Miscellaneous</w:t>
      </w:r>
    </w:p>
    <w:p>
      <w:pPr>
        <w:spacing w:after="0" w:line="246" w:lineRule="exact"/>
        <w:rPr>
          <w:sz w:val="20"/>
          <w:szCs w:val="20"/>
          <w:color w:val="auto"/>
        </w:rPr>
      </w:pPr>
    </w:p>
    <w:p>
      <w:pPr>
        <w:jc w:val="both"/>
        <w:ind w:left="980" w:hanging="616"/>
        <w:spacing w:after="0" w:line="259" w:lineRule="auto"/>
        <w:tabs>
          <w:tab w:leader="none" w:pos="96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It is hereby agreed and declared between the parties that they shall act in all respects relating to this Agreement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independent contractors and there neither is nor shall there be any employer-employee or principal-agent relationship and/or partnership relationship between the Company (and/or any of its employees) and Yissum. Each party will be responsible for payment of all salaries and taxes and social welfare benefits and any other payments of any kind in respect of its employees and office holders, regardless of the location of the performance of their duties, or the source of the directions for the performance thereof.</w:t>
      </w:r>
    </w:p>
    <w:p>
      <w:pPr>
        <w:spacing w:after="0" w:line="206" w:lineRule="exact"/>
        <w:rPr>
          <w:sz w:val="20"/>
          <w:szCs w:val="20"/>
          <w:color w:val="auto"/>
        </w:rPr>
      </w:pPr>
    </w:p>
    <w:p>
      <w:pPr>
        <w:jc w:val="both"/>
        <w:ind w:left="980" w:hanging="616"/>
        <w:spacing w:after="0" w:line="275" w:lineRule="auto"/>
        <w:tabs>
          <w:tab w:leader="none" w:pos="96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 The parties may not transfer and/or assign and/or endorse their rights and/or duties and/or any of them pursuant to this Agreement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another, without the prior written consent of the other party; except that each party may, without such consent, assign this Agreement and the rights, obligations and interests of such party, in whole or in part, to any of its Affiliates, and to a corporate entity with the same ownership as BioLineRx Ltd. (the limited partner of the Company), to any purchaser of all or substantially all of its assets or research to which the subject matter of this Agreement relates, or to any successor corporation resulting from any merger or consolidation of such party with or into such corporation, provided that the assignee has at least the same or better capability (in terms of its financial, scientific, and industrial capabilities) as the assigning party to perform the assigning party’s undertakings and obligations under this Agreement.</w:t>
      </w:r>
    </w:p>
    <w:p>
      <w:pPr>
        <w:spacing w:after="0" w:line="196" w:lineRule="exact"/>
        <w:rPr>
          <w:sz w:val="20"/>
          <w:szCs w:val="20"/>
          <w:color w:val="auto"/>
        </w:rPr>
      </w:pPr>
    </w:p>
    <w:p>
      <w:pPr>
        <w:ind w:left="980"/>
        <w:spacing w:after="0" w:line="278" w:lineRule="auto"/>
        <w:rPr>
          <w:sz w:val="20"/>
          <w:szCs w:val="20"/>
          <w:color w:val="auto"/>
        </w:rPr>
      </w:pPr>
      <w:r>
        <w:rPr>
          <w:rFonts w:ascii="Arial" w:cs="Arial" w:eastAsia="Arial" w:hAnsi="Arial"/>
          <w:sz w:val="17"/>
          <w:szCs w:val="17"/>
          <w:color w:val="auto"/>
        </w:rPr>
        <w:t>In addition, Yissum shall have the right to assign any of its monetary rights under this Agreement to any third party at its discretion, and shall provide the Company with a notice of any such assignment.</w:t>
      </w:r>
    </w:p>
    <w:p>
      <w:pPr>
        <w:spacing w:after="0" w:line="190" w:lineRule="exact"/>
        <w:rPr>
          <w:sz w:val="20"/>
          <w:szCs w:val="20"/>
          <w:color w:val="auto"/>
        </w:rPr>
      </w:pPr>
    </w:p>
    <w:p>
      <w:pPr>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7"/>
          <w:szCs w:val="17"/>
          <w:u w:val="single" w:color="auto"/>
          <w:color w:val="auto"/>
        </w:rPr>
        <w:t>No waiver</w:t>
      </w:r>
      <w:r>
        <w:rPr>
          <w:rFonts w:ascii="Arial" w:cs="Arial" w:eastAsia="Arial" w:hAnsi="Arial"/>
          <w:sz w:val="17"/>
          <w:szCs w:val="17"/>
          <w:color w:val="auto"/>
        </w:rPr>
        <w:t>. The failure or delay of a party to the Agreement to claim the performance of an obligation of the other party shall not be deemed a waiver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the performance of such obligation or of any future obligations of a similar nature.</w:t>
      </w:r>
    </w:p>
    <w:p>
      <w:pPr>
        <w:spacing w:after="0" w:line="190" w:lineRule="exact"/>
        <w:rPr>
          <w:sz w:val="20"/>
          <w:szCs w:val="20"/>
          <w:color w:val="auto"/>
        </w:rPr>
      </w:pPr>
    </w:p>
    <w:p>
      <w:pPr>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7"/>
          <w:szCs w:val="17"/>
          <w:u w:val="single" w:color="auto"/>
          <w:color w:val="auto"/>
        </w:rPr>
        <w:t>Linkage</w:t>
      </w:r>
      <w:r>
        <w:rPr>
          <w:rFonts w:ascii="Arial" w:cs="Arial" w:eastAsia="Arial" w:hAnsi="Arial"/>
          <w:sz w:val="17"/>
          <w:szCs w:val="17"/>
          <w:color w:val="auto"/>
        </w:rPr>
        <w:t>. All payments to be effected in accordance with the terms of this Agreement and denominated in New Israeli Shekels shall be linked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Israeli Consumer Price Index, and the month of the signing of this Agreement shall serve as the base for all calculations.</w:t>
      </w:r>
    </w:p>
    <w:p>
      <w:pPr>
        <w:spacing w:after="0" w:line="190"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5"/>
          <w:szCs w:val="15"/>
          <w:u w:val="single" w:color="auto"/>
          <w:color w:val="auto"/>
        </w:rPr>
        <w:t>Legal Costs</w:t>
      </w:r>
      <w:r>
        <w:rPr>
          <w:rFonts w:ascii="Arial" w:cs="Arial" w:eastAsia="Arial" w:hAnsi="Arial"/>
          <w:sz w:val="15"/>
          <w:szCs w:val="15"/>
          <w:color w:val="auto"/>
        </w:rPr>
        <w:t>. Each party shall bear its own legal expenses involved in the making of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30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88" w:name="page789"/>
    <w:bookmarkEnd w:id="788"/>
    <w:p>
      <w:pPr>
        <w:jc w:val="both"/>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a full and complete Agreement between the parties and may only be amended by a document signed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both parties.</w:t>
      </w:r>
    </w:p>
    <w:p>
      <w:pPr>
        <w:spacing w:after="0" w:line="190" w:lineRule="exact"/>
        <w:rPr>
          <w:sz w:val="20"/>
          <w:szCs w:val="20"/>
          <w:color w:val="auto"/>
        </w:rPr>
      </w:pPr>
    </w:p>
    <w:p>
      <w:pPr>
        <w:jc w:val="both"/>
        <w:ind w:left="980" w:hanging="616"/>
        <w:spacing w:after="0" w:line="265" w:lineRule="auto"/>
        <w:tabs>
          <w:tab w:leader="none" w:pos="96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 Prices mentioned in this agreement do not include Value Added Tax (VAT). All taxes and duties to be paid in connection with this agreement,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including any VAT, shall be borne by the Company. Any duties or taxes paid by Yissum in connection with this contract, which are not imposed on the income of Yissum, shall be reimbursed by the Company.</w:t>
      </w:r>
    </w:p>
    <w:p>
      <w:pPr>
        <w:spacing w:after="0" w:line="201"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5"/>
          <w:szCs w:val="15"/>
          <w:u w:val="single" w:color="auto"/>
          <w:color w:val="auto"/>
        </w:rPr>
        <w:t xml:space="preserve">Counterparts. </w:t>
      </w:r>
      <w:r>
        <w:rPr>
          <w:rFonts w:ascii="Arial" w:cs="Arial" w:eastAsia="Arial" w:hAnsi="Arial"/>
          <w:sz w:val="15"/>
          <w:szCs w:val="15"/>
          <w:color w:val="auto"/>
        </w:rPr>
        <w:t>This Agreement may be executed in two or more counterparts, each of which shall be deemed an original.</w:t>
      </w:r>
    </w:p>
    <w:p>
      <w:pPr>
        <w:spacing w:after="0" w:line="242" w:lineRule="exact"/>
        <w:rPr>
          <w:sz w:val="20"/>
          <w:szCs w:val="20"/>
          <w:color w:val="auto"/>
        </w:rPr>
      </w:pPr>
    </w:p>
    <w:p>
      <w:pPr>
        <w:jc w:val="both"/>
        <w:ind w:left="980" w:hanging="616"/>
        <w:spacing w:after="0" w:line="279" w:lineRule="auto"/>
        <w:tabs>
          <w:tab w:leader="none" w:pos="960"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No party will be responsible for delays resulting from causes beyond the reasonable control of such party, including without limitation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fire, explosion, flood, war, strike, or riot, provided that the nonperforming party uses commercially reasonable efforts to avoid or remove such causes of nonperformance and continues performance under this Agreement with reasonable dispatch whenever such causes are removed. Notwithstanding the above, if the delay resulting from such causes of nonperformance continues for more than 18 months, then Yissum shall be entitled to terminate this Agreement; such termination will not be considered a termination due to breach by the Company.</w:t>
      </w:r>
    </w:p>
    <w:p>
      <w:pPr>
        <w:spacing w:after="0" w:line="191" w:lineRule="exact"/>
        <w:rPr>
          <w:sz w:val="20"/>
          <w:szCs w:val="20"/>
          <w:color w:val="auto"/>
        </w:rPr>
      </w:pPr>
    </w:p>
    <w:p>
      <w:pPr>
        <w:jc w:val="both"/>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17.10.</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or becomes invalid or is ruled invalid by any court of competent jurisdiction or is deemed</w:t>
      </w:r>
      <w:r>
        <w:rPr>
          <w:rFonts w:ascii="Arial" w:cs="Arial" w:eastAsia="Arial" w:hAnsi="Arial"/>
          <w:sz w:val="17"/>
          <w:szCs w:val="17"/>
          <w:u w:val="single" w:color="auto"/>
          <w:color w:val="auto"/>
        </w:rPr>
        <w:t xml:space="preserve"> </w:t>
      </w:r>
      <w:r>
        <w:rPr>
          <w:rFonts w:ascii="Arial" w:cs="Arial" w:eastAsia="Arial" w:hAnsi="Arial"/>
          <w:sz w:val="17"/>
          <w:szCs w:val="17"/>
          <w:color w:val="auto"/>
        </w:rPr>
        <w:t>unenforceable, it is the intention of the parties that the remainder of this Agreement shall not be affected.</w:t>
      </w:r>
    </w:p>
    <w:p>
      <w:pPr>
        <w:spacing w:after="0" w:line="190" w:lineRule="exact"/>
        <w:rPr>
          <w:sz w:val="20"/>
          <w:szCs w:val="20"/>
          <w:color w:val="auto"/>
        </w:rPr>
      </w:pPr>
    </w:p>
    <w:p>
      <w:pPr>
        <w:jc w:val="both"/>
        <w:ind w:left="980" w:hanging="616"/>
        <w:spacing w:after="0" w:line="278" w:lineRule="auto"/>
        <w:tabs>
          <w:tab w:leader="none" w:pos="960" w:val="left"/>
        </w:tabs>
        <w:rPr>
          <w:sz w:val="20"/>
          <w:szCs w:val="20"/>
          <w:color w:val="auto"/>
        </w:rPr>
      </w:pPr>
      <w:r>
        <w:rPr>
          <w:rFonts w:ascii="Arial" w:cs="Arial" w:eastAsia="Arial" w:hAnsi="Arial"/>
          <w:sz w:val="17"/>
          <w:szCs w:val="17"/>
          <w:color w:val="auto"/>
        </w:rPr>
        <w:t>17.11.</w:t>
        <w:tab/>
        <w:t>This Agreement shall be binding upon the parties once executed by both parties and shall enter into force and become effective as of the Effective Date first written above.</w:t>
      </w:r>
    </w:p>
    <w:p>
      <w:pPr>
        <w:spacing w:after="0" w:line="166" w:lineRule="exact"/>
        <w:rPr>
          <w:sz w:val="20"/>
          <w:szCs w:val="20"/>
          <w:color w:val="auto"/>
        </w:rPr>
      </w:pPr>
    </w:p>
    <w:p>
      <w:pPr>
        <w:ind w:left="460" w:hanging="457"/>
        <w:spacing w:after="0"/>
        <w:tabs>
          <w:tab w:leader="none" w:pos="460" w:val="left"/>
        </w:tabs>
        <w:numPr>
          <w:ilvl w:val="0"/>
          <w:numId w:val="728"/>
        </w:numPr>
        <w:rPr>
          <w:rFonts w:ascii="Arial" w:cs="Arial" w:eastAsia="Arial" w:hAnsi="Arial"/>
          <w:sz w:val="21"/>
          <w:szCs w:val="21"/>
          <w:b w:val="1"/>
          <w:bCs w:val="1"/>
          <w:color w:val="auto"/>
        </w:rPr>
      </w:pPr>
      <w:r>
        <w:rPr>
          <w:rFonts w:ascii="Arial" w:cs="Arial" w:eastAsia="Arial" w:hAnsi="Arial"/>
          <w:sz w:val="17"/>
          <w:szCs w:val="17"/>
          <w:b w:val="1"/>
          <w:bCs w:val="1"/>
          <w:color w:val="auto"/>
        </w:rPr>
        <w:t>Notices</w:t>
      </w:r>
    </w:p>
    <w:p>
      <w:pPr>
        <w:spacing w:after="0" w:line="246" w:lineRule="exact"/>
        <w:rPr>
          <w:sz w:val="20"/>
          <w:szCs w:val="20"/>
          <w:color w:val="auto"/>
        </w:rPr>
      </w:pPr>
    </w:p>
    <w:p>
      <w:pPr>
        <w:ind w:left="1080"/>
        <w:spacing w:after="0" w:line="278" w:lineRule="auto"/>
        <w:rPr>
          <w:sz w:val="20"/>
          <w:szCs w:val="20"/>
          <w:color w:val="auto"/>
        </w:rPr>
      </w:pPr>
      <w:r>
        <w:rPr>
          <w:rFonts w:ascii="Arial" w:cs="Arial" w:eastAsia="Arial" w:hAnsi="Arial"/>
          <w:sz w:val="17"/>
          <w:szCs w:val="17"/>
          <w:color w:val="auto"/>
        </w:rPr>
        <w:t>All notices and communications pursuant to this Agreement shall be made in writing and sent by facsimile or by registered mail or served personally at the following addresses:</w:t>
      </w:r>
    </w:p>
    <w:p>
      <w:pPr>
        <w:spacing w:after="0" w:line="190" w:lineRule="exact"/>
        <w:rPr>
          <w:sz w:val="20"/>
          <w:szCs w:val="20"/>
          <w:color w:val="auto"/>
        </w:rPr>
      </w:pPr>
    </w:p>
    <w:p>
      <w:pPr>
        <w:ind w:left="1400" w:right="7040" w:hanging="317"/>
        <w:spacing w:after="0" w:line="257" w:lineRule="auto"/>
        <w:tabs>
          <w:tab w:leader="none" w:pos="1404" w:val="left"/>
        </w:tabs>
        <w:numPr>
          <w:ilvl w:val="0"/>
          <w:numId w:val="729"/>
        </w:numPr>
        <w:rPr>
          <w:rFonts w:ascii="Arial" w:cs="Arial" w:eastAsia="Arial" w:hAnsi="Arial"/>
          <w:sz w:val="17"/>
          <w:szCs w:val="17"/>
          <w:color w:val="auto"/>
        </w:rPr>
      </w:pPr>
      <w:r>
        <w:rPr>
          <w:rFonts w:ascii="Arial" w:cs="Arial" w:eastAsia="Arial" w:hAnsi="Arial"/>
          <w:sz w:val="17"/>
          <w:szCs w:val="17"/>
          <w:color w:val="auto"/>
        </w:rPr>
        <w:t>Yissum Research Development Company of the Hebrew University of Jerusalem Ltd. P.O. Box 39135,</w:t>
      </w:r>
    </w:p>
    <w:p>
      <w:pPr>
        <w:ind w:left="1400" w:right="8880"/>
        <w:spacing w:after="0" w:line="252" w:lineRule="auto"/>
        <w:rPr>
          <w:rFonts w:ascii="Arial" w:cs="Arial" w:eastAsia="Arial" w:hAnsi="Arial"/>
          <w:sz w:val="17"/>
          <w:szCs w:val="17"/>
          <w:color w:val="auto"/>
        </w:rPr>
      </w:pPr>
      <w:r>
        <w:rPr>
          <w:rFonts w:ascii="Arial" w:cs="Arial" w:eastAsia="Arial" w:hAnsi="Arial"/>
          <w:sz w:val="17"/>
          <w:szCs w:val="17"/>
          <w:color w:val="auto"/>
        </w:rPr>
        <w:t>Jerusalem 91390 Israel</w:t>
      </w:r>
    </w:p>
    <w:p>
      <w:pPr>
        <w:spacing w:after="0" w:line="1" w:lineRule="exact"/>
        <w:rPr>
          <w:rFonts w:ascii="Arial" w:cs="Arial" w:eastAsia="Arial" w:hAnsi="Arial"/>
          <w:sz w:val="17"/>
          <w:szCs w:val="17"/>
          <w:color w:val="auto"/>
        </w:rPr>
      </w:pPr>
    </w:p>
    <w:p>
      <w:pPr>
        <w:ind w:left="1400" w:right="5640"/>
        <w:spacing w:after="0" w:line="252" w:lineRule="auto"/>
        <w:rPr>
          <w:rFonts w:ascii="Arial" w:cs="Arial" w:eastAsia="Arial" w:hAnsi="Arial"/>
          <w:sz w:val="17"/>
          <w:szCs w:val="17"/>
          <w:color w:val="auto"/>
        </w:rPr>
      </w:pPr>
      <w:r>
        <w:rPr>
          <w:rFonts w:ascii="Arial" w:cs="Arial" w:eastAsia="Arial" w:hAnsi="Arial"/>
          <w:sz w:val="17"/>
          <w:szCs w:val="17"/>
          <w:color w:val="auto"/>
        </w:rPr>
        <w:t>Attn: Shoshi Keynan Business Development, Pharmaceuticals Bob Trachtenberg, General Counsel</w:t>
      </w:r>
    </w:p>
    <w:p>
      <w:pPr>
        <w:spacing w:after="0" w:line="1" w:lineRule="exact"/>
        <w:rPr>
          <w:rFonts w:ascii="Arial" w:cs="Arial" w:eastAsia="Arial" w:hAnsi="Arial"/>
          <w:sz w:val="17"/>
          <w:szCs w:val="17"/>
          <w:color w:val="auto"/>
        </w:rPr>
      </w:pPr>
    </w:p>
    <w:p>
      <w:pPr>
        <w:ind w:left="1400"/>
        <w:spacing w:after="0"/>
        <w:rPr>
          <w:rFonts w:ascii="Arial" w:cs="Arial" w:eastAsia="Arial" w:hAnsi="Arial"/>
          <w:sz w:val="17"/>
          <w:szCs w:val="17"/>
          <w:color w:val="auto"/>
        </w:rPr>
      </w:pPr>
      <w:r>
        <w:rPr>
          <w:rFonts w:ascii="Arial" w:cs="Arial" w:eastAsia="Arial" w:hAnsi="Arial"/>
          <w:sz w:val="17"/>
          <w:szCs w:val="17"/>
          <w:color w:val="auto"/>
        </w:rPr>
        <w:t>Fax: 02-658-6669</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31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89" w:name="page790"/>
    <w:bookmarkEnd w:id="789"/>
    <w:p>
      <w:pPr>
        <w:ind w:left="780" w:right="8900" w:hanging="317"/>
        <w:spacing w:after="0" w:line="275" w:lineRule="auto"/>
        <w:tabs>
          <w:tab w:leader="none" w:pos="797" w:val="left"/>
        </w:tabs>
        <w:numPr>
          <w:ilvl w:val="0"/>
          <w:numId w:val="730"/>
        </w:numPr>
        <w:rPr>
          <w:rFonts w:ascii="Arial" w:cs="Arial" w:eastAsia="Arial" w:hAnsi="Arial"/>
          <w:sz w:val="16"/>
          <w:szCs w:val="16"/>
          <w:color w:val="auto"/>
        </w:rPr>
      </w:pPr>
      <w:r>
        <w:rPr>
          <w:rFonts w:ascii="Arial" w:cs="Arial" w:eastAsia="Arial" w:hAnsi="Arial"/>
          <w:sz w:val="16"/>
          <w:szCs w:val="16"/>
          <w:color w:val="auto"/>
        </w:rPr>
        <w:t>The Company BioLineRx, Ltd.</w:t>
      </w:r>
    </w:p>
    <w:p>
      <w:pPr>
        <w:ind w:left="780" w:right="8820"/>
        <w:spacing w:after="0" w:line="286" w:lineRule="auto"/>
        <w:rPr>
          <w:rFonts w:ascii="Arial" w:cs="Arial" w:eastAsia="Arial" w:hAnsi="Arial"/>
          <w:sz w:val="16"/>
          <w:szCs w:val="16"/>
          <w:color w:val="auto"/>
        </w:rPr>
      </w:pPr>
      <w:r>
        <w:rPr>
          <w:rFonts w:ascii="Arial" w:cs="Arial" w:eastAsia="Arial" w:hAnsi="Arial"/>
          <w:sz w:val="15"/>
          <w:szCs w:val="15"/>
          <w:color w:val="auto"/>
        </w:rPr>
        <w:t>19 Hartum Street P.O. Box 45158 Jerusalem, 91450 Israel</w:t>
      </w:r>
    </w:p>
    <w:p>
      <w:pPr>
        <w:spacing w:after="0" w:line="1"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Attn:  CFO, BioLineRx Ltd.</w:t>
      </w:r>
    </w:p>
    <w:p>
      <w:pPr>
        <w:spacing w:after="0" w:line="1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Fax:   02-548-9101</w:t>
      </w:r>
    </w:p>
    <w:p>
      <w:pPr>
        <w:spacing w:after="0" w:line="23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With a copy (which shall not constitute notice) to:</w:t>
      </w:r>
    </w:p>
    <w:p>
      <w:pPr>
        <w:spacing w:after="0" w:line="216" w:lineRule="exact"/>
        <w:rPr>
          <w:rFonts w:ascii="Arial" w:cs="Arial" w:eastAsia="Arial" w:hAnsi="Arial"/>
          <w:sz w:val="16"/>
          <w:szCs w:val="16"/>
          <w:color w:val="auto"/>
        </w:rPr>
      </w:pPr>
    </w:p>
    <w:p>
      <w:pPr>
        <w:ind w:left="780" w:right="7780"/>
        <w:spacing w:after="0" w:line="259" w:lineRule="auto"/>
        <w:rPr>
          <w:rFonts w:ascii="Arial" w:cs="Arial" w:eastAsia="Arial" w:hAnsi="Arial"/>
          <w:sz w:val="16"/>
          <w:szCs w:val="16"/>
          <w:color w:val="auto"/>
        </w:rPr>
      </w:pPr>
      <w:r>
        <w:rPr>
          <w:rFonts w:ascii="Arial" w:cs="Arial" w:eastAsia="Arial" w:hAnsi="Arial"/>
          <w:sz w:val="17"/>
          <w:szCs w:val="17"/>
          <w:color w:val="auto"/>
        </w:rPr>
        <w:t>Yigal Arnon &amp; Co., Law Offices 22 Rivlin Street</w:t>
      </w:r>
    </w:p>
    <w:p>
      <w:pPr>
        <w:ind w:left="780" w:right="8820"/>
        <w:spacing w:after="0" w:line="252" w:lineRule="auto"/>
        <w:rPr>
          <w:rFonts w:ascii="Arial" w:cs="Arial" w:eastAsia="Arial" w:hAnsi="Arial"/>
          <w:sz w:val="16"/>
          <w:szCs w:val="16"/>
          <w:color w:val="auto"/>
        </w:rPr>
      </w:pPr>
      <w:r>
        <w:rPr>
          <w:rFonts w:ascii="Arial" w:cs="Arial" w:eastAsia="Arial" w:hAnsi="Arial"/>
          <w:sz w:val="17"/>
          <w:szCs w:val="17"/>
          <w:color w:val="auto"/>
        </w:rPr>
        <w:t>Jerusalem, 94263 Israel</w:t>
      </w:r>
    </w:p>
    <w:p>
      <w:pPr>
        <w:spacing w:after="0" w:line="1"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Attn:  Barry Levenfeld, Adv.</w:t>
      </w:r>
    </w:p>
    <w:p>
      <w:pPr>
        <w:spacing w:after="0" w:line="10"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Fax:   02-623-9236</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or such other address furnished in writing by one party to the others. Any notice served personally shall be deemed to have been received on the day of service, any notice sent by registered mail as aforesaid shall be deemed to have been received seven days after being posted by prepaid registered mail. Any notice sent by facsimile shall be deemed to have been received by the next business day after receipt of confirmation of transmission.</w:t>
      </w:r>
    </w:p>
    <w:p>
      <w:pPr>
        <w:spacing w:after="0" w:line="159" w:lineRule="exact"/>
        <w:rPr>
          <w:sz w:val="20"/>
          <w:szCs w:val="20"/>
          <w:color w:val="auto"/>
        </w:rPr>
      </w:pPr>
    </w:p>
    <w:p>
      <w:pPr>
        <w:ind w:left="3720"/>
        <w:spacing w:after="0"/>
        <w:rPr>
          <w:sz w:val="20"/>
          <w:szCs w:val="20"/>
          <w:color w:val="auto"/>
        </w:rPr>
      </w:pPr>
      <w:r>
        <w:rPr>
          <w:rFonts w:ascii="Arial" w:cs="Arial" w:eastAsia="Arial" w:hAnsi="Arial"/>
          <w:sz w:val="17"/>
          <w:szCs w:val="17"/>
          <w:b w:val="1"/>
          <w:bCs w:val="1"/>
          <w:i w:val="1"/>
          <w:iCs w:val="1"/>
          <w:color w:val="auto"/>
        </w:rPr>
        <w:t>[Signature Page Follows Immediately]</w:t>
      </w:r>
    </w:p>
    <w:p>
      <w:pPr>
        <w:spacing w:after="0" w:line="38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Page 32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77470</wp:posOffset>
            </wp:positionV>
            <wp:extent cx="7257415" cy="209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860" w:top="500" w:right="239" w:bottom="1440" w:gutter="0" w:footer="0" w:header="0"/>
        </w:sectPr>
      </w:pPr>
    </w:p>
    <w:bookmarkStart w:id="790" w:name="page791"/>
    <w:bookmarkEnd w:id="790"/>
    <w:p>
      <w:pPr>
        <w:jc w:val="center"/>
        <w:spacing w:after="0"/>
        <w:rPr>
          <w:sz w:val="20"/>
          <w:szCs w:val="20"/>
          <w:color w:val="auto"/>
        </w:rPr>
      </w:pPr>
      <w:r>
        <w:rPr>
          <w:rFonts w:ascii="Arial" w:cs="Arial" w:eastAsia="Arial" w:hAnsi="Arial"/>
          <w:sz w:val="17"/>
          <w:szCs w:val="17"/>
          <w:b w:val="1"/>
          <w:bCs w:val="1"/>
          <w:i w:val="1"/>
          <w:iCs w:val="1"/>
          <w:color w:val="auto"/>
        </w:rPr>
        <w:t>[Signature Page]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their duly authorized representatives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BioLineRx, Ltd.</w:t>
            </w:r>
          </w:p>
        </w:tc>
        <w:tc>
          <w:tcPr>
            <w:tcW w:w="2900" w:type="dxa"/>
            <w:vAlign w:val="bottom"/>
          </w:tcPr>
          <w:p>
            <w:pPr>
              <w:spacing w:after="0"/>
              <w:rPr>
                <w:sz w:val="17"/>
                <w:szCs w:val="17"/>
                <w:color w:val="auto"/>
              </w:rPr>
            </w:pPr>
          </w:p>
        </w:tc>
        <w:tc>
          <w:tcPr>
            <w:tcW w:w="5820" w:type="dxa"/>
            <w:vAlign w:val="bottom"/>
            <w:gridSpan w:val="2"/>
          </w:tcPr>
          <w:p>
            <w:pPr>
              <w:ind w:left="780"/>
              <w:spacing w:after="0"/>
              <w:rPr>
                <w:sz w:val="20"/>
                <w:szCs w:val="20"/>
                <w:color w:val="auto"/>
              </w:rPr>
            </w:pPr>
            <w:r>
              <w:rPr>
                <w:rFonts w:ascii="Arial" w:cs="Arial" w:eastAsia="Arial" w:hAnsi="Arial"/>
                <w:sz w:val="17"/>
                <w:szCs w:val="17"/>
                <w:b w:val="1"/>
                <w:bCs w:val="1"/>
                <w:color w:val="auto"/>
              </w:rPr>
              <w:t>Yissum Research Development Company of the</w:t>
            </w:r>
          </w:p>
        </w:tc>
      </w:tr>
      <w:tr>
        <w:trPr>
          <w:trHeight w:val="223"/>
        </w:trPr>
        <w:tc>
          <w:tcPr>
            <w:tcW w:w="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20" w:type="dxa"/>
            <w:vAlign w:val="bottom"/>
          </w:tcPr>
          <w:p>
            <w:pPr>
              <w:ind w:left="780"/>
              <w:spacing w:after="0"/>
              <w:rPr>
                <w:sz w:val="20"/>
                <w:szCs w:val="20"/>
                <w:color w:val="auto"/>
              </w:rPr>
            </w:pPr>
            <w:r>
              <w:rPr>
                <w:rFonts w:ascii="Arial" w:cs="Arial" w:eastAsia="Arial" w:hAnsi="Arial"/>
                <w:sz w:val="17"/>
                <w:szCs w:val="17"/>
                <w:b w:val="1"/>
                <w:bCs w:val="1"/>
                <w:color w:val="auto"/>
                <w:w w:val="95"/>
              </w:rPr>
              <w:t>Hebrew University of Jerusalem Ltd.</w:t>
            </w:r>
          </w:p>
        </w:tc>
        <w:tc>
          <w:tcPr>
            <w:tcW w:w="2200" w:type="dxa"/>
            <w:vAlign w:val="bottom"/>
          </w:tcPr>
          <w:p>
            <w:pPr>
              <w:spacing w:after="0"/>
              <w:rPr>
                <w:sz w:val="19"/>
                <w:szCs w:val="19"/>
                <w:color w:val="auto"/>
              </w:rPr>
            </w:pPr>
          </w:p>
        </w:tc>
      </w:tr>
      <w:tr>
        <w:trPr>
          <w:trHeight w:val="395"/>
        </w:trPr>
        <w:tc>
          <w:tcPr>
            <w:tcW w:w="480" w:type="dxa"/>
            <w:vAlign w:val="bottom"/>
          </w:tcPr>
          <w:p>
            <w:pPr>
              <w:spacing w:after="0"/>
              <w:rPr>
                <w:sz w:val="20"/>
                <w:szCs w:val="20"/>
                <w:color w:val="auto"/>
              </w:rPr>
            </w:pPr>
            <w:r>
              <w:rPr>
                <w:rFonts w:ascii="Arial" w:cs="Arial" w:eastAsia="Arial" w:hAnsi="Arial"/>
                <w:sz w:val="17"/>
                <w:szCs w:val="17"/>
                <w:b w:val="1"/>
                <w:bCs w:val="1"/>
                <w:color w:val="auto"/>
              </w:rPr>
              <w:t>By:</w:t>
            </w:r>
          </w:p>
        </w:tc>
        <w:tc>
          <w:tcPr>
            <w:tcW w:w="1820" w:type="dxa"/>
            <w:vAlign w:val="bottom"/>
          </w:tcPr>
          <w:p>
            <w:pPr>
              <w:ind w:left="80"/>
              <w:spacing w:after="0"/>
              <w:rPr>
                <w:sz w:val="20"/>
                <w:szCs w:val="20"/>
                <w:color w:val="auto"/>
              </w:rPr>
            </w:pPr>
            <w:r>
              <w:rPr>
                <w:rFonts w:ascii="Arial" w:cs="Arial" w:eastAsia="Arial" w:hAnsi="Arial"/>
                <w:sz w:val="17"/>
                <w:szCs w:val="17"/>
                <w:color w:val="auto"/>
              </w:rPr>
              <w:t>/s/ Philip Serlin</w:t>
            </w:r>
          </w:p>
        </w:tc>
        <w:tc>
          <w:tcPr>
            <w:tcW w:w="2900" w:type="dxa"/>
            <w:vAlign w:val="bottom"/>
          </w:tcPr>
          <w:p>
            <w:pPr>
              <w:ind w:left="680"/>
              <w:spacing w:after="0"/>
              <w:rPr>
                <w:sz w:val="20"/>
                <w:szCs w:val="20"/>
                <w:color w:val="auto"/>
              </w:rPr>
            </w:pPr>
            <w:r>
              <w:rPr>
                <w:rFonts w:ascii="Arial" w:cs="Arial" w:eastAsia="Arial" w:hAnsi="Arial"/>
                <w:sz w:val="17"/>
                <w:szCs w:val="17"/>
                <w:color w:val="auto"/>
              </w:rPr>
              <w:t>/s/ Kinneret Savitsky</w:t>
            </w:r>
          </w:p>
        </w:tc>
        <w:tc>
          <w:tcPr>
            <w:tcW w:w="3620" w:type="dxa"/>
            <w:vAlign w:val="bottom"/>
          </w:tcPr>
          <w:p>
            <w:pPr>
              <w:ind w:left="780"/>
              <w:spacing w:after="0"/>
              <w:rPr>
                <w:sz w:val="20"/>
                <w:szCs w:val="20"/>
                <w:color w:val="auto"/>
              </w:rPr>
            </w:pPr>
            <w:r>
              <w:rPr>
                <w:rFonts w:ascii="Arial" w:cs="Arial" w:eastAsia="Arial" w:hAnsi="Arial"/>
                <w:sz w:val="17"/>
                <w:szCs w:val="17"/>
                <w:b w:val="1"/>
                <w:bCs w:val="1"/>
                <w:color w:val="auto"/>
              </w:rPr>
              <w:t xml:space="preserve">By:   </w:t>
            </w:r>
            <w:r>
              <w:rPr>
                <w:rFonts w:ascii="Arial" w:cs="Arial" w:eastAsia="Arial" w:hAnsi="Arial"/>
                <w:sz w:val="17"/>
                <w:szCs w:val="17"/>
                <w:color w:val="auto"/>
              </w:rPr>
              <w:t>/s/ Yaakov Michlin</w:t>
            </w:r>
          </w:p>
        </w:tc>
        <w:tc>
          <w:tcPr>
            <w:tcW w:w="2200" w:type="dxa"/>
            <w:vAlign w:val="bottom"/>
          </w:tcPr>
          <w:p>
            <w:pPr>
              <w:ind w:left="100"/>
              <w:spacing w:after="0"/>
              <w:rPr>
                <w:sz w:val="20"/>
                <w:szCs w:val="20"/>
                <w:color w:val="auto"/>
              </w:rPr>
            </w:pPr>
            <w:r>
              <w:rPr>
                <w:rFonts w:ascii="Arial" w:cs="Arial" w:eastAsia="Arial" w:hAnsi="Arial"/>
                <w:sz w:val="17"/>
                <w:szCs w:val="17"/>
                <w:color w:val="auto"/>
              </w:rPr>
              <w:t>/s/ Shosi Keynan</w:t>
            </w:r>
          </w:p>
        </w:tc>
      </w:tr>
      <w:tr>
        <w:trPr>
          <w:trHeight w:val="206"/>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Name: </w:t>
            </w:r>
            <w:r>
              <w:rPr>
                <w:rFonts w:ascii="Arial" w:cs="Arial" w:eastAsia="Arial" w:hAnsi="Arial"/>
                <w:sz w:val="17"/>
                <w:szCs w:val="17"/>
                <w:color w:val="auto"/>
              </w:rPr>
              <w:t>Philip Serlin</w:t>
            </w:r>
          </w:p>
        </w:tc>
        <w:tc>
          <w:tcPr>
            <w:tcW w:w="2900" w:type="dxa"/>
            <w:vAlign w:val="bottom"/>
          </w:tcPr>
          <w:p>
            <w:pPr>
              <w:ind w:left="680"/>
              <w:spacing w:after="0"/>
              <w:rPr>
                <w:sz w:val="20"/>
                <w:szCs w:val="20"/>
                <w:color w:val="auto"/>
              </w:rPr>
            </w:pPr>
            <w:r>
              <w:rPr>
                <w:rFonts w:ascii="Arial" w:cs="Arial" w:eastAsia="Arial" w:hAnsi="Arial"/>
                <w:sz w:val="17"/>
                <w:szCs w:val="17"/>
                <w:color w:val="auto"/>
              </w:rPr>
              <w:t>Kinneret Savitsky</w:t>
            </w:r>
          </w:p>
        </w:tc>
        <w:tc>
          <w:tcPr>
            <w:tcW w:w="3620" w:type="dxa"/>
            <w:vAlign w:val="bottom"/>
          </w:tcPr>
          <w:p>
            <w:pPr>
              <w:ind w:left="780"/>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7"/>
                <w:szCs w:val="17"/>
                <w:color w:val="auto"/>
              </w:rPr>
              <w:t>Yaakov Michlin</w:t>
            </w:r>
          </w:p>
        </w:tc>
        <w:tc>
          <w:tcPr>
            <w:tcW w:w="2200" w:type="dxa"/>
            <w:vAlign w:val="bottom"/>
          </w:tcPr>
          <w:p>
            <w:pPr>
              <w:ind w:left="100"/>
              <w:spacing w:after="0"/>
              <w:rPr>
                <w:sz w:val="20"/>
                <w:szCs w:val="20"/>
                <w:color w:val="auto"/>
              </w:rPr>
            </w:pPr>
            <w:r>
              <w:rPr>
                <w:rFonts w:ascii="Arial" w:cs="Arial" w:eastAsia="Arial" w:hAnsi="Arial"/>
                <w:sz w:val="17"/>
                <w:szCs w:val="17"/>
                <w:color w:val="auto"/>
              </w:rPr>
              <w:t>Shosi Keynan</w:t>
            </w:r>
          </w:p>
        </w:tc>
      </w:tr>
      <w:tr>
        <w:trPr>
          <w:trHeight w:val="206"/>
        </w:trPr>
        <w:tc>
          <w:tcPr>
            <w:tcW w:w="48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1820" w:type="dxa"/>
            <w:vAlign w:val="bottom"/>
          </w:tcPr>
          <w:p>
            <w:pPr>
              <w:ind w:left="80"/>
              <w:spacing w:after="0"/>
              <w:rPr>
                <w:sz w:val="20"/>
                <w:szCs w:val="20"/>
                <w:color w:val="auto"/>
              </w:rPr>
            </w:pPr>
            <w:r>
              <w:rPr>
                <w:rFonts w:ascii="Arial" w:cs="Arial" w:eastAsia="Arial" w:hAnsi="Arial"/>
                <w:sz w:val="17"/>
                <w:szCs w:val="17"/>
                <w:color w:val="auto"/>
              </w:rPr>
              <w:t>CFO &amp; COO</w:t>
            </w:r>
          </w:p>
        </w:tc>
        <w:tc>
          <w:tcPr>
            <w:tcW w:w="2900" w:type="dxa"/>
            <w:vAlign w:val="bottom"/>
          </w:tcPr>
          <w:p>
            <w:pPr>
              <w:ind w:left="680"/>
              <w:spacing w:after="0"/>
              <w:rPr>
                <w:sz w:val="20"/>
                <w:szCs w:val="20"/>
                <w:color w:val="auto"/>
              </w:rPr>
            </w:pPr>
            <w:r>
              <w:rPr>
                <w:rFonts w:ascii="Arial" w:cs="Arial" w:eastAsia="Arial" w:hAnsi="Arial"/>
                <w:sz w:val="17"/>
                <w:szCs w:val="17"/>
                <w:color w:val="auto"/>
              </w:rPr>
              <w:t>CEO</w:t>
            </w:r>
          </w:p>
        </w:tc>
        <w:tc>
          <w:tcPr>
            <w:tcW w:w="3620" w:type="dxa"/>
            <w:vAlign w:val="bottom"/>
          </w:tcPr>
          <w:p>
            <w:pPr>
              <w:ind w:left="780"/>
              <w:spacing w:after="0"/>
              <w:rPr>
                <w:sz w:val="20"/>
                <w:szCs w:val="20"/>
                <w:color w:val="auto"/>
              </w:rPr>
            </w:pPr>
            <w:r>
              <w:rPr>
                <w:rFonts w:ascii="Arial" w:cs="Arial" w:eastAsia="Arial" w:hAnsi="Arial"/>
                <w:sz w:val="17"/>
                <w:szCs w:val="17"/>
                <w:b w:val="1"/>
                <w:bCs w:val="1"/>
                <w:color w:val="auto"/>
              </w:rPr>
              <w:t xml:space="preserve">Title: </w:t>
            </w:r>
            <w:r>
              <w:rPr>
                <w:rFonts w:ascii="Arial" w:cs="Arial" w:eastAsia="Arial" w:hAnsi="Arial"/>
                <w:sz w:val="17"/>
                <w:szCs w:val="17"/>
                <w:color w:val="auto"/>
              </w:rPr>
              <w:t>President and CEO</w:t>
            </w:r>
          </w:p>
        </w:tc>
        <w:tc>
          <w:tcPr>
            <w:tcW w:w="2200" w:type="dxa"/>
            <w:vAlign w:val="bottom"/>
          </w:tcPr>
          <w:p>
            <w:pPr>
              <w:ind w:left="100"/>
              <w:spacing w:after="0"/>
              <w:rPr>
                <w:sz w:val="20"/>
                <w:szCs w:val="20"/>
                <w:color w:val="auto"/>
              </w:rPr>
            </w:pPr>
            <w:r>
              <w:rPr>
                <w:rFonts w:ascii="Arial" w:cs="Arial" w:eastAsia="Arial" w:hAnsi="Arial"/>
                <w:sz w:val="17"/>
                <w:szCs w:val="17"/>
                <w:color w:val="auto"/>
                <w:w w:val="90"/>
              </w:rPr>
              <w:t>VP Licensing Pharmaceuticals</w:t>
            </w:r>
          </w:p>
        </w:tc>
      </w:tr>
      <w:tr>
        <w:trPr>
          <w:trHeight w:val="223"/>
        </w:trPr>
        <w:tc>
          <w:tcPr>
            <w:tcW w:w="48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7"/>
                <w:szCs w:val="17"/>
                <w:color w:val="auto"/>
              </w:rPr>
              <w:t>June 23, 2011</w:t>
            </w:r>
          </w:p>
        </w:tc>
        <w:tc>
          <w:tcPr>
            <w:tcW w:w="2900" w:type="dxa"/>
            <w:vAlign w:val="bottom"/>
          </w:tcPr>
          <w:p>
            <w:pPr>
              <w:ind w:left="680"/>
              <w:spacing w:after="0"/>
              <w:rPr>
                <w:sz w:val="20"/>
                <w:szCs w:val="20"/>
                <w:color w:val="auto"/>
              </w:rPr>
            </w:pPr>
            <w:r>
              <w:rPr>
                <w:rFonts w:ascii="Arial" w:cs="Arial" w:eastAsia="Arial" w:hAnsi="Arial"/>
                <w:sz w:val="17"/>
                <w:szCs w:val="17"/>
                <w:color w:val="auto"/>
              </w:rPr>
              <w:t>June 23, 2011</w:t>
            </w:r>
          </w:p>
        </w:tc>
        <w:tc>
          <w:tcPr>
            <w:tcW w:w="3620" w:type="dxa"/>
            <w:vAlign w:val="bottom"/>
          </w:tcPr>
          <w:p>
            <w:pPr>
              <w:ind w:left="780"/>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June 23, 2011</w:t>
            </w:r>
          </w:p>
        </w:tc>
        <w:tc>
          <w:tcPr>
            <w:tcW w:w="2200" w:type="dxa"/>
            <w:vAlign w:val="bottom"/>
          </w:tcPr>
          <w:p>
            <w:pPr>
              <w:ind w:left="100"/>
              <w:spacing w:after="0"/>
              <w:rPr>
                <w:sz w:val="20"/>
                <w:szCs w:val="20"/>
                <w:color w:val="auto"/>
              </w:rPr>
            </w:pPr>
            <w:r>
              <w:rPr>
                <w:rFonts w:ascii="Arial" w:cs="Arial" w:eastAsia="Arial" w:hAnsi="Arial"/>
                <w:sz w:val="17"/>
                <w:szCs w:val="17"/>
                <w:color w:val="auto"/>
              </w:rPr>
              <w:t>June 23, 2011</w:t>
            </w:r>
          </w:p>
        </w:tc>
      </w:tr>
    </w:tbl>
    <w:p>
      <w:pPr>
        <w:spacing w:after="0" w:line="22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 the undersigned, Professor Hermona Soreq, have reviewed, am familiar with and agree to all of the above terms and conditions. I hereby undertake to cooperate fully with Yissum in order to ensure their ability to fulfill their obligations hereunder, as set forth herein.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20"/>
                <w:szCs w:val="20"/>
                <w:color w:val="auto"/>
              </w:rPr>
            </w:pPr>
            <w:r>
              <w:rPr>
                <w:rFonts w:ascii="Arial" w:cs="Arial" w:eastAsia="Arial" w:hAnsi="Arial"/>
                <w:sz w:val="17"/>
                <w:szCs w:val="17"/>
                <w:color w:val="auto"/>
              </w:rPr>
              <w:t>/s/ Hermona Soreq</w:t>
            </w:r>
          </w:p>
        </w:tc>
        <w:tc>
          <w:tcPr>
            <w:tcW w:w="8060" w:type="dxa"/>
            <w:vAlign w:val="bottom"/>
          </w:tcPr>
          <w:p>
            <w:pPr>
              <w:ind w:left="2360"/>
              <w:spacing w:after="0"/>
              <w:rPr>
                <w:sz w:val="20"/>
                <w:szCs w:val="20"/>
                <w:color w:val="auto"/>
              </w:rPr>
            </w:pPr>
            <w:r>
              <w:rPr>
                <w:rFonts w:ascii="Arial" w:cs="Arial" w:eastAsia="Arial" w:hAnsi="Arial"/>
                <w:sz w:val="17"/>
                <w:szCs w:val="17"/>
                <w:color w:val="auto"/>
              </w:rPr>
              <w:t>June 23, 2011</w:t>
            </w:r>
          </w:p>
        </w:tc>
      </w:tr>
      <w:tr>
        <w:trPr>
          <w:trHeight w:val="412"/>
        </w:trPr>
        <w:tc>
          <w:tcPr>
            <w:tcW w:w="3360" w:type="dxa"/>
            <w:vAlign w:val="bottom"/>
          </w:tcPr>
          <w:p>
            <w:pPr>
              <w:spacing w:after="0"/>
              <w:rPr>
                <w:sz w:val="20"/>
                <w:szCs w:val="20"/>
                <w:color w:val="auto"/>
              </w:rPr>
            </w:pPr>
            <w:r>
              <w:rPr>
                <w:rFonts w:ascii="Arial" w:cs="Arial" w:eastAsia="Arial" w:hAnsi="Arial"/>
                <w:sz w:val="17"/>
                <w:szCs w:val="17"/>
                <w:color w:val="auto"/>
              </w:rPr>
              <w:t>Prof. Hermona Soreq</w:t>
            </w:r>
          </w:p>
        </w:tc>
        <w:tc>
          <w:tcPr>
            <w:tcW w:w="8060" w:type="dxa"/>
            <w:vAlign w:val="bottom"/>
          </w:tcPr>
          <w:p>
            <w:pPr>
              <w:ind w:left="2360"/>
              <w:spacing w:after="0"/>
              <w:rPr>
                <w:sz w:val="20"/>
                <w:szCs w:val="20"/>
                <w:color w:val="auto"/>
              </w:rPr>
            </w:pPr>
            <w:r>
              <w:rPr>
                <w:rFonts w:ascii="Arial" w:cs="Arial" w:eastAsia="Arial" w:hAnsi="Arial"/>
                <w:sz w:val="17"/>
                <w:szCs w:val="17"/>
                <w:color w:val="auto"/>
              </w:rPr>
              <w:t>Date signed</w:t>
            </w:r>
          </w:p>
        </w:tc>
      </w:tr>
      <w:tr>
        <w:trPr>
          <w:trHeight w:val="579"/>
        </w:trPr>
        <w:tc>
          <w:tcPr>
            <w:tcW w:w="3360" w:type="dxa"/>
            <w:vAlign w:val="bottom"/>
          </w:tcPr>
          <w:p>
            <w:pPr>
              <w:spacing w:after="0"/>
              <w:rPr>
                <w:sz w:val="24"/>
                <w:szCs w:val="24"/>
                <w:color w:val="auto"/>
              </w:rPr>
            </w:pPr>
          </w:p>
        </w:tc>
        <w:tc>
          <w:tcPr>
            <w:tcW w:w="8060" w:type="dxa"/>
            <w:vAlign w:val="bottom"/>
          </w:tcPr>
          <w:p>
            <w:pPr>
              <w:ind w:left="1880"/>
              <w:spacing w:after="0"/>
              <w:rPr>
                <w:sz w:val="20"/>
                <w:szCs w:val="20"/>
                <w:color w:val="auto"/>
              </w:rPr>
            </w:pPr>
            <w:r>
              <w:rPr>
                <w:rFonts w:ascii="Arial" w:cs="Arial" w:eastAsia="Arial" w:hAnsi="Arial"/>
                <w:sz w:val="17"/>
                <w:szCs w:val="17"/>
                <w:color w:val="auto"/>
              </w:rPr>
              <w:t>Page 33 of 39</w:t>
            </w:r>
          </w:p>
        </w:tc>
      </w:tr>
      <w:tr>
        <w:trPr>
          <w:trHeight w:val="114"/>
        </w:trPr>
        <w:tc>
          <w:tcPr>
            <w:tcW w:w="3360" w:type="dxa"/>
            <w:vAlign w:val="bottom"/>
            <w:tcBorders>
              <w:bottom w:val="single" w:sz="8" w:color="808080"/>
            </w:tcBorders>
          </w:tcPr>
          <w:p>
            <w:pPr>
              <w:spacing w:after="0"/>
              <w:rPr>
                <w:sz w:val="9"/>
                <w:szCs w:val="9"/>
                <w:color w:val="auto"/>
              </w:rPr>
            </w:pPr>
          </w:p>
        </w:tc>
        <w:tc>
          <w:tcPr>
            <w:tcW w:w="80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791" w:name="page792"/>
    <w:bookmarkEnd w:id="791"/>
    <w:p>
      <w:pPr>
        <w:jc w:val="center"/>
        <w:spacing w:after="0"/>
        <w:rPr>
          <w:sz w:val="20"/>
          <w:szCs w:val="20"/>
          <w:color w:val="auto"/>
        </w:rPr>
      </w:pPr>
      <w:r>
        <w:rPr>
          <w:rFonts w:ascii="Arial" w:cs="Arial" w:eastAsia="Arial" w:hAnsi="Arial"/>
          <w:sz w:val="17"/>
          <w:szCs w:val="17"/>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Patents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I</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Patent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Application</w:t>
            </w:r>
          </w:p>
        </w:tc>
        <w:tc>
          <w:tcPr>
            <w:tcW w:w="120" w:type="dxa"/>
            <w:vAlign w:val="bottom"/>
          </w:tcPr>
          <w:p>
            <w:pPr>
              <w:spacing w:after="0"/>
              <w:rPr>
                <w:sz w:val="14"/>
                <w:szCs w:val="14"/>
                <w:color w:val="auto"/>
              </w:rPr>
            </w:pPr>
          </w:p>
        </w:tc>
        <w:tc>
          <w:tcPr>
            <w:tcW w:w="24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Publication</w:t>
            </w:r>
          </w:p>
        </w:tc>
        <w:tc>
          <w:tcPr>
            <w:tcW w:w="120" w:type="dxa"/>
            <w:vAlign w:val="bottom"/>
          </w:tcPr>
          <w:p>
            <w:pPr>
              <w:spacing w:after="0"/>
              <w:rPr>
                <w:sz w:val="14"/>
                <w:szCs w:val="14"/>
                <w:color w:val="auto"/>
              </w:rPr>
            </w:pPr>
          </w:p>
        </w:tc>
        <w:tc>
          <w:tcPr>
            <w:tcW w:w="14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Patent</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0"/>
                <w:szCs w:val="10"/>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Country</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Date</w:t>
            </w: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4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0"/>
        </w:trPr>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ID</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tcBorders>
              <w:top w:val="single" w:sz="8" w:color="auto"/>
            </w:tcBorders>
          </w:tcPr>
          <w:p>
            <w:pPr>
              <w:jc w:val="right"/>
              <w:ind w:right="611"/>
              <w:spacing w:after="0" w:line="123" w:lineRule="exact"/>
              <w:rPr>
                <w:sz w:val="20"/>
                <w:szCs w:val="20"/>
                <w:color w:val="auto"/>
              </w:rPr>
            </w:pPr>
            <w:r>
              <w:rPr>
                <w:rFonts w:ascii="Arial" w:cs="Arial" w:eastAsia="Arial" w:hAnsi="Arial"/>
                <w:sz w:val="14"/>
                <w:szCs w:val="14"/>
                <w:color w:val="auto"/>
                <w:w w:val="85"/>
              </w:rPr>
              <w:t>2584-01</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Exhausted</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PCT</w:t>
            </w: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ind w:right="451"/>
              <w:spacing w:after="0" w:line="123" w:lineRule="exact"/>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0"/>
                <w:szCs w:val="10"/>
                <w:color w:val="auto"/>
              </w:rPr>
            </w:pPr>
          </w:p>
        </w:tc>
        <w:tc>
          <w:tcPr>
            <w:tcW w:w="13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PCT/IL02/00411</w:t>
            </w: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9/1/2003</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WO 03002739</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line="141" w:lineRule="exact"/>
              <w:rPr>
                <w:sz w:val="20"/>
                <w:szCs w:val="20"/>
                <w:color w:val="auto"/>
              </w:rPr>
            </w:pPr>
            <w:r>
              <w:rPr>
                <w:rFonts w:ascii="Arial" w:cs="Arial" w:eastAsia="Arial" w:hAnsi="Arial"/>
                <w:sz w:val="14"/>
                <w:szCs w:val="14"/>
                <w:color w:val="auto"/>
              </w:rPr>
              <w:t>US-2003-0216344-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2584-02</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Granted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US</w:t>
            </w:r>
          </w:p>
        </w:tc>
        <w:tc>
          <w:tcPr>
            <w:tcW w:w="1140" w:type="dxa"/>
            <w:vAlign w:val="bottom"/>
          </w:tcPr>
          <w:p>
            <w:pPr>
              <w:jc w:val="right"/>
              <w:ind w:right="451"/>
              <w:spacing w:after="0" w:line="141" w:lineRule="exact"/>
              <w:rPr>
                <w:sz w:val="20"/>
                <w:szCs w:val="20"/>
                <w:color w:val="auto"/>
              </w:rPr>
            </w:pPr>
            <w:r>
              <w:rPr>
                <w:rFonts w:ascii="Arial" w:cs="Arial" w:eastAsia="Arial" w:hAnsi="Arial"/>
                <w:sz w:val="14"/>
                <w:szCs w:val="14"/>
                <w:color w:val="auto"/>
                <w:w w:val="85"/>
              </w:rPr>
              <w:t>27/03/2003</w:t>
            </w:r>
          </w:p>
        </w:tc>
        <w:tc>
          <w:tcPr>
            <w:tcW w:w="120" w:type="dxa"/>
            <w:vAlign w:val="bottom"/>
          </w:tcPr>
          <w:p>
            <w:pPr>
              <w:spacing w:after="0"/>
              <w:rPr>
                <w:sz w:val="12"/>
                <w:szCs w:val="12"/>
                <w:color w:val="auto"/>
              </w:rPr>
            </w:pPr>
          </w:p>
        </w:tc>
        <w:tc>
          <w:tcPr>
            <w:tcW w:w="1380" w:type="dxa"/>
            <w:vAlign w:val="bottom"/>
          </w:tcPr>
          <w:p>
            <w:pPr>
              <w:spacing w:after="0" w:line="141" w:lineRule="exact"/>
              <w:rPr>
                <w:sz w:val="20"/>
                <w:szCs w:val="20"/>
                <w:color w:val="auto"/>
              </w:rPr>
            </w:pPr>
            <w:r>
              <w:rPr>
                <w:rFonts w:ascii="Arial" w:cs="Arial" w:eastAsia="Arial" w:hAnsi="Arial"/>
                <w:sz w:val="14"/>
                <w:szCs w:val="14"/>
                <w:color w:val="auto"/>
              </w:rPr>
              <w:t>10/402,016</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20/11/2003</w:t>
            </w:r>
          </w:p>
        </w:tc>
        <w:tc>
          <w:tcPr>
            <w:tcW w:w="1260" w:type="dxa"/>
            <w:vAlign w:val="bottom"/>
            <w:gridSpan w:val="2"/>
          </w:tcPr>
          <w:p>
            <w:pPr>
              <w:spacing w:after="0" w:line="141" w:lineRule="exact"/>
              <w:rPr>
                <w:sz w:val="20"/>
                <w:szCs w:val="20"/>
                <w:color w:val="auto"/>
              </w:rPr>
            </w:pPr>
            <w:r>
              <w:rPr>
                <w:rFonts w:ascii="Arial" w:cs="Arial" w:eastAsia="Arial" w:hAnsi="Arial"/>
                <w:sz w:val="14"/>
                <w:szCs w:val="14"/>
                <w:color w:val="auto"/>
              </w:rPr>
              <w:t>A1</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11/7/2006</w:t>
            </w: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7,074,915</w:t>
            </w: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2584-03</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Examination</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Europe</w:t>
            </w:r>
          </w:p>
        </w:tc>
        <w:tc>
          <w:tcPr>
            <w:tcW w:w="1140" w:type="dxa"/>
            <w:vAlign w:val="bottom"/>
          </w:tcPr>
          <w:p>
            <w:pPr>
              <w:jc w:val="right"/>
              <w:ind w:right="451"/>
              <w:spacing w:after="0" w:line="141" w:lineRule="exact"/>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2"/>
                <w:szCs w:val="12"/>
                <w:color w:val="auto"/>
              </w:rPr>
            </w:pPr>
          </w:p>
        </w:tc>
        <w:tc>
          <w:tcPr>
            <w:tcW w:w="15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2726406.8</w:t>
            </w:r>
          </w:p>
        </w:tc>
        <w:tc>
          <w:tcPr>
            <w:tcW w:w="12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25/02/2004</w:t>
            </w:r>
          </w:p>
        </w:tc>
        <w:tc>
          <w:tcPr>
            <w:tcW w:w="1260" w:type="dxa"/>
            <w:vAlign w:val="bottom"/>
            <w:gridSpan w:val="2"/>
          </w:tcPr>
          <w:p>
            <w:pPr>
              <w:ind w:left="660"/>
              <w:spacing w:after="0" w:line="141" w:lineRule="exact"/>
              <w:rPr>
                <w:sz w:val="20"/>
                <w:szCs w:val="20"/>
                <w:color w:val="auto"/>
              </w:rPr>
            </w:pPr>
            <w:r>
              <w:rPr>
                <w:rFonts w:ascii="Arial" w:cs="Arial" w:eastAsia="Arial" w:hAnsi="Arial"/>
                <w:sz w:val="14"/>
                <w:szCs w:val="14"/>
                <w:color w:val="auto"/>
              </w:rPr>
              <w:t>1390493</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2584-04</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Examination</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Canada</w:t>
            </w:r>
          </w:p>
        </w:tc>
        <w:tc>
          <w:tcPr>
            <w:tcW w:w="1140" w:type="dxa"/>
            <w:vAlign w:val="bottom"/>
          </w:tcPr>
          <w:p>
            <w:pPr>
              <w:jc w:val="right"/>
              <w:ind w:right="451"/>
              <w:spacing w:after="0" w:line="141" w:lineRule="exact"/>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2"/>
                <w:szCs w:val="12"/>
                <w:color w:val="auto"/>
              </w:rPr>
            </w:pPr>
          </w:p>
        </w:tc>
        <w:tc>
          <w:tcPr>
            <w:tcW w:w="1380" w:type="dxa"/>
            <w:vAlign w:val="bottom"/>
          </w:tcPr>
          <w:p>
            <w:pPr>
              <w:jc w:val="right"/>
              <w:spacing w:after="0" w:line="141" w:lineRule="exact"/>
              <w:rPr>
                <w:sz w:val="20"/>
                <w:szCs w:val="20"/>
                <w:color w:val="auto"/>
              </w:rPr>
            </w:pPr>
            <w:r>
              <w:rPr>
                <w:rFonts w:ascii="Arial" w:cs="Arial" w:eastAsia="Arial" w:hAnsi="Arial"/>
                <w:sz w:val="14"/>
                <w:szCs w:val="14"/>
                <w:color w:val="auto"/>
              </w:rPr>
              <w:t>2,458,806</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2584-05</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Granted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Australia</w:t>
            </w:r>
          </w:p>
        </w:tc>
        <w:tc>
          <w:tcPr>
            <w:tcW w:w="1140" w:type="dxa"/>
            <w:vAlign w:val="bottom"/>
          </w:tcPr>
          <w:p>
            <w:pPr>
              <w:jc w:val="right"/>
              <w:ind w:right="451"/>
              <w:spacing w:after="0" w:line="141" w:lineRule="exact"/>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2"/>
                <w:szCs w:val="12"/>
                <w:color w:val="auto"/>
              </w:rPr>
            </w:pPr>
          </w:p>
        </w:tc>
        <w:tc>
          <w:tcPr>
            <w:tcW w:w="15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2.002E+09</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18/10/2007</w:t>
            </w: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2.002E+09</w:t>
            </w: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2584-06</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Granted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Japan</w:t>
            </w:r>
          </w:p>
        </w:tc>
        <w:tc>
          <w:tcPr>
            <w:tcW w:w="1140" w:type="dxa"/>
            <w:vAlign w:val="bottom"/>
          </w:tcPr>
          <w:p>
            <w:pPr>
              <w:jc w:val="right"/>
              <w:ind w:right="451"/>
              <w:spacing w:after="0" w:line="141" w:lineRule="exact"/>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2"/>
                <w:szCs w:val="12"/>
                <w:color w:val="auto"/>
              </w:rPr>
            </w:pPr>
          </w:p>
        </w:tc>
        <w:tc>
          <w:tcPr>
            <w:tcW w:w="1380" w:type="dxa"/>
            <w:vAlign w:val="bottom"/>
          </w:tcPr>
          <w:p>
            <w:pPr>
              <w:spacing w:after="0" w:line="141" w:lineRule="exact"/>
              <w:rPr>
                <w:sz w:val="20"/>
                <w:szCs w:val="20"/>
                <w:color w:val="auto"/>
              </w:rPr>
            </w:pPr>
            <w:r>
              <w:rPr>
                <w:rFonts w:ascii="Arial" w:cs="Arial" w:eastAsia="Arial" w:hAnsi="Arial"/>
                <w:sz w:val="14"/>
                <w:szCs w:val="14"/>
                <w:color w:val="auto"/>
              </w:rPr>
              <w:t>2003-509100</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5/9/2009</w:t>
            </w: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4316373</w:t>
            </w: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2584-07</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Granted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India</w:t>
            </w:r>
          </w:p>
        </w:tc>
        <w:tc>
          <w:tcPr>
            <w:tcW w:w="1140" w:type="dxa"/>
            <w:vAlign w:val="bottom"/>
          </w:tcPr>
          <w:p>
            <w:pPr>
              <w:jc w:val="right"/>
              <w:ind w:right="451"/>
              <w:spacing w:after="0" w:line="141" w:lineRule="exact"/>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2"/>
                <w:szCs w:val="12"/>
                <w:color w:val="auto"/>
              </w:rPr>
            </w:pPr>
          </w:p>
        </w:tc>
        <w:tc>
          <w:tcPr>
            <w:tcW w:w="1500" w:type="dxa"/>
            <w:vAlign w:val="bottom"/>
            <w:gridSpan w:val="2"/>
          </w:tcPr>
          <w:p>
            <w:pPr>
              <w:spacing w:after="0" w:line="141" w:lineRule="exact"/>
              <w:rPr>
                <w:sz w:val="20"/>
                <w:szCs w:val="20"/>
                <w:color w:val="auto"/>
              </w:rPr>
            </w:pPr>
            <w:r>
              <w:rPr>
                <w:rFonts w:ascii="Arial" w:cs="Arial" w:eastAsia="Arial" w:hAnsi="Arial"/>
                <w:sz w:val="14"/>
                <w:szCs w:val="14"/>
                <w:color w:val="auto"/>
              </w:rPr>
              <w:t>01497/KOLNP/2003</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24/06/2009</w:t>
            </w: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235040</w:t>
            </w:r>
          </w:p>
        </w:tc>
        <w:tc>
          <w:tcPr>
            <w:tcW w:w="0" w:type="dxa"/>
            <w:vAlign w:val="bottom"/>
          </w:tcPr>
          <w:p>
            <w:pPr>
              <w:spacing w:after="0"/>
              <w:rPr>
                <w:sz w:val="1"/>
                <w:szCs w:val="1"/>
                <w:color w:val="auto"/>
              </w:rPr>
            </w:pPr>
          </w:p>
        </w:tc>
      </w:tr>
      <w:tr>
        <w:trPr>
          <w:trHeight w:val="174"/>
        </w:trPr>
        <w:tc>
          <w:tcPr>
            <w:tcW w:w="1140" w:type="dxa"/>
            <w:vAlign w:val="bottom"/>
          </w:tcPr>
          <w:p>
            <w:pPr>
              <w:jc w:val="right"/>
              <w:ind w:right="611"/>
              <w:spacing w:after="0"/>
              <w:rPr>
                <w:sz w:val="20"/>
                <w:szCs w:val="20"/>
                <w:color w:val="auto"/>
              </w:rPr>
            </w:pPr>
            <w:r>
              <w:rPr>
                <w:rFonts w:ascii="Arial" w:cs="Arial" w:eastAsia="Arial" w:hAnsi="Arial"/>
                <w:sz w:val="14"/>
                <w:szCs w:val="14"/>
                <w:color w:val="auto"/>
                <w:w w:val="85"/>
              </w:rPr>
              <w:t>2584-08</w:t>
            </w: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Granted</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New Zealand</w:t>
            </w:r>
          </w:p>
        </w:tc>
        <w:tc>
          <w:tcPr>
            <w:tcW w:w="1140" w:type="dxa"/>
            <w:vAlign w:val="bottom"/>
          </w:tcPr>
          <w:p>
            <w:pPr>
              <w:jc w:val="right"/>
              <w:ind w:right="451"/>
              <w:spacing w:after="0"/>
              <w:rPr>
                <w:sz w:val="20"/>
                <w:szCs w:val="20"/>
                <w:color w:val="auto"/>
              </w:rPr>
            </w:pPr>
            <w:r>
              <w:rPr>
                <w:rFonts w:ascii="Arial" w:cs="Arial" w:eastAsia="Arial" w:hAnsi="Arial"/>
                <w:sz w:val="14"/>
                <w:szCs w:val="14"/>
                <w:color w:val="auto"/>
                <w:w w:val="85"/>
              </w:rPr>
              <w:t>24/05/2002</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529549</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US-2006-0178333-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13/11/2008</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529549</w:t>
            </w: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2584-09</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Granted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US</w:t>
            </w:r>
          </w:p>
        </w:tc>
        <w:tc>
          <w:tcPr>
            <w:tcW w:w="12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1/2/2006</w:t>
            </w:r>
          </w:p>
        </w:tc>
        <w:tc>
          <w:tcPr>
            <w:tcW w:w="1380" w:type="dxa"/>
            <w:vAlign w:val="bottom"/>
          </w:tcPr>
          <w:p>
            <w:pPr>
              <w:spacing w:after="0" w:line="141" w:lineRule="exact"/>
              <w:rPr>
                <w:sz w:val="20"/>
                <w:szCs w:val="20"/>
                <w:color w:val="auto"/>
              </w:rPr>
            </w:pPr>
            <w:r>
              <w:rPr>
                <w:rFonts w:ascii="Arial" w:cs="Arial" w:eastAsia="Arial" w:hAnsi="Arial"/>
                <w:sz w:val="14"/>
                <w:szCs w:val="14"/>
                <w:color w:val="auto"/>
              </w:rPr>
              <w:t>11/346,145</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10/8/2006</w:t>
            </w:r>
          </w:p>
        </w:tc>
        <w:tc>
          <w:tcPr>
            <w:tcW w:w="1260" w:type="dxa"/>
            <w:vAlign w:val="bottom"/>
            <w:gridSpan w:val="2"/>
          </w:tcPr>
          <w:p>
            <w:pPr>
              <w:spacing w:after="0" w:line="141" w:lineRule="exact"/>
              <w:rPr>
                <w:sz w:val="20"/>
                <w:szCs w:val="20"/>
                <w:color w:val="auto"/>
              </w:rPr>
            </w:pPr>
            <w:r>
              <w:rPr>
                <w:rFonts w:ascii="Arial" w:cs="Arial" w:eastAsia="Arial" w:hAnsi="Arial"/>
                <w:sz w:val="14"/>
                <w:szCs w:val="14"/>
                <w:color w:val="auto"/>
              </w:rPr>
              <w:t>A1</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25/11/2008</w:t>
            </w:r>
          </w:p>
        </w:tc>
        <w:tc>
          <w:tcPr>
            <w:tcW w:w="22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4"/>
                <w:szCs w:val="14"/>
                <w:color w:val="auto"/>
              </w:rPr>
              <w:t>7,456,154</w:t>
            </w:r>
          </w:p>
        </w:tc>
        <w:tc>
          <w:tcPr>
            <w:tcW w:w="0" w:type="dxa"/>
            <w:vAlign w:val="bottom"/>
          </w:tcPr>
          <w:p>
            <w:pPr>
              <w:spacing w:after="0"/>
              <w:rPr>
                <w:sz w:val="1"/>
                <w:szCs w:val="1"/>
                <w:color w:val="auto"/>
              </w:rPr>
            </w:pPr>
          </w:p>
        </w:tc>
      </w:tr>
      <w:tr>
        <w:trPr>
          <w:trHeight w:val="174"/>
        </w:trPr>
        <w:tc>
          <w:tcPr>
            <w:tcW w:w="1140" w:type="dxa"/>
            <w:vAlign w:val="bottom"/>
          </w:tcPr>
          <w:p>
            <w:pPr>
              <w:jc w:val="right"/>
              <w:ind w:right="611"/>
              <w:spacing w:after="0"/>
              <w:rPr>
                <w:sz w:val="20"/>
                <w:szCs w:val="20"/>
                <w:color w:val="auto"/>
              </w:rPr>
            </w:pPr>
            <w:r>
              <w:rPr>
                <w:rFonts w:ascii="Arial" w:cs="Arial" w:eastAsia="Arial" w:hAnsi="Arial"/>
                <w:sz w:val="14"/>
                <w:szCs w:val="14"/>
                <w:color w:val="auto"/>
                <w:w w:val="85"/>
              </w:rPr>
              <w:t>2584-10</w:t>
            </w: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Examination</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US</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7/10/2008</w:t>
            </w:r>
          </w:p>
        </w:tc>
        <w:tc>
          <w:tcPr>
            <w:tcW w:w="1380" w:type="dxa"/>
            <w:vAlign w:val="bottom"/>
          </w:tcPr>
          <w:p>
            <w:pPr>
              <w:spacing w:after="0"/>
              <w:rPr>
                <w:sz w:val="20"/>
                <w:szCs w:val="20"/>
                <w:color w:val="auto"/>
              </w:rPr>
            </w:pPr>
            <w:r>
              <w:rPr>
                <w:rFonts w:ascii="Arial" w:cs="Arial" w:eastAsia="Arial" w:hAnsi="Arial"/>
                <w:sz w:val="14"/>
                <w:szCs w:val="14"/>
                <w:color w:val="auto"/>
              </w:rPr>
              <w:t>12/287,274</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II</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Patent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Application</w:t>
            </w:r>
          </w:p>
        </w:tc>
        <w:tc>
          <w:tcPr>
            <w:tcW w:w="120" w:type="dxa"/>
            <w:vAlign w:val="bottom"/>
          </w:tcPr>
          <w:p>
            <w:pPr>
              <w:spacing w:after="0"/>
              <w:rPr>
                <w:sz w:val="14"/>
                <w:szCs w:val="14"/>
                <w:color w:val="auto"/>
              </w:rPr>
            </w:pPr>
          </w:p>
        </w:tc>
        <w:tc>
          <w:tcPr>
            <w:tcW w:w="24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Publication</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119"/>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0"/>
                <w:szCs w:val="10"/>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Country</w:t>
            </w: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8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0"/>
        </w:trPr>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ID</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40" w:type="dxa"/>
            <w:vAlign w:val="bottom"/>
            <w:tcBorders>
              <w:top w:val="single" w:sz="8" w:color="auto"/>
            </w:tcBorders>
          </w:tcPr>
          <w:p>
            <w:pPr>
              <w:jc w:val="right"/>
              <w:ind w:right="611"/>
              <w:spacing w:after="0" w:line="123" w:lineRule="exact"/>
              <w:rPr>
                <w:sz w:val="20"/>
                <w:szCs w:val="20"/>
                <w:color w:val="auto"/>
              </w:rPr>
            </w:pPr>
            <w:r>
              <w:rPr>
                <w:rFonts w:ascii="Arial" w:cs="Arial" w:eastAsia="Arial" w:hAnsi="Arial"/>
                <w:sz w:val="14"/>
                <w:szCs w:val="14"/>
                <w:color w:val="auto"/>
                <w:w w:val="85"/>
              </w:rPr>
              <w:t>2806-00</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Examination</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Israel</w:t>
            </w:r>
          </w:p>
        </w:tc>
        <w:tc>
          <w:tcPr>
            <w:tcW w:w="120" w:type="dxa"/>
            <w:vAlign w:val="bottom"/>
          </w:tcPr>
          <w:p>
            <w:pPr>
              <w:spacing w:after="0"/>
              <w:rPr>
                <w:sz w:val="10"/>
                <w:szCs w:val="10"/>
                <w:color w:val="auto"/>
              </w:rPr>
            </w:pPr>
          </w:p>
        </w:tc>
        <w:tc>
          <w:tcPr>
            <w:tcW w:w="840" w:type="dxa"/>
            <w:vAlign w:val="bottom"/>
            <w:tcBorders>
              <w:top w:val="single" w:sz="8" w:color="auto"/>
            </w:tcBorders>
          </w:tcPr>
          <w:p>
            <w:pPr>
              <w:jc w:val="right"/>
              <w:ind w:right="151"/>
              <w:spacing w:after="0" w:line="123" w:lineRule="exact"/>
              <w:rPr>
                <w:sz w:val="20"/>
                <w:szCs w:val="20"/>
                <w:color w:val="auto"/>
              </w:rPr>
            </w:pPr>
            <w:r>
              <w:rPr>
                <w:rFonts w:ascii="Arial" w:cs="Arial" w:eastAsia="Arial" w:hAnsi="Arial"/>
                <w:sz w:val="14"/>
                <w:szCs w:val="14"/>
                <w:color w:val="auto"/>
                <w:w w:val="85"/>
              </w:rPr>
              <w:t>26/10/2003</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158600</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2806-01</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Exhausted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PCT</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26/10/2004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spacing w:after="0" w:line="141" w:lineRule="exact"/>
              <w:rPr>
                <w:sz w:val="20"/>
                <w:szCs w:val="20"/>
                <w:color w:val="auto"/>
              </w:rPr>
            </w:pPr>
            <w:r>
              <w:rPr>
                <w:rFonts w:ascii="Arial" w:cs="Arial" w:eastAsia="Arial" w:hAnsi="Arial"/>
                <w:sz w:val="14"/>
                <w:szCs w:val="14"/>
                <w:color w:val="auto"/>
              </w:rPr>
              <w:t>PCT/IL2004/000978</w:t>
            </w:r>
          </w:p>
        </w:tc>
        <w:tc>
          <w:tcPr>
            <w:tcW w:w="12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05/06/2005</w:t>
            </w:r>
          </w:p>
        </w:tc>
        <w:tc>
          <w:tcPr>
            <w:tcW w:w="1260" w:type="dxa"/>
            <w:vAlign w:val="bottom"/>
            <w:gridSpan w:val="2"/>
          </w:tcPr>
          <w:p>
            <w:pPr>
              <w:spacing w:after="0" w:line="141" w:lineRule="exact"/>
              <w:rPr>
                <w:sz w:val="20"/>
                <w:szCs w:val="20"/>
                <w:color w:val="auto"/>
              </w:rPr>
            </w:pPr>
            <w:r>
              <w:rPr>
                <w:rFonts w:ascii="Arial" w:cs="Arial" w:eastAsia="Arial" w:hAnsi="Arial"/>
                <w:sz w:val="14"/>
                <w:szCs w:val="14"/>
                <w:color w:val="auto"/>
              </w:rPr>
              <w:t>WO2005/039480</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2806-02</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Abandoned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US</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26/10/2004</w:t>
            </w:r>
          </w:p>
        </w:tc>
        <w:tc>
          <w:tcPr>
            <w:tcW w:w="1800" w:type="dxa"/>
            <w:vAlign w:val="bottom"/>
            <w:gridSpan w:val="3"/>
          </w:tcPr>
          <w:p>
            <w:pPr>
              <w:ind w:left="420"/>
              <w:spacing w:after="0" w:line="141" w:lineRule="exact"/>
              <w:rPr>
                <w:sz w:val="20"/>
                <w:szCs w:val="20"/>
                <w:color w:val="auto"/>
              </w:rPr>
            </w:pPr>
            <w:r>
              <w:rPr>
                <w:rFonts w:ascii="Arial" w:cs="Arial" w:eastAsia="Arial" w:hAnsi="Arial"/>
                <w:sz w:val="14"/>
                <w:szCs w:val="14"/>
                <w:color w:val="auto"/>
              </w:rPr>
              <w:t>11/187,719</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2806-03</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Examination</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Europe</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23/10/2004</w:t>
            </w:r>
          </w:p>
        </w:tc>
        <w:tc>
          <w:tcPr>
            <w:tcW w:w="1920" w:type="dxa"/>
            <w:vAlign w:val="bottom"/>
            <w:gridSpan w:val="4"/>
          </w:tcPr>
          <w:p>
            <w:pPr>
              <w:jc w:val="right"/>
              <w:ind w:right="120"/>
              <w:spacing w:after="0" w:line="141" w:lineRule="exact"/>
              <w:rPr>
                <w:sz w:val="20"/>
                <w:szCs w:val="20"/>
                <w:color w:val="auto"/>
              </w:rPr>
            </w:pPr>
            <w:r>
              <w:rPr>
                <w:rFonts w:ascii="Arial" w:cs="Arial" w:eastAsia="Arial" w:hAnsi="Arial"/>
                <w:sz w:val="14"/>
                <w:szCs w:val="14"/>
                <w:color w:val="auto"/>
              </w:rPr>
              <w:t>4791840.4</w:t>
            </w:r>
          </w:p>
        </w:tc>
        <w:tc>
          <w:tcPr>
            <w:tcW w:w="126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26/07/2006</w:t>
            </w:r>
          </w:p>
        </w:tc>
        <w:tc>
          <w:tcPr>
            <w:tcW w:w="1260" w:type="dxa"/>
            <w:vAlign w:val="bottom"/>
            <w:gridSpan w:val="2"/>
          </w:tcPr>
          <w:p>
            <w:pPr>
              <w:ind w:left="660"/>
              <w:spacing w:after="0" w:line="141" w:lineRule="exact"/>
              <w:rPr>
                <w:sz w:val="20"/>
                <w:szCs w:val="20"/>
                <w:color w:val="auto"/>
              </w:rPr>
            </w:pPr>
            <w:r>
              <w:rPr>
                <w:rFonts w:ascii="Arial" w:cs="Arial" w:eastAsia="Arial" w:hAnsi="Arial"/>
                <w:sz w:val="14"/>
                <w:szCs w:val="14"/>
                <w:color w:val="auto"/>
              </w:rPr>
              <w:t>1682072</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2806-04</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Filed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Canada</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26/10/2004</w:t>
            </w:r>
          </w:p>
        </w:tc>
        <w:tc>
          <w:tcPr>
            <w:tcW w:w="180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2,543,305</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line="141" w:lineRule="exact"/>
              <w:rPr>
                <w:sz w:val="20"/>
                <w:szCs w:val="20"/>
                <w:color w:val="auto"/>
              </w:rPr>
            </w:pPr>
            <w:r>
              <w:rPr>
                <w:rFonts w:ascii="Arial" w:cs="Arial" w:eastAsia="Arial" w:hAnsi="Arial"/>
                <w:sz w:val="14"/>
                <w:szCs w:val="14"/>
                <w:color w:val="auto"/>
              </w:rPr>
              <w:t>CA 2543305 A1</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2806-05</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Allowed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Japan</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26/10/2004</w:t>
            </w:r>
          </w:p>
        </w:tc>
        <w:tc>
          <w:tcPr>
            <w:tcW w:w="1800" w:type="dxa"/>
            <w:vAlign w:val="bottom"/>
            <w:gridSpan w:val="3"/>
          </w:tcPr>
          <w:p>
            <w:pPr>
              <w:ind w:left="420"/>
              <w:spacing w:after="0" w:line="141" w:lineRule="exact"/>
              <w:rPr>
                <w:sz w:val="20"/>
                <w:szCs w:val="20"/>
                <w:color w:val="auto"/>
              </w:rPr>
            </w:pPr>
            <w:r>
              <w:rPr>
                <w:rFonts w:ascii="Arial" w:cs="Arial" w:eastAsia="Arial" w:hAnsi="Arial"/>
                <w:sz w:val="14"/>
                <w:szCs w:val="14"/>
                <w:color w:val="auto"/>
              </w:rPr>
              <w:t>2006-537550</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line="141" w:lineRule="exact"/>
              <w:rPr>
                <w:sz w:val="20"/>
                <w:szCs w:val="20"/>
                <w:color w:val="auto"/>
              </w:rPr>
            </w:pPr>
            <w:r>
              <w:rPr>
                <w:rFonts w:ascii="Arial" w:cs="Arial" w:eastAsia="Arial" w:hAnsi="Arial"/>
                <w:sz w:val="14"/>
                <w:szCs w:val="14"/>
                <w:color w:val="auto"/>
              </w:rPr>
              <w:t>JP 2007 509186</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Pr>
          <w:p>
            <w:pPr>
              <w:jc w:val="right"/>
              <w:ind w:right="611"/>
              <w:spacing w:after="0"/>
              <w:rPr>
                <w:sz w:val="20"/>
                <w:szCs w:val="20"/>
                <w:color w:val="auto"/>
              </w:rPr>
            </w:pPr>
            <w:r>
              <w:rPr>
                <w:rFonts w:ascii="Arial" w:cs="Arial" w:eastAsia="Arial" w:hAnsi="Arial"/>
                <w:sz w:val="14"/>
                <w:szCs w:val="14"/>
                <w:color w:val="auto"/>
                <w:w w:val="85"/>
              </w:rPr>
              <w:t>2806-06</w:t>
            </w: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Examination</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US</w:t>
            </w:r>
          </w:p>
        </w:tc>
        <w:tc>
          <w:tcPr>
            <w:tcW w:w="840" w:type="dxa"/>
            <w:vAlign w:val="bottom"/>
          </w:tcPr>
          <w:p>
            <w:pPr>
              <w:spacing w:after="0"/>
              <w:rPr>
                <w:sz w:val="15"/>
                <w:szCs w:val="15"/>
                <w:color w:val="auto"/>
              </w:rPr>
            </w:pPr>
          </w:p>
        </w:tc>
        <w:tc>
          <w:tcPr>
            <w:tcW w:w="1800" w:type="dxa"/>
            <w:vAlign w:val="bottom"/>
            <w:gridSpan w:val="3"/>
          </w:tcPr>
          <w:p>
            <w:pPr>
              <w:ind w:left="420"/>
              <w:spacing w:after="0"/>
              <w:rPr>
                <w:sz w:val="20"/>
                <w:szCs w:val="20"/>
                <w:color w:val="auto"/>
              </w:rPr>
            </w:pPr>
            <w:r>
              <w:rPr>
                <w:rFonts w:ascii="Arial" w:cs="Arial" w:eastAsia="Arial" w:hAnsi="Arial"/>
                <w:sz w:val="14"/>
                <w:szCs w:val="14"/>
                <w:color w:val="auto"/>
              </w:rPr>
              <w:t>11/788,321</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US 2006 069051A1</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III</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Patent ID</w:t>
            </w:r>
          </w:p>
        </w:tc>
        <w:tc>
          <w:tcPr>
            <w:tcW w:w="12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4"/>
                <w:szCs w:val="14"/>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Country</w:t>
            </w: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Application</w:t>
            </w: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Publication</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40" w:type="dxa"/>
            <w:vAlign w:val="bottom"/>
          </w:tcPr>
          <w:p>
            <w:pPr>
              <w:jc w:val="right"/>
              <w:ind w:right="51"/>
              <w:spacing w:after="0" w:line="141" w:lineRule="exact"/>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ind w:left="440"/>
              <w:spacing w:after="0" w:line="141"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80" w:type="dxa"/>
            <w:vAlign w:val="bottom"/>
          </w:tcPr>
          <w:p>
            <w:pPr>
              <w:jc w:val="right"/>
              <w:ind w:right="11"/>
              <w:spacing w:after="0" w:line="141" w:lineRule="exact"/>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40" w:type="dxa"/>
            <w:vAlign w:val="bottom"/>
          </w:tcPr>
          <w:p>
            <w:pPr>
              <w:ind w:left="420"/>
              <w:spacing w:after="0" w:line="141" w:lineRule="exact"/>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23"/>
        </w:trPr>
        <w:tc>
          <w:tcPr>
            <w:tcW w:w="1140" w:type="dxa"/>
            <w:vAlign w:val="bottom"/>
            <w:tcBorders>
              <w:top w:val="single" w:sz="8" w:color="auto"/>
            </w:tcBorders>
          </w:tcPr>
          <w:p>
            <w:pPr>
              <w:jc w:val="right"/>
              <w:ind w:right="611"/>
              <w:spacing w:after="0" w:line="123" w:lineRule="exact"/>
              <w:rPr>
                <w:sz w:val="20"/>
                <w:szCs w:val="20"/>
                <w:color w:val="auto"/>
              </w:rPr>
            </w:pPr>
            <w:r>
              <w:rPr>
                <w:rFonts w:ascii="Arial" w:cs="Arial" w:eastAsia="Arial" w:hAnsi="Arial"/>
                <w:sz w:val="14"/>
                <w:szCs w:val="14"/>
                <w:color w:val="auto"/>
                <w:w w:val="85"/>
              </w:rPr>
              <w:t>3410-00</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Expired</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US</w:t>
            </w:r>
          </w:p>
        </w:tc>
        <w:tc>
          <w:tcPr>
            <w:tcW w:w="120" w:type="dxa"/>
            <w:vAlign w:val="bottom"/>
          </w:tcPr>
          <w:p>
            <w:pPr>
              <w:spacing w:after="0"/>
              <w:rPr>
                <w:sz w:val="10"/>
                <w:szCs w:val="10"/>
                <w:color w:val="auto"/>
              </w:rPr>
            </w:pPr>
          </w:p>
        </w:tc>
        <w:tc>
          <w:tcPr>
            <w:tcW w:w="840" w:type="dxa"/>
            <w:vAlign w:val="bottom"/>
            <w:tcBorders>
              <w:top w:val="single" w:sz="8" w:color="auto"/>
            </w:tcBorders>
          </w:tcPr>
          <w:p>
            <w:pPr>
              <w:jc w:val="right"/>
              <w:ind w:right="151"/>
              <w:spacing w:after="0" w:line="123" w:lineRule="exact"/>
              <w:rPr>
                <w:sz w:val="20"/>
                <w:szCs w:val="20"/>
                <w:color w:val="auto"/>
              </w:rPr>
            </w:pPr>
            <w:r>
              <w:rPr>
                <w:rFonts w:ascii="Arial" w:cs="Arial" w:eastAsia="Arial" w:hAnsi="Arial"/>
                <w:sz w:val="14"/>
                <w:szCs w:val="14"/>
                <w:color w:val="auto"/>
                <w:w w:val="85"/>
              </w:rPr>
              <w:t>14/08/2008</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61/088,926</w:t>
            </w: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3410-01</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Expired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US</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19/02/2009</w:t>
            </w:r>
          </w:p>
        </w:tc>
        <w:tc>
          <w:tcPr>
            <w:tcW w:w="1800" w:type="dxa"/>
            <w:vAlign w:val="bottom"/>
            <w:gridSpan w:val="3"/>
          </w:tcPr>
          <w:p>
            <w:pPr>
              <w:ind w:left="420"/>
              <w:spacing w:after="0" w:line="141" w:lineRule="exact"/>
              <w:rPr>
                <w:sz w:val="20"/>
                <w:szCs w:val="20"/>
                <w:color w:val="auto"/>
              </w:rPr>
            </w:pPr>
            <w:r>
              <w:rPr>
                <w:rFonts w:ascii="Arial" w:cs="Arial" w:eastAsia="Arial" w:hAnsi="Arial"/>
                <w:sz w:val="14"/>
                <w:szCs w:val="14"/>
                <w:color w:val="auto"/>
              </w:rPr>
              <w:t>61/202,326</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jc w:val="right"/>
              <w:ind w:right="611"/>
              <w:spacing w:after="0" w:line="141" w:lineRule="exact"/>
              <w:rPr>
                <w:sz w:val="20"/>
                <w:szCs w:val="20"/>
                <w:color w:val="auto"/>
              </w:rPr>
            </w:pPr>
            <w:r>
              <w:rPr>
                <w:rFonts w:ascii="Arial" w:cs="Arial" w:eastAsia="Arial" w:hAnsi="Arial"/>
                <w:sz w:val="14"/>
                <w:szCs w:val="14"/>
                <w:color w:val="auto"/>
                <w:w w:val="85"/>
              </w:rPr>
              <w:t>3410-02</w:t>
            </w:r>
          </w:p>
        </w:tc>
        <w:tc>
          <w:tcPr>
            <w:tcW w:w="126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Exhausted</w:t>
            </w:r>
          </w:p>
        </w:tc>
        <w:tc>
          <w:tcPr>
            <w:tcW w:w="1380" w:type="dxa"/>
            <w:vAlign w:val="bottom"/>
            <w:gridSpan w:val="3"/>
          </w:tcPr>
          <w:p>
            <w:pPr>
              <w:ind w:left="120"/>
              <w:spacing w:after="0" w:line="141" w:lineRule="exact"/>
              <w:rPr>
                <w:sz w:val="20"/>
                <w:szCs w:val="20"/>
                <w:color w:val="auto"/>
              </w:rPr>
            </w:pPr>
            <w:r>
              <w:rPr>
                <w:rFonts w:ascii="Arial" w:cs="Arial" w:eastAsia="Arial" w:hAnsi="Arial"/>
                <w:sz w:val="14"/>
                <w:szCs w:val="14"/>
                <w:color w:val="auto"/>
              </w:rPr>
              <w:t>PCT</w:t>
            </w:r>
          </w:p>
        </w:tc>
        <w:tc>
          <w:tcPr>
            <w:tcW w:w="840" w:type="dxa"/>
            <w:vAlign w:val="bottom"/>
          </w:tcPr>
          <w:p>
            <w:pPr>
              <w:jc w:val="right"/>
              <w:ind w:right="151"/>
              <w:spacing w:after="0" w:line="141" w:lineRule="exact"/>
              <w:rPr>
                <w:sz w:val="20"/>
                <w:szCs w:val="20"/>
                <w:color w:val="auto"/>
              </w:rPr>
            </w:pPr>
            <w:r>
              <w:rPr>
                <w:rFonts w:ascii="Arial" w:cs="Arial" w:eastAsia="Arial" w:hAnsi="Arial"/>
                <w:sz w:val="14"/>
                <w:szCs w:val="14"/>
                <w:color w:val="auto"/>
                <w:w w:val="85"/>
              </w:rPr>
              <w:t>13/08/2009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1" w:lineRule="exact"/>
              <w:rPr>
                <w:sz w:val="20"/>
                <w:szCs w:val="20"/>
                <w:color w:val="auto"/>
              </w:rPr>
            </w:pPr>
            <w:r>
              <w:rPr>
                <w:rFonts w:ascii="Arial" w:cs="Arial" w:eastAsia="Arial" w:hAnsi="Arial"/>
                <w:sz w:val="14"/>
                <w:szCs w:val="14"/>
                <w:color w:val="auto"/>
              </w:rPr>
              <w:t>PCT/IL2009/000801</w:t>
            </w:r>
          </w:p>
        </w:tc>
        <w:tc>
          <w:tcPr>
            <w:tcW w:w="900" w:type="dxa"/>
            <w:vAlign w:val="bottom"/>
            <w:gridSpan w:val="2"/>
          </w:tcPr>
          <w:p>
            <w:pPr>
              <w:jc w:val="right"/>
              <w:ind w:right="91"/>
              <w:spacing w:after="0" w:line="141" w:lineRule="exact"/>
              <w:rPr>
                <w:sz w:val="20"/>
                <w:szCs w:val="20"/>
                <w:color w:val="auto"/>
              </w:rPr>
            </w:pPr>
            <w:r>
              <w:rPr>
                <w:rFonts w:ascii="Arial" w:cs="Arial" w:eastAsia="Arial" w:hAnsi="Arial"/>
                <w:sz w:val="14"/>
                <w:szCs w:val="14"/>
                <w:color w:val="auto"/>
              </w:rPr>
              <w:t>18/02/2010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line="141" w:lineRule="exact"/>
              <w:rPr>
                <w:sz w:val="20"/>
                <w:szCs w:val="20"/>
                <w:color w:val="auto"/>
              </w:rPr>
            </w:pPr>
            <w:r>
              <w:rPr>
                <w:rFonts w:ascii="Arial" w:cs="Arial" w:eastAsia="Arial" w:hAnsi="Arial"/>
                <w:sz w:val="14"/>
                <w:szCs w:val="14"/>
                <w:color w:val="auto"/>
              </w:rPr>
              <w:t>WO2010/018583</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40" w:type="dxa"/>
            <w:vAlign w:val="bottom"/>
          </w:tcPr>
          <w:p>
            <w:pPr>
              <w:jc w:val="right"/>
              <w:ind w:right="611"/>
              <w:spacing w:after="0"/>
              <w:rPr>
                <w:sz w:val="20"/>
                <w:szCs w:val="20"/>
                <w:color w:val="auto"/>
              </w:rPr>
            </w:pPr>
            <w:r>
              <w:rPr>
                <w:rFonts w:ascii="Arial" w:cs="Arial" w:eastAsia="Arial" w:hAnsi="Arial"/>
                <w:sz w:val="14"/>
                <w:szCs w:val="14"/>
                <w:color w:val="auto"/>
                <w:w w:val="85"/>
              </w:rPr>
              <w:t>3410-03</w:t>
            </w: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Filed</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US</w:t>
            </w:r>
          </w:p>
        </w:tc>
        <w:tc>
          <w:tcPr>
            <w:tcW w:w="840" w:type="dxa"/>
            <w:vAlign w:val="bottom"/>
          </w:tcPr>
          <w:p>
            <w:pPr>
              <w:jc w:val="right"/>
              <w:ind w:right="151"/>
              <w:spacing w:after="0"/>
              <w:rPr>
                <w:sz w:val="20"/>
                <w:szCs w:val="20"/>
                <w:color w:val="auto"/>
              </w:rPr>
            </w:pPr>
            <w:r>
              <w:rPr>
                <w:rFonts w:ascii="Arial" w:cs="Arial" w:eastAsia="Arial" w:hAnsi="Arial"/>
                <w:sz w:val="14"/>
                <w:szCs w:val="14"/>
                <w:color w:val="auto"/>
                <w:w w:val="85"/>
              </w:rPr>
              <w:t>13/08/2009</w:t>
            </w:r>
          </w:p>
        </w:tc>
        <w:tc>
          <w:tcPr>
            <w:tcW w:w="1800" w:type="dxa"/>
            <w:vAlign w:val="bottom"/>
            <w:gridSpan w:val="3"/>
          </w:tcPr>
          <w:p>
            <w:pPr>
              <w:ind w:left="420"/>
              <w:spacing w:after="0"/>
              <w:rPr>
                <w:sz w:val="20"/>
                <w:szCs w:val="20"/>
                <w:color w:val="auto"/>
              </w:rPr>
            </w:pPr>
            <w:r>
              <w:rPr>
                <w:rFonts w:ascii="Arial" w:cs="Arial" w:eastAsia="Arial" w:hAnsi="Arial"/>
                <w:sz w:val="14"/>
                <w:szCs w:val="14"/>
                <w:color w:val="auto"/>
              </w:rPr>
              <w:t>13/058,876</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left="260" w:right="2220"/>
        <w:spacing w:after="0" w:line="265" w:lineRule="auto"/>
        <w:rPr>
          <w:sz w:val="20"/>
          <w:szCs w:val="20"/>
          <w:color w:val="auto"/>
        </w:rPr>
      </w:pPr>
      <w:r>
        <w:rPr>
          <w:rFonts w:ascii="Arial" w:cs="Arial" w:eastAsia="Arial" w:hAnsi="Arial"/>
          <w:sz w:val="17"/>
          <w:szCs w:val="17"/>
          <w:i w:val="1"/>
          <w:iCs w:val="1"/>
          <w:color w:val="auto"/>
        </w:rPr>
        <w:t>Exhibit to also include all inventions, know-how and other intellectual property developed by the Yissum Scientist in her laboratories whether directly or by the researcher and students working under their supervision, and related to EN-101 compounds.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34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92" w:name="page793"/>
    <w:bookmarkEnd w:id="792"/>
    <w:p>
      <w:pPr>
        <w:jc w:val="center"/>
        <w:spacing w:after="0"/>
        <w:rPr>
          <w:sz w:val="20"/>
          <w:szCs w:val="20"/>
          <w:color w:val="auto"/>
        </w:rPr>
      </w:pPr>
      <w:r>
        <w:rPr>
          <w:rFonts w:ascii="Arial" w:cs="Arial" w:eastAsia="Arial" w:hAnsi="Arial"/>
          <w:sz w:val="17"/>
          <w:szCs w:val="17"/>
          <w:b w:val="1"/>
          <w:bCs w:val="1"/>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Development Plan follows this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168910</wp:posOffset>
            </wp:positionV>
            <wp:extent cx="5031740" cy="90678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5031740" cy="90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35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77470</wp:posOffset>
            </wp:positionV>
            <wp:extent cx="7257415" cy="209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793" w:name="page794"/>
    <w:bookmarkEnd w:id="793"/>
    <w:p>
      <w:pPr>
        <w:jc w:val="center"/>
        <w:spacing w:after="0"/>
        <w:rPr>
          <w:sz w:val="20"/>
          <w:szCs w:val="20"/>
          <w:color w:val="auto"/>
        </w:rPr>
      </w:pPr>
      <w:r>
        <w:rPr>
          <w:rFonts w:ascii="Arial" w:cs="Arial" w:eastAsia="Arial" w:hAnsi="Arial"/>
          <w:sz w:val="17"/>
          <w:szCs w:val="17"/>
          <w:b w:val="1"/>
          <w:bCs w:val="1"/>
          <w:color w:val="auto"/>
        </w:rPr>
        <w:t>Appendix 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MTA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TRANSFER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RELATING TO THE TRANSFER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BIOLOGICAL, CHEMICAL AND OTHER TANGIBLE MATERIALS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RESEARCH PURPOSES ONLY</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This Agreement (hereafter “Agreement”) is made effective between </w:t>
      </w:r>
      <w:r>
        <w:rPr>
          <w:rFonts w:ascii="Arial" w:cs="Arial" w:eastAsia="Arial" w:hAnsi="Arial"/>
          <w:sz w:val="17"/>
          <w:szCs w:val="17"/>
          <w:b w:val="1"/>
          <w:bCs w:val="1"/>
          <w:color w:val="auto"/>
        </w:rPr>
        <w:t>Yissum Research Development Company of the Hebrew University of Jerusalem</w:t>
      </w:r>
      <w:r>
        <w:rPr>
          <w:rFonts w:ascii="Arial" w:cs="Arial" w:eastAsia="Arial" w:hAnsi="Arial"/>
          <w:sz w:val="17"/>
          <w:szCs w:val="17"/>
          <w:color w:val="auto"/>
        </w:rPr>
        <w:t>, (hereafter “Yissum”), located at Edmond Safra Campus, Givat Ram, POB 39135, Jerusalem, 91390, Israel, and: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Prof./Dr. 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(hereinafter the “Requesting Scientist”)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of: _________________________ (hereinafter the “Institute”)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located at: 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Institute is engaged in research and development in the field of _______________________________________________________ (the “Field”); and</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spacing w:after="0"/>
        <w:tabs>
          <w:tab w:leader="none" w:pos="400" w:val="left"/>
          <w:tab w:leader="none" w:pos="1080" w:val="left"/>
          <w:tab w:leader="none" w:pos="1940" w:val="left"/>
          <w:tab w:leader="none" w:pos="2220" w:val="left"/>
          <w:tab w:leader="none" w:pos="3060" w:val="left"/>
          <w:tab w:leader="none" w:pos="3460" w:val="left"/>
          <w:tab w:leader="none" w:pos="4540" w:val="left"/>
          <w:tab w:leader="none" w:pos="4900" w:val="left"/>
          <w:tab w:leader="none" w:pos="5760" w:val="left"/>
          <w:tab w:leader="none" w:pos="8040" w:val="left"/>
          <w:tab w:leader="none" w:pos="8440" w:val="left"/>
          <w:tab w:leader="none" w:pos="9440" w:val="left"/>
          <w:tab w:leader="none" w:pos="9980" w:val="left"/>
          <w:tab w:leader="none" w:pos="10320" w:val="left"/>
          <w:tab w:leader="none" w:pos="11260" w:val="left"/>
        </w:tabs>
        <w:rPr>
          <w:sz w:val="20"/>
          <w:szCs w:val="20"/>
          <w:color w:val="auto"/>
        </w:rPr>
      </w:pPr>
      <w:r>
        <w:rPr>
          <w:rFonts w:ascii="Arial" w:cs="Arial" w:eastAsia="Arial" w:hAnsi="Arial"/>
          <w:sz w:val="17"/>
          <w:szCs w:val="17"/>
          <w:color w:val="auto"/>
        </w:rPr>
        <w:t>The</w:t>
        <w:tab/>
        <w:t>Hebrew</w:t>
        <w:tab/>
        <w:t>University</w:t>
        <w:tab/>
        <w:t>of</w:t>
        <w:tab/>
        <w:t>Jerusalem</w:t>
        <w:tab/>
        <w:t>(the</w:t>
        <w:tab/>
        <w:t>“University”)</w:t>
        <w:tab/>
        <w:t>has</w:t>
        <w:tab/>
        <w:t>developed</w:t>
        <w:tab/>
        <w:t>_________________________</w:t>
        <w:tab/>
        <w:t>(the</w:t>
        <w:tab/>
        <w:t>“Materials”)</w:t>
        <w:tab/>
        <w:t>under</w:t>
        <w:tab/>
        <w:t>the</w:t>
        <w:tab/>
        <w:t>supervision</w:t>
      </w:r>
      <w:r>
        <w:rPr>
          <w:sz w:val="20"/>
          <w:szCs w:val="20"/>
          <w:color w:val="auto"/>
        </w:rPr>
        <w:tab/>
      </w:r>
      <w:r>
        <w:rPr>
          <w:rFonts w:ascii="Arial" w:cs="Arial" w:eastAsia="Arial" w:hAnsi="Arial"/>
          <w:sz w:val="16"/>
          <w:szCs w:val="16"/>
          <w:color w:val="auto"/>
        </w:rPr>
        <w:t>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 (the “Researcher”); and related to the research project in the area of: _______________________________________________________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“Project”);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Yissum is the exclusive representative of the University and of the Researcher in all aspects relating to this Agreement; and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Yissum and BioLine Innovations Jerusalem L.P. (“BioLine”) have entered into a license Agreement whereby Yissum has granted BioLine an exclusive license to the Materials; and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Institute desires to evaluate the Materials solely for the purpose of non-commercial scientific Research to be conducted solely at the Institute, with the collaboration of Yissum (the “Research”); and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Yissum is willing to make the Materials available to the Institute strictly upon the terms and conditions,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above recitations shall be considered as an integral part of this Agreement.</w:t>
      </w:r>
    </w:p>
    <w:p>
      <w:pPr>
        <w:spacing w:after="0" w:line="24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NOW THEREFORE, in consideration of the above and in further consideration of the terms and conditions as shown in this Agreement, the undersigned parties agree as follows:</w:t>
      </w:r>
    </w:p>
    <w:p>
      <w:pPr>
        <w:spacing w:after="0" w:line="190" w:lineRule="exact"/>
        <w:rPr>
          <w:sz w:val="20"/>
          <w:szCs w:val="20"/>
          <w:color w:val="auto"/>
        </w:rPr>
      </w:pPr>
    </w:p>
    <w:p>
      <w:pPr>
        <w:ind w:left="460" w:hanging="457"/>
        <w:spacing w:after="0"/>
        <w:tabs>
          <w:tab w:leader="none" w:pos="460" w:val="left"/>
        </w:tabs>
        <w:numPr>
          <w:ilvl w:val="0"/>
          <w:numId w:val="731"/>
        </w:numPr>
        <w:rPr>
          <w:rFonts w:ascii="Arial" w:cs="Arial" w:eastAsia="Arial" w:hAnsi="Arial"/>
          <w:sz w:val="17"/>
          <w:szCs w:val="17"/>
          <w:color w:val="auto"/>
        </w:rPr>
      </w:pPr>
      <w:r>
        <w:rPr>
          <w:rFonts w:ascii="Arial" w:cs="Arial" w:eastAsia="Arial" w:hAnsi="Arial"/>
          <w:sz w:val="17"/>
          <w:szCs w:val="17"/>
          <w:color w:val="auto"/>
        </w:rPr>
        <w:t>Transfer and Use of Materials</w:t>
      </w:r>
    </w:p>
    <w:p>
      <w:pPr>
        <w:spacing w:after="0" w:line="241" w:lineRule="exact"/>
        <w:rPr>
          <w:rFonts w:ascii="Arial" w:cs="Arial" w:eastAsia="Arial" w:hAnsi="Arial"/>
          <w:sz w:val="17"/>
          <w:szCs w:val="17"/>
          <w:color w:val="auto"/>
        </w:rPr>
      </w:pPr>
    </w:p>
    <w:p>
      <w:pPr>
        <w:ind w:left="1100" w:right="420" w:hanging="617"/>
        <w:spacing w:after="0" w:line="311" w:lineRule="auto"/>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6"/>
          <w:szCs w:val="16"/>
          <w:color w:val="auto"/>
        </w:rPr>
        <w:t>The transfer of Materials shall be carried out strictly under the terms of the present Agreement. The Requesting Scientist will use, handle, store, transport, dispose of and contain the Materials in compliance with all laws, regulations, and guidelines applicable to the Materials.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36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94" w:name="page795"/>
    <w:bookmarkEnd w:id="794"/>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Materials are to be used by the Requesting Scientist only for non-commercial scientific research in performance of the Research as defined above, and only within the laboratories of the Institute, all as described in Appendix A attached hereto.</w:t>
      </w:r>
    </w:p>
    <w:p>
      <w:pPr>
        <w:spacing w:after="0" w:line="19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The Research shall terminate within a period of ninety (90) days starting from the date of the receipt of the Materials.</w:t>
      </w:r>
    </w:p>
    <w:p>
      <w:pPr>
        <w:spacing w:after="0" w:line="242" w:lineRule="exact"/>
        <w:rPr>
          <w:sz w:val="20"/>
          <w:szCs w:val="20"/>
          <w:color w:val="auto"/>
        </w:rPr>
      </w:pPr>
    </w:p>
    <w:p>
      <w:pPr>
        <w:jc w:val="both"/>
        <w:ind w:left="620" w:hanging="616"/>
        <w:spacing w:after="0" w:line="265" w:lineRule="auto"/>
        <w:tabs>
          <w:tab w:leader="none" w:pos="60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 xml:space="preserve">Except for the evaluations as detailed in </w:t>
      </w:r>
      <w:r>
        <w:rPr>
          <w:rFonts w:ascii="Arial" w:cs="Arial" w:eastAsia="Arial" w:hAnsi="Arial"/>
          <w:sz w:val="17"/>
          <w:szCs w:val="17"/>
          <w:u w:val="single" w:color="auto"/>
          <w:color w:val="auto"/>
        </w:rPr>
        <w:t>Appendix A</w:t>
      </w:r>
      <w:r>
        <w:rPr>
          <w:rFonts w:ascii="Arial" w:cs="Arial" w:eastAsia="Arial" w:hAnsi="Arial"/>
          <w:sz w:val="17"/>
          <w:szCs w:val="17"/>
          <w:color w:val="auto"/>
        </w:rPr>
        <w:t>, the Institute will not, directly or indirectly, use commercially or otherwise engage in experiments or any development activities whatsoever with the Materials or their progeny and derivatives, including without limitation, commercially sponsored research.</w:t>
      </w:r>
    </w:p>
    <w:p>
      <w:pPr>
        <w:spacing w:after="0" w:line="201" w:lineRule="exact"/>
        <w:rPr>
          <w:sz w:val="20"/>
          <w:szCs w:val="20"/>
          <w:color w:val="auto"/>
        </w:rPr>
      </w:pPr>
    </w:p>
    <w:p>
      <w:pPr>
        <w:jc w:val="both"/>
        <w:ind w:left="620" w:hanging="616"/>
        <w:spacing w:after="0" w:line="265" w:lineRule="auto"/>
        <w:tabs>
          <w:tab w:leader="none" w:pos="6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Upon the termination of the Research, as specified in clause 1.3, the Institute will provide each of Yissum and BioLine with a report setting forth all data, know-how, conclusions, Results, discoveries and inventions which arose out of, or in connection with the Research (the “Research Results”), and shall, at the request of Yissum, return to Yissum or destroy all unused portions of the Materials.</w:t>
      </w:r>
    </w:p>
    <w:p>
      <w:pPr>
        <w:spacing w:after="0" w:line="201" w:lineRule="exact"/>
        <w:rPr>
          <w:sz w:val="20"/>
          <w:szCs w:val="20"/>
          <w:color w:val="auto"/>
        </w:rPr>
      </w:pPr>
    </w:p>
    <w:p>
      <w:pPr>
        <w:jc w:val="both"/>
        <w:ind w:left="620" w:hanging="616"/>
        <w:spacing w:after="0" w:line="265" w:lineRule="auto"/>
        <w:tabs>
          <w:tab w:leader="none" w:pos="60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The Materials shall not be provided by the Institute, or their existence or nature disclosed by the Institute, to anyone, including scientific collaborators, other than employees at the laboratory of the Requesting Scientist at the Institute, subject to the Requesting Scientist’s immediate and direct control.</w:t>
      </w:r>
    </w:p>
    <w:p>
      <w:pPr>
        <w:spacing w:after="0" w:line="201" w:lineRule="exact"/>
        <w:rPr>
          <w:sz w:val="20"/>
          <w:szCs w:val="20"/>
          <w:color w:val="auto"/>
        </w:rPr>
      </w:pPr>
    </w:p>
    <w:p>
      <w:pPr>
        <w:jc w:val="both"/>
        <w:ind w:left="620" w:hanging="616"/>
        <w:spacing w:after="0" w:line="259" w:lineRule="auto"/>
        <w:tabs>
          <w:tab w:leader="none" w:pos="6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The Materials shall not be used for any purposes other than those specifically denoted herein. Particularly, the Materials shall not be utilized in, or co-mingled with, any other Research project or program ongoing now or in the future in the laboratories of the Institute, whether or not it was funded by any other private or public party, with the exception of the Research, as defined in this Agreement. In addition, the Institute will not breed the Materials with any other lines. In addition, the Materials are provided to Institute and Requesting Scientist for use only in laboratory animals or in vitro experiments. The Materials shall not be used in humans.</w:t>
      </w:r>
    </w:p>
    <w:p>
      <w:pPr>
        <w:spacing w:after="0" w:line="206" w:lineRule="exact"/>
        <w:rPr>
          <w:sz w:val="20"/>
          <w:szCs w:val="20"/>
          <w:color w:val="auto"/>
        </w:rPr>
      </w:pPr>
    </w:p>
    <w:p>
      <w:pPr>
        <w:jc w:val="both"/>
        <w:ind w:left="620" w:hanging="616"/>
        <w:spacing w:after="0" w:line="278" w:lineRule="auto"/>
        <w:tabs>
          <w:tab w:leader="none" w:pos="60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7"/>
          <w:szCs w:val="17"/>
          <w:color w:val="auto"/>
        </w:rPr>
        <w:t>The Institute is specifically prohibited from taking any action or initiating any steps in connection with the Materials which may result in the reverse-engineering of the Materials.</w:t>
      </w:r>
    </w:p>
    <w:p>
      <w:pPr>
        <w:spacing w:after="0" w:line="190" w:lineRule="exact"/>
        <w:rPr>
          <w:sz w:val="20"/>
          <w:szCs w:val="20"/>
          <w:color w:val="auto"/>
        </w:rPr>
      </w:pPr>
    </w:p>
    <w:p>
      <w:pPr>
        <w:jc w:val="both"/>
        <w:ind w:left="620" w:hanging="616"/>
        <w:spacing w:after="0" w:line="265" w:lineRule="auto"/>
        <w:tabs>
          <w:tab w:leader="none" w:pos="60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It is the intent of the parties that the transfer of Materials be considered a bailment, and shall be considered neither a conditional nor an unconditional sale. Any monies transferred in conjunction with the transfer of the Materials shall be only to cover the costs associated with the transfer, and shall not represent consideration for an exchange of title thereto.</w:t>
      </w:r>
    </w:p>
    <w:p>
      <w:pPr>
        <w:spacing w:after="0" w:line="201" w:lineRule="exact"/>
        <w:rPr>
          <w:sz w:val="20"/>
          <w:szCs w:val="20"/>
          <w:color w:val="auto"/>
        </w:rPr>
      </w:pPr>
    </w:p>
    <w:p>
      <w:pPr>
        <w:jc w:val="both"/>
        <w:ind w:left="620" w:hanging="616"/>
        <w:spacing w:after="0" w:line="261" w:lineRule="auto"/>
        <w:tabs>
          <w:tab w:leader="none" w:pos="60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7"/>
          <w:szCs w:val="17"/>
          <w:color w:val="auto"/>
        </w:rPr>
        <w:t>The Materials are experimental in nature, and may have biological and/or chemical properties which are unpredictable and unknown at the time of transfer. The Materials are provided “AS IS” and with no warranties, express or implied, and Yissum expressly disclaims any warranty of merchantability, fitness for a particular purpose or non-infringement. Yissum makes no representation that the use of the Materials will not infringe the patent or proprietary rights of any third party.</w:t>
      </w:r>
    </w:p>
    <w:p>
      <w:pPr>
        <w:spacing w:after="0" w:line="204" w:lineRule="exact"/>
        <w:rPr>
          <w:sz w:val="20"/>
          <w:szCs w:val="20"/>
          <w:color w:val="auto"/>
        </w:rPr>
      </w:pPr>
    </w:p>
    <w:p>
      <w:pPr>
        <w:jc w:val="both"/>
        <w:ind w:left="620" w:hanging="616"/>
        <w:spacing w:after="0" w:line="259" w:lineRule="auto"/>
        <w:tabs>
          <w:tab w:leader="none" w:pos="60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Neither Yissum nor the Researcher nor BioLine will be liable for loss or damage arising from use of the Materials by Institute or anyone obtaining it from the Institute, or anyone on behalf of the Institute. The Institute shall assume all responsibility, financial and otherwise, for the consequences, either to the Institute or to any third party, of utilizing the Materials. The Institute shall indemnify Yissum and hold Yissum and/or BioLine harmless for any claim of liability made against Yissum and/or BioLine in conjunction with or related to the use handling, storage, transportation and disposition and containment of the Materials by the Institute.</w:t>
      </w:r>
    </w:p>
    <w:p>
      <w:pPr>
        <w:spacing w:after="0" w:line="347"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Page 37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77470</wp:posOffset>
            </wp:positionV>
            <wp:extent cx="7257415" cy="209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940"/>
          </w:cols>
          <w:pgMar w:left="720" w:top="501" w:right="239" w:bottom="1440" w:gutter="0" w:footer="0" w:header="0"/>
        </w:sectPr>
      </w:pPr>
    </w:p>
    <w:bookmarkStart w:id="795" w:name="page796"/>
    <w:bookmarkEnd w:id="795"/>
    <w:p>
      <w:pPr>
        <w:jc w:val="both"/>
        <w:ind w:left="1100" w:hanging="616"/>
        <w:spacing w:after="0" w:line="265" w:lineRule="auto"/>
        <w:tabs>
          <w:tab w:leader="none" w:pos="10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Limitation of Liability. IN NO EVENT SHALL EITHER PARTY BE LIABLE FOR ANY INDIRECT, INCIDENTAL, SPECIAL OR CONSEQUENTIAL DAMAGES ARISING OUT OF OR IN CONNECTION WITH THIS AGREEMENT WHETHER OR NOT THAT PARTY HAS BEEN ADVISED OF THE POSSIBILITY OF OR IS OTHERWISE ON NOTICE OF SUCH POSSIBILITY.</w:t>
      </w:r>
    </w:p>
    <w:p>
      <w:pPr>
        <w:spacing w:after="0" w:line="201" w:lineRule="exact"/>
        <w:rPr>
          <w:sz w:val="20"/>
          <w:szCs w:val="20"/>
          <w:color w:val="auto"/>
        </w:rPr>
      </w:pPr>
    </w:p>
    <w:p>
      <w:pPr>
        <w:jc w:val="both"/>
        <w:ind w:left="1100" w:hanging="616"/>
        <w:spacing w:after="0" w:line="265" w:lineRule="auto"/>
        <w:tabs>
          <w:tab w:leader="none" w:pos="10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Title to Materials and all materials derived therefrom shall remain with Yissum, and Yissum retains the right to have any such Materials or any materials derived therefrom returned to Yissum upon request. The Institute and the Requesting Scientist acknowledge that the Materials are subject to an exclusive license to BioLine.</w:t>
      </w:r>
    </w:p>
    <w:p>
      <w:pPr>
        <w:spacing w:after="0" w:line="201" w:lineRule="exact"/>
        <w:rPr>
          <w:sz w:val="20"/>
          <w:szCs w:val="20"/>
          <w:color w:val="auto"/>
        </w:rPr>
      </w:pPr>
    </w:p>
    <w:p>
      <w:pPr>
        <w:jc w:val="both"/>
        <w:ind w:left="1100" w:hanging="616"/>
        <w:spacing w:after="0" w:line="265" w:lineRule="auto"/>
        <w:tabs>
          <w:tab w:leader="none" w:pos="10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The Institute hereby undertakes not to publish any information relating to the Research Results and/or data resulting from any research and or experiments involving the Materials, without obtaining Yissum’s prior written consent to the publication and the manner of making such publication, which consent may be withheld at Yissum’s sole discretion.</w:t>
      </w:r>
    </w:p>
    <w:p>
      <w:pPr>
        <w:spacing w:after="0" w:line="201" w:lineRule="exact"/>
        <w:rPr>
          <w:sz w:val="20"/>
          <w:szCs w:val="20"/>
          <w:color w:val="auto"/>
        </w:rPr>
      </w:pPr>
    </w:p>
    <w:p>
      <w:pPr>
        <w:jc w:val="both"/>
        <w:ind w:left="1100" w:hanging="616"/>
        <w:spacing w:after="0" w:line="277" w:lineRule="auto"/>
        <w:tabs>
          <w:tab w:leader="none" w:pos="10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6"/>
          <w:szCs w:val="16"/>
          <w:color w:val="auto"/>
        </w:rPr>
        <w:t xml:space="preserve">The Institute shall maintain full and absolute confidentiality and shall also be liable for its employees and/or representatives and/or persons acting on its behalf maintaining absolute confidentiality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all information, details and data which is in and/or comes to its knowledge and/or that of its employees, representatives and/or any person acting on its behalf directly or indirectly relating to the Materials, the Project and the Research Results for the entire term of this Agreement and for an and for an unlimited period of time after its termination, cancellation or expiration for any reason whatsoever. The Institute undertakes not to convey or disclose anything in connection with the aforegoing to any entity, and shall not make any use thereof, other than for the purposes of the Research as detailed in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92" w:lineRule="exact"/>
        <w:rPr>
          <w:sz w:val="20"/>
          <w:szCs w:val="20"/>
          <w:color w:val="auto"/>
        </w:rPr>
      </w:pPr>
    </w:p>
    <w:p>
      <w:pPr>
        <w:jc w:val="both"/>
        <w:ind w:left="1100" w:hanging="616"/>
        <w:spacing w:after="0" w:line="278" w:lineRule="auto"/>
        <w:tabs>
          <w:tab w:leader="none" w:pos="10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color w:val="auto"/>
        </w:rPr>
        <w:t>Either party may terminate this Agreement by providing the other party with thirty (30) days prior written notice. Sections 1.5, 1.10 through 1.15, 2.3 and 2.4 will survive termination of this Agreement.</w:t>
      </w:r>
    </w:p>
    <w:p>
      <w:pPr>
        <w:spacing w:after="0" w:line="190" w:lineRule="exact"/>
        <w:rPr>
          <w:sz w:val="20"/>
          <w:szCs w:val="20"/>
          <w:color w:val="auto"/>
        </w:rPr>
      </w:pPr>
    </w:p>
    <w:p>
      <w:pPr>
        <w:ind w:left="620" w:hanging="617"/>
        <w:spacing w:after="0"/>
        <w:tabs>
          <w:tab w:leader="none" w:pos="620" w:val="left"/>
        </w:tabs>
        <w:numPr>
          <w:ilvl w:val="0"/>
          <w:numId w:val="732"/>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242" w:lineRule="exact"/>
        <w:rPr>
          <w:sz w:val="20"/>
          <w:szCs w:val="20"/>
          <w:color w:val="auto"/>
        </w:rPr>
      </w:pPr>
    </w:p>
    <w:p>
      <w:pPr>
        <w:jc w:val="both"/>
        <w:ind w:left="1140" w:hanging="616"/>
        <w:spacing w:after="0" w:line="278" w:lineRule="auto"/>
        <w:tabs>
          <w:tab w:leader="none" w:pos="11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This Agreement shall not, by implication or otherwise, be construed as a grant of a license or any other right or interest in the Researcher’s Project, in information, in Materials, in derivatives or in any products or processes derived therefrom.</w:t>
      </w:r>
    </w:p>
    <w:p>
      <w:pPr>
        <w:spacing w:after="0" w:line="190" w:lineRule="exact"/>
        <w:rPr>
          <w:sz w:val="20"/>
          <w:szCs w:val="20"/>
          <w:color w:val="auto"/>
        </w:rPr>
      </w:pPr>
    </w:p>
    <w:p>
      <w:pPr>
        <w:jc w:val="both"/>
        <w:ind w:left="1140" w:hanging="616"/>
        <w:spacing w:after="0" w:line="278" w:lineRule="auto"/>
        <w:tabs>
          <w:tab w:leader="none" w:pos="11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This Agreement shall be binding on the legal successors of the undersigned parties, but it may not be assigned by the Institute, without the prior written consent of Yissum.</w:t>
      </w:r>
    </w:p>
    <w:p>
      <w:pPr>
        <w:spacing w:after="0" w:line="190" w:lineRule="exact"/>
        <w:rPr>
          <w:sz w:val="20"/>
          <w:szCs w:val="20"/>
          <w:color w:val="auto"/>
        </w:rPr>
      </w:pPr>
    </w:p>
    <w:p>
      <w:pPr>
        <w:jc w:val="both"/>
        <w:ind w:left="1140" w:hanging="616"/>
        <w:spacing w:after="0" w:line="279" w:lineRule="auto"/>
        <w:tabs>
          <w:tab w:leader="none" w:pos="11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color w:val="auto"/>
        </w:rPr>
        <w:t>The Institute acknowledges that remedies at law may be inadequate to protect Yissum against any actual or threatened breach of this Agreement by the Institute and, without prejudice to any other rights and remedies otherwise available to Yissum, the Institute agrees to the granting of injunctive relief in favor of Yissum without proof of actual damages. In the event of litigation relating to this Agreement, if a court of competent jurisdiction determines in a final non-appealable order that this Agreement has been breached by the Institute, then the Institute will reimburse Yissum for its costs and expenses (including, without limitation, legal fees and expenses) incurred in connection with all such litigation.</w:t>
      </w:r>
    </w:p>
    <w:p>
      <w:pPr>
        <w:spacing w:after="0" w:line="191" w:lineRule="exact"/>
        <w:rPr>
          <w:sz w:val="20"/>
          <w:szCs w:val="20"/>
          <w:color w:val="auto"/>
        </w:rPr>
      </w:pPr>
    </w:p>
    <w:p>
      <w:pPr>
        <w:jc w:val="both"/>
        <w:ind w:left="1140" w:hanging="616"/>
        <w:spacing w:after="0" w:line="278" w:lineRule="auto"/>
        <w:tabs>
          <w:tab w:leader="none" w:pos="11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The provisions of this Agreement and everything concerning the relationship between the parties in accordance with this Agreement shall be governed by Israeli law and jurisdiction shall be granted only to the competent court in Jerusalem.</w:t>
      </w:r>
    </w:p>
    <w:p>
      <w:pPr>
        <w:spacing w:after="0" w:line="190" w:lineRule="exact"/>
        <w:rPr>
          <w:sz w:val="20"/>
          <w:szCs w:val="20"/>
          <w:color w:val="auto"/>
        </w:rPr>
      </w:pPr>
    </w:p>
    <w:p>
      <w:pPr>
        <w:jc w:val="both"/>
        <w:ind w:left="1140"/>
        <w:spacing w:after="0" w:line="265" w:lineRule="auto"/>
        <w:rPr>
          <w:sz w:val="20"/>
          <w:szCs w:val="20"/>
          <w:color w:val="auto"/>
        </w:rPr>
      </w:pPr>
      <w:r>
        <w:rPr>
          <w:rFonts w:ascii="Arial" w:cs="Arial" w:eastAsia="Arial" w:hAnsi="Arial"/>
          <w:sz w:val="17"/>
          <w:szCs w:val="17"/>
          <w:color w:val="auto"/>
        </w:rPr>
        <w:t>Notwithstanding the above, the Institute hereby agrees that, in the event that no treaty exists upholding the enforceability of temporary orders issued by Israeli courts in the foreign jurisdiction in which Yissum may require such an order to be upheld, Yissum may, at its own discretion, elect the place of jurisdiction for the obtaining of writs against it.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38 of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96" w:name="page797"/>
    <w:bookmarkEnd w:id="796"/>
    <w:p>
      <w:pPr>
        <w:jc w:val="center"/>
        <w:ind w:right="40"/>
        <w:spacing w:after="0"/>
        <w:rPr>
          <w:sz w:val="20"/>
          <w:szCs w:val="20"/>
          <w:color w:val="auto"/>
        </w:rPr>
      </w:pPr>
      <w:r>
        <w:rPr>
          <w:rFonts w:ascii="Arial" w:cs="Arial" w:eastAsia="Arial" w:hAnsi="Arial"/>
          <w:sz w:val="17"/>
          <w:szCs w:val="17"/>
          <w:color w:val="auto"/>
        </w:rPr>
        <w:t>The Institute undertakes not to object to the enforcement against it of writs issued by any aforesaid jurisdiction under such circumstances.</w:t>
      </w:r>
    </w:p>
    <w:p>
      <w:pPr>
        <w:spacing w:after="0" w:line="242" w:lineRule="exact"/>
        <w:rPr>
          <w:sz w:val="20"/>
          <w:szCs w:val="20"/>
          <w:color w:val="auto"/>
        </w:rPr>
      </w:pPr>
    </w:p>
    <w:p>
      <w:pPr>
        <w:jc w:val="both"/>
        <w:ind w:left="980" w:hanging="462"/>
        <w:spacing w:after="0" w:line="265" w:lineRule="auto"/>
        <w:tabs>
          <w:tab w:leader="none" w:pos="960" w:val="left"/>
        </w:tabs>
        <w:rPr>
          <w:sz w:val="20"/>
          <w:szCs w:val="20"/>
          <w:color w:val="auto"/>
        </w:rPr>
      </w:pPr>
      <w:r>
        <w:rPr>
          <w:rFonts w:ascii="Arial" w:cs="Arial" w:eastAsia="Arial" w:hAnsi="Arial"/>
          <w:sz w:val="17"/>
          <w:szCs w:val="17"/>
          <w:color w:val="auto"/>
        </w:rPr>
        <w:t>2.5</w:t>
        <w:tab/>
        <w:t>Prices, if any, mentioned in this Agreement do not include Value Added Tax (VAT). All taxes and duties to be paid in connection with this Agreement, including any VAT, shall be borne by the Institute. Any duties or taxes paid by Yissum in connection with this Agreement shall be reimbursed by the Institute.</w:t>
      </w:r>
    </w:p>
    <w:p>
      <w:pPr>
        <w:spacing w:after="0" w:line="201" w:lineRule="exact"/>
        <w:rPr>
          <w:sz w:val="20"/>
          <w:szCs w:val="20"/>
          <w:color w:val="auto"/>
        </w:rPr>
      </w:pPr>
    </w:p>
    <w:p>
      <w:pPr>
        <w:jc w:val="both"/>
        <w:ind w:left="1000" w:hanging="462"/>
        <w:spacing w:after="0" w:line="265" w:lineRule="auto"/>
        <w:tabs>
          <w:tab w:leader="none" w:pos="980" w:val="left"/>
        </w:tabs>
        <w:rPr>
          <w:sz w:val="20"/>
          <w:szCs w:val="20"/>
          <w:color w:val="auto"/>
        </w:rPr>
      </w:pPr>
      <w:r>
        <w:rPr>
          <w:rFonts w:ascii="Arial" w:cs="Arial" w:eastAsia="Arial" w:hAnsi="Arial"/>
          <w:sz w:val="17"/>
          <w:szCs w:val="17"/>
          <w:color w:val="auto"/>
        </w:rPr>
        <w:t>2.6</w:t>
        <w:tab/>
        <w:t>Any notice required or permitted hereunder shall be in writing and shall be deemed effectively given upon personal delivery, three (3) days after deposit if sent by certified mail, postage prepaid, return receipt requested, or the day after delivery to a recognized overnight courier, to the addresses indicated in the preamble hereinabove.</w:t>
      </w:r>
    </w:p>
    <w:p>
      <w:pPr>
        <w:spacing w:after="0" w:line="201" w:lineRule="exact"/>
        <w:rPr>
          <w:sz w:val="20"/>
          <w:szCs w:val="20"/>
          <w:color w:val="auto"/>
        </w:rPr>
      </w:pPr>
    </w:p>
    <w:p>
      <w:pPr>
        <w:jc w:val="both"/>
        <w:ind w:left="1000" w:hanging="462"/>
        <w:spacing w:after="0" w:line="277" w:lineRule="auto"/>
        <w:tabs>
          <w:tab w:leader="none" w:pos="98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color w:val="auto"/>
        </w:rPr>
        <w:t>This Agreement contains the entire agreement between the parties with respect to the subject matter hereof, and supersedes any prior agreements, negotiations or representations between the parties with respect to the subject matter hereof, whether written or oral. This Agreement may be modified only by a subsequent written agreement signed by the parties. If any provision of this Agreement is held to be unenforceable, the remaining provisions shall continue unaffected. This Agreement will bind and inure to the benefit of the parties and their successors and assigns. Any failure to enforce any provision of this Agreement will not constitute a waiver of that provision or of any other provision. This Agreement may be executed in two or more counterparts, each of which is deemed to be an original, but all of which constitute the same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duly executed by the respective duly authorized officers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gridSpan w:val="3"/>
          </w:tcPr>
          <w:p>
            <w:pPr>
              <w:spacing w:after="0"/>
              <w:rPr>
                <w:sz w:val="20"/>
                <w:szCs w:val="20"/>
                <w:color w:val="auto"/>
              </w:rPr>
            </w:pPr>
            <w:r>
              <w:rPr>
                <w:rFonts w:ascii="Arial" w:cs="Arial" w:eastAsia="Arial" w:hAnsi="Arial"/>
                <w:sz w:val="17"/>
                <w:szCs w:val="17"/>
                <w:b w:val="1"/>
                <w:bCs w:val="1"/>
                <w:color w:val="auto"/>
              </w:rPr>
              <w:t>Authorized representative of the Institute</w:t>
            </w:r>
          </w:p>
        </w:tc>
        <w:tc>
          <w:tcPr>
            <w:tcW w:w="4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420"/>
        </w:trPr>
        <w:tc>
          <w:tcPr>
            <w:tcW w:w="5720" w:type="dxa"/>
            <w:vAlign w:val="bottom"/>
            <w:gridSpan w:val="3"/>
          </w:tcPr>
          <w:p>
            <w:pPr>
              <w:spacing w:after="0"/>
              <w:rPr>
                <w:sz w:val="20"/>
                <w:szCs w:val="20"/>
                <w:color w:val="auto"/>
              </w:rPr>
            </w:pPr>
            <w:r>
              <w:rPr>
                <w:rFonts w:ascii="Arial" w:cs="Arial" w:eastAsia="Arial" w:hAnsi="Arial"/>
                <w:sz w:val="17"/>
                <w:szCs w:val="17"/>
                <w:b w:val="1"/>
                <w:bCs w:val="1"/>
                <w:color w:val="auto"/>
              </w:rPr>
              <w:t>Company</w:t>
            </w:r>
          </w:p>
        </w:tc>
        <w:tc>
          <w:tcPr>
            <w:tcW w:w="5700" w:type="dxa"/>
            <w:vAlign w:val="bottom"/>
            <w:gridSpan w:val="2"/>
          </w:tcPr>
          <w:p>
            <w:pPr>
              <w:ind w:left="120"/>
              <w:spacing w:after="0"/>
              <w:rPr>
                <w:sz w:val="20"/>
                <w:szCs w:val="20"/>
                <w:color w:val="auto"/>
              </w:rPr>
            </w:pPr>
            <w:r>
              <w:rPr>
                <w:rFonts w:ascii="Arial" w:cs="Arial" w:eastAsia="Arial" w:hAnsi="Arial"/>
                <w:sz w:val="17"/>
                <w:szCs w:val="17"/>
                <w:b w:val="1"/>
                <w:bCs w:val="1"/>
                <w:color w:val="auto"/>
                <w:w w:val="91"/>
              </w:rPr>
              <w:t>Authorized representative of Yissum Research Development of the Hebrew</w:t>
            </w: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700" w:type="dxa"/>
            <w:vAlign w:val="bottom"/>
            <w:gridSpan w:val="2"/>
          </w:tcPr>
          <w:p>
            <w:pPr>
              <w:ind w:left="120"/>
              <w:spacing w:after="0"/>
              <w:rPr>
                <w:sz w:val="20"/>
                <w:szCs w:val="20"/>
                <w:color w:val="auto"/>
              </w:rPr>
            </w:pPr>
            <w:r>
              <w:rPr>
                <w:rFonts w:ascii="Arial" w:cs="Arial" w:eastAsia="Arial" w:hAnsi="Arial"/>
                <w:sz w:val="17"/>
                <w:szCs w:val="17"/>
                <w:b w:val="1"/>
                <w:bCs w:val="1"/>
                <w:color w:val="auto"/>
              </w:rPr>
              <w:t>University of Jerusalem</w:t>
            </w:r>
          </w:p>
        </w:tc>
      </w:tr>
      <w:tr>
        <w:trPr>
          <w:trHeight w:val="419"/>
        </w:trPr>
        <w:tc>
          <w:tcPr>
            <w:tcW w:w="360" w:type="dxa"/>
            <w:vAlign w:val="bottom"/>
          </w:tcPr>
          <w:p>
            <w:pPr>
              <w:spacing w:after="0"/>
              <w:rPr>
                <w:sz w:val="20"/>
                <w:szCs w:val="20"/>
                <w:color w:val="auto"/>
              </w:rPr>
            </w:pPr>
            <w:r>
              <w:rPr>
                <w:rFonts w:ascii="Arial" w:cs="Arial" w:eastAsia="Arial" w:hAnsi="Arial"/>
                <w:sz w:val="17"/>
                <w:szCs w:val="17"/>
                <w:color w:val="auto"/>
              </w:rPr>
              <w:t>By:</w:t>
            </w:r>
          </w:p>
        </w:tc>
        <w:tc>
          <w:tcPr>
            <w:tcW w:w="5360" w:type="dxa"/>
            <w:vAlign w:val="bottom"/>
            <w:tcBorders>
              <w:bottom w:val="single" w:sz="8" w:color="auto"/>
            </w:tcBorders>
            <w:gridSpan w:val="2"/>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7"/>
                <w:szCs w:val="17"/>
                <w:color w:val="auto"/>
              </w:rPr>
              <w:t>By:</w:t>
            </w:r>
          </w:p>
        </w:tc>
        <w:tc>
          <w:tcPr>
            <w:tcW w:w="5240" w:type="dxa"/>
            <w:vAlign w:val="bottom"/>
            <w:tcBorders>
              <w:bottom w:val="single" w:sz="8" w:color="auto"/>
            </w:tcBorders>
          </w:tcPr>
          <w:p>
            <w:pPr>
              <w:spacing w:after="0"/>
              <w:rPr>
                <w:sz w:val="24"/>
                <w:szCs w:val="24"/>
                <w:color w:val="auto"/>
              </w:rPr>
            </w:pPr>
          </w:p>
        </w:tc>
      </w:tr>
      <w:tr>
        <w:trPr>
          <w:trHeight w:val="399"/>
        </w:trPr>
        <w:tc>
          <w:tcPr>
            <w:tcW w:w="5720" w:type="dxa"/>
            <w:vAlign w:val="bottom"/>
            <w:gridSpan w:val="3"/>
          </w:tcPr>
          <w:p>
            <w:pPr>
              <w:spacing w:after="0"/>
              <w:rPr>
                <w:sz w:val="20"/>
                <w:szCs w:val="20"/>
                <w:color w:val="auto"/>
              </w:rPr>
            </w:pPr>
            <w:r>
              <w:rPr>
                <w:rFonts w:ascii="Arial" w:cs="Arial" w:eastAsia="Arial" w:hAnsi="Arial"/>
                <w:sz w:val="17"/>
                <w:szCs w:val="17"/>
                <w:color w:val="auto"/>
              </w:rPr>
              <w:t>Name:</w:t>
            </w: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Name:</w:t>
            </w:r>
          </w:p>
        </w:tc>
      </w:tr>
      <w:tr>
        <w:trPr>
          <w:trHeight w:val="206"/>
        </w:trPr>
        <w:tc>
          <w:tcPr>
            <w:tcW w:w="5720" w:type="dxa"/>
            <w:vAlign w:val="bottom"/>
            <w:gridSpan w:val="3"/>
          </w:tcPr>
          <w:p>
            <w:pPr>
              <w:spacing w:after="0"/>
              <w:rPr>
                <w:sz w:val="20"/>
                <w:szCs w:val="20"/>
                <w:color w:val="auto"/>
              </w:rPr>
            </w:pPr>
            <w:r>
              <w:rPr>
                <w:rFonts w:ascii="Arial" w:cs="Arial" w:eastAsia="Arial" w:hAnsi="Arial"/>
                <w:sz w:val="17"/>
                <w:szCs w:val="17"/>
                <w:color w:val="auto"/>
              </w:rPr>
              <w:t>Title:</w:t>
            </w: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Title:</w:t>
            </w:r>
          </w:p>
        </w:tc>
      </w:tr>
      <w:tr>
        <w:trPr>
          <w:trHeight w:val="217"/>
        </w:trPr>
        <w:tc>
          <w:tcPr>
            <w:tcW w:w="5720" w:type="dxa"/>
            <w:vAlign w:val="bottom"/>
            <w:gridSpan w:val="3"/>
          </w:tcPr>
          <w:p>
            <w:pPr>
              <w:spacing w:after="0"/>
              <w:rPr>
                <w:sz w:val="20"/>
                <w:szCs w:val="20"/>
                <w:color w:val="auto"/>
              </w:rPr>
            </w:pPr>
            <w:r>
              <w:rPr>
                <w:rFonts w:ascii="Arial" w:cs="Arial" w:eastAsia="Arial" w:hAnsi="Arial"/>
                <w:sz w:val="17"/>
                <w:szCs w:val="17"/>
                <w:color w:val="auto"/>
              </w:rPr>
              <w:t>Date:</w:t>
            </w:r>
          </w:p>
        </w:tc>
        <w:tc>
          <w:tcPr>
            <w:tcW w:w="5700" w:type="dxa"/>
            <w:vAlign w:val="bottom"/>
            <w:gridSpan w:val="2"/>
          </w:tcPr>
          <w:p>
            <w:pPr>
              <w:ind w:left="120"/>
              <w:spacing w:after="0"/>
              <w:rPr>
                <w:sz w:val="20"/>
                <w:szCs w:val="20"/>
                <w:color w:val="auto"/>
              </w:rPr>
            </w:pPr>
            <w:r>
              <w:rPr>
                <w:rFonts w:ascii="Arial" w:cs="Arial" w:eastAsia="Arial" w:hAnsi="Arial"/>
                <w:sz w:val="17"/>
                <w:szCs w:val="17"/>
                <w:color w:val="auto"/>
              </w:rPr>
              <w:t>Date:</w:t>
            </w:r>
          </w:p>
        </w:tc>
      </w:tr>
      <w:tr>
        <w:trPr>
          <w:trHeight w:val="437"/>
        </w:trPr>
        <w:tc>
          <w:tcPr>
            <w:tcW w:w="5720" w:type="dxa"/>
            <w:vAlign w:val="bottom"/>
            <w:gridSpan w:val="3"/>
          </w:tcPr>
          <w:p>
            <w:pPr>
              <w:spacing w:after="0"/>
              <w:rPr>
                <w:sz w:val="20"/>
                <w:szCs w:val="20"/>
                <w:color w:val="auto"/>
              </w:rPr>
            </w:pPr>
            <w:r>
              <w:rPr>
                <w:rFonts w:ascii="Arial" w:cs="Arial" w:eastAsia="Arial" w:hAnsi="Arial"/>
                <w:sz w:val="17"/>
                <w:szCs w:val="17"/>
                <w:color w:val="auto"/>
              </w:rPr>
              <w:t>Signature of the Requesting Scientist:</w:t>
            </w: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13"/>
        </w:trPr>
        <w:tc>
          <w:tcPr>
            <w:tcW w:w="580" w:type="dxa"/>
            <w:vAlign w:val="bottom"/>
            <w:tcBorders>
              <w:bottom w:val="single" w:sz="8" w:color="auto"/>
            </w:tcBorders>
            <w:gridSpan w:val="2"/>
          </w:tcPr>
          <w:p>
            <w:pPr>
              <w:spacing w:after="0"/>
              <w:rPr>
                <w:sz w:val="18"/>
                <w:szCs w:val="18"/>
                <w:color w:val="auto"/>
              </w:rPr>
            </w:pPr>
          </w:p>
        </w:tc>
        <w:tc>
          <w:tcPr>
            <w:tcW w:w="51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417"/>
        </w:trPr>
        <w:tc>
          <w:tcPr>
            <w:tcW w:w="580" w:type="dxa"/>
            <w:vAlign w:val="bottom"/>
            <w:gridSpan w:val="2"/>
          </w:tcPr>
          <w:p>
            <w:pPr>
              <w:spacing w:after="0"/>
              <w:rPr>
                <w:sz w:val="20"/>
                <w:szCs w:val="20"/>
                <w:color w:val="auto"/>
              </w:rPr>
            </w:pPr>
            <w:r>
              <w:rPr>
                <w:rFonts w:ascii="Arial" w:cs="Arial" w:eastAsia="Arial" w:hAnsi="Arial"/>
                <w:sz w:val="17"/>
                <w:szCs w:val="17"/>
                <w:color w:val="auto"/>
              </w:rPr>
              <w:t>Date:</w:t>
            </w:r>
          </w:p>
        </w:tc>
        <w:tc>
          <w:tcPr>
            <w:tcW w:w="51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436"/>
        </w:trPr>
        <w:tc>
          <w:tcPr>
            <w:tcW w:w="5720" w:type="dxa"/>
            <w:vAlign w:val="bottom"/>
            <w:gridSpan w:val="3"/>
          </w:tcPr>
          <w:p>
            <w:pPr>
              <w:spacing w:after="0"/>
              <w:rPr>
                <w:sz w:val="20"/>
                <w:szCs w:val="20"/>
                <w:color w:val="auto"/>
              </w:rPr>
            </w:pPr>
            <w:r>
              <w:rPr>
                <w:rFonts w:ascii="Arial" w:cs="Arial" w:eastAsia="Arial" w:hAnsi="Arial"/>
                <w:sz w:val="17"/>
                <w:szCs w:val="17"/>
                <w:color w:val="auto"/>
              </w:rPr>
              <w:t>Researcher’s Agreement:</w:t>
            </w: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Prof. _________________, of the Hebrew University of Jerusalem, have reviewed, am familiar with and agree to all of the above terms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conditions. I hereby undertake to fully cooperate with Yissum in order to ensure its ability to fulfill its obligations hereunder, as set forth herein.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Prof.</w:t>
            </w:r>
          </w:p>
        </w:tc>
        <w:tc>
          <w:tcPr>
            <w:tcW w:w="4100" w:type="dxa"/>
            <w:vAlign w:val="bottom"/>
            <w:tcBorders>
              <w:top w:val="single" w:sz="8" w:color="auto"/>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100" w:type="dxa"/>
            <w:vAlign w:val="bottom"/>
            <w:tcBorders>
              <w:top w:val="single" w:sz="8" w:color="auto"/>
            </w:tcBorders>
          </w:tcPr>
          <w:p>
            <w:pPr>
              <w:ind w:left="1640"/>
              <w:spacing w:after="0"/>
              <w:rPr>
                <w:sz w:val="20"/>
                <w:szCs w:val="20"/>
                <w:color w:val="auto"/>
              </w:rPr>
            </w:pPr>
            <w:r>
              <w:rPr>
                <w:rFonts w:ascii="Arial" w:cs="Arial" w:eastAsia="Arial" w:hAnsi="Arial"/>
                <w:sz w:val="17"/>
                <w:szCs w:val="17"/>
                <w:color w:val="auto"/>
              </w:rPr>
              <w:t>Date signed</w:t>
            </w:r>
          </w:p>
        </w:tc>
        <w:tc>
          <w:tcPr>
            <w:tcW w:w="1140" w:type="dxa"/>
            <w:vAlign w:val="bottom"/>
          </w:tcPr>
          <w:p>
            <w:pPr>
              <w:spacing w:after="0"/>
              <w:rPr>
                <w:sz w:val="20"/>
                <w:szCs w:val="20"/>
                <w:color w:val="auto"/>
              </w:rPr>
            </w:pPr>
          </w:p>
        </w:tc>
      </w:tr>
      <w:tr>
        <w:trPr>
          <w:trHeight w:val="577"/>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60" w:type="dxa"/>
            <w:vAlign w:val="bottom"/>
            <w:gridSpan w:val="3"/>
          </w:tcPr>
          <w:p>
            <w:pPr>
              <w:ind w:left="3620"/>
              <w:spacing w:after="0"/>
              <w:rPr>
                <w:sz w:val="20"/>
                <w:szCs w:val="20"/>
                <w:color w:val="auto"/>
              </w:rPr>
            </w:pPr>
            <w:r>
              <w:rPr>
                <w:rFonts w:ascii="Arial" w:cs="Arial" w:eastAsia="Arial" w:hAnsi="Arial"/>
                <w:sz w:val="17"/>
                <w:szCs w:val="17"/>
                <w:color w:val="auto"/>
              </w:rPr>
              <w:t>Page 39 of 39</w:t>
            </w:r>
          </w:p>
        </w:tc>
        <w:tc>
          <w:tcPr>
            <w:tcW w:w="1140" w:type="dxa"/>
            <w:vAlign w:val="bottom"/>
          </w:tcPr>
          <w:p>
            <w:pPr>
              <w:spacing w:after="0"/>
              <w:rPr>
                <w:sz w:val="24"/>
                <w:szCs w:val="24"/>
                <w:color w:val="auto"/>
              </w:rPr>
            </w:pPr>
          </w:p>
        </w:tc>
      </w:tr>
      <w:tr>
        <w:trPr>
          <w:trHeight w:val="114"/>
        </w:trPr>
        <w:tc>
          <w:tcPr>
            <w:tcW w:w="1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97" w:name="page798"/>
    <w:bookmarkEnd w:id="797"/>
    <w:p>
      <w:pPr>
        <w:jc w:val="right"/>
        <w:spacing w:after="0"/>
        <w:rPr>
          <w:sz w:val="20"/>
          <w:szCs w:val="20"/>
          <w:color w:val="auto"/>
        </w:rPr>
      </w:pPr>
      <w:r>
        <w:rPr>
          <w:rFonts w:ascii="Arial" w:cs="Arial" w:eastAsia="Arial" w:hAnsi="Arial"/>
          <w:sz w:val="17"/>
          <w:szCs w:val="17"/>
          <w:color w:val="auto"/>
        </w:rPr>
        <w:t>EXHIBIT 8.1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Pr>
          <w:p>
            <w:pPr>
              <w:spacing w:after="0"/>
              <w:rPr>
                <w:sz w:val="19"/>
                <w:szCs w:val="19"/>
                <w:color w:val="auto"/>
              </w:rPr>
            </w:pPr>
          </w:p>
        </w:tc>
        <w:tc>
          <w:tcPr>
            <w:tcW w:w="7360" w:type="dxa"/>
            <w:vAlign w:val="bottom"/>
          </w:tcPr>
          <w:p>
            <w:pPr>
              <w:ind w:left="520"/>
              <w:spacing w:after="0"/>
              <w:rPr>
                <w:sz w:val="20"/>
                <w:szCs w:val="20"/>
                <w:color w:val="auto"/>
              </w:rPr>
            </w:pPr>
            <w:r>
              <w:rPr>
                <w:rFonts w:ascii="Arial" w:cs="Arial" w:eastAsia="Arial" w:hAnsi="Arial"/>
                <w:sz w:val="17"/>
                <w:szCs w:val="17"/>
                <w:b w:val="1"/>
                <w:bCs w:val="1"/>
                <w:color w:val="auto"/>
              </w:rPr>
              <w:t>Subsidiaries of BioLineRx Ltd.</w:t>
            </w:r>
          </w:p>
        </w:tc>
      </w:tr>
      <w:tr>
        <w:trPr>
          <w:trHeight w:val="438"/>
        </w:trPr>
        <w:tc>
          <w:tcPr>
            <w:tcW w:w="4060" w:type="dxa"/>
            <w:vAlign w:val="bottom"/>
          </w:tcPr>
          <w:p>
            <w:pPr>
              <w:spacing w:after="0"/>
              <w:rPr>
                <w:sz w:val="20"/>
                <w:szCs w:val="20"/>
                <w:color w:val="auto"/>
              </w:rPr>
            </w:pPr>
            <w:r>
              <w:rPr>
                <w:rFonts w:ascii="Arial" w:cs="Arial" w:eastAsia="Arial" w:hAnsi="Arial"/>
                <w:sz w:val="17"/>
                <w:szCs w:val="17"/>
                <w:b w:val="1"/>
                <w:bCs w:val="1"/>
                <w:color w:val="auto"/>
              </w:rPr>
              <w:t>Entity Name</w:t>
            </w:r>
          </w:p>
        </w:tc>
        <w:tc>
          <w:tcPr>
            <w:tcW w:w="7360" w:type="dxa"/>
            <w:vAlign w:val="bottom"/>
          </w:tcPr>
          <w:p>
            <w:pPr>
              <w:jc w:val="center"/>
              <w:ind w:left="1714"/>
              <w:spacing w:after="0"/>
              <w:rPr>
                <w:sz w:val="20"/>
                <w:szCs w:val="20"/>
                <w:color w:val="auto"/>
              </w:rPr>
            </w:pPr>
            <w:r>
              <w:rPr>
                <w:rFonts w:ascii="Arial" w:cs="Arial" w:eastAsia="Arial" w:hAnsi="Arial"/>
                <w:sz w:val="17"/>
                <w:szCs w:val="17"/>
                <w:b w:val="1"/>
                <w:bCs w:val="1"/>
                <w:color w:val="auto"/>
                <w:w w:val="92"/>
              </w:rPr>
              <w:t>State or Country of Organization</w:t>
            </w:r>
          </w:p>
        </w:tc>
      </w:tr>
      <w:tr>
        <w:trPr>
          <w:trHeight w:val="207"/>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BioLine Innovations Jerusalem Ltd.</w:t>
            </w:r>
          </w:p>
        </w:tc>
        <w:tc>
          <w:tcPr>
            <w:tcW w:w="7360" w:type="dxa"/>
            <w:vAlign w:val="bottom"/>
            <w:shd w:val="clear" w:color="auto" w:fill="CCFFCC"/>
          </w:tcPr>
          <w:p>
            <w:pPr>
              <w:jc w:val="center"/>
              <w:ind w:left="1734"/>
              <w:spacing w:after="0"/>
              <w:rPr>
                <w:sz w:val="20"/>
                <w:szCs w:val="20"/>
                <w:color w:val="auto"/>
              </w:rPr>
            </w:pPr>
            <w:r>
              <w:rPr>
                <w:rFonts w:ascii="Arial" w:cs="Arial" w:eastAsia="Arial" w:hAnsi="Arial"/>
                <w:sz w:val="17"/>
                <w:szCs w:val="17"/>
                <w:color w:val="auto"/>
                <w:w w:val="91"/>
              </w:rPr>
              <w:t>Israel</w:t>
            </w:r>
          </w:p>
        </w:tc>
      </w:tr>
      <w:tr>
        <w:trPr>
          <w:trHeight w:val="206"/>
        </w:trPr>
        <w:tc>
          <w:tcPr>
            <w:tcW w:w="4060" w:type="dxa"/>
            <w:vAlign w:val="bottom"/>
          </w:tcPr>
          <w:p>
            <w:pPr>
              <w:spacing w:after="0"/>
              <w:rPr>
                <w:sz w:val="20"/>
                <w:szCs w:val="20"/>
                <w:color w:val="auto"/>
              </w:rPr>
            </w:pPr>
            <w:r>
              <w:rPr>
                <w:rFonts w:ascii="Arial" w:cs="Arial" w:eastAsia="Arial" w:hAnsi="Arial"/>
                <w:sz w:val="17"/>
                <w:szCs w:val="17"/>
                <w:color w:val="auto"/>
              </w:rPr>
              <w:t>BioLine Innovations Jerusalem Limited Partnership</w:t>
            </w:r>
          </w:p>
        </w:tc>
        <w:tc>
          <w:tcPr>
            <w:tcW w:w="7360" w:type="dxa"/>
            <w:vAlign w:val="bottom"/>
          </w:tcPr>
          <w:p>
            <w:pPr>
              <w:jc w:val="center"/>
              <w:ind w:left="1734"/>
              <w:spacing w:after="0"/>
              <w:rPr>
                <w:sz w:val="20"/>
                <w:szCs w:val="20"/>
                <w:color w:val="auto"/>
              </w:rPr>
            </w:pPr>
            <w:r>
              <w:rPr>
                <w:rFonts w:ascii="Arial" w:cs="Arial" w:eastAsia="Arial" w:hAnsi="Arial"/>
                <w:sz w:val="17"/>
                <w:szCs w:val="17"/>
                <w:color w:val="auto"/>
                <w:w w:val="91"/>
              </w:rPr>
              <w:t>Israel</w:t>
            </w:r>
          </w:p>
        </w:tc>
      </w:tr>
      <w:tr>
        <w:trPr>
          <w:trHeight w:val="20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BioLineRx USA, Inc.</w:t>
            </w:r>
          </w:p>
        </w:tc>
        <w:tc>
          <w:tcPr>
            <w:tcW w:w="7360" w:type="dxa"/>
            <w:vAlign w:val="bottom"/>
            <w:shd w:val="clear" w:color="auto" w:fill="CCFFCC"/>
          </w:tcPr>
          <w:p>
            <w:pPr>
              <w:jc w:val="center"/>
              <w:ind w:left="1714"/>
              <w:spacing w:after="0"/>
              <w:rPr>
                <w:sz w:val="20"/>
                <w:szCs w:val="20"/>
                <w:color w:val="auto"/>
              </w:rPr>
            </w:pPr>
            <w:r>
              <w:rPr>
                <w:rFonts w:ascii="Arial" w:cs="Arial" w:eastAsia="Arial" w:hAnsi="Arial"/>
                <w:sz w:val="17"/>
                <w:szCs w:val="17"/>
                <w:color w:val="auto"/>
                <w:w w:val="89"/>
              </w:rPr>
              <w:t>Delaware</w:t>
            </w:r>
          </w:p>
        </w:tc>
      </w:tr>
      <w:tr>
        <w:trPr>
          <w:trHeight w:val="807"/>
        </w:trPr>
        <w:tc>
          <w:tcPr>
            <w:tcW w:w="406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8" w:name="page799"/>
    <w:bookmarkEnd w:id="798"/>
    <w:p>
      <w:pPr>
        <w:jc w:val="right"/>
        <w:spacing w:after="0"/>
        <w:rPr>
          <w:sz w:val="20"/>
          <w:szCs w:val="20"/>
          <w:color w:val="auto"/>
        </w:rPr>
      </w:pPr>
      <w:r>
        <w:rPr>
          <w:rFonts w:ascii="Arial" w:cs="Arial" w:eastAsia="Arial" w:hAnsi="Arial"/>
          <w:sz w:val="17"/>
          <w:szCs w:val="17"/>
          <w:b w:val="1"/>
          <w:bCs w:val="1"/>
          <w:color w:val="auto"/>
        </w:rPr>
        <w:t>Exhibit 15.1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hereby consent to the use in this Registration Statement on Form 20-F of our report dated March 27, 2011, relating to the financial statements of BioLineRx Ltd., which appears in such Registration Statement. We also consent to the reference to us under the heading “Auditors” and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 Kesselman &amp; Kesselman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July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397510</wp:posOffset>
            </wp:positionV>
            <wp:extent cx="7257415" cy="209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E2ED6C"/>
    <w:multiLevelType w:val="hybridMultilevel"/>
    <w:lvl w:ilvl="0">
      <w:lvlJc w:val="left"/>
      <w:lvlText w:val="x"/>
      <w:numFmt w:val="bullet"/>
      <w:start w:val="1"/>
    </w:lvl>
  </w:abstractNum>
  <w:abstractNum w:abstractNumId="1">
    <w:nsid w:val="2219B33"/>
    <w:multiLevelType w:val="hybridMultilevel"/>
    <w:lvl w:ilvl="0">
      <w:lvlJc w:val="left"/>
      <w:lvlText w:val="o"/>
      <w:numFmt w:val="bullet"/>
      <w:start w:val="1"/>
    </w:lvl>
  </w:abstractNum>
  <w:abstractNum w:abstractNumId="2">
    <w:nsid w:val="773BFBDD"/>
    <w:multiLevelType w:val="hybridMultilevel"/>
    <w:lvl w:ilvl="0">
      <w:lvlJc w:val="left"/>
      <w:lvlText w:val="o"/>
      <w:numFmt w:val="bullet"/>
      <w:start w:val="1"/>
    </w:lvl>
  </w:abstractNum>
  <w:abstractNum w:abstractNumId="3">
    <w:nsid w:val="2C7C62C2"/>
    <w:multiLevelType w:val="hybridMultilevel"/>
    <w:lvl w:ilvl="0">
      <w:lvlJc w:val="left"/>
      <w:lvlText w:val="o"/>
      <w:numFmt w:val="bullet"/>
      <w:start w:val="1"/>
    </w:lvl>
  </w:abstractNum>
  <w:abstractNum w:abstractNumId="4">
    <w:nsid w:val="1A54D7BC"/>
    <w:multiLevelType w:val="hybridMultilevel"/>
    <w:lvl w:ilvl="0">
      <w:lvlJc w:val="left"/>
      <w:lvlText w:val="*"/>
      <w:numFmt w:val="bullet"/>
      <w:start w:val="1"/>
    </w:lvl>
  </w:abstractNum>
  <w:abstractNum w:abstractNumId="5">
    <w:nsid w:val="42E57EF7"/>
    <w:multiLevelType w:val="hybridMultilevel"/>
    <w:lvl w:ilvl="0">
      <w:lvlJc w:val="left"/>
      <w:lvlText w:val="•"/>
      <w:numFmt w:val="bullet"/>
      <w:start w:val="1"/>
    </w:lvl>
  </w:abstractNum>
  <w:abstractNum w:abstractNumId="6">
    <w:nsid w:val="33537CED"/>
    <w:multiLevelType w:val="hybridMultilevel"/>
    <w:lvl w:ilvl="0">
      <w:lvlJc w:val="left"/>
      <w:lvlText w:val="(%1)"/>
      <w:numFmt w:val="decimal"/>
      <w:start w:val="1"/>
    </w:lvl>
  </w:abstractNum>
  <w:abstractNum w:abstractNumId="7">
    <w:nsid w:val="27514ADE"/>
    <w:multiLevelType w:val="hybridMultilevel"/>
    <w:lvl w:ilvl="0">
      <w:lvlJc w:val="left"/>
      <w:lvlText w:val="(%1)"/>
      <w:numFmt w:val="decimal"/>
      <w:start w:val="1"/>
    </w:lvl>
  </w:abstractNum>
  <w:abstractNum w:abstractNumId="8">
    <w:nsid w:val="57071613"/>
    <w:multiLevelType w:val="hybridMultilevel"/>
    <w:lvl w:ilvl="0">
      <w:lvlJc w:val="left"/>
      <w:lvlText w:val="(%1)"/>
      <w:numFmt w:val="decimal"/>
      <w:start w:val="2"/>
    </w:lvl>
  </w:abstractNum>
  <w:abstractNum w:abstractNumId="9">
    <w:nsid w:val="5293BFEF"/>
    <w:multiLevelType w:val="hybridMultilevel"/>
    <w:lvl w:ilvl="0">
      <w:lvlJc w:val="left"/>
      <w:lvlText w:val="(%1)"/>
      <w:numFmt w:val="decimal"/>
      <w:start w:val="1"/>
    </w:lvl>
  </w:abstractNum>
  <w:abstractNum w:abstractNumId="10">
    <w:nsid w:val="38BF53E5"/>
    <w:multiLevelType w:val="hybridMultilevel"/>
    <w:lvl w:ilvl="0">
      <w:lvlJc w:val="left"/>
      <w:lvlText w:val="•"/>
      <w:numFmt w:val="bullet"/>
      <w:start w:val="1"/>
    </w:lvl>
  </w:abstractNum>
  <w:abstractNum w:abstractNumId="11">
    <w:nsid w:val="226F5320"/>
    <w:multiLevelType w:val="hybridMultilevel"/>
    <w:lvl w:ilvl="0">
      <w:lvlJc w:val="left"/>
      <w:lvlText w:val="•"/>
      <w:numFmt w:val="bullet"/>
      <w:start w:val="1"/>
    </w:lvl>
  </w:abstractNum>
  <w:abstractNum w:abstractNumId="12">
    <w:nsid w:val="5A0201C7"/>
    <w:multiLevelType w:val="hybridMultilevel"/>
    <w:lvl w:ilvl="0">
      <w:lvlJc w:val="left"/>
      <w:lvlText w:val="•"/>
      <w:numFmt w:val="bullet"/>
      <w:start w:val="1"/>
    </w:lvl>
  </w:abstractNum>
  <w:abstractNum w:abstractNumId="13">
    <w:nsid w:val="2A9C34E2"/>
    <w:multiLevelType w:val="hybridMultilevel"/>
    <w:lvl w:ilvl="0">
      <w:lvlJc w:val="left"/>
      <w:lvlText w:val="•"/>
      <w:numFmt w:val="bullet"/>
      <w:start w:val="1"/>
    </w:lvl>
  </w:abstractNum>
  <w:abstractNum w:abstractNumId="14">
    <w:nsid w:val="1B7585AB"/>
    <w:multiLevelType w:val="hybridMultilevel"/>
    <w:lvl w:ilvl="0">
      <w:lvlJc w:val="left"/>
      <w:lvlText w:val="•"/>
      <w:numFmt w:val="bullet"/>
      <w:start w:val="1"/>
    </w:lvl>
  </w:abstractNum>
  <w:abstractNum w:abstractNumId="15">
    <w:nsid w:val="612DBDDD"/>
    <w:multiLevelType w:val="hybridMultilevel"/>
    <w:lvl w:ilvl="0">
      <w:lvlJc w:val="left"/>
      <w:lvlText w:val="•"/>
      <w:numFmt w:val="bullet"/>
      <w:start w:val="1"/>
    </w:lvl>
  </w:abstractNum>
  <w:abstractNum w:abstractNumId="16">
    <w:nsid w:val="2109CDA4"/>
    <w:multiLevelType w:val="hybridMultilevel"/>
    <w:lvl w:ilvl="0">
      <w:lvlJc w:val="left"/>
      <w:lvlText w:val="•"/>
      <w:numFmt w:val="bullet"/>
      <w:start w:val="1"/>
    </w:lvl>
  </w:abstractNum>
  <w:abstractNum w:abstractNumId="17">
    <w:nsid w:val="577F5A4D"/>
    <w:multiLevelType w:val="hybridMultilevel"/>
    <w:lvl w:ilvl="0">
      <w:lvlJc w:val="left"/>
      <w:lvlText w:val="•"/>
      <w:numFmt w:val="bullet"/>
      <w:start w:val="1"/>
    </w:lvl>
  </w:abstractNum>
  <w:abstractNum w:abstractNumId="18">
    <w:nsid w:val="2121A81"/>
    <w:multiLevelType w:val="hybridMultilevel"/>
    <w:lvl w:ilvl="0">
      <w:lvlJc w:val="left"/>
      <w:lvlText w:val="•"/>
      <w:numFmt w:val="bullet"/>
      <w:start w:val="1"/>
    </w:lvl>
  </w:abstractNum>
  <w:abstractNum w:abstractNumId="19">
    <w:nsid w:val="6C2CFC88"/>
    <w:multiLevelType w:val="hybridMultilevel"/>
    <w:lvl w:ilvl="0">
      <w:lvlJc w:val="left"/>
      <w:lvlText w:val="•"/>
      <w:numFmt w:val="bullet"/>
      <w:start w:val="1"/>
    </w:lvl>
  </w:abstractNum>
  <w:abstractNum w:abstractNumId="20">
    <w:nsid w:val="6D1BCF1C"/>
    <w:multiLevelType w:val="hybridMultilevel"/>
    <w:lvl w:ilvl="0">
      <w:lvlJc w:val="left"/>
      <w:lvlText w:val="•"/>
      <w:numFmt w:val="bullet"/>
      <w:start w:val="1"/>
    </w:lvl>
  </w:abstractNum>
  <w:abstractNum w:abstractNumId="21">
    <w:nsid w:val="4CE5CA53"/>
    <w:multiLevelType w:val="hybridMultilevel"/>
    <w:lvl w:ilvl="0">
      <w:lvlJc w:val="left"/>
      <w:lvlText w:val="%1."/>
      <w:numFmt w:val="decimal"/>
      <w:start w:val="4"/>
    </w:lvl>
  </w:abstractNum>
  <w:abstractNum w:abstractNumId="22">
    <w:nsid w:val="29262D1A"/>
    <w:multiLevelType w:val="hybridMultilevel"/>
    <w:lvl w:ilvl="0">
      <w:lvlJc w:val="left"/>
      <w:lvlText w:val="•"/>
      <w:numFmt w:val="bullet"/>
      <w:start w:val="1"/>
    </w:lvl>
  </w:abstractNum>
  <w:abstractNum w:abstractNumId="23">
    <w:nsid w:val="557FB7EE"/>
    <w:multiLevelType w:val="hybridMultilevel"/>
    <w:lvl w:ilvl="0">
      <w:lvlJc w:val="left"/>
      <w:lvlText w:val="•"/>
      <w:numFmt w:val="bullet"/>
      <w:start w:val="1"/>
    </w:lvl>
  </w:abstractNum>
  <w:abstractNum w:abstractNumId="24">
    <w:nsid w:val="436F2BEB"/>
    <w:multiLevelType w:val="hybridMultilevel"/>
    <w:lvl w:ilvl="0">
      <w:lvlJc w:val="left"/>
      <w:lvlText w:val="%1."/>
      <w:numFmt w:val="decimal"/>
      <w:start w:val="9"/>
    </w:lvl>
  </w:abstractNum>
  <w:abstractNum w:abstractNumId="25">
    <w:nsid w:val="6C8B4466"/>
    <w:multiLevelType w:val="hybridMultilevel"/>
    <w:lvl w:ilvl="0">
      <w:lvlJc w:val="left"/>
      <w:lvlText w:val="•"/>
      <w:numFmt w:val="bullet"/>
      <w:start w:val="1"/>
    </w:lvl>
  </w:abstractNum>
  <w:abstractNum w:abstractNumId="26">
    <w:nsid w:val="2006E424"/>
    <w:multiLevelType w:val="hybridMultilevel"/>
    <w:lvl w:ilvl="0">
      <w:lvlJc w:val="left"/>
      <w:lvlText w:val="•"/>
      <w:numFmt w:val="bullet"/>
      <w:start w:val="1"/>
    </w:lvl>
  </w:abstractNum>
  <w:abstractNum w:abstractNumId="27">
    <w:nsid w:val="20CC134C"/>
    <w:multiLevelType w:val="hybridMultilevel"/>
    <w:lvl w:ilvl="0">
      <w:lvlJc w:val="left"/>
      <w:lvlText w:val="•"/>
      <w:numFmt w:val="bullet"/>
      <w:start w:val="1"/>
    </w:lvl>
  </w:abstractNum>
  <w:abstractNum w:abstractNumId="28">
    <w:nsid w:val="95FC93B"/>
    <w:multiLevelType w:val="hybridMultilevel"/>
    <w:lvl w:ilvl="0">
      <w:lvlJc w:val="left"/>
      <w:lvlText w:val="•"/>
      <w:numFmt w:val="bullet"/>
      <w:start w:val="1"/>
    </w:lvl>
  </w:abstractNum>
  <w:abstractNum w:abstractNumId="29">
    <w:nsid w:val="41D74679"/>
    <w:multiLevelType w:val="hybridMultilevel"/>
    <w:lvl w:ilvl="0">
      <w:lvlJc w:val="left"/>
      <w:lvlText w:val="•"/>
      <w:numFmt w:val="bullet"/>
      <w:start w:val="1"/>
    </w:lvl>
  </w:abstractNum>
  <w:abstractNum w:abstractNumId="30">
    <w:nsid w:val="71E5621E"/>
    <w:multiLevelType w:val="hybridMultilevel"/>
    <w:lvl w:ilvl="0">
      <w:lvlJc w:val="left"/>
      <w:lvlText w:val="•"/>
      <w:numFmt w:val="bullet"/>
      <w:start w:val="1"/>
    </w:lvl>
  </w:abstractNum>
  <w:abstractNum w:abstractNumId="31">
    <w:nsid w:val="4E42B6A8"/>
    <w:multiLevelType w:val="hybridMultilevel"/>
    <w:lvl w:ilvl="0">
      <w:lvlJc w:val="left"/>
      <w:lvlText w:val="(%1)"/>
      <w:numFmt w:val="decimal"/>
      <w:start w:val="2"/>
    </w:lvl>
  </w:abstractNum>
  <w:abstractNum w:abstractNumId="32">
    <w:nsid w:val="43F8E1AC"/>
    <w:multiLevelType w:val="hybridMultilevel"/>
    <w:lvl w:ilvl="0">
      <w:lvlJc w:val="left"/>
      <w:lvlText w:val="•"/>
      <w:numFmt w:val="bullet"/>
      <w:start w:val="1"/>
    </w:lvl>
  </w:abstractNum>
  <w:abstractNum w:abstractNumId="33">
    <w:nsid w:val="69215DFB"/>
    <w:multiLevelType w:val="hybridMultilevel"/>
    <w:lvl w:ilvl="0">
      <w:lvlJc w:val="left"/>
      <w:lvlText w:val="•"/>
      <w:numFmt w:val="bullet"/>
      <w:start w:val="1"/>
    </w:lvl>
  </w:abstractNum>
  <w:abstractNum w:abstractNumId="34">
    <w:nsid w:val="7ABF196A"/>
    <w:multiLevelType w:val="hybridMultilevel"/>
    <w:lvl w:ilvl="0">
      <w:lvlJc w:val="left"/>
      <w:lvlText w:val="•"/>
      <w:numFmt w:val="bullet"/>
      <w:start w:val="1"/>
    </w:lvl>
  </w:abstractNum>
  <w:abstractNum w:abstractNumId="35">
    <w:nsid w:val="5E4DB968"/>
    <w:multiLevelType w:val="hybridMultilevel"/>
    <w:lvl w:ilvl="0">
      <w:lvlJc w:val="left"/>
      <w:lvlText w:val="(%1)"/>
      <w:numFmt w:val="decimal"/>
      <w:start w:val="1"/>
    </w:lvl>
  </w:abstractNum>
  <w:abstractNum w:abstractNumId="36">
    <w:nsid w:val="2C06DCF3"/>
    <w:multiLevelType w:val="hybridMultilevel"/>
    <w:lvl w:ilvl="0">
      <w:lvlJc w:val="left"/>
      <w:lvlText w:val="•"/>
      <w:numFmt w:val="bullet"/>
      <w:start w:val="1"/>
    </w:lvl>
  </w:abstractNum>
  <w:abstractNum w:abstractNumId="37">
    <w:nsid w:val="2E129658"/>
    <w:multiLevelType w:val="hybridMultilevel"/>
    <w:lvl w:ilvl="0">
      <w:lvlJc w:val="left"/>
      <w:lvlText w:val="•"/>
      <w:numFmt w:val="bullet"/>
      <w:start w:val="1"/>
    </w:lvl>
  </w:abstractNum>
  <w:abstractNum w:abstractNumId="38">
    <w:nsid w:val="59F0446"/>
    <w:multiLevelType w:val="hybridMultilevel"/>
    <w:lvl w:ilvl="0">
      <w:lvlJc w:val="left"/>
      <w:lvlText w:val="•"/>
      <w:numFmt w:val="bullet"/>
      <w:start w:val="1"/>
    </w:lvl>
  </w:abstractNum>
  <w:abstractNum w:abstractNumId="39">
    <w:nsid w:val="30DF306"/>
    <w:multiLevelType w:val="hybridMultilevel"/>
    <w:lvl w:ilvl="0">
      <w:lvlJc w:val="left"/>
      <w:lvlText w:val="(%1)"/>
      <w:numFmt w:val="decimal"/>
      <w:start w:val="1"/>
    </w:lvl>
  </w:abstractNum>
  <w:abstractNum w:abstractNumId="40">
    <w:nsid w:val="A65647"/>
    <w:multiLevelType w:val="hybridMultilevel"/>
    <w:lvl w:ilvl="0">
      <w:lvlJc w:val="left"/>
      <w:lvlText w:val="*"/>
      <w:numFmt w:val="bullet"/>
      <w:start w:val="1"/>
    </w:lvl>
  </w:abstractNum>
  <w:abstractNum w:abstractNumId="41">
    <w:nsid w:val="3E5E582B"/>
    <w:multiLevelType w:val="hybridMultilevel"/>
    <w:lvl w:ilvl="0">
      <w:lvlJc w:val="left"/>
      <w:lvlText w:val="•"/>
      <w:numFmt w:val="bullet"/>
      <w:start w:val="1"/>
    </w:lvl>
  </w:abstractNum>
  <w:abstractNum w:abstractNumId="42">
    <w:nsid w:val="257D4626"/>
    <w:multiLevelType w:val="hybridMultilevel"/>
    <w:lvl w:ilvl="0">
      <w:lvlJc w:val="left"/>
      <w:lvlText w:val="•"/>
      <w:numFmt w:val="bullet"/>
      <w:start w:val="1"/>
    </w:lvl>
  </w:abstractNum>
  <w:abstractNum w:abstractNumId="43">
    <w:nsid w:val="5AA8580E"/>
    <w:multiLevelType w:val="hybridMultilevel"/>
    <w:lvl w:ilvl="0">
      <w:lvlJc w:val="left"/>
      <w:lvlText w:val="•"/>
      <w:numFmt w:val="bullet"/>
      <w:start w:val="1"/>
    </w:lvl>
  </w:abstractNum>
  <w:abstractNum w:abstractNumId="44">
    <w:nsid w:val="68FA8D0D"/>
    <w:multiLevelType w:val="hybridMultilevel"/>
    <w:lvl w:ilvl="0">
      <w:lvlJc w:val="left"/>
      <w:lvlText w:val="•"/>
      <w:numFmt w:val="bullet"/>
      <w:start w:val="1"/>
    </w:lvl>
  </w:abstractNum>
  <w:abstractNum w:abstractNumId="45">
    <w:nsid w:val="40F2CBD2"/>
    <w:multiLevelType w:val="hybridMultilevel"/>
    <w:lvl w:ilvl="0">
      <w:lvlJc w:val="left"/>
      <w:lvlText w:val="(%1)"/>
      <w:numFmt w:val="decimal"/>
      <w:start w:val="1"/>
    </w:lvl>
  </w:abstractNum>
  <w:abstractNum w:abstractNumId="46">
    <w:nsid w:val="3BD615EB"/>
    <w:multiLevelType w:val="hybridMultilevel"/>
    <w:lvl w:ilvl="0">
      <w:lvlJc w:val="left"/>
      <w:lvlText w:val="•"/>
      <w:numFmt w:val="bullet"/>
      <w:start w:val="1"/>
    </w:lvl>
  </w:abstractNum>
  <w:abstractNum w:abstractNumId="47">
    <w:nsid w:val="A045AB2"/>
    <w:multiLevelType w:val="hybridMultilevel"/>
    <w:lvl w:ilvl="0">
      <w:lvlJc w:val="left"/>
      <w:lvlText w:val="•"/>
      <w:numFmt w:val="bullet"/>
      <w:start w:val="1"/>
    </w:lvl>
  </w:abstractNum>
  <w:abstractNum w:abstractNumId="48">
    <w:nsid w:val="1872261F"/>
    <w:multiLevelType w:val="hybridMultilevel"/>
    <w:lvl w:ilvl="0">
      <w:lvlJc w:val="left"/>
      <w:lvlText w:val="•"/>
      <w:numFmt w:val="bullet"/>
      <w:start w:val="1"/>
    </w:lvl>
  </w:abstractNum>
  <w:abstractNum w:abstractNumId="49">
    <w:nsid w:val="3DE8306C"/>
    <w:multiLevelType w:val="hybridMultilevel"/>
    <w:lvl w:ilvl="0">
      <w:lvlJc w:val="left"/>
      <w:lvlText w:val="•"/>
      <w:numFmt w:val="bullet"/>
      <w:start w:val="1"/>
    </w:lvl>
  </w:abstractNum>
  <w:abstractNum w:abstractNumId="50">
    <w:nsid w:val="7631573A"/>
    <w:multiLevelType w:val="hybridMultilevel"/>
    <w:lvl w:ilvl="0">
      <w:lvlJc w:val="left"/>
      <w:lvlText w:val="•"/>
      <w:numFmt w:val="bullet"/>
      <w:start w:val="1"/>
    </w:lvl>
  </w:abstractNum>
  <w:abstractNum w:abstractNumId="51">
    <w:nsid w:val="58DF53B"/>
    <w:multiLevelType w:val="hybridMultilevel"/>
    <w:lvl w:ilvl="0">
      <w:lvlJc w:val="left"/>
      <w:lvlText w:val="•"/>
      <w:numFmt w:val="bullet"/>
      <w:start w:val="1"/>
    </w:lvl>
  </w:abstractNum>
  <w:abstractNum w:abstractNumId="52">
    <w:nsid w:val="ACDFAC0"/>
    <w:multiLevelType w:val="hybridMultilevel"/>
    <w:lvl w:ilvl="0">
      <w:lvlJc w:val="left"/>
      <w:lvlText w:val="•"/>
      <w:numFmt w:val="bullet"/>
      <w:start w:val="1"/>
    </w:lvl>
  </w:abstractNum>
  <w:abstractNum w:abstractNumId="53">
    <w:nsid w:val="1F578454"/>
    <w:multiLevelType w:val="hybridMultilevel"/>
    <w:lvl w:ilvl="0">
      <w:lvlJc w:val="left"/>
      <w:lvlText w:val="•"/>
      <w:numFmt w:val="bullet"/>
      <w:start w:val="1"/>
    </w:lvl>
  </w:abstractNum>
  <w:abstractNum w:abstractNumId="54">
    <w:nsid w:val="5B0DAD2A"/>
    <w:multiLevelType w:val="hybridMultilevel"/>
    <w:lvl w:ilvl="0">
      <w:lvlJc w:val="left"/>
      <w:lvlText w:val="•"/>
      <w:numFmt w:val="bullet"/>
      <w:start w:val="1"/>
    </w:lvl>
  </w:abstractNum>
  <w:abstractNum w:abstractNumId="55">
    <w:nsid w:val="4E3D26AB"/>
    <w:multiLevelType w:val="hybridMultilevel"/>
    <w:lvl w:ilvl="0">
      <w:lvlJc w:val="left"/>
      <w:lvlText w:val="•"/>
      <w:numFmt w:val="bullet"/>
      <w:start w:val="1"/>
    </w:lvl>
  </w:abstractNum>
  <w:abstractNum w:abstractNumId="56">
    <w:nsid w:val="BE2C8BA"/>
    <w:multiLevelType w:val="hybridMultilevel"/>
    <w:lvl w:ilvl="0">
      <w:lvlJc w:val="left"/>
      <w:lvlText w:val="•"/>
      <w:numFmt w:val="bullet"/>
      <w:start w:val="1"/>
    </w:lvl>
  </w:abstractNum>
  <w:abstractNum w:abstractNumId="57">
    <w:nsid w:val="7B14914E"/>
    <w:multiLevelType w:val="hybridMultilevel"/>
    <w:lvl w:ilvl="0">
      <w:lvlJc w:val="left"/>
      <w:lvlText w:val="•"/>
      <w:numFmt w:val="bullet"/>
      <w:start w:val="1"/>
    </w:lvl>
  </w:abstractNum>
  <w:abstractNum w:abstractNumId="58">
    <w:nsid w:val="6F0939F8"/>
    <w:multiLevelType w:val="hybridMultilevel"/>
    <w:lvl w:ilvl="0">
      <w:lvlJc w:val="left"/>
      <w:lvlText w:val="•"/>
      <w:numFmt w:val="bullet"/>
      <w:start w:val="1"/>
    </w:lvl>
  </w:abstractNum>
  <w:abstractNum w:abstractNumId="59">
    <w:nsid w:val="154291F6"/>
    <w:multiLevelType w:val="hybridMultilevel"/>
    <w:lvl w:ilvl="0">
      <w:lvlJc w:val="left"/>
      <w:lvlText w:val="*"/>
      <w:numFmt w:val="bullet"/>
      <w:start w:val="1"/>
    </w:lvl>
  </w:abstractNum>
  <w:abstractNum w:abstractNumId="60">
    <w:nsid w:val="3CEBD7C7"/>
    <w:multiLevelType w:val="hybridMultilevel"/>
    <w:lvl w:ilvl="0">
      <w:lvlJc w:val="left"/>
      <w:lvlText w:val="(%1)"/>
      <w:numFmt w:val="decimal"/>
      <w:start w:val="1"/>
    </w:lvl>
  </w:abstractNum>
  <w:abstractNum w:abstractNumId="61">
    <w:nsid w:val="60EE9C16"/>
    <w:multiLevelType w:val="hybridMultilevel"/>
    <w:lvl w:ilvl="0">
      <w:lvlJc w:val="left"/>
      <w:lvlText w:val="(%1)"/>
      <w:numFmt w:val="decimal"/>
      <w:start w:val="4"/>
    </w:lvl>
  </w:abstractNum>
  <w:abstractNum w:abstractNumId="62">
    <w:nsid w:val="6385489E"/>
    <w:multiLevelType w:val="hybridMultilevel"/>
    <w:lvl w:ilvl="0">
      <w:lvlJc w:val="left"/>
      <w:lvlText w:val="•"/>
      <w:numFmt w:val="bullet"/>
      <w:start w:val="1"/>
    </w:lvl>
  </w:abstractNum>
  <w:abstractNum w:abstractNumId="63">
    <w:nsid w:val="E4B973"/>
    <w:multiLevelType w:val="hybridMultilevel"/>
    <w:lvl w:ilvl="0">
      <w:lvlJc w:val="left"/>
      <w:lvlText w:val="•"/>
      <w:numFmt w:val="bullet"/>
      <w:start w:val="1"/>
    </w:lvl>
  </w:abstractNum>
  <w:abstractNum w:abstractNumId="64">
    <w:nsid w:val="4A0FFA11"/>
    <w:multiLevelType w:val="hybridMultilevel"/>
    <w:lvl w:ilvl="0">
      <w:lvlJc w:val="left"/>
      <w:lvlText w:val="•"/>
      <w:numFmt w:val="bullet"/>
      <w:start w:val="1"/>
    </w:lvl>
  </w:abstractNum>
  <w:abstractNum w:abstractNumId="65">
    <w:nsid w:val="5E446208"/>
    <w:multiLevelType w:val="hybridMultilevel"/>
    <w:lvl w:ilvl="0">
      <w:lvlJc w:val="left"/>
      <w:lvlText w:val="•"/>
      <w:numFmt w:val="bullet"/>
      <w:start w:val="1"/>
    </w:lvl>
  </w:abstractNum>
  <w:abstractNum w:abstractNumId="66">
    <w:nsid w:val="5F3272DB"/>
    <w:multiLevelType w:val="hybridMultilevel"/>
    <w:lvl w:ilvl="0">
      <w:lvlJc w:val="left"/>
      <w:lvlText w:val="•"/>
      <w:numFmt w:val="bullet"/>
      <w:start w:val="1"/>
    </w:lvl>
  </w:abstractNum>
  <w:abstractNum w:abstractNumId="67">
    <w:nsid w:val="7616D704"/>
    <w:multiLevelType w:val="hybridMultilevel"/>
    <w:lvl w:ilvl="0">
      <w:lvlJc w:val="left"/>
      <w:lvlText w:val="•"/>
      <w:numFmt w:val="bullet"/>
      <w:start w:val="1"/>
    </w:lvl>
  </w:abstractNum>
  <w:abstractNum w:abstractNumId="68">
    <w:nsid w:val="C56F860"/>
    <w:multiLevelType w:val="hybridMultilevel"/>
    <w:lvl w:ilvl="0">
      <w:lvlJc w:val="left"/>
      <w:lvlText w:val="•"/>
      <w:numFmt w:val="bullet"/>
      <w:start w:val="1"/>
    </w:lvl>
  </w:abstractNum>
  <w:abstractNum w:abstractNumId="69">
    <w:nsid w:val="64D17722"/>
    <w:multiLevelType w:val="hybridMultilevel"/>
    <w:lvl w:ilvl="0">
      <w:lvlJc w:val="left"/>
      <w:lvlText w:val="•"/>
      <w:numFmt w:val="bullet"/>
      <w:start w:val="1"/>
    </w:lvl>
  </w:abstractNum>
  <w:abstractNum w:abstractNumId="70">
    <w:nsid w:val="7924CA0A"/>
    <w:multiLevelType w:val="hybridMultilevel"/>
    <w:lvl w:ilvl="0">
      <w:lvlJc w:val="left"/>
      <w:lvlText w:val="(%1)"/>
      <w:numFmt w:val="decimal"/>
      <w:start w:val="1"/>
    </w:lvl>
  </w:abstractNum>
  <w:abstractNum w:abstractNumId="71">
    <w:nsid w:val="CFD4EA7"/>
    <w:multiLevelType w:val="hybridMultilevel"/>
    <w:lvl w:ilvl="0">
      <w:lvlJc w:val="left"/>
      <w:lvlText w:val="*"/>
      <w:numFmt w:val="bullet"/>
      <w:start w:val="1"/>
    </w:lvl>
  </w:abstractNum>
  <w:abstractNum w:abstractNumId="72">
    <w:nsid w:val="232FCF4D"/>
    <w:multiLevelType w:val="hybridMultilevel"/>
    <w:lvl w:ilvl="0">
      <w:lvlJc w:val="left"/>
      <w:lvlText w:val="*"/>
      <w:numFmt w:val="bullet"/>
      <w:start w:val="1"/>
    </w:lvl>
  </w:abstractNum>
  <w:abstractNum w:abstractNumId="73">
    <w:nsid w:val="1EA21031"/>
    <w:multiLevelType w:val="hybridMultilevel"/>
    <w:lvl w:ilvl="0">
      <w:lvlJc w:val="left"/>
      <w:lvlText w:val="•"/>
      <w:numFmt w:val="bullet"/>
      <w:start w:val="1"/>
    </w:lvl>
  </w:abstractNum>
  <w:abstractNum w:abstractNumId="74">
    <w:nsid w:val="67A5A6B5"/>
    <w:multiLevelType w:val="hybridMultilevel"/>
    <w:lvl w:ilvl="0">
      <w:lvlJc w:val="left"/>
      <w:lvlText w:val="•"/>
      <w:numFmt w:val="bullet"/>
      <w:start w:val="1"/>
    </w:lvl>
  </w:abstractNum>
  <w:abstractNum w:abstractNumId="75">
    <w:nsid w:val="C2A5C5B"/>
    <w:multiLevelType w:val="hybridMultilevel"/>
    <w:lvl w:ilvl="0">
      <w:lvlJc w:val="left"/>
      <w:lvlText w:val="•"/>
      <w:numFmt w:val="bullet"/>
      <w:start w:val="1"/>
    </w:lvl>
  </w:abstractNum>
  <w:abstractNum w:abstractNumId="76">
    <w:nsid w:val="5F94DC03"/>
    <w:multiLevelType w:val="hybridMultilevel"/>
    <w:lvl w:ilvl="0">
      <w:lvlJc w:val="left"/>
      <w:lvlText w:val="%1."/>
      <w:numFmt w:val="lowerLetter"/>
      <w:start w:val="19"/>
    </w:lvl>
    <w:lvl w:ilvl="1">
      <w:lvlJc w:val="left"/>
      <w:lvlText w:val="%2)"/>
      <w:numFmt w:val="decimal"/>
      <w:start w:val="1"/>
    </w:lvl>
  </w:abstractNum>
  <w:abstractNum w:abstractNumId="77">
    <w:nsid w:val="237BBCA0"/>
    <w:multiLevelType w:val="hybridMultilevel"/>
    <w:lvl w:ilvl="0">
      <w:lvlJc w:val="left"/>
      <w:lvlText w:val="•"/>
      <w:numFmt w:val="bullet"/>
      <w:start w:val="1"/>
    </w:lvl>
  </w:abstractNum>
  <w:abstractNum w:abstractNumId="78">
    <w:nsid w:val="162EB70D"/>
    <w:multiLevelType w:val="hybridMultilevel"/>
    <w:lvl w:ilvl="0">
      <w:lvlJc w:val="left"/>
      <w:lvlText w:val="%1."/>
      <w:numFmt w:val="lowerLetter"/>
      <w:start w:val="21"/>
    </w:lvl>
    <w:lvl w:ilvl="1">
      <w:lvlJc w:val="left"/>
      <w:lvlText w:val="%2)"/>
      <w:numFmt w:val="decimal"/>
      <w:start w:val="1"/>
    </w:lvl>
  </w:abstractNum>
  <w:abstractNum w:abstractNumId="79">
    <w:nsid w:val="78070222"/>
    <w:multiLevelType w:val="hybridMultilevel"/>
    <w:lvl w:ilvl="0">
      <w:lvlJc w:val="left"/>
      <w:lvlText w:val="%1)"/>
      <w:numFmt w:val="lowerLetter"/>
      <w:start w:val="1"/>
    </w:lvl>
  </w:abstractNum>
  <w:abstractNum w:abstractNumId="80">
    <w:nsid w:val="6163ED0D"/>
    <w:multiLevelType w:val="hybridMultilevel"/>
    <w:lvl w:ilvl="0">
      <w:lvlJc w:val="left"/>
      <w:lvlText w:val="%1)"/>
      <w:numFmt w:val="lowerLetter"/>
      <w:start w:val="4"/>
    </w:lvl>
  </w:abstractNum>
  <w:abstractNum w:abstractNumId="81">
    <w:nsid w:val="C600E47"/>
    <w:multiLevelType w:val="hybridMultilevel"/>
    <w:lvl w:ilvl="0">
      <w:lvlJc w:val="left"/>
      <w:lvlText w:val="%1)"/>
      <w:numFmt w:val="decimal"/>
      <w:start w:val="2"/>
    </w:lvl>
  </w:abstractNum>
  <w:abstractNum w:abstractNumId="82">
    <w:nsid w:val="7D94F75D"/>
    <w:multiLevelType w:val="hybridMultilevel"/>
    <w:lvl w:ilvl="0">
      <w:lvlJc w:val="left"/>
      <w:lvlText w:val="%1."/>
      <w:numFmt w:val="lowerLetter"/>
      <w:start w:val="1"/>
    </w:lvl>
    <w:lvl w:ilvl="1">
      <w:lvlJc w:val="left"/>
      <w:lvlText w:val="%2)"/>
      <w:numFmt w:val="decimal"/>
      <w:start w:val="1"/>
    </w:lvl>
  </w:abstractNum>
  <w:abstractNum w:abstractNumId="83">
    <w:nsid w:val="6C31E7CD"/>
    <w:multiLevelType w:val="hybridMultilevel"/>
    <w:lvl w:ilvl="0">
      <w:lvlJc w:val="left"/>
      <w:lvlText w:val="*"/>
      <w:numFmt w:val="bullet"/>
      <w:start w:val="1"/>
    </w:lvl>
  </w:abstractNum>
  <w:abstractNum w:abstractNumId="84">
    <w:nsid w:val="2BB7929B"/>
    <w:multiLevelType w:val="hybridMultilevel"/>
    <w:lvl w:ilvl="0">
      <w:lvlJc w:val="left"/>
      <w:lvlText w:val="*"/>
      <w:numFmt w:val="bullet"/>
      <w:start w:val="1"/>
    </w:lvl>
  </w:abstractNum>
  <w:abstractNum w:abstractNumId="85">
    <w:nsid w:val="58A2A487"/>
    <w:multiLevelType w:val="hybridMultilevel"/>
    <w:lvl w:ilvl="0">
      <w:lvlJc w:val="left"/>
      <w:lvlText w:val="%1."/>
      <w:numFmt w:val="lowerLetter"/>
      <w:start w:val="2"/>
    </w:lvl>
  </w:abstractNum>
  <w:abstractNum w:abstractNumId="86">
    <w:nsid w:val="3A6F0E78"/>
    <w:multiLevelType w:val="hybridMultilevel"/>
    <w:lvl w:ilvl="0">
      <w:lvlJc w:val="left"/>
      <w:lvlText w:val="%1)"/>
      <w:numFmt w:val="decimal"/>
      <w:start w:val="1"/>
    </w:lvl>
  </w:abstractNum>
  <w:abstractNum w:abstractNumId="87">
    <w:nsid w:val="379A5B56"/>
    <w:multiLevelType w:val="hybridMultilevel"/>
    <w:lvl w:ilvl="0">
      <w:lvlJc w:val="left"/>
      <w:lvlText w:val="%1)"/>
      <w:numFmt w:val="decimal"/>
      <w:start w:val="2"/>
    </w:lvl>
  </w:abstractNum>
  <w:abstractNum w:abstractNumId="88">
    <w:nsid w:val="53B735D5"/>
    <w:multiLevelType w:val="hybridMultilevel"/>
    <w:lvl w:ilvl="0">
      <w:lvlJc w:val="left"/>
      <w:lvlText w:val="%1."/>
      <w:numFmt w:val="lowerLetter"/>
      <w:start w:val="4"/>
    </w:lvl>
    <w:lvl w:ilvl="1">
      <w:lvlJc w:val="left"/>
      <w:lvlText w:val="%2)"/>
      <w:numFmt w:val="decimal"/>
      <w:start w:val="1"/>
    </w:lvl>
  </w:abstractNum>
  <w:abstractNum w:abstractNumId="89">
    <w:nsid w:val="29784870"/>
    <w:multiLevelType w:val="hybridMultilevel"/>
    <w:lvl w:ilvl="0">
      <w:lvlJc w:val="left"/>
      <w:lvlText w:val="*"/>
      <w:numFmt w:val="bullet"/>
      <w:start w:val="1"/>
    </w:lvl>
    <w:lvl w:ilvl="1">
      <w:lvlJc w:val="left"/>
      <w:lvlText w:val="%2)"/>
      <w:numFmt w:val="decimal"/>
      <w:start w:val="3"/>
    </w:lvl>
  </w:abstractNum>
  <w:abstractNum w:abstractNumId="90">
    <w:nsid w:val="4CDCED4C"/>
    <w:multiLevelType w:val="hybridMultilevel"/>
    <w:lvl w:ilvl="0">
      <w:lvlJc w:val="left"/>
      <w:lvlText w:val="%1)"/>
      <w:numFmt w:val="decimal"/>
      <w:start w:val="4"/>
    </w:lvl>
  </w:abstractNum>
  <w:abstractNum w:abstractNumId="91">
    <w:nsid w:val="10A30D9C"/>
    <w:multiLevelType w:val="hybridMultilevel"/>
    <w:lvl w:ilvl="0">
      <w:lvlJc w:val="left"/>
      <w:lvlText w:val="*"/>
      <w:numFmt w:val="bullet"/>
      <w:start w:val="1"/>
    </w:lvl>
  </w:abstractNum>
  <w:abstractNum w:abstractNumId="92">
    <w:nsid w:val="A66E486"/>
    <w:multiLevelType w:val="hybridMultilevel"/>
    <w:lvl w:ilvl="0">
      <w:lvlJc w:val="left"/>
      <w:lvlText w:val="•"/>
      <w:numFmt w:val="bullet"/>
      <w:start w:val="1"/>
    </w:lvl>
  </w:abstractNum>
  <w:abstractNum w:abstractNumId="93">
    <w:nsid w:val="306235EA"/>
    <w:multiLevelType w:val="hybridMultilevel"/>
    <w:lvl w:ilvl="0">
      <w:lvlJc w:val="left"/>
      <w:lvlText w:val="(%1)"/>
      <w:numFmt w:val="lowerRoman"/>
      <w:start w:val="1"/>
    </w:lvl>
  </w:abstractNum>
  <w:abstractNum w:abstractNumId="94">
    <w:nsid w:val="1187C70F"/>
    <w:multiLevelType w:val="hybridMultilevel"/>
    <w:lvl w:ilvl="0">
      <w:lvlJc w:val="left"/>
      <w:lvlText w:val="%1)"/>
      <w:numFmt w:val="decimal"/>
      <w:start w:val="4"/>
    </w:lvl>
    <w:lvl w:ilvl="1">
      <w:lvlJc w:val="left"/>
      <w:lvlText w:val="%2)"/>
      <w:numFmt w:val="lowerLetter"/>
      <w:start w:val="1"/>
    </w:lvl>
  </w:abstractNum>
  <w:abstractNum w:abstractNumId="95">
    <w:nsid w:val="5476DE98"/>
    <w:multiLevelType w:val="hybridMultilevel"/>
    <w:lvl w:ilvl="0">
      <w:lvlJc w:val="left"/>
      <w:lvlText w:val="%1."/>
      <w:numFmt w:val="lowerLetter"/>
      <w:start w:val="2"/>
    </w:lvl>
    <w:lvl w:ilvl="1">
      <w:lvlJc w:val="left"/>
      <w:lvlText w:val="%2)"/>
      <w:numFmt w:val="decimal"/>
      <w:start w:val="1"/>
    </w:lvl>
  </w:abstractNum>
  <w:abstractNum w:abstractNumId="96">
    <w:nsid w:val="EA697F2"/>
    <w:multiLevelType w:val="hybridMultilevel"/>
    <w:lvl w:ilvl="0">
      <w:lvlJc w:val="left"/>
      <w:lvlText w:val="%1)"/>
      <w:numFmt w:val="decimal"/>
      <w:start w:val="2"/>
    </w:lvl>
  </w:abstractNum>
  <w:abstractNum w:abstractNumId="97">
    <w:nsid w:val="70BA39EB"/>
    <w:multiLevelType w:val="hybridMultilevel"/>
    <w:lvl w:ilvl="0">
      <w:lvlJc w:val="left"/>
      <w:lvlText w:val="*"/>
      <w:numFmt w:val="bullet"/>
      <w:start w:val="1"/>
    </w:lvl>
  </w:abstractNum>
  <w:abstractNum w:abstractNumId="98">
    <w:nsid w:val="4A8DB59C"/>
    <w:multiLevelType w:val="hybridMultilevel"/>
    <w:lvl w:ilvl="0">
      <w:lvlJc w:val="left"/>
      <w:lvlText w:val="(%1)"/>
      <w:numFmt w:val="decimal"/>
      <w:start w:val="1"/>
    </w:lvl>
  </w:abstractNum>
  <w:abstractNum w:abstractNumId="99">
    <w:nsid w:val="1AFD9053"/>
    <w:multiLevelType w:val="hybridMultilevel"/>
    <w:lvl w:ilvl="0">
      <w:lvlJc w:val="left"/>
      <w:lvlText w:val="%1."/>
      <w:numFmt w:val="lowerLetter"/>
      <w:start w:val="1"/>
    </w:lvl>
  </w:abstractNum>
  <w:abstractNum w:abstractNumId="100">
    <w:nsid w:val="558BB10D"/>
    <w:multiLevelType w:val="hybridMultilevel"/>
    <w:lvl w:ilvl="0">
      <w:lvlJc w:val="left"/>
      <w:lvlText w:val="†"/>
      <w:numFmt w:val="bullet"/>
      <w:start w:val="1"/>
    </w:lvl>
  </w:abstractNum>
  <w:abstractNum w:abstractNumId="101">
    <w:nsid w:val="43B27FA7"/>
    <w:multiLevelType w:val="hybridMultilevel"/>
    <w:lvl w:ilvl="0">
      <w:lvlJc w:val="left"/>
      <w:lvlText w:val="%1."/>
      <w:numFmt w:val="decimal"/>
      <w:start w:val="1"/>
    </w:lvl>
  </w:abstractNum>
  <w:abstractNum w:abstractNumId="102">
    <w:nsid w:val="27FADEFA"/>
    <w:multiLevelType w:val="hybridMultilevel"/>
    <w:lvl w:ilvl="0">
      <w:lvlJc w:val="left"/>
      <w:lvlText w:val="%1."/>
      <w:numFmt w:val="decimal"/>
      <w:start w:val="5"/>
    </w:lvl>
  </w:abstractNum>
  <w:abstractNum w:abstractNumId="103">
    <w:nsid w:val="78BB805A"/>
    <w:multiLevelType w:val="hybridMultilevel"/>
    <w:lvl w:ilvl="0">
      <w:lvlJc w:val="left"/>
      <w:lvlText w:val="%1."/>
      <w:numFmt w:val="decimal"/>
      <w:start w:val="6"/>
    </w:lvl>
  </w:abstractNum>
  <w:abstractNum w:abstractNumId="104">
    <w:nsid w:val="62548FD8"/>
    <w:multiLevelType w:val="hybridMultilevel"/>
    <w:lvl w:ilvl="0">
      <w:lvlJc w:val="left"/>
      <w:lvlText w:val="%1."/>
      <w:numFmt w:val="decimal"/>
      <w:start w:val="7"/>
    </w:lvl>
  </w:abstractNum>
  <w:abstractNum w:abstractNumId="105">
    <w:nsid w:val="FA085B0"/>
    <w:multiLevelType w:val="hybridMultilevel"/>
    <w:lvl w:ilvl="0">
      <w:lvlJc w:val="left"/>
      <w:lvlText w:val="%1."/>
      <w:numFmt w:val="decimal"/>
      <w:start w:val="8"/>
    </w:lvl>
  </w:abstractNum>
  <w:abstractNum w:abstractNumId="106">
    <w:nsid w:val="4E5DCB5"/>
    <w:multiLevelType w:val="hybridMultilevel"/>
    <w:lvl w:ilvl="0">
      <w:lvlJc w:val="left"/>
      <w:lvlText w:val="%1."/>
      <w:numFmt w:val="decimal"/>
      <w:start w:val="9"/>
    </w:lvl>
  </w:abstractNum>
  <w:abstractNum w:abstractNumId="107">
    <w:nsid w:val="41E96BDB"/>
    <w:multiLevelType w:val="hybridMultilevel"/>
    <w:lvl w:ilvl="0">
      <w:lvlJc w:val="left"/>
      <w:lvlText w:val="%1."/>
      <w:numFmt w:val="decimal"/>
      <w:start w:val="10"/>
    </w:lvl>
  </w:abstractNum>
  <w:abstractNum w:abstractNumId="108">
    <w:nsid w:val="331C4250"/>
    <w:multiLevelType w:val="hybridMultilevel"/>
    <w:lvl w:ilvl="0">
      <w:lvlJc w:val="left"/>
      <w:lvlText w:val="%1."/>
      <w:numFmt w:val="decimal"/>
      <w:start w:val="11"/>
    </w:lvl>
  </w:abstractNum>
  <w:abstractNum w:abstractNumId="109">
    <w:nsid w:val="1B1493C2"/>
    <w:multiLevelType w:val="hybridMultilevel"/>
    <w:lvl w:ilvl="0">
      <w:lvlJc w:val="left"/>
      <w:lvlText w:val="%1."/>
      <w:numFmt w:val="decimal"/>
      <w:start w:val="12"/>
    </w:lvl>
  </w:abstractNum>
  <w:abstractNum w:abstractNumId="110">
    <w:nsid w:val="39F06DFD"/>
    <w:multiLevelType w:val="hybridMultilevel"/>
    <w:lvl w:ilvl="0">
      <w:lvlJc w:val="left"/>
      <w:lvlText w:val="%1."/>
      <w:numFmt w:val="decimal"/>
      <w:start w:val="13"/>
    </w:lvl>
  </w:abstractNum>
  <w:abstractNum w:abstractNumId="111">
    <w:nsid w:val="14802F5D"/>
    <w:multiLevelType w:val="hybridMultilevel"/>
    <w:lvl w:ilvl="0">
      <w:lvlJc w:val="left"/>
      <w:lvlText w:val="%1."/>
      <w:numFmt w:val="decimal"/>
      <w:start w:val="14"/>
    </w:lvl>
  </w:abstractNum>
  <w:abstractNum w:abstractNumId="112">
    <w:nsid w:val="2774A209"/>
    <w:multiLevelType w:val="hybridMultilevel"/>
    <w:lvl w:ilvl="0">
      <w:lvlJc w:val="left"/>
      <w:lvlText w:val="%1."/>
      <w:numFmt w:val="decimal"/>
      <w:start w:val="15"/>
    </w:lvl>
  </w:abstractNum>
  <w:abstractNum w:abstractNumId="113">
    <w:nsid w:val="3785655A"/>
    <w:multiLevelType w:val="hybridMultilevel"/>
    <w:lvl w:ilvl="0">
      <w:lvlJc w:val="left"/>
      <w:lvlText w:val="%1."/>
      <w:numFmt w:val="decimal"/>
      <w:start w:val="16"/>
    </w:lvl>
  </w:abstractNum>
  <w:abstractNum w:abstractNumId="114">
    <w:nsid w:val="B2172A"/>
    <w:multiLevelType w:val="hybridMultilevel"/>
    <w:lvl w:ilvl="0">
      <w:lvlJc w:val="left"/>
      <w:lvlText w:val="%1."/>
      <w:numFmt w:val="decimal"/>
      <w:start w:val="17"/>
    </w:lvl>
  </w:abstractNum>
  <w:abstractNum w:abstractNumId="115">
    <w:nsid w:val="532C34A5"/>
    <w:multiLevelType w:val="hybridMultilevel"/>
    <w:lvl w:ilvl="0">
      <w:lvlJc w:val="left"/>
      <w:lvlText w:val="%1."/>
      <w:numFmt w:val="decimal"/>
      <w:start w:val="18"/>
    </w:lvl>
  </w:abstractNum>
  <w:abstractNum w:abstractNumId="116">
    <w:nsid w:val="102809E2"/>
    <w:multiLevelType w:val="hybridMultilevel"/>
    <w:lvl w:ilvl="0">
      <w:lvlJc w:val="left"/>
      <w:lvlText w:val="%1."/>
      <w:numFmt w:val="decimal"/>
      <w:start w:val="19"/>
    </w:lvl>
  </w:abstractNum>
  <w:abstractNum w:abstractNumId="117">
    <w:nsid w:val="3B2125A3"/>
    <w:multiLevelType w:val="hybridMultilevel"/>
    <w:lvl w:ilvl="0">
      <w:lvlJc w:val="left"/>
      <w:lvlText w:val="%1."/>
      <w:numFmt w:val="decimal"/>
      <w:start w:val="20"/>
    </w:lvl>
  </w:abstractNum>
  <w:abstractNum w:abstractNumId="118">
    <w:nsid w:val="AC68FFB"/>
    <w:multiLevelType w:val="hybridMultilevel"/>
    <w:lvl w:ilvl="0">
      <w:lvlJc w:val="left"/>
      <w:lvlText w:val="%1."/>
      <w:numFmt w:val="decimal"/>
      <w:start w:val="21"/>
    </w:lvl>
  </w:abstractNum>
  <w:abstractNum w:abstractNumId="119">
    <w:nsid w:val="63DF3FB7"/>
    <w:multiLevelType w:val="hybridMultilevel"/>
    <w:lvl w:ilvl="0">
      <w:lvlJc w:val="left"/>
      <w:lvlText w:val="%1."/>
      <w:numFmt w:val="decimal"/>
      <w:start w:val="22"/>
    </w:lvl>
  </w:abstractNum>
  <w:abstractNum w:abstractNumId="120">
    <w:nsid w:val="64996E13"/>
    <w:multiLevelType w:val="hybridMultilevel"/>
    <w:lvl w:ilvl="0">
      <w:lvlJc w:val="left"/>
      <w:lvlText w:val="%1."/>
      <w:numFmt w:val="decimal"/>
      <w:start w:val="23"/>
    </w:lvl>
  </w:abstractNum>
  <w:abstractNum w:abstractNumId="121">
    <w:nsid w:val="57A37D47"/>
    <w:multiLevelType w:val="hybridMultilevel"/>
    <w:lvl w:ilvl="0">
      <w:lvlJc w:val="left"/>
      <w:lvlText w:val="%1."/>
      <w:numFmt w:val="decimal"/>
      <w:start w:val="24"/>
    </w:lvl>
  </w:abstractNum>
  <w:abstractNum w:abstractNumId="122">
    <w:nsid w:val="74824D54"/>
    <w:multiLevelType w:val="hybridMultilevel"/>
    <w:lvl w:ilvl="0">
      <w:lvlJc w:val="left"/>
      <w:lvlText w:val="%1."/>
      <w:numFmt w:val="decimal"/>
      <w:start w:val="25"/>
    </w:lvl>
  </w:abstractNum>
  <w:abstractNum w:abstractNumId="123">
    <w:nsid w:val="6F00529A"/>
    <w:multiLevelType w:val="hybridMultilevel"/>
    <w:lvl w:ilvl="0">
      <w:lvlJc w:val="left"/>
      <w:lvlText w:val="%1."/>
      <w:numFmt w:val="decimal"/>
      <w:start w:val="26"/>
    </w:lvl>
  </w:abstractNum>
  <w:abstractNum w:abstractNumId="124">
    <w:nsid w:val="805B331"/>
    <w:multiLevelType w:val="hybridMultilevel"/>
    <w:lvl w:ilvl="0">
      <w:lvlJc w:val="left"/>
      <w:lvlText w:val="%1."/>
      <w:numFmt w:val="decimal"/>
      <w:start w:val="27"/>
    </w:lvl>
  </w:abstractNum>
  <w:abstractNum w:abstractNumId="125">
    <w:nsid w:val="60A1463"/>
    <w:multiLevelType w:val="hybridMultilevel"/>
    <w:lvl w:ilvl="0">
      <w:lvlJc w:val="left"/>
      <w:lvlText w:val="%1."/>
      <w:numFmt w:val="decimal"/>
      <w:start w:val="28"/>
    </w:lvl>
  </w:abstractNum>
  <w:abstractNum w:abstractNumId="126">
    <w:nsid w:val="43773132"/>
    <w:multiLevelType w:val="hybridMultilevel"/>
    <w:lvl w:ilvl="0">
      <w:lvlJc w:val="left"/>
      <w:lvlText w:val="%1."/>
      <w:numFmt w:val="decimal"/>
      <w:start w:val="29"/>
    </w:lvl>
  </w:abstractNum>
  <w:abstractNum w:abstractNumId="127">
    <w:nsid w:val="16AC4B23"/>
    <w:multiLevelType w:val="hybridMultilevel"/>
    <w:lvl w:ilvl="0">
      <w:lvlJc w:val="left"/>
      <w:lvlText w:val="%1."/>
      <w:numFmt w:val="decimal"/>
      <w:start w:val="30"/>
    </w:lvl>
  </w:abstractNum>
  <w:abstractNum w:abstractNumId="128">
    <w:nsid w:val="76C44E4E"/>
    <w:multiLevelType w:val="hybridMultilevel"/>
    <w:lvl w:ilvl="0">
      <w:lvlJc w:val="left"/>
      <w:lvlText w:val="%1."/>
      <w:numFmt w:val="decimal"/>
      <w:start w:val="1"/>
    </w:lvl>
  </w:abstractNum>
  <w:abstractNum w:abstractNumId="129">
    <w:nsid w:val="E04E6CE"/>
    <w:multiLevelType w:val="hybridMultilevel"/>
    <w:lvl w:ilvl="0">
      <w:lvlJc w:val="left"/>
      <w:lvlText w:val="(%1)"/>
      <w:numFmt w:val="lowerLetter"/>
      <w:start w:val="1"/>
    </w:lvl>
  </w:abstractNum>
  <w:abstractNum w:abstractNumId="130">
    <w:nsid w:val="31A9DB76"/>
    <w:multiLevelType w:val="hybridMultilevel"/>
    <w:lvl w:ilvl="0">
      <w:lvlJc w:val="left"/>
      <w:lvlText w:val="(%1)"/>
      <w:numFmt w:val="lowerLetter"/>
      <w:start w:val="3"/>
    </w:lvl>
    <w:lvl w:ilvl="1">
      <w:lvlJc w:val="left"/>
      <w:lvlText w:val="(%2)"/>
      <w:numFmt w:val="lowerLetter"/>
      <w:start w:val="4"/>
    </w:lvl>
  </w:abstractNum>
  <w:abstractNum w:abstractNumId="131">
    <w:nsid w:val="4C4FFF5B"/>
    <w:multiLevelType w:val="hybridMultilevel"/>
    <w:lvl w:ilvl="0">
      <w:lvlJc w:val="left"/>
      <w:lvlText w:val="(%1)"/>
      <w:numFmt w:val="lowerLetter"/>
      <w:start w:val="1"/>
    </w:lvl>
  </w:abstractNum>
  <w:abstractNum w:abstractNumId="132">
    <w:nsid w:val="51B76675"/>
    <w:multiLevelType w:val="hybridMultilevel"/>
    <w:lvl w:ilvl="0">
      <w:lvlJc w:val="left"/>
      <w:lvlText w:val="(%1)"/>
      <w:numFmt w:val="lowerLetter"/>
      <w:start w:val="1"/>
    </w:lvl>
  </w:abstractNum>
  <w:abstractNum w:abstractNumId="133">
    <w:nsid w:val="59A4BA71"/>
    <w:multiLevelType w:val="hybridMultilevel"/>
    <w:lvl w:ilvl="0">
      <w:lvlJc w:val="left"/>
      <w:lvlText w:val="(%1)"/>
      <w:numFmt w:val="lowerLetter"/>
      <w:start w:val="3"/>
    </w:lvl>
    <w:lvl w:ilvl="1">
      <w:lvlJc w:val="left"/>
      <w:lvlText w:val="(%2)"/>
      <w:numFmt w:val="lowerRoman"/>
      <w:start w:val="1"/>
    </w:lvl>
  </w:abstractNum>
  <w:abstractNum w:abstractNumId="134">
    <w:nsid w:val="450B7FB6"/>
    <w:multiLevelType w:val="hybridMultilevel"/>
    <w:lvl w:ilvl="0">
      <w:lvlJc w:val="left"/>
      <w:lvlText w:val="(%1)"/>
      <w:numFmt w:val="lowerLetter"/>
      <w:start w:val="1"/>
    </w:lvl>
    <w:lvl w:ilvl="1">
      <w:lvlJc w:val="left"/>
      <w:lvlText w:val="(%2)"/>
      <w:numFmt w:val="lowerRoman"/>
      <w:start w:val="1"/>
    </w:lvl>
  </w:abstractNum>
  <w:abstractNum w:abstractNumId="135">
    <w:nsid w:val="340BF64D"/>
    <w:multiLevelType w:val="hybridMultilevel"/>
    <w:lvl w:ilvl="0">
      <w:lvlJc w:val="left"/>
      <w:lvlText w:val="%1"/>
      <w:numFmt w:val="lowerLetter"/>
      <w:start w:val="1"/>
    </w:lvl>
    <w:lvl w:ilvl="1">
      <w:lvlJc w:val="left"/>
      <w:lvlText w:val="(%2)"/>
      <w:numFmt w:val="lowerLetter"/>
      <w:start w:val="22"/>
    </w:lvl>
  </w:abstractNum>
  <w:abstractNum w:abstractNumId="136">
    <w:nsid w:val="69454021"/>
    <w:multiLevelType w:val="hybridMultilevel"/>
    <w:lvl w:ilvl="0">
      <w:lvlJc w:val="left"/>
      <w:lvlText w:val="(%1)"/>
      <w:numFmt w:val="lowerLetter"/>
      <w:start w:val="1"/>
    </w:lvl>
    <w:lvl w:ilvl="1">
      <w:lvlJc w:val="left"/>
      <w:lvlText w:val="%2"/>
      <w:numFmt w:val="lowerLetter"/>
      <w:start w:val="1"/>
    </w:lvl>
  </w:abstractNum>
  <w:abstractNum w:abstractNumId="137">
    <w:nsid w:val="49F15C6B"/>
    <w:multiLevelType w:val="hybridMultilevel"/>
    <w:lvl w:ilvl="0">
      <w:lvlJc w:val="left"/>
      <w:lvlText w:val="(%1)"/>
      <w:numFmt w:val="lowerRoman"/>
      <w:start w:val="1"/>
    </w:lvl>
  </w:abstractNum>
  <w:abstractNum w:abstractNumId="138">
    <w:nsid w:val="75F56228"/>
    <w:multiLevelType w:val="hybridMultilevel"/>
    <w:lvl w:ilvl="0">
      <w:lvlJc w:val="left"/>
      <w:lvlText w:val="(%1)"/>
      <w:numFmt w:val="lowerLetter"/>
      <w:start w:val="1"/>
    </w:lvl>
  </w:abstractNum>
  <w:abstractNum w:abstractNumId="139">
    <w:nsid w:val="1C618271"/>
    <w:multiLevelType w:val="hybridMultilevel"/>
    <w:lvl w:ilvl="0">
      <w:lvlJc w:val="left"/>
      <w:lvlText w:val="(%1)"/>
      <w:numFmt w:val="lowerLetter"/>
      <w:start w:val="3"/>
    </w:lvl>
  </w:abstractNum>
  <w:abstractNum w:abstractNumId="140">
    <w:nsid w:val="6505F02E"/>
    <w:multiLevelType w:val="hybridMultilevel"/>
    <w:lvl w:ilvl="0">
      <w:lvlJc w:val="left"/>
      <w:lvlText w:val="%1."/>
      <w:numFmt w:val="decimal"/>
      <w:start w:val="2"/>
    </w:lvl>
  </w:abstractNum>
  <w:abstractNum w:abstractNumId="141">
    <w:nsid w:val="2FE5D025"/>
    <w:multiLevelType w:val="hybridMultilevel"/>
    <w:lvl w:ilvl="0">
      <w:lvlJc w:val="left"/>
      <w:lvlText w:val="%1"/>
      <w:numFmt w:val="lowerLetter"/>
      <w:start w:val="1"/>
    </w:lvl>
    <w:lvl w:ilvl="1">
      <w:lvlJc w:val="left"/>
      <w:lvlText w:val="(%2)"/>
      <w:numFmt w:val="lowerLetter"/>
      <w:start w:val="1"/>
    </w:lvl>
  </w:abstractNum>
  <w:abstractNum w:abstractNumId="142">
    <w:nsid w:val="30E1B1CF"/>
    <w:multiLevelType w:val="hybridMultilevel"/>
    <w:lvl w:ilvl="0">
      <w:lvlJc w:val="left"/>
      <w:lvlText w:val="(%1)"/>
      <w:numFmt w:val="lowerLetter"/>
      <w:start w:val="9"/>
    </w:lvl>
    <w:lvl w:ilvl="1">
      <w:lvlJc w:val="left"/>
      <w:lvlText w:val="%2"/>
      <w:numFmt w:val="lowerLetter"/>
      <w:start w:val="1"/>
    </w:lvl>
  </w:abstractNum>
  <w:abstractNum w:abstractNumId="143">
    <w:nsid w:val="C7A9237"/>
    <w:multiLevelType w:val="hybridMultilevel"/>
    <w:lvl w:ilvl="0">
      <w:lvlJc w:val="left"/>
      <w:lvlText w:val="%1."/>
      <w:numFmt w:val="decimal"/>
      <w:start w:val="1"/>
    </w:lvl>
  </w:abstractNum>
  <w:abstractNum w:abstractNumId="144">
    <w:nsid w:val="676B3580"/>
    <w:multiLevelType w:val="hybridMultilevel"/>
    <w:lvl w:ilvl="0">
      <w:lvlJc w:val="left"/>
      <w:lvlText w:val="%1."/>
      <w:numFmt w:val="decimal"/>
      <w:start w:val="5"/>
    </w:lvl>
  </w:abstractNum>
  <w:abstractNum w:abstractNumId="145">
    <w:nsid w:val="3193C8F9"/>
    <w:multiLevelType w:val="hybridMultilevel"/>
    <w:lvl w:ilvl="0">
      <w:lvlJc w:val="left"/>
      <w:lvlText w:val="%1."/>
      <w:numFmt w:val="decimal"/>
      <w:start w:val="9"/>
    </w:lvl>
  </w:abstractNum>
  <w:abstractNum w:abstractNumId="146">
    <w:nsid w:val="5FA6C6DC"/>
    <w:multiLevelType w:val="hybridMultilevel"/>
    <w:lvl w:ilvl="0">
      <w:lvlJc w:val="left"/>
      <w:lvlText w:val="%1."/>
      <w:numFmt w:val="decimal"/>
      <w:start w:val="10"/>
    </w:lvl>
  </w:abstractNum>
  <w:abstractNum w:abstractNumId="147">
    <w:nsid w:val="77933F62"/>
    <w:multiLevelType w:val="hybridMultilevel"/>
    <w:lvl w:ilvl="0">
      <w:lvlJc w:val="left"/>
      <w:lvlText w:val="%1."/>
      <w:numFmt w:val="decimal"/>
      <w:start w:val="11"/>
    </w:lvl>
  </w:abstractNum>
  <w:abstractNum w:abstractNumId="148">
    <w:nsid w:val="6CB4EE9C"/>
    <w:multiLevelType w:val="hybridMultilevel"/>
    <w:lvl w:ilvl="0">
      <w:lvlJc w:val="left"/>
      <w:lvlText w:val="%1."/>
      <w:numFmt w:val="decimal"/>
      <w:start w:val="12"/>
    </w:lvl>
  </w:abstractNum>
  <w:abstractNum w:abstractNumId="149">
    <w:nsid w:val="6A6D56D7"/>
    <w:multiLevelType w:val="hybridMultilevel"/>
    <w:lvl w:ilvl="0">
      <w:lvlJc w:val="left"/>
      <w:lvlText w:val="%1."/>
      <w:numFmt w:val="decimal"/>
      <w:start w:val="16"/>
    </w:lvl>
  </w:abstractNum>
  <w:abstractNum w:abstractNumId="150">
    <w:nsid w:val="5B727F19"/>
    <w:multiLevelType w:val="hybridMultilevel"/>
    <w:lvl w:ilvl="0">
      <w:lvlJc w:val="left"/>
      <w:lvlText w:val="%1."/>
      <w:numFmt w:val="decimal"/>
      <w:start w:val="19"/>
    </w:lvl>
  </w:abstractNum>
  <w:abstractNum w:abstractNumId="151">
    <w:nsid w:val="514E5CB0"/>
    <w:multiLevelType w:val="hybridMultilevel"/>
    <w:lvl w:ilvl="0">
      <w:lvlJc w:val="left"/>
      <w:lvlText w:val="%1."/>
      <w:numFmt w:val="decimal"/>
      <w:start w:val="1"/>
    </w:lvl>
  </w:abstractNum>
  <w:abstractNum w:abstractNumId="152">
    <w:nsid w:val="4210D41E"/>
    <w:multiLevelType w:val="hybridMultilevel"/>
    <w:lvl w:ilvl="0">
      <w:lvlJc w:val="left"/>
      <w:lvlText w:val="%1."/>
      <w:numFmt w:val="decimal"/>
      <w:start w:val="2"/>
    </w:lvl>
  </w:abstractNum>
  <w:abstractNum w:abstractNumId="153">
    <w:nsid w:val="4FF4CC6D"/>
    <w:multiLevelType w:val="hybridMultilevel"/>
    <w:lvl w:ilvl="0">
      <w:lvlJc w:val="left"/>
      <w:lvlText w:val="%1."/>
      <w:numFmt w:val="decimal"/>
      <w:start w:val="3"/>
    </w:lvl>
  </w:abstractNum>
  <w:abstractNum w:abstractNumId="154">
    <w:nsid w:val="404EAF4A"/>
    <w:multiLevelType w:val="hybridMultilevel"/>
    <w:lvl w:ilvl="0">
      <w:lvlJc w:val="left"/>
      <w:lvlText w:val="%1."/>
      <w:numFmt w:val="decimal"/>
      <w:start w:val="4"/>
    </w:lvl>
  </w:abstractNum>
  <w:abstractNum w:abstractNumId="155">
    <w:nsid w:val="4A16874F"/>
    <w:multiLevelType w:val="hybridMultilevel"/>
    <w:lvl w:ilvl="0">
      <w:lvlJc w:val="left"/>
      <w:lvlText w:val="%1."/>
      <w:numFmt w:val="decimal"/>
      <w:start w:val="5"/>
    </w:lvl>
  </w:abstractNum>
  <w:abstractNum w:abstractNumId="156">
    <w:nsid w:val="55FEE0D1"/>
    <w:multiLevelType w:val="hybridMultilevel"/>
    <w:lvl w:ilvl="0">
      <w:lvlJc w:val="left"/>
      <w:lvlText w:val="%1."/>
      <w:numFmt w:val="decimal"/>
      <w:start w:val="1"/>
    </w:lvl>
  </w:abstractNum>
  <w:abstractNum w:abstractNumId="157">
    <w:nsid w:val="3C5E07C"/>
    <w:multiLevelType w:val="hybridMultilevel"/>
    <w:lvl w:ilvl="0">
      <w:lvlJc w:val="left"/>
      <w:lvlText w:val="%1."/>
      <w:numFmt w:val="decimal"/>
      <w:start w:val="7"/>
    </w:lvl>
  </w:abstractNum>
  <w:abstractNum w:abstractNumId="158">
    <w:nsid w:val="60C2D273"/>
    <w:multiLevelType w:val="hybridMultilevel"/>
    <w:lvl w:ilvl="0">
      <w:lvlJc w:val="left"/>
      <w:lvlText w:val="%1."/>
      <w:numFmt w:val="decimal"/>
      <w:start w:val="11"/>
    </w:lvl>
  </w:abstractNum>
  <w:abstractNum w:abstractNumId="159">
    <w:nsid w:val="4CC32F1F"/>
    <w:multiLevelType w:val="hybridMultilevel"/>
    <w:lvl w:ilvl="0">
      <w:lvlJc w:val="left"/>
      <w:lvlText w:val="%1."/>
      <w:numFmt w:val="decimal"/>
      <w:start w:val="13"/>
    </w:lvl>
  </w:abstractNum>
  <w:abstractNum w:abstractNumId="160">
    <w:nsid w:val="11CAC74A"/>
    <w:multiLevelType w:val="hybridMultilevel"/>
    <w:lvl w:ilvl="0">
      <w:lvlJc w:val="left"/>
      <w:lvlText w:val="%1."/>
      <w:numFmt w:val="decimal"/>
      <w:start w:val="14"/>
    </w:lvl>
  </w:abstractNum>
  <w:abstractNum w:abstractNumId="161">
    <w:nsid w:val="126CADE9"/>
    <w:multiLevelType w:val="hybridMultilevel"/>
    <w:lvl w:ilvl="0">
      <w:lvlJc w:val="left"/>
      <w:lvlText w:val="%1."/>
      <w:numFmt w:val="decimal"/>
      <w:start w:val="15"/>
    </w:lvl>
  </w:abstractNum>
  <w:abstractNum w:abstractNumId="162">
    <w:nsid w:val="19132E7B"/>
    <w:multiLevelType w:val="hybridMultilevel"/>
    <w:lvl w:ilvl="0">
      <w:lvlJc w:val="left"/>
      <w:lvlText w:val="%1."/>
      <w:numFmt w:val="decimal"/>
      <w:start w:val="1"/>
    </w:lvl>
  </w:abstractNum>
  <w:abstractNum w:abstractNumId="163">
    <w:nsid w:val="63822DC0"/>
    <w:multiLevelType w:val="hybridMultilevel"/>
    <w:lvl w:ilvl="0">
      <w:lvlJc w:val="left"/>
      <w:lvlText w:val="%1."/>
      <w:numFmt w:val="decimal"/>
      <w:start w:val="5"/>
    </w:lvl>
  </w:abstractNum>
  <w:abstractNum w:abstractNumId="164">
    <w:nsid w:val="6C11685A"/>
    <w:multiLevelType w:val="hybridMultilevel"/>
    <w:lvl w:ilvl="0">
      <w:lvlJc w:val="left"/>
      <w:lvlText w:val="%1."/>
      <w:numFmt w:val="decimal"/>
      <w:start w:val="11"/>
    </w:lvl>
  </w:abstractNum>
  <w:abstractNum w:abstractNumId="165">
    <w:nsid w:val="5E1EAE31"/>
    <w:multiLevelType w:val="hybridMultilevel"/>
    <w:lvl w:ilvl="0">
      <w:lvlJc w:val="left"/>
      <w:lvlText w:val="%1."/>
      <w:numFmt w:val="decimal"/>
      <w:start w:val="1"/>
    </w:lvl>
  </w:abstractNum>
  <w:abstractNum w:abstractNumId="166">
    <w:nsid w:val="178E240D"/>
    <w:multiLevelType w:val="hybridMultilevel"/>
    <w:lvl w:ilvl="0">
      <w:lvlJc w:val="left"/>
      <w:lvlText w:val="%1."/>
      <w:numFmt w:val="decimal"/>
      <w:start w:val="4"/>
    </w:lvl>
  </w:abstractNum>
  <w:abstractNum w:abstractNumId="167">
    <w:nsid w:val="5556A87B"/>
    <w:multiLevelType w:val="hybridMultilevel"/>
    <w:lvl w:ilvl="0">
      <w:lvlJc w:val="left"/>
      <w:lvlText w:val="%1."/>
      <w:numFmt w:val="decimal"/>
      <w:start w:val="5"/>
    </w:lvl>
  </w:abstractNum>
  <w:abstractNum w:abstractNumId="168">
    <w:nsid w:val="28100A9C"/>
    <w:multiLevelType w:val="hybridMultilevel"/>
    <w:lvl w:ilvl="0">
      <w:lvlJc w:val="left"/>
      <w:lvlText w:val="%1."/>
      <w:numFmt w:val="decimal"/>
      <w:start w:val="9"/>
    </w:lvl>
  </w:abstractNum>
  <w:abstractNum w:abstractNumId="169">
    <w:nsid w:val="D838636"/>
    <w:multiLevelType w:val="hybridMultilevel"/>
    <w:lvl w:ilvl="0">
      <w:lvlJc w:val="left"/>
      <w:lvlText w:val="%1."/>
      <w:numFmt w:val="decimal"/>
      <w:start w:val="10"/>
    </w:lvl>
  </w:abstractNum>
  <w:abstractNum w:abstractNumId="170">
    <w:nsid w:val="71B82AED"/>
    <w:multiLevelType w:val="hybridMultilevel"/>
    <w:lvl w:ilvl="0">
      <w:lvlJc w:val="left"/>
      <w:lvlText w:val="%1."/>
      <w:numFmt w:val="decimal"/>
      <w:start w:val="11"/>
    </w:lvl>
  </w:abstractNum>
  <w:abstractNum w:abstractNumId="171">
    <w:nsid w:val="D15FACA"/>
    <w:multiLevelType w:val="hybridMultilevel"/>
    <w:lvl w:ilvl="0">
      <w:lvlJc w:val="left"/>
      <w:lvlText w:val="%1."/>
      <w:numFmt w:val="decimal"/>
      <w:start w:val="12"/>
    </w:lvl>
  </w:abstractNum>
  <w:abstractNum w:abstractNumId="172">
    <w:nsid w:val="3D69565B"/>
    <w:multiLevelType w:val="hybridMultilevel"/>
    <w:lvl w:ilvl="0">
      <w:lvlJc w:val="left"/>
      <w:lvlText w:val="%1."/>
      <w:numFmt w:val="decimal"/>
      <w:start w:val="13"/>
    </w:lvl>
  </w:abstractNum>
  <w:abstractNum w:abstractNumId="173">
    <w:nsid w:val="2299DCBC"/>
    <w:multiLevelType w:val="hybridMultilevel"/>
    <w:lvl w:ilvl="0">
      <w:lvlJc w:val="left"/>
      <w:lvlText w:val="%1."/>
      <w:numFmt w:val="decimal"/>
      <w:start w:val="16"/>
    </w:lvl>
  </w:abstractNum>
  <w:abstractNum w:abstractNumId="174">
    <w:nsid w:val="19908D02"/>
    <w:multiLevelType w:val="hybridMultilevel"/>
    <w:lvl w:ilvl="0">
      <w:lvlJc w:val="left"/>
      <w:lvlText w:val="%1."/>
      <w:numFmt w:val="decimal"/>
      <w:start w:val="17"/>
    </w:lvl>
  </w:abstractNum>
  <w:abstractNum w:abstractNumId="175">
    <w:nsid w:val="24D48BDB"/>
    <w:multiLevelType w:val="hybridMultilevel"/>
    <w:lvl w:ilvl="0">
      <w:lvlJc w:val="left"/>
      <w:lvlText w:val="%1."/>
      <w:numFmt w:val="decimal"/>
      <w:start w:val="1"/>
    </w:lvl>
  </w:abstractNum>
  <w:abstractNum w:abstractNumId="176">
    <w:nsid w:val="542DA5B5"/>
    <w:multiLevelType w:val="hybridMultilevel"/>
    <w:lvl w:ilvl="0">
      <w:lvlJc w:val="left"/>
      <w:lvlText w:val="%1."/>
      <w:numFmt w:val="decimal"/>
      <w:start w:val="2"/>
    </w:lvl>
  </w:abstractNum>
  <w:abstractNum w:abstractNumId="177">
    <w:nsid w:val="793753DE"/>
    <w:multiLevelType w:val="hybridMultilevel"/>
    <w:lvl w:ilvl="0">
      <w:lvlJc w:val="left"/>
      <w:lvlText w:val="%1."/>
      <w:numFmt w:val="decimal"/>
      <w:start w:val="3"/>
    </w:lvl>
  </w:abstractNum>
  <w:abstractNum w:abstractNumId="178">
    <w:nsid w:val="1C67CB3D"/>
    <w:multiLevelType w:val="hybridMultilevel"/>
    <w:lvl w:ilvl="0">
      <w:lvlJc w:val="left"/>
      <w:lvlText w:val="%1."/>
      <w:numFmt w:val="decimal"/>
      <w:start w:val="4"/>
    </w:lvl>
  </w:abstractNum>
  <w:abstractNum w:abstractNumId="179">
    <w:nsid w:val="40E29452"/>
    <w:multiLevelType w:val="hybridMultilevel"/>
    <w:lvl w:ilvl="0">
      <w:lvlJc w:val="left"/>
      <w:lvlText w:val="%1."/>
      <w:numFmt w:val="decimal"/>
      <w:start w:val="5"/>
    </w:lvl>
  </w:abstractNum>
  <w:abstractNum w:abstractNumId="180">
    <w:nsid w:val="63A4AAB6"/>
    <w:multiLevelType w:val="hybridMultilevel"/>
    <w:lvl w:ilvl="0">
      <w:lvlJc w:val="left"/>
      <w:lvlText w:val="%1."/>
      <w:numFmt w:val="decimal"/>
      <w:start w:val="6"/>
    </w:lvl>
  </w:abstractNum>
  <w:abstractNum w:abstractNumId="181">
    <w:nsid w:val="77DA4A57"/>
    <w:multiLevelType w:val="hybridMultilevel"/>
    <w:lvl w:ilvl="0">
      <w:lvlJc w:val="left"/>
      <w:lvlText w:val="%1."/>
      <w:numFmt w:val="decimal"/>
      <w:start w:val="1"/>
    </w:lvl>
  </w:abstractNum>
  <w:abstractNum w:abstractNumId="182">
    <w:nsid w:val="1230F102"/>
    <w:multiLevelType w:val="hybridMultilevel"/>
    <w:lvl w:ilvl="0">
      <w:lvlJc w:val="left"/>
      <w:lvlText w:val="%1."/>
      <w:numFmt w:val="decimal"/>
      <w:start w:val="3"/>
    </w:lvl>
  </w:abstractNum>
  <w:abstractNum w:abstractNumId="183">
    <w:nsid w:val="25B57ED4"/>
    <w:multiLevelType w:val="hybridMultilevel"/>
    <w:lvl w:ilvl="0">
      <w:lvlJc w:val="left"/>
      <w:lvlText w:val="%1."/>
      <w:numFmt w:val="decimal"/>
      <w:start w:val="4"/>
    </w:lvl>
  </w:abstractNum>
  <w:abstractNum w:abstractNumId="184">
    <w:nsid w:val="47CF16C4"/>
    <w:multiLevelType w:val="hybridMultilevel"/>
    <w:lvl w:ilvl="0">
      <w:lvlJc w:val="left"/>
      <w:lvlText w:val="%1."/>
      <w:numFmt w:val="decimal"/>
      <w:start w:val="8"/>
    </w:lvl>
  </w:abstractNum>
  <w:abstractNum w:abstractNumId="185">
    <w:nsid w:val="527FA04C"/>
    <w:multiLevelType w:val="hybridMultilevel"/>
    <w:lvl w:ilvl="0">
      <w:lvlJc w:val="left"/>
      <w:lvlText w:val="%1."/>
      <w:numFmt w:val="decimal"/>
      <w:start w:val="9"/>
    </w:lvl>
  </w:abstractNum>
  <w:abstractNum w:abstractNumId="186">
    <w:nsid w:val="6FCC0624"/>
    <w:multiLevelType w:val="hybridMultilevel"/>
    <w:lvl w:ilvl="0">
      <w:lvlJc w:val="left"/>
      <w:lvlText w:val="%1."/>
      <w:numFmt w:val="decimal"/>
      <w:start w:val="11"/>
    </w:lvl>
  </w:abstractNum>
  <w:abstractNum w:abstractNumId="187">
    <w:nsid w:val="1DCDF795"/>
    <w:multiLevelType w:val="hybridMultilevel"/>
    <w:lvl w:ilvl="0">
      <w:lvlJc w:val="left"/>
      <w:lvlText w:val="%1."/>
      <w:numFmt w:val="decimal"/>
      <w:start w:val="14"/>
    </w:lvl>
  </w:abstractNum>
  <w:abstractNum w:abstractNumId="188">
    <w:nsid w:val="564580C8"/>
    <w:multiLevelType w:val="hybridMultilevel"/>
    <w:lvl w:ilvl="0">
      <w:lvlJc w:val="left"/>
      <w:lvlText w:val="%1."/>
      <w:numFmt w:val="decimal"/>
      <w:start w:val="16"/>
    </w:lvl>
  </w:abstractNum>
  <w:abstractNum w:abstractNumId="189">
    <w:nsid w:val="508ED897"/>
    <w:multiLevelType w:val="hybridMultilevel"/>
    <w:lvl w:ilvl="0">
      <w:lvlJc w:val="left"/>
      <w:lvlText w:val="%1."/>
      <w:numFmt w:val="decimal"/>
      <w:start w:val="1"/>
    </w:lvl>
  </w:abstractNum>
  <w:abstractNum w:abstractNumId="190">
    <w:nsid w:val="6A9126B5"/>
    <w:multiLevelType w:val="hybridMultilevel"/>
    <w:lvl w:ilvl="0">
      <w:lvlJc w:val="left"/>
      <w:lvlText w:val="%1."/>
      <w:numFmt w:val="decimal"/>
      <w:start w:val="2"/>
    </w:lvl>
  </w:abstractNum>
  <w:abstractNum w:abstractNumId="191">
    <w:nsid w:val="68104812"/>
    <w:multiLevelType w:val="hybridMultilevel"/>
    <w:lvl w:ilvl="0">
      <w:lvlJc w:val="left"/>
      <w:lvlText w:val="%1."/>
      <w:numFmt w:val="decimal"/>
      <w:start w:val="3"/>
    </w:lvl>
  </w:abstractNum>
  <w:abstractNum w:abstractNumId="192">
    <w:nsid w:val="62FB8680"/>
    <w:multiLevelType w:val="hybridMultilevel"/>
    <w:lvl w:ilvl="0">
      <w:lvlJc w:val="left"/>
      <w:lvlText w:val="%1."/>
      <w:numFmt w:val="decimal"/>
      <w:start w:val="4"/>
    </w:lvl>
  </w:abstractNum>
  <w:abstractNum w:abstractNumId="193">
    <w:nsid w:val="3A45530"/>
    <w:multiLevelType w:val="hybridMultilevel"/>
    <w:lvl w:ilvl="0">
      <w:lvlJc w:val="left"/>
      <w:lvlText w:val="%1."/>
      <w:numFmt w:val="decimal"/>
      <w:start w:val="5"/>
    </w:lvl>
  </w:abstractNum>
  <w:abstractNum w:abstractNumId="194">
    <w:nsid w:val="4B9275D2"/>
    <w:multiLevelType w:val="hybridMultilevel"/>
    <w:lvl w:ilvl="0">
      <w:lvlJc w:val="left"/>
      <w:lvlText w:val="%1."/>
      <w:numFmt w:val="decimal"/>
      <w:start w:val="6"/>
    </w:lvl>
  </w:abstractNum>
  <w:abstractNum w:abstractNumId="195">
    <w:nsid w:val="4F0CEEDB"/>
    <w:multiLevelType w:val="hybridMultilevel"/>
    <w:lvl w:ilvl="0">
      <w:lvlJc w:val="left"/>
      <w:lvlText w:val="%1."/>
      <w:numFmt w:val="decimal"/>
      <w:start w:val="7"/>
    </w:lvl>
  </w:abstractNum>
  <w:abstractNum w:abstractNumId="196">
    <w:nsid w:val="61C30361"/>
    <w:multiLevelType w:val="hybridMultilevel"/>
    <w:lvl w:ilvl="0">
      <w:lvlJc w:val="left"/>
      <w:lvlText w:val="(%1)"/>
      <w:numFmt w:val="lowerRoman"/>
      <w:start w:val="3"/>
    </w:lvl>
  </w:abstractNum>
  <w:abstractNum w:abstractNumId="197">
    <w:nsid w:val="632099E0"/>
    <w:multiLevelType w:val="hybridMultilevel"/>
    <w:lvl w:ilvl="0">
      <w:lvlJc w:val="left"/>
      <w:lvlText w:val="%1."/>
      <w:numFmt w:val="decimal"/>
      <w:start w:val="1"/>
    </w:lvl>
  </w:abstractNum>
  <w:abstractNum w:abstractNumId="198">
    <w:nsid w:val="24639756"/>
    <w:multiLevelType w:val="hybridMultilevel"/>
    <w:lvl w:ilvl="0">
      <w:lvlJc w:val="left"/>
      <w:lvlText w:val="%1."/>
      <w:numFmt w:val="decimal"/>
      <w:start w:val="2"/>
    </w:lvl>
  </w:abstractNum>
  <w:abstractNum w:abstractNumId="199">
    <w:nsid w:val="9D30DFD"/>
    <w:multiLevelType w:val="hybridMultilevel"/>
    <w:lvl w:ilvl="0">
      <w:lvlJc w:val="left"/>
      <w:lvlText w:val="%1."/>
      <w:numFmt w:val="decimal"/>
      <w:start w:val="6"/>
    </w:lvl>
  </w:abstractNum>
  <w:abstractNum w:abstractNumId="200">
    <w:nsid w:val="70A42016"/>
    <w:multiLevelType w:val="hybridMultilevel"/>
    <w:lvl w:ilvl="0">
      <w:lvlJc w:val="left"/>
      <w:lvlText w:val="%1."/>
      <w:numFmt w:val="decimal"/>
      <w:start w:val="8"/>
    </w:lvl>
  </w:abstractNum>
  <w:abstractNum w:abstractNumId="201">
    <w:nsid w:val="161BC243"/>
    <w:multiLevelType w:val="hybridMultilevel"/>
    <w:lvl w:ilvl="0">
      <w:lvlJc w:val="left"/>
      <w:lvlText w:val="%1."/>
      <w:numFmt w:val="decimal"/>
      <w:start w:val="11"/>
    </w:lvl>
  </w:abstractNum>
  <w:abstractNum w:abstractNumId="202">
    <w:nsid w:val="16E908C8"/>
    <w:multiLevelType w:val="hybridMultilevel"/>
    <w:lvl w:ilvl="0">
      <w:lvlJc w:val="left"/>
      <w:lvlText w:val="%1."/>
      <w:numFmt w:val="decimal"/>
      <w:start w:val="1"/>
    </w:lvl>
  </w:abstractNum>
  <w:abstractNum w:abstractNumId="203">
    <w:nsid w:val="2E0D7671"/>
    <w:multiLevelType w:val="hybridMultilevel"/>
    <w:lvl w:ilvl="0">
      <w:lvlJc w:val="left"/>
      <w:lvlText w:val="%1."/>
      <w:numFmt w:val="decimal"/>
      <w:start w:val="4"/>
    </w:lvl>
  </w:abstractNum>
  <w:abstractNum w:abstractNumId="204">
    <w:nsid w:val="38B59EFF"/>
    <w:multiLevelType w:val="hybridMultilevel"/>
    <w:lvl w:ilvl="0">
      <w:lvlJc w:val="left"/>
      <w:lvlText w:val="%1."/>
      <w:numFmt w:val="decimal"/>
      <w:start w:val="8"/>
    </w:lvl>
  </w:abstractNum>
  <w:abstractNum w:abstractNumId="205">
    <w:nsid w:val="307995CA"/>
    <w:multiLevelType w:val="hybridMultilevel"/>
    <w:lvl w:ilvl="0">
      <w:lvlJc w:val="left"/>
      <w:lvlText w:val="%1."/>
      <w:numFmt w:val="decimal"/>
      <w:start w:val="13"/>
    </w:lvl>
  </w:abstractNum>
  <w:abstractNum w:abstractNumId="206">
    <w:nsid w:val="52E2024D"/>
    <w:multiLevelType w:val="hybridMultilevel"/>
    <w:lvl w:ilvl="0">
      <w:lvlJc w:val="left"/>
      <w:lvlText w:val="(%1)"/>
      <w:numFmt w:val="lowerLetter"/>
      <w:start w:val="1"/>
    </w:lvl>
  </w:abstractNum>
  <w:abstractNum w:abstractNumId="207">
    <w:nsid w:val="CE344B5"/>
    <w:multiLevelType w:val="hybridMultilevel"/>
    <w:lvl w:ilvl="0">
      <w:lvlJc w:val="left"/>
      <w:lvlText w:val="(%1)"/>
      <w:numFmt w:val="lowerRoman"/>
      <w:start w:val="1"/>
    </w:lvl>
  </w:abstractNum>
  <w:abstractNum w:abstractNumId="208">
    <w:nsid w:val="29B0E9A8"/>
    <w:multiLevelType w:val="hybridMultilevel"/>
    <w:lvl w:ilvl="0">
      <w:lvlJc w:val="left"/>
      <w:lvlText w:val="(%1)"/>
      <w:numFmt w:val="decimal"/>
      <w:start w:val="2"/>
    </w:lvl>
  </w:abstractNum>
  <w:abstractNum w:abstractNumId="209">
    <w:nsid w:val="6F49CD8A"/>
    <w:multiLevelType w:val="hybridMultilevel"/>
    <w:lvl w:ilvl="0">
      <w:lvlJc w:val="left"/>
      <w:lvlText w:val="(%1)"/>
      <w:numFmt w:val="lowerLetter"/>
      <w:start w:val="1"/>
    </w:lvl>
  </w:abstractNum>
  <w:abstractNum w:abstractNumId="210">
    <w:nsid w:val="4DC5D907"/>
    <w:multiLevelType w:val="hybridMultilevel"/>
    <w:lvl w:ilvl="0">
      <w:lvlJc w:val="left"/>
      <w:lvlText w:val="(%1)"/>
      <w:numFmt w:val="decimal"/>
      <w:start w:val="3"/>
    </w:lvl>
  </w:abstractNum>
  <w:abstractNum w:abstractNumId="211">
    <w:nsid w:val="D55945E"/>
    <w:multiLevelType w:val="hybridMultilevel"/>
    <w:lvl w:ilvl="0">
      <w:lvlJc w:val="left"/>
      <w:lvlText w:val="(%1)"/>
      <w:numFmt w:val="lowerRoman"/>
      <w:start w:val="1"/>
    </w:lvl>
  </w:abstractNum>
  <w:abstractNum w:abstractNumId="212">
    <w:nsid w:val="672417E1"/>
    <w:multiLevelType w:val="hybridMultilevel"/>
    <w:lvl w:ilvl="0">
      <w:lvlJc w:val="left"/>
      <w:lvlText w:val="(%1)"/>
      <w:numFmt w:val="lowerRoman"/>
      <w:start w:val="3"/>
    </w:lvl>
  </w:abstractNum>
  <w:abstractNum w:abstractNumId="213">
    <w:nsid w:val="5FF6CA09"/>
    <w:multiLevelType w:val="hybridMultilevel"/>
    <w:lvl w:ilvl="0">
      <w:lvlJc w:val="left"/>
      <w:lvlText w:val="[***]"/>
      <w:numFmt w:val="bullet"/>
      <w:start w:val="1"/>
    </w:lvl>
  </w:abstractNum>
  <w:abstractNum w:abstractNumId="214">
    <w:nsid w:val="330B1333"/>
    <w:multiLevelType w:val="hybridMultilevel"/>
    <w:lvl w:ilvl="0">
      <w:lvlJc w:val="left"/>
      <w:lvlText w:val="[***]"/>
      <w:numFmt w:val="bullet"/>
      <w:start w:val="1"/>
    </w:lvl>
  </w:abstractNum>
  <w:abstractNum w:abstractNumId="215">
    <w:nsid w:val="2EF32EA6"/>
    <w:multiLevelType w:val="hybridMultilevel"/>
    <w:lvl w:ilvl="0">
      <w:lvlJc w:val="left"/>
      <w:lvlText w:val="%1."/>
      <w:numFmt w:val="decimal"/>
      <w:start w:val="7"/>
    </w:lvl>
  </w:abstractNum>
  <w:abstractNum w:abstractNumId="216">
    <w:nsid w:val="32766A55"/>
    <w:multiLevelType w:val="hybridMultilevel"/>
    <w:lvl w:ilvl="0">
      <w:lvlJc w:val="left"/>
      <w:lvlText w:val="[***]"/>
      <w:numFmt w:val="bullet"/>
      <w:start w:val="1"/>
    </w:lvl>
  </w:abstractNum>
  <w:abstractNum w:abstractNumId="217">
    <w:nsid w:val="22D71957"/>
    <w:multiLevelType w:val="hybridMultilevel"/>
    <w:lvl w:ilvl="0">
      <w:lvlJc w:val="left"/>
      <w:lvlText w:val="[***]"/>
      <w:numFmt w:val="bullet"/>
      <w:start w:val="1"/>
    </w:lvl>
  </w:abstractNum>
  <w:abstractNum w:abstractNumId="218">
    <w:nsid w:val="4CC1263B"/>
    <w:multiLevelType w:val="hybridMultilevel"/>
    <w:lvl w:ilvl="0">
      <w:lvlJc w:val="left"/>
      <w:lvlText w:val="%1."/>
      <w:numFmt w:val="decimal"/>
      <w:start w:val="8"/>
    </w:lvl>
  </w:abstractNum>
  <w:abstractNum w:abstractNumId="219">
    <w:nsid w:val="8BBEB1D"/>
    <w:multiLevelType w:val="hybridMultilevel"/>
    <w:lvl w:ilvl="0">
      <w:lvlJc w:val="left"/>
      <w:lvlText w:val="(%1)"/>
      <w:numFmt w:val="lowerLetter"/>
      <w:start w:val="1"/>
    </w:lvl>
  </w:abstractNum>
  <w:abstractNum w:abstractNumId="220">
    <w:nsid w:val="7365F1EE"/>
    <w:multiLevelType w:val="hybridMultilevel"/>
    <w:lvl w:ilvl="0">
      <w:lvlJc w:val="left"/>
      <w:lvlText w:val="[***]"/>
      <w:numFmt w:val="bullet"/>
      <w:start w:val="1"/>
    </w:lvl>
  </w:abstractNum>
  <w:abstractNum w:abstractNumId="221">
    <w:nsid w:val="37524CF0"/>
    <w:multiLevelType w:val="hybridMultilevel"/>
    <w:lvl w:ilvl="0">
      <w:lvlJc w:val="left"/>
      <w:lvlText w:val="%1."/>
      <w:numFmt w:val="decimal"/>
      <w:start w:val="9"/>
    </w:lvl>
  </w:abstractNum>
  <w:abstractNum w:abstractNumId="222">
    <w:nsid w:val="70CC332F"/>
    <w:multiLevelType w:val="hybridMultilevel"/>
    <w:lvl w:ilvl="0">
      <w:lvlJc w:val="left"/>
      <w:lvlText w:val="(%1)"/>
      <w:numFmt w:val="decimal"/>
      <w:start w:val="5"/>
    </w:lvl>
  </w:abstractNum>
  <w:abstractNum w:abstractNumId="223">
    <w:nsid w:val="5661786E"/>
    <w:multiLevelType w:val="hybridMultilevel"/>
    <w:lvl w:ilvl="0">
      <w:lvlJc w:val="left"/>
      <w:lvlText w:val="[***]"/>
      <w:numFmt w:val="bullet"/>
      <w:start w:val="1"/>
    </w:lvl>
  </w:abstractNum>
  <w:abstractNum w:abstractNumId="224">
    <w:nsid w:val="3AF6A220"/>
    <w:multiLevelType w:val="hybridMultilevel"/>
    <w:lvl w:ilvl="0">
      <w:lvlJc w:val="left"/>
      <w:lvlText w:val="[***]"/>
      <w:numFmt w:val="bullet"/>
      <w:start w:val="1"/>
    </w:lvl>
  </w:abstractNum>
  <w:abstractNum w:abstractNumId="225">
    <w:nsid w:val="3C5EA902"/>
    <w:multiLevelType w:val="hybridMultilevel"/>
    <w:lvl w:ilvl="0">
      <w:lvlJc w:val="left"/>
      <w:lvlText w:val="(%1)"/>
      <w:numFmt w:val="lowerRoman"/>
      <w:start w:val="3"/>
    </w:lvl>
  </w:abstractNum>
  <w:abstractNum w:abstractNumId="226">
    <w:nsid w:val="256E6749"/>
    <w:multiLevelType w:val="hybridMultilevel"/>
    <w:lvl w:ilvl="0">
      <w:lvlJc w:val="left"/>
      <w:lvlText w:val="[***]"/>
      <w:numFmt w:val="bullet"/>
      <w:start w:val="1"/>
    </w:lvl>
  </w:abstractNum>
  <w:abstractNum w:abstractNumId="227">
    <w:nsid w:val="1CB9A581"/>
    <w:multiLevelType w:val="hybridMultilevel"/>
    <w:lvl w:ilvl="0">
      <w:lvlJc w:val="left"/>
      <w:lvlText w:val="[***]"/>
      <w:numFmt w:val="bullet"/>
      <w:start w:val="1"/>
    </w:lvl>
  </w:abstractNum>
  <w:abstractNum w:abstractNumId="228">
    <w:nsid w:val="1F7F42E2"/>
    <w:multiLevelType w:val="hybridMultilevel"/>
    <w:lvl w:ilvl="0">
      <w:lvlJc w:val="left"/>
      <w:lvlText w:val="[***]"/>
      <w:numFmt w:val="bullet"/>
      <w:start w:val="1"/>
    </w:lvl>
  </w:abstractNum>
  <w:abstractNum w:abstractNumId="229">
    <w:nsid w:val="49D1FEA0"/>
    <w:multiLevelType w:val="hybridMultilevel"/>
    <w:lvl w:ilvl="0">
      <w:lvlJc w:val="left"/>
      <w:lvlText w:val="[***]"/>
      <w:numFmt w:val="bullet"/>
      <w:start w:val="1"/>
    </w:lvl>
  </w:abstractNum>
  <w:abstractNum w:abstractNumId="230">
    <w:nsid w:val="268CB37F"/>
    <w:multiLevelType w:val="hybridMultilevel"/>
    <w:lvl w:ilvl="0">
      <w:lvlJc w:val="left"/>
      <w:lvlText w:val="[***]"/>
      <w:numFmt w:val="bullet"/>
      <w:start w:val="1"/>
    </w:lvl>
  </w:abstractNum>
  <w:abstractNum w:abstractNumId="231">
    <w:nsid w:val="102362F8"/>
    <w:multiLevelType w:val="hybridMultilevel"/>
    <w:lvl w:ilvl="0">
      <w:lvlJc w:val="left"/>
      <w:lvlText w:val="%1"/>
      <w:numFmt w:val="decimal"/>
      <w:start w:val="1"/>
    </w:lvl>
    <w:lvl w:ilvl="1">
      <w:lvlJc w:val="left"/>
      <w:lvlText w:val="%2."/>
      <w:numFmt w:val="decimal"/>
      <w:start w:val="1"/>
    </w:lvl>
  </w:abstractNum>
  <w:abstractNum w:abstractNumId="232">
    <w:nsid w:val="5FEDC0E3"/>
    <w:multiLevelType w:val="hybridMultilevel"/>
    <w:lvl w:ilvl="0">
      <w:lvlJc w:val="left"/>
      <w:lvlText w:val="%1."/>
      <w:numFmt w:val="decimal"/>
      <w:start w:val="3"/>
    </w:lvl>
    <w:lvl w:ilvl="1">
      <w:lvlJc w:val="left"/>
      <w:lvlText w:val="%2"/>
      <w:numFmt w:val="decimal"/>
      <w:start w:val="1"/>
    </w:lvl>
  </w:abstractNum>
  <w:abstractNum w:abstractNumId="233">
    <w:nsid w:val="3D75BC47"/>
    <w:multiLevelType w:val="hybridMultilevel"/>
    <w:lvl w:ilvl="0">
      <w:lvlJc w:val="left"/>
      <w:lvlText w:val="%1."/>
      <w:numFmt w:val="decimal"/>
      <w:start w:val="1"/>
    </w:lvl>
  </w:abstractNum>
  <w:abstractNum w:abstractNumId="234">
    <w:nsid w:val="3E30D969"/>
    <w:multiLevelType w:val="hybridMultilevel"/>
    <w:lvl w:ilvl="0">
      <w:lvlJc w:val="left"/>
      <w:lvlText w:val="(%1)"/>
      <w:numFmt w:val="lowerRoman"/>
      <w:start w:val="1"/>
    </w:lvl>
  </w:abstractNum>
  <w:abstractNum w:abstractNumId="235">
    <w:nsid w:val="18A35FE3"/>
    <w:multiLevelType w:val="hybridMultilevel"/>
    <w:lvl w:ilvl="0">
      <w:lvlJc w:val="left"/>
      <w:lvlText w:val="%1."/>
      <w:numFmt w:val="decimal"/>
      <w:start w:val="2"/>
    </w:lvl>
  </w:abstractNum>
  <w:abstractNum w:abstractNumId="236">
    <w:nsid w:val="6DEF5211"/>
    <w:multiLevelType w:val="hybridMultilevel"/>
    <w:lvl w:ilvl="0">
      <w:lvlJc w:val="left"/>
      <w:lvlText w:val="%1."/>
      <w:numFmt w:val="decimal"/>
      <w:start w:val="3"/>
    </w:lvl>
  </w:abstractNum>
  <w:abstractNum w:abstractNumId="237">
    <w:nsid w:val="1112DBB6"/>
    <w:multiLevelType w:val="hybridMultilevel"/>
    <w:lvl w:ilvl="0">
      <w:lvlJc w:val="left"/>
      <w:lvlText w:val="%1."/>
      <w:numFmt w:val="decimal"/>
      <w:start w:val="4"/>
    </w:lvl>
  </w:abstractNum>
  <w:abstractNum w:abstractNumId="238">
    <w:nsid w:val="2586A498"/>
    <w:multiLevelType w:val="hybridMultilevel"/>
    <w:lvl w:ilvl="0">
      <w:lvlJc w:val="left"/>
      <w:lvlText w:val="[***]"/>
      <w:numFmt w:val="bullet"/>
      <w:start w:val="1"/>
    </w:lvl>
  </w:abstractNum>
  <w:abstractNum w:abstractNumId="239">
    <w:nsid w:val="17A03BB9"/>
    <w:multiLevelType w:val="hybridMultilevel"/>
    <w:lvl w:ilvl="0">
      <w:lvlJc w:val="left"/>
      <w:lvlText w:val="%1."/>
      <w:numFmt w:val="decimal"/>
      <w:start w:val="5"/>
    </w:lvl>
  </w:abstractNum>
  <w:abstractNum w:abstractNumId="240">
    <w:nsid w:val="5CA941"/>
    <w:multiLevelType w:val="hybridMultilevel"/>
    <w:lvl w:ilvl="0">
      <w:lvlJc w:val="left"/>
      <w:lvlText w:val="[***]"/>
      <w:numFmt w:val="bullet"/>
      <w:start w:val="1"/>
    </w:lvl>
  </w:abstractNum>
  <w:abstractNum w:abstractNumId="241">
    <w:nsid w:val="734C7D9F"/>
    <w:multiLevelType w:val="hybridMultilevel"/>
    <w:lvl w:ilvl="0">
      <w:lvlJc w:val="left"/>
      <w:lvlText w:val="%1."/>
      <w:numFmt w:val="decimal"/>
      <w:start w:val="6"/>
    </w:lvl>
  </w:abstractNum>
  <w:abstractNum w:abstractNumId="242">
    <w:nsid w:val="24F5D018"/>
    <w:multiLevelType w:val="hybridMultilevel"/>
    <w:lvl w:ilvl="0">
      <w:lvlJc w:val="left"/>
      <w:lvlText w:val="[***]"/>
      <w:numFmt w:val="bullet"/>
      <w:start w:val="1"/>
    </w:lvl>
  </w:abstractNum>
  <w:abstractNum w:abstractNumId="243">
    <w:nsid w:val="6780C122"/>
    <w:multiLevelType w:val="hybridMultilevel"/>
    <w:lvl w:ilvl="0">
      <w:lvlJc w:val="left"/>
      <w:lvlText w:val="%1."/>
      <w:numFmt w:val="decimal"/>
      <w:start w:val="7"/>
    </w:lvl>
  </w:abstractNum>
  <w:abstractNum w:abstractNumId="244">
    <w:nsid w:val="534347A8"/>
    <w:multiLevelType w:val="hybridMultilevel"/>
    <w:lvl w:ilvl="0">
      <w:lvlJc w:val="left"/>
      <w:lvlText w:val="[***]"/>
      <w:numFmt w:val="bullet"/>
      <w:start w:val="1"/>
    </w:lvl>
  </w:abstractNum>
  <w:abstractNum w:abstractNumId="245">
    <w:nsid w:val="5800E34B"/>
    <w:multiLevelType w:val="hybridMultilevel"/>
    <w:lvl w:ilvl="0">
      <w:lvlJc w:val="left"/>
      <w:lvlText w:val="[***]"/>
      <w:numFmt w:val="bullet"/>
      <w:start w:val="1"/>
    </w:lvl>
  </w:abstractNum>
  <w:abstractNum w:abstractNumId="246">
    <w:nsid w:val="1673EFC8"/>
    <w:multiLevelType w:val="hybridMultilevel"/>
    <w:lvl w:ilvl="0">
      <w:lvlJc w:val="left"/>
      <w:lvlText w:val="%1."/>
      <w:numFmt w:val="decimal"/>
      <w:start w:val="8"/>
    </w:lvl>
  </w:abstractNum>
  <w:abstractNum w:abstractNumId="247">
    <w:nsid w:val="5B9B1FD"/>
    <w:multiLevelType w:val="hybridMultilevel"/>
    <w:lvl w:ilvl="0">
      <w:lvlJc w:val="left"/>
      <w:lvlText w:val="(%1)"/>
      <w:numFmt w:val="lowerLetter"/>
      <w:start w:val="1"/>
    </w:lvl>
  </w:abstractNum>
  <w:abstractNum w:abstractNumId="248">
    <w:nsid w:val="7AD7FCA2"/>
    <w:multiLevelType w:val="hybridMultilevel"/>
    <w:lvl w:ilvl="0">
      <w:lvlJc w:val="left"/>
      <w:lvlText w:val="(%1)"/>
      <w:numFmt w:val="lowerLetter"/>
      <w:start w:val="3"/>
    </w:lvl>
  </w:abstractNum>
  <w:abstractNum w:abstractNumId="249">
    <w:nsid w:val="63351604"/>
    <w:multiLevelType w:val="hybridMultilevel"/>
    <w:lvl w:ilvl="0">
      <w:lvlJc w:val="left"/>
      <w:lvlText w:val="%1."/>
      <w:numFmt w:val="decimal"/>
      <w:start w:val="9"/>
    </w:lvl>
  </w:abstractNum>
  <w:abstractNum w:abstractNumId="250">
    <w:nsid w:val="E759D1A"/>
    <w:multiLevelType w:val="hybridMultilevel"/>
    <w:lvl w:ilvl="0">
      <w:lvlJc w:val="left"/>
      <w:lvlText w:val="%1."/>
      <w:numFmt w:val="decimal"/>
      <w:start w:val="10"/>
    </w:lvl>
  </w:abstractNum>
  <w:abstractNum w:abstractNumId="251">
    <w:nsid w:val="6E3DEE90"/>
    <w:multiLevelType w:val="hybridMultilevel"/>
    <w:lvl w:ilvl="0">
      <w:lvlJc w:val="left"/>
      <w:lvlText w:val="[***]"/>
      <w:numFmt w:val="bullet"/>
      <w:start w:val="1"/>
    </w:lvl>
  </w:abstractNum>
  <w:abstractNum w:abstractNumId="252">
    <w:nsid w:val="1A8762F4"/>
    <w:multiLevelType w:val="hybridMultilevel"/>
    <w:lvl w:ilvl="0">
      <w:lvlJc w:val="left"/>
      <w:lvlText w:val="%1."/>
      <w:numFmt w:val="decimal"/>
      <w:start w:val="11"/>
    </w:lvl>
  </w:abstractNum>
  <w:abstractNum w:abstractNumId="253">
    <w:nsid w:val="7F41D049"/>
    <w:multiLevelType w:val="hybridMultilevel"/>
    <w:lvl w:ilvl="0">
      <w:lvlJc w:val="left"/>
      <w:lvlText w:val="%1."/>
      <w:numFmt w:val="decimal"/>
      <w:start w:val="12"/>
    </w:lvl>
  </w:abstractNum>
  <w:abstractNum w:abstractNumId="254">
    <w:nsid w:val="449F66FE"/>
    <w:multiLevelType w:val="hybridMultilevel"/>
    <w:lvl w:ilvl="0">
      <w:lvlJc w:val="left"/>
      <w:lvlText w:val="%1."/>
      <w:numFmt w:val="decimal"/>
      <w:start w:val="13"/>
    </w:lvl>
  </w:abstractNum>
  <w:abstractNum w:abstractNumId="255">
    <w:nsid w:val="557E0515"/>
    <w:multiLevelType w:val="hybridMultilevel"/>
    <w:lvl w:ilvl="0">
      <w:lvlJc w:val="left"/>
      <w:lvlText w:val="(%1)"/>
      <w:numFmt w:val="lowerLetter"/>
      <w:start w:val="2"/>
    </w:lvl>
  </w:abstractNum>
  <w:abstractNum w:abstractNumId="256">
    <w:nsid w:val="3BA0794B"/>
    <w:multiLevelType w:val="hybridMultilevel"/>
    <w:lvl w:ilvl="0">
      <w:lvlJc w:val="left"/>
      <w:lvlText w:val="%1."/>
      <w:numFmt w:val="decimal"/>
      <w:start w:val="14"/>
    </w:lvl>
  </w:abstractNum>
  <w:abstractNum w:abstractNumId="257">
    <w:nsid w:val="6A0DCE48"/>
    <w:multiLevelType w:val="hybridMultilevel"/>
    <w:lvl w:ilvl="0">
      <w:lvlJc w:val="left"/>
      <w:lvlText w:val="%1."/>
      <w:numFmt w:val="decimal"/>
      <w:start w:val="1"/>
    </w:lvl>
  </w:abstractNum>
  <w:abstractNum w:abstractNumId="258">
    <w:nsid w:val="7237AA96"/>
    <w:multiLevelType w:val="hybridMultilevel"/>
    <w:lvl w:ilvl="0">
      <w:lvlJc w:val="left"/>
      <w:lvlText w:val="[***]"/>
      <w:numFmt w:val="bullet"/>
      <w:start w:val="1"/>
    </w:lvl>
  </w:abstractNum>
  <w:abstractNum w:abstractNumId="259">
    <w:nsid w:val="5B1FBC2D"/>
    <w:multiLevelType w:val="hybridMultilevel"/>
    <w:lvl w:ilvl="0">
      <w:lvlJc w:val="left"/>
      <w:lvlText w:val="[***]"/>
      <w:numFmt w:val="bullet"/>
      <w:start w:val="1"/>
    </w:lvl>
  </w:abstractNum>
  <w:abstractNum w:abstractNumId="260">
    <w:nsid w:val="33DFCCE8"/>
    <w:multiLevelType w:val="hybridMultilevel"/>
    <w:lvl w:ilvl="0">
      <w:lvlJc w:val="left"/>
      <w:lvlText w:val="[***]"/>
      <w:numFmt w:val="bullet"/>
      <w:start w:val="1"/>
    </w:lvl>
  </w:abstractNum>
  <w:abstractNum w:abstractNumId="261">
    <w:nsid w:val="18C45E15"/>
    <w:multiLevelType w:val="hybridMultilevel"/>
    <w:lvl w:ilvl="0">
      <w:lvlJc w:val="left"/>
      <w:lvlText w:val="[***]"/>
      <w:numFmt w:val="bullet"/>
      <w:start w:val="1"/>
    </w:lvl>
  </w:abstractNum>
  <w:abstractNum w:abstractNumId="262">
    <w:nsid w:val="6B431F25"/>
    <w:multiLevelType w:val="hybridMultilevel"/>
    <w:lvl w:ilvl="0">
      <w:lvlJc w:val="left"/>
      <w:lvlText w:val="%1."/>
      <w:numFmt w:val="decimal"/>
      <w:start w:val="1"/>
    </w:lvl>
  </w:abstractNum>
  <w:abstractNum w:abstractNumId="263">
    <w:nsid w:val="13CD8DCB"/>
    <w:multiLevelType w:val="hybridMultilevel"/>
    <w:lvl w:ilvl="0">
      <w:lvlJc w:val="left"/>
      <w:lvlText w:val="[***]"/>
      <w:numFmt w:val="bullet"/>
      <w:start w:val="1"/>
    </w:lvl>
  </w:abstractNum>
  <w:abstractNum w:abstractNumId="264">
    <w:nsid w:val="563A1A5C"/>
    <w:multiLevelType w:val="hybridMultilevel"/>
    <w:lvl w:ilvl="0">
      <w:lvlJc w:val="left"/>
      <w:lvlText w:val="[***]"/>
      <w:numFmt w:val="bullet"/>
      <w:start w:val="1"/>
    </w:lvl>
  </w:abstractNum>
  <w:abstractNum w:abstractNumId="265">
    <w:nsid w:val="2973F88F"/>
    <w:multiLevelType w:val="hybridMultilevel"/>
    <w:lvl w:ilvl="0">
      <w:lvlJc w:val="left"/>
      <w:lvlText w:val="[***]"/>
      <w:numFmt w:val="bullet"/>
      <w:start w:val="1"/>
    </w:lvl>
  </w:abstractNum>
  <w:abstractNum w:abstractNumId="266">
    <w:nsid w:val="2C70EDAE"/>
    <w:multiLevelType w:val="hybridMultilevel"/>
    <w:lvl w:ilvl="0">
      <w:lvlJc w:val="left"/>
      <w:lvlText w:val="[***]"/>
      <w:numFmt w:val="bullet"/>
      <w:start w:val="1"/>
    </w:lvl>
  </w:abstractNum>
  <w:abstractNum w:abstractNumId="267">
    <w:nsid w:val="44296C6D"/>
    <w:multiLevelType w:val="hybridMultilevel"/>
    <w:lvl w:ilvl="0">
      <w:lvlJc w:val="left"/>
      <w:lvlText w:val="(%1)"/>
      <w:numFmt w:val="lowerLetter"/>
      <w:start w:val="1"/>
    </w:lvl>
  </w:abstractNum>
  <w:abstractNum w:abstractNumId="268">
    <w:nsid w:val="3A86D445"/>
    <w:multiLevelType w:val="hybridMultilevel"/>
    <w:lvl w:ilvl="0">
      <w:lvlJc w:val="left"/>
      <w:lvlText w:val="%1"/>
      <w:numFmt w:val="decimal"/>
      <w:start w:val="1"/>
    </w:lvl>
    <w:lvl w:ilvl="1">
      <w:lvlJc w:val="left"/>
      <w:lvlText w:val="(%2)"/>
      <w:numFmt w:val="lowerLetter"/>
      <w:start w:val="2"/>
    </w:lvl>
  </w:abstractNum>
  <w:abstractNum w:abstractNumId="269">
    <w:nsid w:val="51F79246"/>
    <w:multiLevelType w:val="hybridMultilevel"/>
    <w:lvl w:ilvl="0">
      <w:lvlJc w:val="left"/>
      <w:lvlText w:val="%1."/>
      <w:numFmt w:val="decimal"/>
      <w:start w:val="2"/>
    </w:lvl>
    <w:lvl w:ilvl="1">
      <w:lvlJc w:val="left"/>
      <w:lvlText w:val="(%2)"/>
      <w:numFmt w:val="lowerLetter"/>
      <w:start w:val="1"/>
    </w:lvl>
  </w:abstractNum>
  <w:abstractNum w:abstractNumId="270">
    <w:nsid w:val="5BC9A827"/>
    <w:multiLevelType w:val="hybridMultilevel"/>
    <w:lvl w:ilvl="0">
      <w:lvlJc w:val="left"/>
      <w:lvlText w:val="%1"/>
      <w:numFmt w:val="decimal"/>
      <w:start w:val="1"/>
    </w:lvl>
    <w:lvl w:ilvl="1">
      <w:lvlJc w:val="left"/>
      <w:lvlText w:val="(%2)"/>
      <w:numFmt w:val="lowerLetter"/>
      <w:start w:val="2"/>
    </w:lvl>
  </w:abstractNum>
  <w:abstractNum w:abstractNumId="271">
    <w:nsid w:val="3AE37D86"/>
    <w:multiLevelType w:val="hybridMultilevel"/>
    <w:lvl w:ilvl="0">
      <w:lvlJc w:val="left"/>
      <w:lvlText w:val="%1."/>
      <w:numFmt w:val="decimal"/>
      <w:start w:val="4"/>
    </w:lvl>
    <w:lvl w:ilvl="1">
      <w:lvlJc w:val="left"/>
      <w:lvlText w:val="(%2)"/>
      <w:numFmt w:val="lowerLetter"/>
      <w:start w:val="1"/>
    </w:lvl>
  </w:abstractNum>
  <w:abstractNum w:abstractNumId="272">
    <w:nsid w:val="45440FE5"/>
    <w:multiLevelType w:val="hybridMultilevel"/>
    <w:lvl w:ilvl="0">
      <w:lvlJc w:val="left"/>
      <w:lvlText w:val="%1"/>
      <w:numFmt w:val="decimal"/>
      <w:start w:val="1"/>
    </w:lvl>
    <w:lvl w:ilvl="1">
      <w:lvlJc w:val="left"/>
      <w:lvlText w:val="(%2)"/>
      <w:numFmt w:val="lowerLetter"/>
      <w:start w:val="5"/>
    </w:lvl>
  </w:abstractNum>
  <w:abstractNum w:abstractNumId="273">
    <w:nsid w:val="BF783F"/>
    <w:multiLevelType w:val="hybridMultilevel"/>
    <w:lvl w:ilvl="0">
      <w:lvlJc w:val="left"/>
      <w:lvlText w:val="%1."/>
      <w:numFmt w:val="decimal"/>
      <w:start w:val="5"/>
    </w:lvl>
    <w:lvl w:ilvl="1">
      <w:lvlJc w:val="left"/>
      <w:lvlText w:val="%2"/>
      <w:numFmt w:val="lowerLetter"/>
      <w:start w:val="1"/>
    </w:lvl>
  </w:abstractNum>
  <w:abstractNum w:abstractNumId="274">
    <w:nsid w:val="22643EA9"/>
    <w:multiLevelType w:val="hybridMultilevel"/>
    <w:lvl w:ilvl="0">
      <w:lvlJc w:val="left"/>
      <w:lvlText w:val="%1."/>
      <w:numFmt w:val="decimal"/>
      <w:start w:val="1"/>
    </w:lvl>
    <w:lvl w:ilvl="1">
      <w:lvlJc w:val="left"/>
      <w:lvlText w:val="(%2)"/>
      <w:numFmt w:val="lowerLetter"/>
      <w:start w:val="1"/>
    </w:lvl>
  </w:abstractNum>
  <w:abstractNum w:abstractNumId="275">
    <w:nsid w:val="1887578D"/>
    <w:multiLevelType w:val="hybridMultilevel"/>
    <w:lvl w:ilvl="0">
      <w:lvlJc w:val="left"/>
      <w:lvlText w:val="%1."/>
      <w:numFmt w:val="decimal"/>
      <w:start w:val="2"/>
    </w:lvl>
    <w:lvl w:ilvl="1">
      <w:lvlJc w:val="left"/>
      <w:lvlText w:val="(%2)"/>
      <w:numFmt w:val="lowerLetter"/>
      <w:start w:val="1"/>
    </w:lvl>
  </w:abstractNum>
  <w:abstractNum w:abstractNumId="276">
    <w:nsid w:val="58C05B8A"/>
    <w:multiLevelType w:val="hybridMultilevel"/>
    <w:lvl w:ilvl="0">
      <w:lvlJc w:val="left"/>
      <w:lvlText w:val="%1."/>
      <w:numFmt w:val="decimal"/>
      <w:start w:val="3"/>
    </w:lvl>
    <w:lvl w:ilvl="1">
      <w:lvlJc w:val="left"/>
      <w:lvlText w:val="(%2)"/>
      <w:numFmt w:val="lowerLetter"/>
      <w:start w:val="1"/>
    </w:lvl>
  </w:abstractNum>
  <w:abstractNum w:abstractNumId="277">
    <w:nsid w:val="38D82E71"/>
    <w:multiLevelType w:val="hybridMultilevel"/>
    <w:lvl w:ilvl="0">
      <w:lvlJc w:val="left"/>
      <w:lvlText w:val="%1"/>
      <w:numFmt w:val="decimal"/>
      <w:start w:val="1"/>
    </w:lvl>
    <w:lvl w:ilvl="1">
      <w:lvlJc w:val="left"/>
      <w:lvlText w:val="(%2)"/>
      <w:numFmt w:val="lowerLetter"/>
      <w:start w:val="3"/>
    </w:lvl>
  </w:abstractNum>
  <w:abstractNum w:abstractNumId="278">
    <w:nsid w:val="1E41098A"/>
    <w:multiLevelType w:val="hybridMultilevel"/>
    <w:lvl w:ilvl="0">
      <w:lvlJc w:val="left"/>
      <w:lvlText w:val="%1."/>
      <w:numFmt w:val="decimal"/>
      <w:start w:val="5"/>
    </w:lvl>
    <w:lvl w:ilvl="1">
      <w:lvlJc w:val="left"/>
      <w:lvlText w:val="%2"/>
      <w:numFmt w:val="lowerLetter"/>
      <w:start w:val="1"/>
    </w:lvl>
  </w:abstractNum>
  <w:abstractNum w:abstractNumId="279">
    <w:nsid w:val="5398582C"/>
    <w:multiLevelType w:val="hybridMultilevel"/>
    <w:lvl w:ilvl="0">
      <w:lvlJc w:val="left"/>
      <w:lvlText w:val="%1."/>
      <w:numFmt w:val="decimal"/>
      <w:start w:val="1"/>
    </w:lvl>
  </w:abstractNum>
  <w:abstractNum w:abstractNumId="280">
    <w:nsid w:val="1C0D4475"/>
    <w:multiLevelType w:val="hybridMultilevel"/>
    <w:lvl w:ilvl="0">
      <w:lvlJc w:val="left"/>
      <w:lvlText w:val="%1."/>
      <w:numFmt w:val="decimal"/>
      <w:start w:val="3"/>
    </w:lvl>
  </w:abstractNum>
  <w:abstractNum w:abstractNumId="281">
    <w:nsid w:val="2CB6A6A4"/>
    <w:multiLevelType w:val="hybridMultilevel"/>
    <w:lvl w:ilvl="0">
      <w:lvlJc w:val="left"/>
      <w:lvlText w:val="%1."/>
      <w:numFmt w:val="decimal"/>
      <w:start w:val="1"/>
    </w:lvl>
  </w:abstractNum>
  <w:abstractNum w:abstractNumId="282">
    <w:nsid w:val="41D646BC"/>
    <w:multiLevelType w:val="hybridMultilevel"/>
    <w:lvl w:ilvl="0">
      <w:lvlJc w:val="left"/>
      <w:lvlText w:val="%1"/>
      <w:numFmt w:val="decimal"/>
      <w:start w:val="1"/>
    </w:lvl>
    <w:lvl w:ilvl="1">
      <w:lvlJc w:val="left"/>
      <w:lvlText w:val="(%2)"/>
      <w:numFmt w:val="lowerRoman"/>
      <w:start w:val="1"/>
    </w:lvl>
  </w:abstractNum>
  <w:abstractNum w:abstractNumId="283">
    <w:nsid w:val="3694A76A"/>
    <w:multiLevelType w:val="hybridMultilevel"/>
    <w:lvl w:ilvl="0">
      <w:lvlJc w:val="left"/>
      <w:lvlText w:val="%1."/>
      <w:numFmt w:val="decimal"/>
      <w:start w:val="3"/>
    </w:lvl>
    <w:lvl w:ilvl="1">
      <w:lvlJc w:val="left"/>
      <w:lvlText w:val="%2"/>
      <w:numFmt w:val="lowerRoman"/>
      <w:start w:val="1"/>
    </w:lvl>
  </w:abstractNum>
  <w:abstractNum w:abstractNumId="284">
    <w:nsid w:val="2BF876EE"/>
    <w:multiLevelType w:val="hybridMultilevel"/>
    <w:lvl w:ilvl="0">
      <w:lvlJc w:val="left"/>
      <w:lvlText w:val="%1."/>
      <w:numFmt w:val="decimal"/>
      <w:start w:val="5"/>
    </w:lvl>
  </w:abstractNum>
  <w:abstractNum w:abstractNumId="285">
    <w:nsid w:val="675ADBA"/>
    <w:multiLevelType w:val="hybridMultilevel"/>
    <w:lvl w:ilvl="0">
      <w:lvlJc w:val="left"/>
      <w:lvlText w:val="%1."/>
      <w:numFmt w:val="decimal"/>
      <w:start w:val="1"/>
    </w:lvl>
  </w:abstractNum>
  <w:abstractNum w:abstractNumId="286">
    <w:nsid w:val="C12AC7F"/>
    <w:multiLevelType w:val="hybridMultilevel"/>
    <w:lvl w:ilvl="0">
      <w:lvlJc w:val="left"/>
      <w:lvlText w:val="%1."/>
      <w:numFmt w:val="decimal"/>
      <w:start w:val="3"/>
    </w:lvl>
  </w:abstractNum>
  <w:abstractNum w:abstractNumId="287">
    <w:nsid w:val="6798F039"/>
    <w:multiLevelType w:val="hybridMultilevel"/>
    <w:lvl w:ilvl="0">
      <w:lvlJc w:val="left"/>
      <w:lvlText w:val="[***]"/>
      <w:numFmt w:val="bullet"/>
      <w:start w:val="1"/>
    </w:lvl>
  </w:abstractNum>
  <w:abstractNum w:abstractNumId="288">
    <w:nsid w:val="70837C02"/>
    <w:multiLevelType w:val="hybridMultilevel"/>
    <w:lvl w:ilvl="0">
      <w:lvlJc w:val="left"/>
      <w:lvlText w:val="%1."/>
      <w:numFmt w:val="decimal"/>
      <w:start w:val="2"/>
    </w:lvl>
  </w:abstractNum>
  <w:abstractNum w:abstractNumId="289">
    <w:nsid w:val="7E4A5715"/>
    <w:multiLevelType w:val="hybridMultilevel"/>
    <w:lvl w:ilvl="0">
      <w:lvlJc w:val="left"/>
      <w:lvlText w:val="%1."/>
      <w:numFmt w:val="decimal"/>
      <w:start w:val="4"/>
    </w:lvl>
  </w:abstractNum>
  <w:abstractNum w:abstractNumId="290">
    <w:nsid w:val="42B8AC67"/>
    <w:multiLevelType w:val="hybridMultilevel"/>
    <w:lvl w:ilvl="0">
      <w:lvlJc w:val="left"/>
      <w:lvlText w:val="%1."/>
      <w:numFmt w:val="decimal"/>
      <w:start w:val="6"/>
    </w:lvl>
  </w:abstractNum>
  <w:abstractNum w:abstractNumId="291">
    <w:nsid w:val="246348EA"/>
    <w:multiLevelType w:val="hybridMultilevel"/>
    <w:lvl w:ilvl="0">
      <w:lvlJc w:val="left"/>
      <w:lvlText w:val="%1."/>
      <w:numFmt w:val="decimal"/>
      <w:start w:val="8"/>
    </w:lvl>
  </w:abstractNum>
  <w:abstractNum w:abstractNumId="292">
    <w:nsid w:val="170EB52B"/>
    <w:multiLevelType w:val="hybridMultilevel"/>
    <w:lvl w:ilvl="0">
      <w:lvlJc w:val="left"/>
      <w:lvlText w:val="%1."/>
      <w:numFmt w:val="decimal"/>
      <w:start w:val="9"/>
    </w:lvl>
  </w:abstractNum>
  <w:abstractNum w:abstractNumId="293">
    <w:nsid w:val="2DFBCB8C"/>
    <w:multiLevelType w:val="hybridMultilevel"/>
    <w:lvl w:ilvl="0">
      <w:lvlJc w:val="left"/>
      <w:lvlText w:val="%1."/>
      <w:numFmt w:val="decimal"/>
      <w:start w:val="12"/>
    </w:lvl>
  </w:abstractNum>
  <w:abstractNum w:abstractNumId="294">
    <w:nsid w:val="3830D6B6"/>
    <w:multiLevelType w:val="hybridMultilevel"/>
    <w:lvl w:ilvl="0">
      <w:lvlJc w:val="left"/>
      <w:lvlText w:val="%1."/>
      <w:numFmt w:val="decimal"/>
      <w:start w:val="14"/>
    </w:lvl>
  </w:abstractNum>
  <w:abstractNum w:abstractNumId="295">
    <w:nsid w:val="6D48CF87"/>
    <w:multiLevelType w:val="hybridMultilevel"/>
    <w:lvl w:ilvl="0">
      <w:lvlJc w:val="left"/>
      <w:lvlText w:val="%1."/>
      <w:numFmt w:val="decimal"/>
      <w:start w:val="15"/>
    </w:lvl>
  </w:abstractNum>
  <w:abstractNum w:abstractNumId="296">
    <w:nsid w:val="576FC41B"/>
    <w:multiLevelType w:val="hybridMultilevel"/>
    <w:lvl w:ilvl="0">
      <w:lvlJc w:val="left"/>
      <w:lvlText w:val="1"/>
      <w:numFmt w:val="bullet"/>
      <w:start w:val="1"/>
    </w:lvl>
  </w:abstractNum>
  <w:abstractNum w:abstractNumId="297">
    <w:nsid w:val="64A1C464"/>
    <w:multiLevelType w:val="hybridMultilevel"/>
    <w:lvl w:ilvl="0">
      <w:lvlJc w:val="left"/>
      <w:lvlText w:val="2"/>
      <w:numFmt w:val="bullet"/>
      <w:start w:val="1"/>
    </w:lvl>
  </w:abstractNum>
  <w:abstractNum w:abstractNumId="298">
    <w:nsid w:val="31723BF5"/>
    <w:multiLevelType w:val="hybridMultilevel"/>
    <w:lvl w:ilvl="0">
      <w:lvlJc w:val="left"/>
      <w:lvlText w:val="3"/>
      <w:numFmt w:val="bullet"/>
      <w:start w:val="1"/>
    </w:lvl>
  </w:abstractNum>
  <w:abstractNum w:abstractNumId="299">
    <w:nsid w:val="11F69861"/>
    <w:multiLevelType w:val="hybridMultilevel"/>
    <w:lvl w:ilvl="0">
      <w:lvlJc w:val="left"/>
      <w:lvlText w:val="4"/>
      <w:numFmt w:val="bullet"/>
      <w:start w:val="1"/>
    </w:lvl>
  </w:abstractNum>
  <w:abstractNum w:abstractNumId="300">
    <w:nsid w:val="369956AB"/>
    <w:multiLevelType w:val="hybridMultilevel"/>
    <w:lvl w:ilvl="0">
      <w:lvlJc w:val="left"/>
      <w:lvlText w:val="1"/>
      <w:numFmt w:val="bullet"/>
      <w:start w:val="1"/>
    </w:lvl>
  </w:abstractNum>
  <w:abstractNum w:abstractNumId="301">
    <w:nsid w:val="D3BE41C"/>
    <w:multiLevelType w:val="hybridMultilevel"/>
    <w:lvl w:ilvl="0">
      <w:lvlJc w:val="left"/>
      <w:lvlText w:val="3"/>
      <w:numFmt w:val="bullet"/>
      <w:start w:val="1"/>
    </w:lvl>
  </w:abstractNum>
  <w:abstractNum w:abstractNumId="302">
    <w:nsid w:val="4CDA15E7"/>
    <w:multiLevelType w:val="hybridMultilevel"/>
    <w:lvl w:ilvl="0">
      <w:lvlJc w:val="left"/>
      <w:lvlText w:val="4"/>
      <w:numFmt w:val="bullet"/>
      <w:start w:val="1"/>
    </w:lvl>
  </w:abstractNum>
  <w:abstractNum w:abstractNumId="303">
    <w:nsid w:val="7BDD6690"/>
    <w:multiLevelType w:val="hybridMultilevel"/>
    <w:lvl w:ilvl="0">
      <w:lvlJc w:val="left"/>
      <w:lvlText w:val="1"/>
      <w:numFmt w:val="bullet"/>
      <w:start w:val="1"/>
    </w:lvl>
  </w:abstractNum>
  <w:abstractNum w:abstractNumId="304">
    <w:nsid w:val="DFB5C5B"/>
    <w:multiLevelType w:val="hybridMultilevel"/>
    <w:lvl w:ilvl="0">
      <w:lvlJc w:val="left"/>
      <w:lvlText w:val="3"/>
      <w:numFmt w:val="bullet"/>
      <w:start w:val="1"/>
    </w:lvl>
  </w:abstractNum>
  <w:abstractNum w:abstractNumId="305">
    <w:nsid w:val="6F3E5490"/>
    <w:multiLevelType w:val="hybridMultilevel"/>
    <w:lvl w:ilvl="0">
      <w:lvlJc w:val="left"/>
      <w:lvlText w:val="1"/>
      <w:numFmt w:val="bullet"/>
      <w:start w:val="1"/>
    </w:lvl>
  </w:abstractNum>
  <w:abstractNum w:abstractNumId="306">
    <w:nsid w:val="1464BE1E"/>
    <w:multiLevelType w:val="hybridMultilevel"/>
    <w:lvl w:ilvl="0">
      <w:lvlJc w:val="left"/>
      <w:lvlText w:val="2"/>
      <w:numFmt w:val="bullet"/>
      <w:start w:val="1"/>
    </w:lvl>
  </w:abstractNum>
  <w:abstractNum w:abstractNumId="307">
    <w:nsid w:val="66BBB7E5"/>
    <w:multiLevelType w:val="hybridMultilevel"/>
    <w:lvl w:ilvl="0">
      <w:lvlJc w:val="left"/>
      <w:lvlText w:val="3"/>
      <w:numFmt w:val="bullet"/>
      <w:start w:val="1"/>
    </w:lvl>
  </w:abstractNum>
  <w:abstractNum w:abstractNumId="308">
    <w:nsid w:val="28168302"/>
    <w:multiLevelType w:val="hybridMultilevel"/>
    <w:lvl w:ilvl="0">
      <w:lvlJc w:val="left"/>
      <w:lvlText w:val="4"/>
      <w:numFmt w:val="bullet"/>
      <w:start w:val="1"/>
    </w:lvl>
  </w:abstractNum>
  <w:abstractNum w:abstractNumId="309">
    <w:nsid w:val="32A5C7A8"/>
    <w:multiLevelType w:val="hybridMultilevel"/>
    <w:lvl w:ilvl="0">
      <w:lvlJc w:val="left"/>
      <w:lvlText w:val="%1."/>
      <w:numFmt w:val="decimal"/>
      <w:start w:val="1"/>
    </w:lvl>
  </w:abstractNum>
  <w:abstractNum w:abstractNumId="310">
    <w:nsid w:val="3A541011"/>
    <w:multiLevelType w:val="hybridMultilevel"/>
    <w:lvl w:ilvl="0">
      <w:lvlJc w:val="left"/>
      <w:lvlText w:val="%1."/>
      <w:numFmt w:val="decimal"/>
      <w:start w:val="3"/>
    </w:lvl>
  </w:abstractNum>
  <w:abstractNum w:abstractNumId="311">
    <w:nsid w:val="4423C777"/>
    <w:multiLevelType w:val="hybridMultilevel"/>
    <w:lvl w:ilvl="0">
      <w:lvlJc w:val="left"/>
      <w:lvlText w:val="%1."/>
      <w:numFmt w:val="decimal"/>
      <w:start w:val="1"/>
    </w:lvl>
  </w:abstractNum>
  <w:abstractNum w:abstractNumId="312">
    <w:nsid w:val="5F5C6E4D"/>
    <w:multiLevelType w:val="hybridMultilevel"/>
    <w:lvl w:ilvl="0">
      <w:lvlJc w:val="left"/>
      <w:lvlText w:val="%1."/>
      <w:numFmt w:val="decimal"/>
      <w:start w:val="1"/>
    </w:lvl>
  </w:abstractNum>
  <w:abstractNum w:abstractNumId="313">
    <w:nsid w:val="7C2A56CD"/>
    <w:multiLevelType w:val="hybridMultilevel"/>
    <w:lvl w:ilvl="0">
      <w:lvlJc w:val="left"/>
      <w:lvlText w:val="%1."/>
      <w:numFmt w:val="decimal"/>
      <w:start w:val="4"/>
    </w:lvl>
  </w:abstractNum>
  <w:abstractNum w:abstractNumId="314">
    <w:nsid w:val="7AB86EE1"/>
    <w:multiLevelType w:val="hybridMultilevel"/>
    <w:lvl w:ilvl="0">
      <w:lvlJc w:val="left"/>
      <w:lvlText w:val="%1."/>
      <w:numFmt w:val="decimal"/>
      <w:start w:val="12"/>
    </w:lvl>
  </w:abstractNum>
  <w:abstractNum w:abstractNumId="315">
    <w:nsid w:val="B54E53B"/>
    <w:multiLevelType w:val="hybridMultilevel"/>
    <w:lvl w:ilvl="0">
      <w:lvlJc w:val="left"/>
      <w:lvlText w:val="%1."/>
      <w:numFmt w:val="decimal"/>
      <w:start w:val="14"/>
    </w:lvl>
  </w:abstractNum>
  <w:abstractNum w:abstractNumId="316">
    <w:nsid w:val="2A00487"/>
    <w:multiLevelType w:val="hybridMultilevel"/>
    <w:lvl w:ilvl="0">
      <w:lvlJc w:val="left"/>
      <w:lvlText w:val="%1."/>
      <w:numFmt w:val="decimal"/>
      <w:start w:val="1"/>
    </w:lvl>
  </w:abstractNum>
  <w:abstractNum w:abstractNumId="317">
    <w:nsid w:val="6CB1B60"/>
    <w:multiLevelType w:val="hybridMultilevel"/>
    <w:lvl w:ilvl="0">
      <w:lvlJc w:val="left"/>
      <w:lvlText w:val="%1."/>
      <w:numFmt w:val="decimal"/>
      <w:start w:val="1"/>
    </w:lvl>
  </w:abstractNum>
  <w:abstractNum w:abstractNumId="318">
    <w:nsid w:val="72EDD574"/>
    <w:multiLevelType w:val="hybridMultilevel"/>
    <w:lvl w:ilvl="0">
      <w:lvlJc w:val="left"/>
      <w:lvlText w:val="%1."/>
      <w:numFmt w:val="decimal"/>
      <w:start w:val="3"/>
    </w:lvl>
  </w:abstractNum>
  <w:abstractNum w:abstractNumId="319">
    <w:nsid w:val="7323808A"/>
    <w:multiLevelType w:val="hybridMultilevel"/>
    <w:lvl w:ilvl="0">
      <w:lvlJc w:val="left"/>
      <w:lvlText w:val="%1."/>
      <w:numFmt w:val="decimal"/>
      <w:start w:val="4"/>
    </w:lvl>
  </w:abstractNum>
  <w:abstractNum w:abstractNumId="320">
    <w:nsid w:val="5157276"/>
    <w:multiLevelType w:val="hybridMultilevel"/>
    <w:lvl w:ilvl="0">
      <w:lvlJc w:val="left"/>
      <w:lvlText w:val="%1."/>
      <w:numFmt w:val="decimal"/>
      <w:start w:val="5"/>
    </w:lvl>
  </w:abstractNum>
  <w:abstractNum w:abstractNumId="321">
    <w:nsid w:val="35A681DB"/>
    <w:multiLevelType w:val="hybridMultilevel"/>
    <w:lvl w:ilvl="0">
      <w:lvlJc w:val="left"/>
      <w:lvlText w:val="(%1)"/>
      <w:numFmt w:val="lowerLetter"/>
      <w:start w:val="1"/>
    </w:lvl>
  </w:abstractNum>
  <w:abstractNum w:abstractNumId="322">
    <w:nsid w:val="1786C974"/>
    <w:multiLevelType w:val="hybridMultilevel"/>
    <w:lvl w:ilvl="0">
      <w:lvlJc w:val="left"/>
      <w:lvlText w:val="(%1)"/>
      <w:numFmt w:val="lowerLetter"/>
      <w:start w:val="6"/>
    </w:lvl>
  </w:abstractNum>
  <w:abstractNum w:abstractNumId="323">
    <w:nsid w:val="1C2427A1"/>
    <w:multiLevelType w:val="hybridMultilevel"/>
    <w:lvl w:ilvl="0">
      <w:lvlJc w:val="left"/>
      <w:lvlText w:val="%1"/>
      <w:numFmt w:val="decimal"/>
      <w:start w:val="1"/>
    </w:lvl>
    <w:lvl w:ilvl="1">
      <w:lvlJc w:val="left"/>
      <w:lvlText w:val="(%2)"/>
      <w:numFmt w:val="lowerRoman"/>
      <w:start w:val="3"/>
    </w:lvl>
  </w:abstractNum>
  <w:abstractNum w:abstractNumId="324">
    <w:nsid w:val="63A24D68"/>
    <w:multiLevelType w:val="hybridMultilevel"/>
    <w:lvl w:ilvl="0">
      <w:lvlJc w:val="left"/>
      <w:lvlText w:val="%1."/>
      <w:numFmt w:val="decimal"/>
      <w:start w:val="8"/>
    </w:lvl>
    <w:lvl w:ilvl="1">
      <w:lvlJc w:val="left"/>
      <w:lvlText w:val="%2"/>
      <w:numFmt w:val="lowerRoman"/>
      <w:start w:val="1"/>
    </w:lvl>
  </w:abstractNum>
  <w:abstractNum w:abstractNumId="325">
    <w:nsid w:val="4FB7A02A"/>
    <w:multiLevelType w:val="hybridMultilevel"/>
    <w:lvl w:ilvl="0">
      <w:lvlJc w:val="left"/>
      <w:lvlText w:val="%1."/>
      <w:numFmt w:val="decimal"/>
      <w:start w:val="9"/>
    </w:lvl>
  </w:abstractNum>
  <w:abstractNum w:abstractNumId="326">
    <w:nsid w:val="96CF728"/>
    <w:multiLevelType w:val="hybridMultilevel"/>
    <w:lvl w:ilvl="0">
      <w:lvlJc w:val="left"/>
      <w:lvlText w:val="%1."/>
      <w:numFmt w:val="decimal"/>
      <w:start w:val="10"/>
    </w:lvl>
  </w:abstractNum>
  <w:abstractNum w:abstractNumId="327">
    <w:nsid w:val="3B121183"/>
    <w:multiLevelType w:val="hybridMultilevel"/>
    <w:lvl w:ilvl="0">
      <w:lvlJc w:val="left"/>
      <w:lvlText w:val="%1."/>
      <w:numFmt w:val="decimal"/>
      <w:start w:val="1"/>
    </w:lvl>
  </w:abstractNum>
  <w:abstractNum w:abstractNumId="328">
    <w:nsid w:val="3459648F"/>
    <w:multiLevelType w:val="hybridMultilevel"/>
    <w:lvl w:ilvl="0">
      <w:lvlJc w:val="left"/>
      <w:lvlText w:val="%1."/>
      <w:numFmt w:val="decimal"/>
      <w:start w:val="3"/>
    </w:lvl>
  </w:abstractNum>
  <w:abstractNum w:abstractNumId="329">
    <w:nsid w:val="3ADF331D"/>
    <w:multiLevelType w:val="hybridMultilevel"/>
    <w:lvl w:ilvl="0">
      <w:lvlJc w:val="left"/>
      <w:lvlText w:val="%1."/>
      <w:numFmt w:val="decimal"/>
      <w:start w:val="6"/>
    </w:lvl>
  </w:abstractNum>
  <w:abstractNum w:abstractNumId="330">
    <w:nsid w:val="4D08A9E4"/>
    <w:multiLevelType w:val="hybridMultilevel"/>
    <w:lvl w:ilvl="0">
      <w:lvlJc w:val="left"/>
      <w:lvlText w:val="%1."/>
      <w:numFmt w:val="decimal"/>
      <w:start w:val="1"/>
    </w:lvl>
  </w:abstractNum>
  <w:abstractNum w:abstractNumId="331">
    <w:nsid w:val="6AF2BB3A"/>
    <w:multiLevelType w:val="hybridMultilevel"/>
    <w:lvl w:ilvl="0">
      <w:lvlJc w:val="left"/>
      <w:lvlText w:val="(%1)"/>
      <w:numFmt w:val="lowerRoman"/>
      <w:start w:val="1"/>
    </w:lvl>
  </w:abstractNum>
  <w:abstractNum w:abstractNumId="332">
    <w:nsid w:val="481B1739"/>
    <w:multiLevelType w:val="hybridMultilevel"/>
    <w:lvl w:ilvl="0">
      <w:lvlJc w:val="left"/>
      <w:lvlText w:val="%1."/>
      <w:numFmt w:val="decimal"/>
      <w:start w:val="2"/>
    </w:lvl>
  </w:abstractNum>
  <w:abstractNum w:abstractNumId="333">
    <w:nsid w:val="19E2BFCC"/>
    <w:multiLevelType w:val="hybridMultilevel"/>
    <w:lvl w:ilvl="0">
      <w:lvlJc w:val="left"/>
      <w:lvlText w:val="%1."/>
      <w:numFmt w:val="decimal"/>
      <w:start w:val="3"/>
    </w:lvl>
  </w:abstractNum>
  <w:abstractNum w:abstractNumId="334">
    <w:nsid w:val="66D021CA"/>
    <w:multiLevelType w:val="hybridMultilevel"/>
    <w:lvl w:ilvl="0">
      <w:lvlJc w:val="left"/>
      <w:lvlText w:val="%1."/>
      <w:numFmt w:val="decimal"/>
      <w:start w:val="4"/>
    </w:lvl>
  </w:abstractNum>
  <w:abstractNum w:abstractNumId="335">
    <w:nsid w:val="56167394"/>
    <w:multiLevelType w:val="hybridMultilevel"/>
    <w:lvl w:ilvl="0">
      <w:lvlJc w:val="left"/>
      <w:lvlText w:val="(%1)"/>
      <w:numFmt w:val="decimal"/>
      <w:start w:val="30"/>
    </w:lvl>
  </w:abstractNum>
  <w:abstractNum w:abstractNumId="336">
    <w:nsid w:val="921145C"/>
    <w:multiLevelType w:val="hybridMultilevel"/>
    <w:lvl w:ilvl="0">
      <w:lvlJc w:val="left"/>
      <w:lvlText w:val="[***]"/>
      <w:numFmt w:val="bullet"/>
      <w:start w:val="1"/>
    </w:lvl>
  </w:abstractNum>
  <w:abstractNum w:abstractNumId="337">
    <w:nsid w:val="7B34DFE8"/>
    <w:multiLevelType w:val="hybridMultilevel"/>
    <w:lvl w:ilvl="0">
      <w:lvlJc w:val="left"/>
      <w:lvlText w:val="%1."/>
      <w:numFmt w:val="decimal"/>
      <w:start w:val="5"/>
    </w:lvl>
  </w:abstractNum>
  <w:abstractNum w:abstractNumId="338">
    <w:nsid w:val="3CD22B79"/>
    <w:multiLevelType w:val="hybridMultilevel"/>
    <w:lvl w:ilvl="0">
      <w:lvlJc w:val="left"/>
      <w:lvlText w:val="[***]"/>
      <w:numFmt w:val="bullet"/>
      <w:start w:val="1"/>
    </w:lvl>
  </w:abstractNum>
  <w:abstractNum w:abstractNumId="339">
    <w:nsid w:val="3137975E"/>
    <w:multiLevelType w:val="hybridMultilevel"/>
    <w:lvl w:ilvl="0">
      <w:lvlJc w:val="left"/>
      <w:lvlText w:val="%1."/>
      <w:numFmt w:val="decimal"/>
      <w:start w:val="6"/>
    </w:lvl>
  </w:abstractNum>
  <w:abstractNum w:abstractNumId="340">
    <w:nsid w:val="2DDAA791"/>
    <w:multiLevelType w:val="hybridMultilevel"/>
    <w:lvl w:ilvl="0">
      <w:lvlJc w:val="left"/>
      <w:lvlText w:val="[***]"/>
      <w:numFmt w:val="bullet"/>
      <w:start w:val="1"/>
    </w:lvl>
  </w:abstractNum>
  <w:abstractNum w:abstractNumId="341">
    <w:nsid w:val="77263B8A"/>
    <w:multiLevelType w:val="hybridMultilevel"/>
    <w:lvl w:ilvl="0">
      <w:lvlJc w:val="left"/>
      <w:lvlText w:val="%1."/>
      <w:numFmt w:val="decimal"/>
      <w:start w:val="7"/>
    </w:lvl>
  </w:abstractNum>
  <w:abstractNum w:abstractNumId="342">
    <w:nsid w:val="755B5ED6"/>
    <w:multiLevelType w:val="hybridMultilevel"/>
    <w:lvl w:ilvl="0">
      <w:lvlJc w:val="left"/>
      <w:lvlText w:val="(%1)"/>
      <w:numFmt w:val="lowerLetter"/>
      <w:start w:val="1"/>
    </w:lvl>
  </w:abstractNum>
  <w:abstractNum w:abstractNumId="343">
    <w:nsid w:val="D3715DE"/>
    <w:multiLevelType w:val="hybridMultilevel"/>
    <w:lvl w:ilvl="0">
      <w:lvlJc w:val="left"/>
      <w:lvlText w:val="[***]"/>
      <w:numFmt w:val="bullet"/>
      <w:start w:val="1"/>
    </w:lvl>
  </w:abstractNum>
  <w:abstractNum w:abstractNumId="344">
    <w:nsid w:val="73509257"/>
    <w:multiLevelType w:val="hybridMultilevel"/>
    <w:lvl w:ilvl="0">
      <w:lvlJc w:val="left"/>
      <w:lvlText w:val="(%1)"/>
      <w:numFmt w:val="lowerLetter"/>
      <w:start w:val="3"/>
    </w:lvl>
  </w:abstractNum>
  <w:abstractNum w:abstractNumId="345">
    <w:nsid w:val="7013CDB7"/>
    <w:multiLevelType w:val="hybridMultilevel"/>
    <w:lvl w:ilvl="0">
      <w:lvlJc w:val="left"/>
      <w:lvlText w:val="%1."/>
      <w:numFmt w:val="decimal"/>
      <w:start w:val="8"/>
    </w:lvl>
  </w:abstractNum>
  <w:abstractNum w:abstractNumId="346">
    <w:nsid w:val="188BFB19"/>
    <w:multiLevelType w:val="hybridMultilevel"/>
    <w:lvl w:ilvl="0">
      <w:lvlJc w:val="left"/>
      <w:lvlText w:val="%1."/>
      <w:numFmt w:val="decimal"/>
      <w:start w:val="9"/>
    </w:lvl>
  </w:abstractNum>
  <w:abstractNum w:abstractNumId="347">
    <w:nsid w:val="75F096DF"/>
    <w:multiLevelType w:val="hybridMultilevel"/>
    <w:lvl w:ilvl="0">
      <w:lvlJc w:val="left"/>
      <w:lvlText w:val="[***]"/>
      <w:numFmt w:val="bullet"/>
      <w:start w:val="1"/>
    </w:lvl>
  </w:abstractNum>
  <w:abstractNum w:abstractNumId="348">
    <w:nsid w:val="76DEE918"/>
    <w:multiLevelType w:val="hybridMultilevel"/>
    <w:lvl w:ilvl="0">
      <w:lvlJc w:val="left"/>
      <w:lvlText w:val="%1."/>
      <w:numFmt w:val="decimal"/>
      <w:start w:val="10"/>
    </w:lvl>
  </w:abstractNum>
  <w:abstractNum w:abstractNumId="349">
    <w:nsid w:val="B79D08D"/>
    <w:multiLevelType w:val="hybridMultilevel"/>
    <w:lvl w:ilvl="0">
      <w:lvlJc w:val="left"/>
      <w:lvlText w:val="(%1)"/>
      <w:numFmt w:val="lowerRoman"/>
      <w:start w:val="3"/>
    </w:lvl>
  </w:abstractNum>
  <w:abstractNum w:abstractNumId="350">
    <w:nsid w:val="69141769"/>
    <w:multiLevelType w:val="hybridMultilevel"/>
    <w:lvl w:ilvl="0">
      <w:lvlJc w:val="left"/>
      <w:lvlText w:val="%1."/>
      <w:numFmt w:val="decimal"/>
      <w:start w:val="11"/>
    </w:lvl>
  </w:abstractNum>
  <w:abstractNum w:abstractNumId="351">
    <w:nsid w:val="7BF45B8E"/>
    <w:multiLevelType w:val="hybridMultilevel"/>
    <w:lvl w:ilvl="0">
      <w:lvlJc w:val="left"/>
      <w:lvlText w:val="%1."/>
      <w:numFmt w:val="decimal"/>
      <w:start w:val="12"/>
    </w:lvl>
  </w:abstractNum>
  <w:abstractNum w:abstractNumId="352">
    <w:nsid w:val="41205269"/>
    <w:multiLevelType w:val="hybridMultilevel"/>
    <w:lvl w:ilvl="0">
      <w:lvlJc w:val="left"/>
      <w:lvlText w:val="[***]"/>
      <w:numFmt w:val="bullet"/>
      <w:start w:val="1"/>
    </w:lvl>
  </w:abstractNum>
  <w:abstractNum w:abstractNumId="353">
    <w:nsid w:val="9AE0DD"/>
    <w:multiLevelType w:val="hybridMultilevel"/>
    <w:lvl w:ilvl="0">
      <w:lvlJc w:val="left"/>
      <w:lvlText w:val="%1."/>
      <w:numFmt w:val="decimal"/>
      <w:start w:val="13"/>
    </w:lvl>
  </w:abstractNum>
  <w:abstractNum w:abstractNumId="354">
    <w:nsid w:val="1818832F"/>
    <w:multiLevelType w:val="hybridMultilevel"/>
    <w:lvl w:ilvl="0">
      <w:lvlJc w:val="left"/>
      <w:lvlText w:val="[***]"/>
      <w:numFmt w:val="bullet"/>
      <w:start w:val="1"/>
    </w:lvl>
  </w:abstractNum>
  <w:abstractNum w:abstractNumId="355">
    <w:nsid w:val="24C29FD1"/>
    <w:multiLevelType w:val="hybridMultilevel"/>
    <w:lvl w:ilvl="0">
      <w:lvlJc w:val="left"/>
      <w:lvlText w:val="[***]"/>
      <w:numFmt w:val="bullet"/>
      <w:start w:val="1"/>
    </w:lvl>
  </w:abstractNum>
  <w:abstractNum w:abstractNumId="356">
    <w:nsid w:val="50528108"/>
    <w:multiLevelType w:val="hybridMultilevel"/>
    <w:lvl w:ilvl="0">
      <w:lvlJc w:val="left"/>
      <w:lvlText w:val="[***]"/>
      <w:numFmt w:val="bullet"/>
      <w:start w:val="1"/>
    </w:lvl>
  </w:abstractNum>
  <w:abstractNum w:abstractNumId="357">
    <w:nsid w:val="21857A57"/>
    <w:multiLevelType w:val="hybridMultilevel"/>
    <w:lvl w:ilvl="0">
      <w:lvlJc w:val="left"/>
      <w:lvlText w:val="[***]"/>
      <w:numFmt w:val="bullet"/>
      <w:start w:val="1"/>
    </w:lvl>
  </w:abstractNum>
  <w:abstractNum w:abstractNumId="358">
    <w:nsid w:val="5FD4B154"/>
    <w:multiLevelType w:val="hybridMultilevel"/>
    <w:lvl w:ilvl="0">
      <w:lvlJc w:val="left"/>
      <w:lvlText w:val="(%1)"/>
      <w:numFmt w:val="lowerLetter"/>
      <w:start w:val="1"/>
    </w:lvl>
  </w:abstractNum>
  <w:abstractNum w:abstractNumId="359">
    <w:nsid w:val="4ABE597"/>
    <w:multiLevelType w:val="hybridMultilevel"/>
    <w:lvl w:ilvl="0">
      <w:lvlJc w:val="left"/>
      <w:lvlText w:val="(%1)"/>
      <w:numFmt w:val="lowerLetter"/>
      <w:start w:val="1"/>
    </w:lvl>
  </w:abstractNum>
  <w:abstractNum w:abstractNumId="360">
    <w:nsid w:val="5C64AD75"/>
    <w:multiLevelType w:val="hybridMultilevel"/>
    <w:lvl w:ilvl="0">
      <w:lvlJc w:val="left"/>
      <w:lvlText w:val="(%1)"/>
      <w:numFmt w:val="lowerLetter"/>
      <w:start w:val="1"/>
    </w:lvl>
  </w:abstractNum>
  <w:abstractNum w:abstractNumId="361">
    <w:nsid w:val="2CDD5B39"/>
    <w:multiLevelType w:val="hybridMultilevel"/>
    <w:lvl w:ilvl="0">
      <w:lvlJc w:val="left"/>
      <w:lvlText w:val="(%1)"/>
      <w:numFmt w:val="lowerLetter"/>
      <w:start w:val="3"/>
    </w:lvl>
  </w:abstractNum>
  <w:abstractNum w:abstractNumId="362">
    <w:nsid w:val="6F9EA0D1"/>
    <w:multiLevelType w:val="hybridMultilevel"/>
    <w:lvl w:ilvl="0">
      <w:lvlJc w:val="left"/>
      <w:lvlText w:val="(%1)"/>
      <w:numFmt w:val="lowerLetter"/>
      <w:start w:val="1"/>
    </w:lvl>
  </w:abstractNum>
  <w:abstractNum w:abstractNumId="363">
    <w:nsid w:val="247FC4AE"/>
    <w:multiLevelType w:val="hybridMultilevel"/>
    <w:lvl w:ilvl="0">
      <w:lvlJc w:val="left"/>
      <w:lvlText w:val="&amp;"/>
      <w:numFmt w:val="bullet"/>
      <w:start w:val="1"/>
    </w:lvl>
  </w:abstractNum>
  <w:abstractNum w:abstractNumId="364">
    <w:nsid w:val="46C01B05"/>
    <w:multiLevelType w:val="hybridMultilevel"/>
    <w:lvl w:ilvl="0">
      <w:lvlJc w:val="left"/>
      <w:lvlText w:val="[***]"/>
      <w:numFmt w:val="bullet"/>
      <w:start w:val="1"/>
    </w:lvl>
    <w:lvl w:ilvl="1">
      <w:lvlJc w:val="left"/>
      <w:lvlText w:val="(%2)"/>
      <w:numFmt w:val="lowerLetter"/>
      <w:start w:val="1"/>
    </w:lvl>
  </w:abstractNum>
  <w:abstractNum w:abstractNumId="365">
    <w:nsid w:val="566EC29B"/>
    <w:multiLevelType w:val="hybridMultilevel"/>
    <w:lvl w:ilvl="0">
      <w:lvlJc w:val="left"/>
      <w:lvlText w:val="[***]"/>
      <w:numFmt w:val="bullet"/>
      <w:start w:val="1"/>
    </w:lvl>
    <w:lvl w:ilvl="1">
      <w:lvlJc w:val="left"/>
      <w:lvlText w:val="(%2)"/>
      <w:numFmt w:val="lowerLetter"/>
      <w:start w:val="1"/>
    </w:lvl>
  </w:abstractNum>
  <w:abstractNum w:abstractNumId="366">
    <w:nsid w:val="7A963843"/>
    <w:multiLevelType w:val="hybridMultilevel"/>
    <w:lvl w:ilvl="0">
      <w:lvlJc w:val="left"/>
      <w:lvlText w:val="(%1)"/>
      <w:numFmt w:val="lowerLetter"/>
      <w:start w:val="2"/>
    </w:lvl>
  </w:abstractNum>
  <w:abstractNum w:abstractNumId="367">
    <w:nsid w:val="4FE12F61"/>
    <w:multiLevelType w:val="hybridMultilevel"/>
    <w:lvl w:ilvl="0">
      <w:lvlJc w:val="left"/>
      <w:lvlText w:val="[***]"/>
      <w:numFmt w:val="bullet"/>
      <w:start w:val="1"/>
    </w:lvl>
    <w:lvl w:ilvl="1">
      <w:lvlJc w:val="left"/>
      <w:lvlText w:val="(%2)"/>
      <w:numFmt w:val="lowerLetter"/>
      <w:start w:val="1"/>
    </w:lvl>
  </w:abstractNum>
  <w:abstractNum w:abstractNumId="368">
    <w:nsid w:val="51A3A284"/>
    <w:multiLevelType w:val="hybridMultilevel"/>
    <w:lvl w:ilvl="0">
      <w:lvlJc w:val="left"/>
      <w:lvlText w:val="[***]"/>
      <w:numFmt w:val="bullet"/>
      <w:start w:val="1"/>
    </w:lvl>
    <w:lvl w:ilvl="1">
      <w:lvlJc w:val="left"/>
      <w:lvlText w:val="(%2)"/>
      <w:numFmt w:val="lowerLetter"/>
      <w:start w:val="3"/>
    </w:lvl>
  </w:abstractNum>
  <w:abstractNum w:abstractNumId="369">
    <w:nsid w:val="376863BC"/>
    <w:multiLevelType w:val="hybridMultilevel"/>
    <w:lvl w:ilvl="0">
      <w:lvlJc w:val="left"/>
      <w:lvlText w:val="(%1)"/>
      <w:numFmt w:val="lowerLetter"/>
      <w:start w:val="1"/>
    </w:lvl>
  </w:abstractNum>
  <w:abstractNum w:abstractNumId="370">
    <w:nsid w:val="118C6C0"/>
    <w:multiLevelType w:val="hybridMultilevel"/>
    <w:lvl w:ilvl="0">
      <w:lvlJc w:val="left"/>
      <w:lvlText w:val="(%1)"/>
      <w:numFmt w:val="lowerLetter"/>
      <w:start w:val="2"/>
    </w:lvl>
  </w:abstractNum>
  <w:abstractNum w:abstractNumId="371">
    <w:nsid w:val="7F7E4A15"/>
    <w:multiLevelType w:val="hybridMultilevel"/>
    <w:lvl w:ilvl="0">
      <w:lvlJc w:val="left"/>
      <w:lvlText w:val="[***]"/>
      <w:numFmt w:val="bullet"/>
      <w:start w:val="1"/>
    </w:lvl>
    <w:lvl w:ilvl="1">
      <w:lvlJc w:val="left"/>
      <w:lvlText w:val="(%2)"/>
      <w:numFmt w:val="lowerLetter"/>
      <w:start w:val="1"/>
    </w:lvl>
  </w:abstractNum>
  <w:abstractNum w:abstractNumId="372">
    <w:nsid w:val="2E8E9F47"/>
    <w:multiLevelType w:val="hybridMultilevel"/>
    <w:lvl w:ilvl="0">
      <w:lvlJc w:val="left"/>
      <w:lvlText w:val="(%1)"/>
      <w:numFmt w:val="lowerLetter"/>
      <w:start w:val="4"/>
    </w:lvl>
  </w:abstractNum>
  <w:abstractNum w:abstractNumId="373">
    <w:nsid w:val="76742596"/>
    <w:multiLevelType w:val="hybridMultilevel"/>
    <w:lvl w:ilvl="0">
      <w:lvlJc w:val="left"/>
      <w:lvlText w:val="[***]"/>
      <w:numFmt w:val="bullet"/>
      <w:start w:val="1"/>
    </w:lvl>
    <w:lvl w:ilvl="1">
      <w:lvlJc w:val="left"/>
      <w:lvlText w:val="(%2)"/>
      <w:numFmt w:val="lowerLetter"/>
      <w:start w:val="1"/>
    </w:lvl>
  </w:abstractNum>
  <w:abstractNum w:abstractNumId="374">
    <w:nsid w:val="CB55FF3"/>
    <w:multiLevelType w:val="hybridMultilevel"/>
    <w:lvl w:ilvl="0">
      <w:lvlJc w:val="left"/>
      <w:lvlText w:val="[***]"/>
      <w:numFmt w:val="bullet"/>
      <w:start w:val="1"/>
    </w:lvl>
    <w:lvl w:ilvl="1">
      <w:lvlJc w:val="left"/>
      <w:lvlText w:val="(%2)"/>
      <w:numFmt w:val="lowerLetter"/>
      <w:start w:val="1"/>
    </w:lvl>
  </w:abstractNum>
  <w:abstractNum w:abstractNumId="375">
    <w:nsid w:val="21DF319E"/>
    <w:multiLevelType w:val="hybridMultilevel"/>
    <w:lvl w:ilvl="0">
      <w:lvlJc w:val="left"/>
      <w:lvlText w:val="(%1)"/>
      <w:numFmt w:val="lowerLetter"/>
      <w:start w:val="4"/>
    </w:lvl>
  </w:abstractNum>
  <w:abstractNum w:abstractNumId="376">
    <w:nsid w:val="6687F34D"/>
    <w:multiLevelType w:val="hybridMultilevel"/>
    <w:lvl w:ilvl="0">
      <w:lvlJc w:val="left"/>
      <w:lvlText w:val="(%1)"/>
      <w:numFmt w:val="lowerLetter"/>
      <w:start w:val="1"/>
    </w:lvl>
  </w:abstractNum>
  <w:abstractNum w:abstractNumId="377">
    <w:nsid w:val="25415B0C"/>
    <w:multiLevelType w:val="hybridMultilevel"/>
    <w:lvl w:ilvl="0">
      <w:lvlJc w:val="left"/>
      <w:lvlText w:val="[***]"/>
      <w:numFmt w:val="bullet"/>
      <w:start w:val="1"/>
    </w:lvl>
    <w:lvl w:ilvl="1">
      <w:lvlJc w:val="left"/>
      <w:lvlText w:val="(%2)"/>
      <w:numFmt w:val="lowerLetter"/>
      <w:start w:val="4"/>
    </w:lvl>
  </w:abstractNum>
  <w:abstractNum w:abstractNumId="378">
    <w:nsid w:val="17CFC87D"/>
    <w:multiLevelType w:val="hybridMultilevel"/>
    <w:lvl w:ilvl="0">
      <w:lvlJc w:val="left"/>
      <w:lvlText w:val="(%1)"/>
      <w:numFmt w:val="lowerLetter"/>
      <w:start w:val="5"/>
    </w:lvl>
    <w:lvl w:ilvl="1">
      <w:lvlJc w:val="left"/>
      <w:lvlText w:val="(%2)"/>
      <w:numFmt w:val="lowerRoman"/>
      <w:start w:val="1"/>
    </w:lvl>
  </w:abstractNum>
  <w:abstractNum w:abstractNumId="379">
    <w:nsid w:val="5D66DC65"/>
    <w:multiLevelType w:val="hybridMultilevel"/>
    <w:lvl w:ilvl="0">
      <w:lvlJc w:val="left"/>
      <w:lvlText w:val="(%1)"/>
      <w:numFmt w:val="lowerLetter"/>
      <w:start w:val="1"/>
    </w:lvl>
  </w:abstractNum>
  <w:abstractNum w:abstractNumId="380">
    <w:nsid w:val="30BB2B9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81">
    <w:nsid w:val="E3DFE6"/>
    <w:multiLevelType w:val="hybridMultilevel"/>
    <w:lvl w:ilvl="0">
      <w:lvlJc w:val="left"/>
      <w:lvlText w:val="%1"/>
      <w:numFmt w:val="lowerLetter"/>
      <w:start w:val="1"/>
    </w:lvl>
    <w:lvl w:ilvl="1">
      <w:lvlJc w:val="left"/>
      <w:lvlText w:val="(%2)"/>
      <w:numFmt w:val="lowerLetter"/>
      <w:start w:val="61"/>
    </w:lvl>
  </w:abstractNum>
  <w:abstractNum w:abstractNumId="382">
    <w:nsid w:val="595B37F3"/>
    <w:multiLevelType w:val="hybridMultilevel"/>
    <w:lvl w:ilvl="0">
      <w:lvlJc w:val="left"/>
      <w:lvlText w:val="(%1)"/>
      <w:numFmt w:val="lowerLetter"/>
      <w:start w:val="3"/>
    </w:lvl>
    <w:lvl w:ilvl="1">
      <w:lvlJc w:val="left"/>
      <w:lvlText w:val="%2"/>
      <w:numFmt w:val="lowerLetter"/>
      <w:start w:val="1"/>
    </w:lvl>
  </w:abstractNum>
  <w:abstractNum w:abstractNumId="383">
    <w:nsid w:val="71DB7E02"/>
    <w:multiLevelType w:val="hybridMultilevel"/>
    <w:lvl w:ilvl="0">
      <w:lvlJc w:val="left"/>
      <w:lvlText w:val="[***]"/>
      <w:numFmt w:val="bullet"/>
      <w:start w:val="1"/>
    </w:lvl>
    <w:lvl w:ilvl="1">
      <w:lvlJc w:val="left"/>
      <w:lvlText w:val="(%2)"/>
      <w:numFmt w:val="lowerLetter"/>
      <w:start w:val="5"/>
    </w:lvl>
  </w:abstractNum>
  <w:abstractNum w:abstractNumId="384">
    <w:nsid w:val="17EC0C4"/>
    <w:multiLevelType w:val="hybridMultilevel"/>
    <w:lvl w:ilvl="0">
      <w:lvlJc w:val="left"/>
      <w:lvlText w:val="(%1)"/>
      <w:numFmt w:val="lowerRoman"/>
      <w:start w:val="1"/>
    </w:lvl>
  </w:abstractNum>
  <w:abstractNum w:abstractNumId="385">
    <w:nsid w:val="7173BB22"/>
    <w:multiLevelType w:val="hybridMultilevel"/>
    <w:lvl w:ilvl="0">
      <w:lvlJc w:val="left"/>
      <w:lvlText w:val="(%1)"/>
      <w:numFmt w:val="lowerLetter"/>
      <w:start w:val="1"/>
    </w:lvl>
  </w:abstractNum>
  <w:abstractNum w:abstractNumId="386">
    <w:nsid w:val="169E1DD3"/>
    <w:multiLevelType w:val="hybridMultilevel"/>
    <w:lvl w:ilvl="0">
      <w:lvlJc w:val="left"/>
      <w:lvlText w:val="(%1)"/>
      <w:numFmt w:val="lowerLetter"/>
      <w:start w:val="1"/>
    </w:lvl>
  </w:abstractNum>
  <w:abstractNum w:abstractNumId="387">
    <w:nsid w:val="51D141CC"/>
    <w:multiLevelType w:val="hybridMultilevel"/>
    <w:lvl w:ilvl="0">
      <w:lvlJc w:val="left"/>
      <w:lvlText w:val="(%1)"/>
      <w:numFmt w:val="lowerLetter"/>
      <w:start w:val="4"/>
    </w:lvl>
  </w:abstractNum>
  <w:abstractNum w:abstractNumId="388">
    <w:nsid w:val="12F9357A"/>
    <w:multiLevelType w:val="hybridMultilevel"/>
    <w:lvl w:ilvl="0">
      <w:lvlJc w:val="left"/>
      <w:lvlText w:val="(%1)"/>
      <w:numFmt w:val="lowerLetter"/>
      <w:start w:val="1"/>
    </w:lvl>
  </w:abstractNum>
  <w:abstractNum w:abstractNumId="389">
    <w:nsid w:val="7672CF28"/>
    <w:multiLevelType w:val="hybridMultilevel"/>
    <w:lvl w:ilvl="0">
      <w:lvlJc w:val="left"/>
      <w:lvlText w:val="(%1)"/>
      <w:numFmt w:val="lowerLetter"/>
      <w:start w:val="5"/>
    </w:lvl>
  </w:abstractNum>
  <w:abstractNum w:abstractNumId="390">
    <w:nsid w:val="567D276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91">
    <w:nsid w:val="6F5DE2EF"/>
    <w:multiLevelType w:val="hybridMultilevel"/>
    <w:lvl w:ilvl="0">
      <w:lvlJc w:val="left"/>
      <w:lvlText w:val="(%1)"/>
      <w:numFmt w:val="decimal"/>
      <w:start w:val="45"/>
    </w:lvl>
  </w:abstractNum>
  <w:abstractNum w:abstractNumId="392">
    <w:nsid w:val="23502A61"/>
    <w:multiLevelType w:val="hybridMultilevel"/>
    <w:lvl w:ilvl="0">
      <w:lvlJc w:val="left"/>
      <w:lvlText w:val="(%1)"/>
      <w:numFmt w:val="lowerLetter"/>
      <w:start w:val="1"/>
    </w:lvl>
  </w:abstractNum>
  <w:abstractNum w:abstractNumId="393">
    <w:nsid w:val="461BC834"/>
    <w:multiLevelType w:val="hybridMultilevel"/>
    <w:lvl w:ilvl="0">
      <w:lvlJc w:val="left"/>
      <w:lvlText w:val="(%1)"/>
      <w:numFmt w:val="lowerLetter"/>
      <w:start w:val="3"/>
    </w:lvl>
  </w:abstractNum>
  <w:abstractNum w:abstractNumId="394">
    <w:nsid w:val="13DDA79D"/>
    <w:multiLevelType w:val="hybridMultilevel"/>
    <w:lvl w:ilvl="0">
      <w:lvlJc w:val="left"/>
      <w:lvlText w:val="(%1)"/>
      <w:numFmt w:val="lowerRoman"/>
      <w:start w:val="1"/>
    </w:lvl>
  </w:abstractNum>
  <w:abstractNum w:abstractNumId="395">
    <w:nsid w:val="6A104566"/>
    <w:multiLevelType w:val="hybridMultilevel"/>
    <w:lvl w:ilvl="0">
      <w:lvlJc w:val="left"/>
      <w:lvlText w:val="·"/>
      <w:numFmt w:val="bullet"/>
      <w:start w:val="1"/>
    </w:lvl>
  </w:abstractNum>
  <w:abstractNum w:abstractNumId="396">
    <w:nsid w:val="1C8A8ACF"/>
    <w:multiLevelType w:val="hybridMultilevel"/>
    <w:lvl w:ilvl="0">
      <w:lvlJc w:val="left"/>
      <w:lvlText w:val="·"/>
      <w:numFmt w:val="bullet"/>
      <w:start w:val="1"/>
    </w:lvl>
  </w:abstractNum>
  <w:abstractNum w:abstractNumId="397">
    <w:nsid w:val="E73DFE0"/>
    <w:multiLevelType w:val="hybridMultilevel"/>
    <w:lvl w:ilvl="0">
      <w:lvlJc w:val="left"/>
      <w:lvlText w:val="%1."/>
      <w:numFmt w:val="decimal"/>
      <w:start w:val="1"/>
    </w:lvl>
  </w:abstractNum>
  <w:abstractNum w:abstractNumId="398">
    <w:nsid w:val="39F174C7"/>
    <w:multiLevelType w:val="hybridMultilevel"/>
    <w:lvl w:ilvl="0">
      <w:lvlJc w:val="left"/>
      <w:lvlText w:val="1"/>
      <w:numFmt w:val="bullet"/>
      <w:start w:val="1"/>
    </w:lvl>
  </w:abstractNum>
  <w:abstractNum w:abstractNumId="399">
    <w:nsid w:val="6E2E2D53"/>
    <w:multiLevelType w:val="hybridMultilevel"/>
    <w:lvl w:ilvl="0">
      <w:lvlJc w:val="left"/>
      <w:lvlText w:val="2"/>
      <w:numFmt w:val="bullet"/>
      <w:start w:val="1"/>
    </w:lvl>
  </w:abstractNum>
  <w:abstractNum w:abstractNumId="400">
    <w:nsid w:val="45DC439D"/>
    <w:multiLevelType w:val="hybridMultilevel"/>
    <w:lvl w:ilvl="0">
      <w:lvlJc w:val="left"/>
      <w:lvlText w:val="·"/>
      <w:numFmt w:val="bullet"/>
      <w:start w:val="1"/>
    </w:lvl>
  </w:abstractNum>
  <w:abstractNum w:abstractNumId="401">
    <w:nsid w:val="3B0A3B87"/>
    <w:multiLevelType w:val="hybridMultilevel"/>
    <w:lvl w:ilvl="0">
      <w:lvlJc w:val="left"/>
      <w:lvlText w:val="3"/>
      <w:numFmt w:val="bullet"/>
      <w:start w:val="1"/>
    </w:lvl>
  </w:abstractNum>
  <w:abstractNum w:abstractNumId="402">
    <w:nsid w:val="6DAC776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3">
    <w:nsid w:val="746AE2E4"/>
    <w:multiLevelType w:val="hybridMultilevel"/>
    <w:lvl w:ilvl="0">
      <w:lvlJc w:val="left"/>
      <w:lvlText w:val="·"/>
      <w:numFmt w:val="bullet"/>
      <w:start w:val="1"/>
    </w:lvl>
  </w:abstractNum>
  <w:abstractNum w:abstractNumId="404">
    <w:nsid w:val="317E611D"/>
    <w:multiLevelType w:val="hybridMultilevel"/>
    <w:lvl w:ilvl="0">
      <w:lvlJc w:val="left"/>
      <w:lvlText w:val="4"/>
      <w:numFmt w:val="bullet"/>
      <w:start w:val="1"/>
    </w:lvl>
  </w:abstractNum>
  <w:abstractNum w:abstractNumId="405">
    <w:nsid w:val="7A61D75B"/>
    <w:multiLevelType w:val="hybridMultilevel"/>
    <w:lvl w:ilvl="0">
      <w:lvlJc w:val="left"/>
      <w:lvlText w:val="·"/>
      <w:numFmt w:val="bullet"/>
      <w:start w:val="1"/>
    </w:lvl>
  </w:abstractNum>
  <w:abstractNum w:abstractNumId="406">
    <w:nsid w:val="164A1482"/>
    <w:multiLevelType w:val="hybridMultilevel"/>
    <w:lvl w:ilvl="0">
      <w:lvlJc w:val="left"/>
      <w:lvlText w:val="%1."/>
      <w:numFmt w:val="decimal"/>
      <w:start w:val="1"/>
    </w:lvl>
  </w:abstractNum>
  <w:abstractNum w:abstractNumId="407">
    <w:nsid w:val="1806546B"/>
    <w:multiLevelType w:val="hybridMultilevel"/>
    <w:lvl w:ilvl="0">
      <w:lvlJc w:val="left"/>
      <w:lvlText w:val="·"/>
      <w:numFmt w:val="bullet"/>
      <w:start w:val="1"/>
    </w:lvl>
    <w:lvl w:ilvl="1">
      <w:lvlJc w:val="left"/>
      <w:lvlText w:val="·"/>
      <w:numFmt w:val="bullet"/>
      <w:start w:val="1"/>
    </w:lvl>
  </w:abstractNum>
  <w:abstractNum w:abstractNumId="408">
    <w:nsid w:val="1FA33267"/>
    <w:multiLevelType w:val="hybridMultilevel"/>
    <w:lvl w:ilvl="0">
      <w:lvlJc w:val="left"/>
      <w:lvlText w:val="·"/>
      <w:numFmt w:val="bullet"/>
      <w:start w:val="1"/>
    </w:lvl>
  </w:abstractNum>
  <w:abstractNum w:abstractNumId="409">
    <w:nsid w:val="2E19DD00"/>
    <w:multiLevelType w:val="hybridMultilevel"/>
    <w:lvl w:ilvl="0">
      <w:lvlJc w:val="left"/>
      <w:lvlText w:val="·"/>
      <w:numFmt w:val="bullet"/>
      <w:start w:val="1"/>
    </w:lvl>
    <w:lvl w:ilvl="1">
      <w:lvlJc w:val="left"/>
      <w:lvlText w:val="o"/>
      <w:numFmt w:val="bullet"/>
      <w:start w:val="1"/>
    </w:lvl>
  </w:abstractNum>
  <w:abstractNum w:abstractNumId="410">
    <w:nsid w:val="756D30D0"/>
    <w:multiLevelType w:val="hybridMultilevel"/>
    <w:lvl w:ilvl="0">
      <w:lvlJc w:val="left"/>
      <w:lvlText w:val="·"/>
      <w:numFmt w:val="bullet"/>
      <w:start w:val="1"/>
    </w:lvl>
    <w:lvl w:ilvl="1">
      <w:lvlJc w:val="left"/>
      <w:lvlText w:val="o"/>
      <w:numFmt w:val="bullet"/>
      <w:start w:val="1"/>
    </w:lvl>
  </w:abstractNum>
  <w:abstractNum w:abstractNumId="411">
    <w:nsid w:val="505E5E01"/>
    <w:multiLevelType w:val="hybridMultilevel"/>
    <w:lvl w:ilvl="0">
      <w:lvlJc w:val="left"/>
      <w:lvlText w:val="·"/>
      <w:numFmt w:val="bullet"/>
      <w:start w:val="1"/>
    </w:lvl>
    <w:lvl w:ilvl="1">
      <w:lvlJc w:val="left"/>
      <w:lvlText w:val="·"/>
      <w:numFmt w:val="bullet"/>
      <w:start w:val="1"/>
    </w:lvl>
  </w:abstractNum>
  <w:abstractNum w:abstractNumId="412">
    <w:nsid w:val="2EFDBCE6"/>
    <w:multiLevelType w:val="hybridMultilevel"/>
    <w:lvl w:ilvl="0">
      <w:lvlJc w:val="left"/>
      <w:lvlText w:val="5"/>
      <w:numFmt w:val="bullet"/>
      <w:start w:val="1"/>
    </w:lvl>
  </w:abstractNum>
  <w:abstractNum w:abstractNumId="413">
    <w:nsid w:val="4EC868C4"/>
    <w:multiLevelType w:val="hybridMultilevel"/>
    <w:lvl w:ilvl="0">
      <w:lvlJc w:val="left"/>
      <w:lvlText w:val="1"/>
      <w:numFmt w:val="bullet"/>
      <w:start w:val="1"/>
    </w:lvl>
  </w:abstractNum>
  <w:abstractNum w:abstractNumId="414">
    <w:nsid w:val="4239DC03"/>
    <w:multiLevelType w:val="hybridMultilevel"/>
    <w:lvl w:ilvl="0">
      <w:lvlJc w:val="left"/>
      <w:lvlText w:val="2"/>
      <w:numFmt w:val="bullet"/>
      <w:start w:val="1"/>
    </w:lvl>
  </w:abstractNum>
  <w:abstractNum w:abstractNumId="415">
    <w:nsid w:val="307C7DAA"/>
    <w:multiLevelType w:val="hybridMultilevel"/>
    <w:lvl w:ilvl="0">
      <w:lvlJc w:val="left"/>
      <w:lvlText w:val="3"/>
      <w:numFmt w:val="bullet"/>
      <w:start w:val="1"/>
    </w:lvl>
  </w:abstractNum>
  <w:abstractNum w:abstractNumId="416">
    <w:nsid w:val="403C23E6"/>
    <w:multiLevelType w:val="hybridMultilevel"/>
    <w:lvl w:ilvl="0">
      <w:lvlJc w:val="left"/>
      <w:lvlText w:val="4"/>
      <w:numFmt w:val="bullet"/>
      <w:start w:val="1"/>
    </w:lvl>
  </w:abstractNum>
  <w:abstractNum w:abstractNumId="417">
    <w:nsid w:val="58D7F9D7"/>
    <w:multiLevelType w:val="hybridMultilevel"/>
    <w:lvl w:ilvl="0">
      <w:lvlJc w:val="left"/>
      <w:lvlText w:val="5"/>
      <w:numFmt w:val="bullet"/>
      <w:start w:val="1"/>
    </w:lvl>
  </w:abstractNum>
  <w:abstractNum w:abstractNumId="418">
    <w:nsid w:val="24DBF76"/>
    <w:multiLevelType w:val="hybridMultilevel"/>
    <w:lvl w:ilvl="0">
      <w:lvlJc w:val="left"/>
      <w:lvlText w:val="6"/>
      <w:numFmt w:val="bullet"/>
      <w:start w:val="1"/>
    </w:lvl>
  </w:abstractNum>
  <w:abstractNum w:abstractNumId="419">
    <w:nsid w:val="53355960"/>
    <w:multiLevelType w:val="hybridMultilevel"/>
    <w:lvl w:ilvl="0">
      <w:lvlJc w:val="left"/>
      <w:lvlText w:val="%1."/>
      <w:numFmt w:val="decimal"/>
      <w:start w:val="7"/>
    </w:lvl>
  </w:abstractNum>
  <w:abstractNum w:abstractNumId="420">
    <w:nsid w:val="4F4AC8FF"/>
    <w:multiLevelType w:val="hybridMultilevel"/>
    <w:lvl w:ilvl="0">
      <w:lvlJc w:val="left"/>
      <w:lvlText w:val="·"/>
      <w:numFmt w:val="bullet"/>
      <w:start w:val="1"/>
    </w:lvl>
  </w:abstractNum>
  <w:abstractNum w:abstractNumId="421">
    <w:nsid w:val="58CAE6D9"/>
    <w:multiLevelType w:val="hybridMultilevel"/>
    <w:lvl w:ilvl="0">
      <w:lvlJc w:val="left"/>
      <w:lvlText w:val="6"/>
      <w:numFmt w:val="bullet"/>
      <w:start w:val="1"/>
    </w:lvl>
  </w:abstractNum>
  <w:abstractNum w:abstractNumId="422">
    <w:nsid w:val="42933C4F"/>
    <w:multiLevelType w:val="hybridMultilevel"/>
    <w:lvl w:ilvl="0">
      <w:lvlJc w:val="left"/>
      <w:lvlText w:val="%1."/>
      <w:numFmt w:val="decimal"/>
      <w:start w:val="60"/>
    </w:lvl>
  </w:abstractNum>
  <w:abstractNum w:abstractNumId="423">
    <w:nsid w:val="729AF360"/>
    <w:multiLevelType w:val="hybridMultilevel"/>
    <w:lvl w:ilvl="0">
      <w:lvlJc w:val="left"/>
      <w:lvlText w:val="%1."/>
      <w:numFmt w:val="decimal"/>
      <w:start w:val="1"/>
    </w:lvl>
  </w:abstractNum>
  <w:abstractNum w:abstractNumId="424">
    <w:nsid w:val="1EE6AF0D"/>
    <w:multiLevelType w:val="hybridMultilevel"/>
    <w:lvl w:ilvl="0">
      <w:lvlJc w:val="left"/>
      <w:lvlText w:val="·"/>
      <w:numFmt w:val="bullet"/>
      <w:start w:val="1"/>
    </w:lvl>
  </w:abstractNum>
  <w:abstractNum w:abstractNumId="425">
    <w:nsid w:val="5670E3ED"/>
    <w:multiLevelType w:val="hybridMultilevel"/>
    <w:lvl w:ilvl="0">
      <w:lvlJc w:val="left"/>
      <w:lvlText w:val="·"/>
      <w:numFmt w:val="bullet"/>
      <w:start w:val="1"/>
    </w:lvl>
  </w:abstractNum>
  <w:abstractNum w:abstractNumId="426">
    <w:nsid w:val="5CAB38C6"/>
    <w:multiLevelType w:val="hybridMultilevel"/>
    <w:lvl w:ilvl="0">
      <w:lvlJc w:val="left"/>
      <w:lvlText w:val="·"/>
      <w:numFmt w:val="bullet"/>
      <w:start w:val="1"/>
    </w:lvl>
  </w:abstractNum>
  <w:abstractNum w:abstractNumId="427">
    <w:nsid w:val="3B7139DD"/>
    <w:multiLevelType w:val="hybridMultilevel"/>
    <w:lvl w:ilvl="0">
      <w:lvlJc w:val="left"/>
      <w:lvlText w:val="·"/>
      <w:numFmt w:val="bullet"/>
      <w:start w:val="1"/>
    </w:lvl>
  </w:abstractNum>
  <w:abstractNum w:abstractNumId="428">
    <w:nsid w:val="64E4C3CD"/>
    <w:multiLevelType w:val="hybridMultilevel"/>
    <w:lvl w:ilvl="0">
      <w:lvlJc w:val="left"/>
      <w:lvlText w:val="%1."/>
      <w:numFmt w:val="decimal"/>
      <w:start w:val="1"/>
    </w:lvl>
  </w:abstractNum>
  <w:abstractNum w:abstractNumId="429">
    <w:nsid w:val="169CAD8D"/>
    <w:multiLevelType w:val="hybridMultilevel"/>
    <w:lvl w:ilvl="0">
      <w:lvlJc w:val="left"/>
      <w:lvlText w:val="·"/>
      <w:numFmt w:val="bullet"/>
      <w:start w:val="1"/>
    </w:lvl>
  </w:abstractNum>
  <w:abstractNum w:abstractNumId="430">
    <w:nsid w:val="299F6730"/>
    <w:multiLevelType w:val="hybridMultilevel"/>
    <w:lvl w:ilvl="0">
      <w:lvlJc w:val="left"/>
      <w:lvlText w:val="·"/>
      <w:numFmt w:val="bullet"/>
      <w:start w:val="1"/>
    </w:lvl>
  </w:abstractNum>
  <w:abstractNum w:abstractNumId="431">
    <w:nsid w:val="2AC1076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2">
    <w:nsid w:val="51A6E915"/>
    <w:multiLevelType w:val="hybridMultilevel"/>
    <w:lvl w:ilvl="0">
      <w:lvlJc w:val="left"/>
      <w:lvlText w:val="·"/>
      <w:numFmt w:val="bullet"/>
      <w:start w:val="1"/>
    </w:lvl>
  </w:abstractNum>
  <w:abstractNum w:abstractNumId="433">
    <w:nsid w:val="174BDE99"/>
    <w:multiLevelType w:val="hybridMultilevel"/>
    <w:lvl w:ilvl="0">
      <w:lvlJc w:val="left"/>
      <w:lvlText w:val="·"/>
      <w:numFmt w:val="bullet"/>
      <w:start w:val="1"/>
    </w:lvl>
  </w:abstractNum>
  <w:abstractNum w:abstractNumId="434">
    <w:nsid w:val="1F2BEA4E"/>
    <w:multiLevelType w:val="hybridMultilevel"/>
    <w:lvl w:ilvl="0">
      <w:lvlJc w:val="left"/>
      <w:lvlText w:val="·"/>
      <w:numFmt w:val="bullet"/>
      <w:start w:val="1"/>
    </w:lvl>
  </w:abstractNum>
  <w:abstractNum w:abstractNumId="435">
    <w:nsid w:val="3254A32"/>
    <w:multiLevelType w:val="hybridMultilevel"/>
    <w:lvl w:ilvl="0">
      <w:lvlJc w:val="left"/>
      <w:lvlText w:val="·"/>
      <w:numFmt w:val="bullet"/>
      <w:start w:val="1"/>
    </w:lvl>
    <w:lvl w:ilvl="1">
      <w:lvlJc w:val="left"/>
      <w:lvlText w:val="·"/>
      <w:numFmt w:val="bullet"/>
      <w:start w:val="1"/>
    </w:lvl>
  </w:abstractNum>
  <w:abstractNum w:abstractNumId="436">
    <w:nsid w:val="11ADB5F4"/>
    <w:multiLevelType w:val="hybridMultilevel"/>
    <w:lvl w:ilvl="0">
      <w:lvlJc w:val="left"/>
      <w:lvlText w:val="·"/>
      <w:numFmt w:val="bullet"/>
      <w:start w:val="1"/>
    </w:lvl>
    <w:lvl w:ilvl="1">
      <w:lvlJc w:val="left"/>
      <w:lvlText w:val="·"/>
      <w:numFmt w:val="bullet"/>
      <w:start w:val="1"/>
    </w:lvl>
  </w:abstractNum>
  <w:abstractNum w:abstractNumId="437">
    <w:nsid w:val="3575FED1"/>
    <w:multiLevelType w:val="hybridMultilevel"/>
    <w:lvl w:ilvl="0">
      <w:lvlJc w:val="left"/>
      <w:lvlText w:val="%1."/>
      <w:numFmt w:val="decimal"/>
      <w:start w:val="1"/>
    </w:lvl>
  </w:abstractNum>
  <w:abstractNum w:abstractNumId="438">
    <w:nsid w:val="1B2B9E9D"/>
    <w:multiLevelType w:val="hybridMultilevel"/>
    <w:lvl w:ilvl="0">
      <w:lvlJc w:val="left"/>
      <w:lvlText w:val="7"/>
      <w:numFmt w:val="bullet"/>
      <w:start w:val="1"/>
    </w:lvl>
  </w:abstractNum>
  <w:abstractNum w:abstractNumId="439">
    <w:nsid w:val="3150E85C"/>
    <w:multiLevelType w:val="hybridMultilevel"/>
    <w:lvl w:ilvl="0">
      <w:lvlJc w:val="left"/>
      <w:lvlText w:val="·"/>
      <w:numFmt w:val="bullet"/>
      <w:start w:val="1"/>
    </w:lvl>
  </w:abstractNum>
  <w:abstractNum w:abstractNumId="440">
    <w:nsid w:val="638FDBD1"/>
    <w:multiLevelType w:val="hybridMultilevel"/>
    <w:lvl w:ilvl="0">
      <w:lvlJc w:val="left"/>
      <w:lvlText w:val="·"/>
      <w:numFmt w:val="bullet"/>
      <w:start w:val="1"/>
    </w:lvl>
  </w:abstractNum>
  <w:abstractNum w:abstractNumId="441">
    <w:nsid w:val="1098CF6E"/>
    <w:multiLevelType w:val="hybridMultilevel"/>
    <w:lvl w:ilvl="0">
      <w:lvlJc w:val="left"/>
      <w:lvlText w:val="·"/>
      <w:numFmt w:val="bullet"/>
      <w:start w:val="1"/>
    </w:lvl>
    <w:lvl w:ilvl="1">
      <w:lvlJc w:val="left"/>
      <w:lvlText w:val="-"/>
      <w:numFmt w:val="bullet"/>
      <w:start w:val="1"/>
    </w:lvl>
  </w:abstractNum>
  <w:abstractNum w:abstractNumId="442">
    <w:nsid w:val="1AF465D"/>
    <w:multiLevelType w:val="hybridMultilevel"/>
    <w:lvl w:ilvl="0">
      <w:lvlJc w:val="left"/>
      <w:lvlText w:val="·"/>
      <w:numFmt w:val="bullet"/>
      <w:start w:val="1"/>
    </w:lvl>
  </w:abstractNum>
  <w:abstractNum w:abstractNumId="443">
    <w:nsid w:val="128D98B7"/>
    <w:multiLevelType w:val="hybridMultilevel"/>
    <w:lvl w:ilvl="0">
      <w:lvlJc w:val="left"/>
      <w:lvlText w:val="·"/>
      <w:numFmt w:val="bullet"/>
      <w:start w:val="1"/>
    </w:lvl>
  </w:abstractNum>
  <w:abstractNum w:abstractNumId="444">
    <w:nsid w:val="5F613832"/>
    <w:multiLevelType w:val="hybridMultilevel"/>
    <w:lvl w:ilvl="0">
      <w:lvlJc w:val="left"/>
      <w:lvlText w:val="·"/>
      <w:numFmt w:val="bullet"/>
      <w:start w:val="1"/>
    </w:lvl>
  </w:abstractNum>
  <w:abstractNum w:abstractNumId="445">
    <w:nsid w:val="43E92260"/>
    <w:multiLevelType w:val="hybridMultilevel"/>
    <w:lvl w:ilvl="0">
      <w:lvlJc w:val="left"/>
      <w:lvlText w:val="·"/>
      <w:numFmt w:val="bullet"/>
      <w:start w:val="1"/>
    </w:lvl>
    <w:lvl w:ilvl="1">
      <w:lvlJc w:val="left"/>
      <w:lvlText w:val="·"/>
      <w:numFmt w:val="bullet"/>
      <w:start w:val="1"/>
    </w:lvl>
  </w:abstractNum>
  <w:abstractNum w:abstractNumId="446">
    <w:nsid w:val="430A1662"/>
    <w:multiLevelType w:val="hybridMultilevel"/>
    <w:lvl w:ilvl="0">
      <w:lvlJc w:val="left"/>
      <w:lvlText w:val="·"/>
      <w:numFmt w:val="bullet"/>
      <w:start w:val="1"/>
    </w:lvl>
  </w:abstractNum>
  <w:abstractNum w:abstractNumId="447">
    <w:nsid w:val="1F9D5C18"/>
    <w:multiLevelType w:val="hybridMultilevel"/>
    <w:lvl w:ilvl="0">
      <w:lvlJc w:val="left"/>
      <w:lvlText w:val="9"/>
      <w:numFmt w:val="bullet"/>
      <w:start w:val="1"/>
    </w:lvl>
  </w:abstractNum>
  <w:abstractNum w:abstractNumId="448">
    <w:nsid w:val="1CC11C37"/>
    <w:multiLevelType w:val="hybridMultilevel"/>
    <w:lvl w:ilvl="0">
      <w:lvlJc w:val="left"/>
      <w:lvlText w:val="·"/>
      <w:numFmt w:val="bullet"/>
      <w:start w:val="1"/>
    </w:lvl>
  </w:abstractNum>
  <w:abstractNum w:abstractNumId="449">
    <w:nsid w:val="4557D5D8"/>
    <w:multiLevelType w:val="hybridMultilevel"/>
    <w:lvl w:ilvl="0">
      <w:lvlJc w:val="left"/>
      <w:lvlText w:val="%1."/>
      <w:numFmt w:val="decimal"/>
      <w:start w:val="1"/>
    </w:lvl>
  </w:abstractNum>
  <w:abstractNum w:abstractNumId="450">
    <w:nsid w:val="72D2B579"/>
    <w:multiLevelType w:val="hybridMultilevel"/>
    <w:lvl w:ilvl="0">
      <w:lvlJc w:val="left"/>
      <w:lvlText w:val="%1."/>
      <w:numFmt w:val="decimal"/>
      <w:start w:val="1"/>
    </w:lvl>
  </w:abstractNum>
  <w:abstractNum w:abstractNumId="451">
    <w:nsid w:val="6C0BE536"/>
    <w:multiLevelType w:val="hybridMultilevel"/>
    <w:lvl w:ilvl="0">
      <w:lvlJc w:val="left"/>
      <w:lvlText w:val="%1."/>
      <w:numFmt w:val="decimal"/>
      <w:start w:val="7"/>
    </w:lvl>
  </w:abstractNum>
  <w:abstractNum w:abstractNumId="452">
    <w:nsid w:val="1E22BCB2"/>
    <w:multiLevelType w:val="hybridMultilevel"/>
    <w:lvl w:ilvl="0">
      <w:lvlJc w:val="left"/>
      <w:lvlText w:val="%1."/>
      <w:numFmt w:val="decimal"/>
      <w:start w:val="10"/>
    </w:lvl>
  </w:abstractNum>
  <w:abstractNum w:abstractNumId="453">
    <w:nsid w:val="3565F1C8"/>
    <w:multiLevelType w:val="hybridMultilevel"/>
    <w:lvl w:ilvl="0">
      <w:lvlJc w:val="left"/>
      <w:lvlText w:val="%1."/>
      <w:numFmt w:val="decimal"/>
      <w:start w:val="17"/>
    </w:lvl>
  </w:abstractNum>
  <w:abstractNum w:abstractNumId="454">
    <w:nsid w:val="5EA6D896"/>
    <w:multiLevelType w:val="hybridMultilevel"/>
    <w:lvl w:ilvl="0">
      <w:lvlJc w:val="left"/>
      <w:lvlText w:val="%1."/>
      <w:numFmt w:val="decimal"/>
      <w:start w:val="28"/>
    </w:lvl>
  </w:abstractNum>
  <w:abstractNum w:abstractNumId="455">
    <w:nsid w:val="3D096BBF"/>
    <w:multiLevelType w:val="hybridMultilevel"/>
    <w:lvl w:ilvl="0">
      <w:lvlJc w:val="left"/>
      <w:lvlText w:val="%1."/>
      <w:numFmt w:val="decimal"/>
      <w:start w:val="1"/>
    </w:lvl>
    <w:lvl w:ilvl="1">
      <w:lvlJc w:val="left"/>
      <w:lvlText w:val="%2."/>
      <w:numFmt w:val="lowerLetter"/>
      <w:start w:val="1"/>
    </w:lvl>
  </w:abstractNum>
  <w:abstractNum w:abstractNumId="456">
    <w:nsid w:val="BD6D5B5"/>
    <w:multiLevelType w:val="hybridMultilevel"/>
    <w:lvl w:ilvl="0">
      <w:lvlJc w:val="left"/>
      <w:lvlText w:val="%1."/>
      <w:numFmt w:val="decimal"/>
      <w:start w:val="1"/>
    </w:lvl>
  </w:abstractNum>
  <w:abstractNum w:abstractNumId="457">
    <w:nsid w:val="3B52115C"/>
    <w:multiLevelType w:val="hybridMultilevel"/>
    <w:lvl w:ilvl="0">
      <w:lvlJc w:val="left"/>
      <w:lvlText w:val="%1."/>
      <w:numFmt w:val="decimal"/>
      <w:start w:val="2"/>
    </w:lvl>
  </w:abstractNum>
  <w:abstractNum w:abstractNumId="458">
    <w:nsid w:val="787AA59C"/>
    <w:multiLevelType w:val="hybridMultilevel"/>
    <w:lvl w:ilvl="0">
      <w:lvlJc w:val="left"/>
      <w:lvlText w:val="%1."/>
      <w:numFmt w:val="decimal"/>
      <w:start w:val="3"/>
    </w:lvl>
  </w:abstractNum>
  <w:abstractNum w:abstractNumId="459">
    <w:nsid w:val="70BB9983"/>
    <w:multiLevelType w:val="hybridMultilevel"/>
    <w:lvl w:ilvl="0">
      <w:lvlJc w:val="left"/>
      <w:lvlText w:val="%1."/>
      <w:numFmt w:val="decimal"/>
      <w:start w:val="4"/>
    </w:lvl>
  </w:abstractNum>
  <w:abstractNum w:abstractNumId="460">
    <w:nsid w:val="51EEBEEA"/>
    <w:multiLevelType w:val="hybridMultilevel"/>
    <w:lvl w:ilvl="0">
      <w:lvlJc w:val="left"/>
      <w:lvlText w:val="·"/>
      <w:numFmt w:val="bullet"/>
      <w:start w:val="1"/>
    </w:lvl>
  </w:abstractNum>
  <w:abstractNum w:abstractNumId="461">
    <w:nsid w:val="221A0CCD"/>
    <w:multiLevelType w:val="hybridMultilevel"/>
    <w:lvl w:ilvl="0">
      <w:lvlJc w:val="left"/>
      <w:lvlText w:val="·"/>
      <w:numFmt w:val="bullet"/>
      <w:start w:val="1"/>
    </w:lvl>
  </w:abstractNum>
  <w:abstractNum w:abstractNumId="462">
    <w:nsid w:val="1B7CA0ED"/>
    <w:multiLevelType w:val="hybridMultilevel"/>
    <w:lvl w:ilvl="0">
      <w:lvlJc w:val="left"/>
      <w:lvlText w:val="%1."/>
      <w:numFmt w:val="decimal"/>
      <w:start w:val="5"/>
    </w:lvl>
  </w:abstractNum>
  <w:abstractNum w:abstractNumId="463">
    <w:nsid w:val="2395A7FF"/>
    <w:multiLevelType w:val="hybridMultilevel"/>
    <w:lvl w:ilvl="0">
      <w:lvlJc w:val="left"/>
      <w:lvlText w:val="-"/>
      <w:numFmt w:val="bullet"/>
      <w:start w:val="1"/>
    </w:lvl>
  </w:abstractNum>
  <w:abstractNum w:abstractNumId="464">
    <w:nsid w:val="3965EB66"/>
    <w:multiLevelType w:val="hybridMultilevel"/>
    <w:lvl w:ilvl="0">
      <w:lvlJc w:val="left"/>
      <w:lvlText w:val="%1."/>
      <w:numFmt w:val="decimal"/>
      <w:start w:val="6"/>
    </w:lvl>
  </w:abstractNum>
  <w:abstractNum w:abstractNumId="465">
    <w:nsid w:val="3AA88B3C"/>
    <w:multiLevelType w:val="hybridMultilevel"/>
    <w:lvl w:ilvl="0">
      <w:lvlJc w:val="left"/>
      <w:lvlText w:val="-"/>
      <w:numFmt w:val="bullet"/>
      <w:start w:val="1"/>
    </w:lvl>
  </w:abstractNum>
  <w:abstractNum w:abstractNumId="466">
    <w:nsid w:val="26BAF231"/>
    <w:multiLevelType w:val="hybridMultilevel"/>
    <w:lvl w:ilvl="0">
      <w:lvlJc w:val="left"/>
      <w:lvlText w:val="%1."/>
      <w:numFmt w:val="decimal"/>
      <w:start w:val="7"/>
    </w:lvl>
  </w:abstractNum>
  <w:abstractNum w:abstractNumId="467">
    <w:nsid w:val="4B13A15A"/>
    <w:multiLevelType w:val="hybridMultilevel"/>
    <w:lvl w:ilvl="0">
      <w:lvlJc w:val="left"/>
      <w:lvlText w:val="%1."/>
      <w:numFmt w:val="decimal"/>
      <w:start w:val="8"/>
    </w:lvl>
  </w:abstractNum>
  <w:abstractNum w:abstractNumId="468">
    <w:nsid w:val="701E8A0D"/>
    <w:multiLevelType w:val="hybridMultilevel"/>
    <w:lvl w:ilvl="0">
      <w:lvlJc w:val="left"/>
      <w:lvlText w:val="%1."/>
      <w:numFmt w:val="decimal"/>
      <w:start w:val="9"/>
    </w:lvl>
  </w:abstractNum>
  <w:abstractNum w:abstractNumId="469">
    <w:nsid w:val="41E690CF"/>
    <w:multiLevelType w:val="hybridMultilevel"/>
    <w:lvl w:ilvl="0">
      <w:lvlJc w:val="left"/>
      <w:lvlText w:val="%1."/>
      <w:numFmt w:val="decimal"/>
      <w:start w:val="10"/>
    </w:lvl>
  </w:abstractNum>
  <w:abstractNum w:abstractNumId="470">
    <w:nsid w:val="7C6489B6"/>
    <w:multiLevelType w:val="hybridMultilevel"/>
    <w:lvl w:ilvl="0">
      <w:lvlJc w:val="left"/>
      <w:lvlText w:val="%1."/>
      <w:numFmt w:val="decimal"/>
      <w:start w:val="11"/>
    </w:lvl>
  </w:abstractNum>
  <w:abstractNum w:abstractNumId="471">
    <w:nsid w:val="53AE65DE"/>
    <w:multiLevelType w:val="hybridMultilevel"/>
    <w:lvl w:ilvl="0">
      <w:lvlJc w:val="left"/>
      <w:lvlText w:val="%1."/>
      <w:numFmt w:val="decimal"/>
      <w:start w:val="12"/>
    </w:lvl>
  </w:abstractNum>
  <w:abstractNum w:abstractNumId="472">
    <w:nsid w:val="527F603D"/>
    <w:multiLevelType w:val="hybridMultilevel"/>
    <w:lvl w:ilvl="0">
      <w:lvlJc w:val="left"/>
      <w:lvlText w:val="%1."/>
      <w:numFmt w:val="upperLetter"/>
      <w:start w:val="9"/>
    </w:lvl>
    <w:lvl w:ilvl="1">
      <w:lvlJc w:val="left"/>
      <w:lvlText w:val="%2."/>
      <w:numFmt w:val="lowerLetter"/>
      <w:start w:val="1"/>
    </w:lvl>
  </w:abstractNum>
  <w:abstractNum w:abstractNumId="473">
    <w:nsid w:val="7E13D013"/>
    <w:multiLevelType w:val="hybridMultilevel"/>
    <w:lvl w:ilvl="0">
      <w:lvlJc w:val="left"/>
      <w:lvlText w:val="[***]"/>
      <w:numFmt w:val="bullet"/>
      <w:start w:val="1"/>
    </w:lvl>
    <w:lvl w:ilvl="1">
      <w:lvlJc w:val="left"/>
      <w:lvlText w:val="%2."/>
      <w:numFmt w:val="lowerLetter"/>
      <w:start w:val="2"/>
    </w:lvl>
  </w:abstractNum>
  <w:abstractNum w:abstractNumId="474">
    <w:nsid w:val="663BFE95"/>
    <w:multiLevelType w:val="hybridMultilevel"/>
    <w:lvl w:ilvl="0">
      <w:lvlJc w:val="left"/>
      <w:lvlText w:val="%1."/>
      <w:numFmt w:val="upperLetter"/>
      <w:start w:val="35"/>
    </w:lvl>
  </w:abstractNum>
  <w:abstractNum w:abstractNumId="475">
    <w:nsid w:val="31E0986F"/>
    <w:multiLevelType w:val="hybridMultilevel"/>
    <w:lvl w:ilvl="0">
      <w:lvlJc w:val="left"/>
      <w:lvlText w:val="[***]"/>
      <w:numFmt w:val="bullet"/>
      <w:start w:val="1"/>
    </w:lvl>
    <w:lvl w:ilvl="1">
      <w:lvlJc w:val="left"/>
      <w:lvlText w:val="■"/>
      <w:numFmt w:val="bullet"/>
      <w:start w:val="1"/>
    </w:lvl>
  </w:abstractNum>
  <w:abstractNum w:abstractNumId="476">
    <w:nsid w:val="41FCF274"/>
    <w:multiLevelType w:val="hybridMultilevel"/>
    <w:lvl w:ilvl="0">
      <w:lvlJc w:val="left"/>
      <w:lvlText w:val="■"/>
      <w:numFmt w:val="bullet"/>
      <w:start w:val="1"/>
    </w:lvl>
  </w:abstractNum>
  <w:abstractNum w:abstractNumId="477">
    <w:nsid w:val="294614F7"/>
    <w:multiLevelType w:val="hybridMultilevel"/>
    <w:lvl w:ilvl="0">
      <w:lvlJc w:val="left"/>
      <w:lvlText w:val="[***]"/>
      <w:numFmt w:val="bullet"/>
      <w:start w:val="1"/>
    </w:lvl>
  </w:abstractNum>
  <w:abstractNum w:abstractNumId="478">
    <w:nsid w:val="517DF487"/>
    <w:multiLevelType w:val="hybridMultilevel"/>
    <w:lvl w:ilvl="0">
      <w:lvlJc w:val="left"/>
      <w:lvlText w:val="[***]"/>
      <w:numFmt w:val="bullet"/>
      <w:start w:val="1"/>
    </w:lvl>
  </w:abstractNum>
  <w:abstractNum w:abstractNumId="479">
    <w:nsid w:val="5EBE0EAB"/>
    <w:multiLevelType w:val="hybridMultilevel"/>
    <w:lvl w:ilvl="0">
      <w:lvlJc w:val="left"/>
      <w:lvlText w:val="%1)"/>
      <w:numFmt w:val="decimal"/>
      <w:start w:val="1"/>
    </w:lvl>
  </w:abstractNum>
  <w:abstractNum w:abstractNumId="480">
    <w:nsid w:val="6E9DEAD0"/>
    <w:multiLevelType w:val="hybridMultilevel"/>
    <w:lvl w:ilvl="0">
      <w:lvlJc w:val="left"/>
      <w:lvlText w:val="[***]"/>
      <w:numFmt w:val="bullet"/>
      <w:start w:val="1"/>
    </w:lvl>
  </w:abstractNum>
  <w:abstractNum w:abstractNumId="481">
    <w:nsid w:val="4450AA00"/>
    <w:multiLevelType w:val="hybridMultilevel"/>
    <w:lvl w:ilvl="0">
      <w:lvlJc w:val="left"/>
      <w:lvlText w:val="%1."/>
      <w:numFmt w:val="decimal"/>
      <w:start w:val="10"/>
    </w:lvl>
    <w:lvl w:ilvl="1">
      <w:lvlJc w:val="left"/>
      <w:lvlText w:val="·"/>
      <w:numFmt w:val="bullet"/>
      <w:start w:val="1"/>
    </w:lvl>
  </w:abstractNum>
  <w:abstractNum w:abstractNumId="482">
    <w:nsid w:val="4AC9F3E2"/>
    <w:multiLevelType w:val="hybridMultilevel"/>
    <w:lvl w:ilvl="0">
      <w:lvlJc w:val="left"/>
      <w:lvlText w:val="o"/>
      <w:numFmt w:val="bullet"/>
      <w:start w:val="1"/>
    </w:lvl>
  </w:abstractNum>
  <w:abstractNum w:abstractNumId="483">
    <w:nsid w:val="CC0A782"/>
    <w:multiLevelType w:val="hybridMultilevel"/>
    <w:lvl w:ilvl="0">
      <w:lvlJc w:val="left"/>
      <w:lvlText w:val="%1."/>
      <w:numFmt w:val="decimal"/>
      <w:start w:val="1"/>
    </w:lvl>
    <w:lvl w:ilvl="1">
      <w:lvlJc w:val="left"/>
      <w:lvlText w:val="(%2)"/>
      <w:numFmt w:val="lowerRoman"/>
      <w:start w:val="3"/>
    </w:lvl>
  </w:abstractNum>
  <w:abstractNum w:abstractNumId="484">
    <w:nsid w:val="79B69BC9"/>
    <w:multiLevelType w:val="hybridMultilevel"/>
    <w:lvl w:ilvl="0">
      <w:lvlJc w:val="left"/>
      <w:lvlText w:val="(%1)"/>
      <w:numFmt w:val="lowerRoman"/>
      <w:start w:val="1"/>
    </w:lvl>
  </w:abstractNum>
  <w:abstractNum w:abstractNumId="485">
    <w:nsid w:val="2970CC78"/>
    <w:multiLevelType w:val="hybridMultilevel"/>
    <w:lvl w:ilvl="0">
      <w:lvlJc w:val="left"/>
      <w:lvlText w:val="%1."/>
      <w:numFmt w:val="decimal"/>
      <w:start w:val="4"/>
    </w:lvl>
    <w:lvl w:ilvl="1">
      <w:lvlJc w:val="left"/>
      <w:lvlText w:val="-"/>
      <w:numFmt w:val="bullet"/>
      <w:start w:val="1"/>
    </w:lvl>
  </w:abstractNum>
  <w:abstractNum w:abstractNumId="486">
    <w:nsid w:val="49CA1341"/>
    <w:multiLevelType w:val="hybridMultilevel"/>
    <w:lvl w:ilvl="0">
      <w:lvlJc w:val="left"/>
      <w:lvlText w:val="%1."/>
      <w:numFmt w:val="decimal"/>
      <w:start w:val="5"/>
    </w:lvl>
    <w:lvl w:ilvl="1">
      <w:lvlJc w:val="left"/>
      <w:lvlText w:val="-"/>
      <w:numFmt w:val="bullet"/>
      <w:start w:val="1"/>
    </w:lvl>
  </w:abstractNum>
  <w:abstractNum w:abstractNumId="487">
    <w:nsid w:val="58D717E"/>
    <w:multiLevelType w:val="hybridMultilevel"/>
    <w:lvl w:ilvl="0">
      <w:lvlJc w:val="left"/>
      <w:lvlText w:val="%1."/>
      <w:numFmt w:val="decimal"/>
      <w:start w:val="7"/>
    </w:lvl>
    <w:lvl w:ilvl="1">
      <w:lvlJc w:val="left"/>
      <w:lvlText w:val="-"/>
      <w:numFmt w:val="bullet"/>
      <w:start w:val="1"/>
    </w:lvl>
  </w:abstractNum>
  <w:abstractNum w:abstractNumId="488">
    <w:nsid w:val="64C2DDD5"/>
    <w:multiLevelType w:val="hybridMultilevel"/>
    <w:lvl w:ilvl="0">
      <w:lvlJc w:val="left"/>
      <w:lvlText w:val="%1."/>
      <w:numFmt w:val="decimal"/>
      <w:start w:val="8"/>
    </w:lvl>
    <w:lvl w:ilvl="1">
      <w:lvlJc w:val="left"/>
      <w:lvlText w:val="-"/>
      <w:numFmt w:val="bullet"/>
      <w:start w:val="1"/>
    </w:lvl>
  </w:abstractNum>
  <w:abstractNum w:abstractNumId="489">
    <w:nsid w:val="4244B8DE"/>
    <w:multiLevelType w:val="hybridMultilevel"/>
    <w:lvl w:ilvl="0">
      <w:lvlJc w:val="left"/>
      <w:lvlText w:val="%1."/>
      <w:numFmt w:val="decimal"/>
      <w:start w:val="11"/>
    </w:lvl>
    <w:lvl w:ilvl="1">
      <w:lvlJc w:val="left"/>
      <w:lvlText w:val="-"/>
      <w:numFmt w:val="bullet"/>
      <w:start w:val="1"/>
    </w:lvl>
  </w:abstractNum>
  <w:abstractNum w:abstractNumId="490">
    <w:nsid w:val="76490B01"/>
    <w:multiLevelType w:val="hybridMultilevel"/>
    <w:lvl w:ilvl="0">
      <w:lvlJc w:val="left"/>
      <w:lvlText w:val="%1."/>
      <w:numFmt w:val="decimal"/>
      <w:start w:val="14"/>
    </w:lvl>
    <w:lvl w:ilvl="1">
      <w:lvlJc w:val="left"/>
      <w:lvlText w:val="-"/>
      <w:numFmt w:val="bullet"/>
      <w:start w:val="1"/>
    </w:lvl>
  </w:abstractNum>
  <w:abstractNum w:abstractNumId="491">
    <w:nsid w:val="36B19CBF"/>
    <w:multiLevelType w:val="hybridMultilevel"/>
    <w:lvl w:ilvl="0">
      <w:lvlJc w:val="left"/>
      <w:lvlText w:val="%1."/>
      <w:numFmt w:val="decimal"/>
      <w:start w:val="15"/>
    </w:lvl>
    <w:lvl w:ilvl="1">
      <w:lvlJc w:val="left"/>
      <w:lvlText w:val="-"/>
      <w:numFmt w:val="bullet"/>
      <w:start w:val="1"/>
    </w:lvl>
  </w:abstractNum>
  <w:abstractNum w:abstractNumId="492">
    <w:nsid w:val="645EC5AB"/>
    <w:multiLevelType w:val="hybridMultilevel"/>
    <w:lvl w:ilvl="0">
      <w:lvlJc w:val="left"/>
      <w:lvlText w:val="%1."/>
      <w:numFmt w:val="decimal"/>
      <w:start w:val="17"/>
    </w:lvl>
    <w:lvl w:ilvl="1">
      <w:lvlJc w:val="left"/>
      <w:lvlText w:val="-"/>
      <w:numFmt w:val="bullet"/>
      <w:start w:val="1"/>
    </w:lvl>
  </w:abstractNum>
  <w:abstractNum w:abstractNumId="493">
    <w:nsid w:val="11C5ABEF"/>
    <w:multiLevelType w:val="hybridMultilevel"/>
    <w:lvl w:ilvl="0">
      <w:lvlJc w:val="left"/>
      <w:lvlText w:val="%1."/>
      <w:numFmt w:val="decimal"/>
      <w:start w:val="19"/>
    </w:lvl>
  </w:abstractNum>
  <w:abstractNum w:abstractNumId="494">
    <w:nsid w:val="5A4744BE"/>
    <w:multiLevelType w:val="hybridMultilevel"/>
    <w:lvl w:ilvl="0">
      <w:lvlJc w:val="left"/>
      <w:lvlText w:val="%1."/>
      <w:numFmt w:val="decimal"/>
      <w:start w:val="1"/>
    </w:lvl>
  </w:abstractNum>
  <w:abstractNum w:abstractNumId="495">
    <w:nsid w:val="1DC4B111"/>
    <w:multiLevelType w:val="hybridMultilevel"/>
    <w:lvl w:ilvl="0">
      <w:lvlJc w:val="left"/>
      <w:lvlText w:val="%1."/>
      <w:numFmt w:val="decimal"/>
      <w:start w:val="3"/>
    </w:lvl>
    <w:lvl w:ilvl="1">
      <w:lvlJc w:val="left"/>
      <w:lvlText w:val="%2."/>
      <w:numFmt w:val="lowerLetter"/>
      <w:start w:val="1"/>
    </w:lvl>
  </w:abstractNum>
  <w:abstractNum w:abstractNumId="496">
    <w:nsid w:val="4C6E372B"/>
    <w:multiLevelType w:val="hybridMultilevel"/>
    <w:lvl w:ilvl="0">
      <w:lvlJc w:val="left"/>
      <w:lvlText w:val="%1."/>
      <w:numFmt w:val="decimal"/>
      <w:start w:val="4"/>
    </w:lvl>
    <w:lvl w:ilvl="1">
      <w:lvlJc w:val="left"/>
      <w:lvlText w:val="%2."/>
      <w:numFmt w:val="lowerLetter"/>
      <w:start w:val="1"/>
    </w:lvl>
  </w:abstractNum>
  <w:abstractNum w:abstractNumId="497">
    <w:nsid w:val="10236EF"/>
    <w:multiLevelType w:val="hybridMultilevel"/>
    <w:lvl w:ilvl="0">
      <w:lvlJc w:val="left"/>
      <w:lvlText w:val="%1."/>
      <w:numFmt w:val="lowerLetter"/>
      <w:start w:val="2"/>
    </w:lvl>
  </w:abstractNum>
  <w:abstractNum w:abstractNumId="498">
    <w:nsid w:val="68D8526B"/>
    <w:multiLevelType w:val="hybridMultilevel"/>
    <w:lvl w:ilvl="0">
      <w:lvlJc w:val="left"/>
      <w:lvlText w:val="%1."/>
      <w:numFmt w:val="decimal"/>
      <w:start w:val="6"/>
    </w:lvl>
    <w:lvl w:ilvl="1">
      <w:lvlJc w:val="left"/>
      <w:lvlText w:val="%2."/>
      <w:numFmt w:val="lowerLetter"/>
      <w:start w:val="1"/>
    </w:lvl>
  </w:abstractNum>
  <w:abstractNum w:abstractNumId="499">
    <w:nsid w:val="3C8CC138"/>
    <w:multiLevelType w:val="hybridMultilevel"/>
    <w:lvl w:ilvl="0">
      <w:lvlJc w:val="left"/>
      <w:lvlText w:val="%1."/>
      <w:numFmt w:val="lowerLetter"/>
      <w:start w:val="6"/>
    </w:lvl>
  </w:abstractNum>
  <w:abstractNum w:abstractNumId="500">
    <w:nsid w:val="42E8C7BE"/>
    <w:multiLevelType w:val="hybridMultilevel"/>
    <w:lvl w:ilvl="0">
      <w:lvlJc w:val="left"/>
      <w:lvlText w:val="%1"/>
      <w:numFmt w:val="decimal"/>
      <w:start w:val="1"/>
    </w:lvl>
    <w:lvl w:ilvl="1">
      <w:lvlJc w:val="left"/>
      <w:lvlText w:val="%2."/>
      <w:numFmt w:val="lowerLetter"/>
      <w:start w:val="6"/>
    </w:lvl>
  </w:abstractNum>
  <w:abstractNum w:abstractNumId="501">
    <w:nsid w:val="653CDC22"/>
    <w:multiLevelType w:val="hybridMultilevel"/>
    <w:lvl w:ilvl="0">
      <w:lvlJc w:val="left"/>
      <w:lvlText w:val="%1."/>
      <w:numFmt w:val="decimal"/>
      <w:start w:val="7"/>
    </w:lvl>
    <w:lvl w:ilvl="1">
      <w:lvlJc w:val="left"/>
      <w:lvlText w:val="%2"/>
      <w:numFmt w:val="lowerLetter"/>
      <w:start w:val="1"/>
    </w:lvl>
  </w:abstractNum>
  <w:abstractNum w:abstractNumId="502">
    <w:nsid w:val="103B2716"/>
    <w:multiLevelType w:val="hybridMultilevel"/>
    <w:lvl w:ilvl="0">
      <w:lvlJc w:val="left"/>
      <w:lvlText w:val="%1."/>
      <w:numFmt w:val="decimal"/>
      <w:start w:val="8"/>
    </w:lvl>
    <w:lvl w:ilvl="1">
      <w:lvlJc w:val="left"/>
      <w:lvlText w:val="%2."/>
      <w:numFmt w:val="lowerLetter"/>
      <w:start w:val="1"/>
    </w:lvl>
  </w:abstractNum>
  <w:abstractNum w:abstractNumId="503">
    <w:nsid w:val="156827FB"/>
    <w:multiLevelType w:val="hybridMultilevel"/>
    <w:lvl w:ilvl="0">
      <w:lvlJc w:val="left"/>
      <w:lvlText w:val="%1"/>
      <w:numFmt w:val="decimal"/>
      <w:start w:val="1"/>
    </w:lvl>
    <w:lvl w:ilvl="1">
      <w:lvlJc w:val="left"/>
      <w:lvlText w:val="%2."/>
      <w:numFmt w:val="lowerLetter"/>
      <w:start w:val="3"/>
    </w:lvl>
  </w:abstractNum>
  <w:abstractNum w:abstractNumId="504">
    <w:nsid w:val="6350AC35"/>
    <w:multiLevelType w:val="hybridMultilevel"/>
    <w:lvl w:ilvl="0">
      <w:lvlJc w:val="left"/>
      <w:lvlText w:val="%1."/>
      <w:numFmt w:val="decimal"/>
      <w:start w:val="9"/>
    </w:lvl>
    <w:lvl w:ilvl="1">
      <w:lvlJc w:val="left"/>
      <w:lvlText w:val="%2"/>
      <w:numFmt w:val="lowerLetter"/>
      <w:start w:val="1"/>
    </w:lvl>
  </w:abstractNum>
  <w:abstractNum w:abstractNumId="505">
    <w:nsid w:val="767725AB"/>
    <w:multiLevelType w:val="hybridMultilevel"/>
    <w:lvl w:ilvl="0">
      <w:lvlJc w:val="left"/>
      <w:lvlText w:val="%1."/>
      <w:numFmt w:val="lowerLetter"/>
      <w:start w:val="1"/>
    </w:lvl>
  </w:abstractNum>
  <w:abstractNum w:abstractNumId="506">
    <w:nsid w:val="4748C06A"/>
    <w:multiLevelType w:val="hybridMultilevel"/>
    <w:lvl w:ilvl="0">
      <w:lvlJc w:val="left"/>
      <w:lvlText w:val="%1."/>
      <w:numFmt w:val="lowerLetter"/>
      <w:start w:val="2"/>
    </w:lvl>
    <w:lvl w:ilvl="1">
      <w:lvlJc w:val="left"/>
      <w:lvlText w:val="(%2)"/>
      <w:numFmt w:val="decimal"/>
      <w:start w:val="1"/>
    </w:lvl>
  </w:abstractNum>
  <w:abstractNum w:abstractNumId="507">
    <w:nsid w:val="254D9EA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08">
    <w:nsid w:val="1FBD3AA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09">
    <w:nsid w:val="18C6B4F2"/>
    <w:multiLevelType w:val="hybridMultilevel"/>
    <w:lvl w:ilvl="0">
      <w:lvlJc w:val="left"/>
      <w:lvlText w:val="%1"/>
      <w:numFmt w:val="decimal"/>
      <w:start w:val="1"/>
    </w:lvl>
    <w:lvl w:ilvl="1">
      <w:lvlJc w:val="left"/>
      <w:lvlText w:val="%2."/>
      <w:numFmt w:val="lowerLetter"/>
      <w:start w:val="2"/>
    </w:lvl>
  </w:abstractNum>
  <w:abstractNum w:abstractNumId="510">
    <w:nsid w:val="40BAD55"/>
    <w:multiLevelType w:val="hybridMultilevel"/>
    <w:lvl w:ilvl="0">
      <w:lvlJc w:val="left"/>
      <w:lvlText w:val="%1."/>
      <w:numFmt w:val="decimal"/>
      <w:start w:val="11"/>
    </w:lvl>
    <w:lvl w:ilvl="1">
      <w:lvlJc w:val="left"/>
      <w:lvlText w:val="%2."/>
      <w:numFmt w:val="lowerLetter"/>
      <w:start w:val="1"/>
    </w:lvl>
  </w:abstractNum>
  <w:abstractNum w:abstractNumId="511">
    <w:nsid w:val="E5B2573"/>
    <w:multiLevelType w:val="hybridMultilevel"/>
    <w:lvl w:ilvl="0">
      <w:lvlJc w:val="left"/>
      <w:lvlText w:val="%1."/>
      <w:numFmt w:val="lowerLetter"/>
      <w:start w:val="2"/>
    </w:lvl>
  </w:abstractNum>
  <w:abstractNum w:abstractNumId="512">
    <w:nsid w:val="5D175EF2"/>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513">
    <w:nsid w:val="4ED5A137"/>
    <w:multiLevelType w:val="hybridMultilevel"/>
    <w:lvl w:ilvl="0">
      <w:lvlJc w:val="left"/>
      <w:lvlText w:val="-"/>
      <w:numFmt w:val="bullet"/>
      <w:start w:val="1"/>
    </w:lvl>
  </w:abstractNum>
  <w:abstractNum w:abstractNumId="514">
    <w:nsid w:val="1B1BCCF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15">
    <w:nsid w:val="56CDFAB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16">
    <w:nsid w:val="78466DAF"/>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517">
    <w:nsid w:val="64E5E036"/>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518">
    <w:nsid w:val="5C5B6C3A"/>
    <w:multiLevelType w:val="hybridMultilevel"/>
    <w:lvl w:ilvl="0">
      <w:lvlJc w:val="left"/>
      <w:lvlText w:val="%1"/>
      <w:numFmt w:val="lowerLetter"/>
      <w:start w:val="1"/>
    </w:lvl>
    <w:lvl w:ilvl="1">
      <w:lvlJc w:val="left"/>
      <w:lvlText w:val="(%2)"/>
      <w:numFmt w:val="decimal"/>
      <w:start w:val="6"/>
    </w:lvl>
  </w:abstractNum>
  <w:abstractNum w:abstractNumId="519">
    <w:nsid w:val="5D094B84"/>
    <w:multiLevelType w:val="hybridMultilevel"/>
    <w:lvl w:ilvl="0">
      <w:lvlJc w:val="left"/>
      <w:lvlText w:val="%1."/>
      <w:numFmt w:val="lowerLetter"/>
      <w:start w:val="2"/>
    </w:lvl>
    <w:lvl w:ilvl="1">
      <w:lvlJc w:val="left"/>
      <w:lvlText w:val="%2"/>
      <w:numFmt w:val="decimal"/>
      <w:start w:val="1"/>
    </w:lvl>
  </w:abstractNum>
  <w:abstractNum w:abstractNumId="520">
    <w:nsid w:val="272A9914"/>
    <w:multiLevelType w:val="hybridMultilevel"/>
    <w:lvl w:ilvl="0">
      <w:lvlJc w:val="left"/>
      <w:lvlText w:val="%1."/>
      <w:numFmt w:val="decimal"/>
      <w:start w:val="15"/>
    </w:lvl>
    <w:lvl w:ilvl="1">
      <w:lvlJc w:val="left"/>
      <w:lvlText w:val="%2."/>
      <w:numFmt w:val="lowerLetter"/>
      <w:start w:val="1"/>
    </w:lvl>
  </w:abstractNum>
  <w:abstractNum w:abstractNumId="521">
    <w:nsid w:val="52A4773B"/>
    <w:multiLevelType w:val="hybridMultilevel"/>
    <w:lvl w:ilvl="0">
      <w:lvlJc w:val="left"/>
      <w:lvlText w:val="%1."/>
      <w:numFmt w:val="lowerLetter"/>
      <w:start w:val="3"/>
    </w:lvl>
  </w:abstractNum>
  <w:abstractNum w:abstractNumId="522">
    <w:nsid w:val="13BAE843"/>
    <w:multiLevelType w:val="hybridMultilevel"/>
    <w:lvl w:ilvl="0">
      <w:lvlJc w:val="left"/>
      <w:lvlText w:val="%1."/>
      <w:numFmt w:val="lowerLetter"/>
      <w:start w:val="5"/>
    </w:lvl>
    <w:lvl w:ilvl="1">
      <w:lvlJc w:val="left"/>
      <w:lvlText w:val="(%2)"/>
      <w:numFmt w:val="decimal"/>
      <w:start w:val="1"/>
    </w:lvl>
  </w:abstractNum>
  <w:abstractNum w:abstractNumId="523">
    <w:nsid w:val="B895EBF"/>
    <w:multiLevelType w:val="hybridMultilevel"/>
    <w:lvl w:ilvl="0">
      <w:lvlJc w:val="left"/>
      <w:lvlText w:val="%1"/>
      <w:numFmt w:val="lowerLetter"/>
      <w:start w:val="1"/>
    </w:lvl>
    <w:lvl w:ilvl="1">
      <w:lvlJc w:val="left"/>
      <w:lvlText w:val="(%2)"/>
      <w:numFmt w:val="decimal"/>
      <w:start w:val="4"/>
    </w:lvl>
  </w:abstractNum>
  <w:abstractNum w:abstractNumId="524">
    <w:nsid w:val="646A232A"/>
    <w:multiLevelType w:val="hybridMultilevel"/>
    <w:lvl w:ilvl="0">
      <w:lvlJc w:val="left"/>
      <w:lvlText w:val="%1."/>
      <w:numFmt w:val="lowerLetter"/>
      <w:start w:val="8"/>
    </w:lvl>
    <w:lvl w:ilvl="1">
      <w:lvlJc w:val="left"/>
      <w:lvlText w:val="%2"/>
      <w:numFmt w:val="decimal"/>
      <w:start w:val="1"/>
    </w:lvl>
  </w:abstractNum>
  <w:abstractNum w:abstractNumId="525">
    <w:nsid w:val="6E022D01"/>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526">
    <w:nsid w:val="294E0FD0"/>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abstractNum>
  <w:abstractNum w:abstractNumId="527">
    <w:nsid w:val="30D85A55"/>
    <w:multiLevelType w:val="hybridMultilevel"/>
    <w:lvl w:ilvl="0">
      <w:lvlJc w:val="left"/>
      <w:lvlText w:val="%1"/>
      <w:numFmt w:val="lowerLetter"/>
      <w:start w:val="1"/>
    </w:lvl>
    <w:lvl w:ilvl="1">
      <w:lvlJc w:val="left"/>
      <w:lvlText w:val="(%2)"/>
      <w:numFmt w:val="decimal"/>
      <w:start w:val="3"/>
    </w:lvl>
  </w:abstractNum>
  <w:abstractNum w:abstractNumId="528">
    <w:nsid w:val="6F0463F1"/>
    <w:multiLevelType w:val="hybridMultilevel"/>
    <w:lvl w:ilvl="0">
      <w:lvlJc w:val="left"/>
      <w:lvlText w:val="%1."/>
      <w:numFmt w:val="lowerLetter"/>
      <w:start w:val="4"/>
    </w:lvl>
    <w:lvl w:ilvl="1">
      <w:lvlJc w:val="left"/>
      <w:lvlText w:val="%2"/>
      <w:numFmt w:val="decimal"/>
      <w:start w:val="1"/>
    </w:lvl>
  </w:abstractNum>
  <w:abstractNum w:abstractNumId="529">
    <w:nsid w:val="1226623C"/>
    <w:multiLevelType w:val="hybridMultilevel"/>
    <w:lvl w:ilvl="0">
      <w:lvlJc w:val="left"/>
      <w:lvlText w:val="%1."/>
      <w:numFmt w:val="lowerLetter"/>
      <w:start w:val="5"/>
    </w:lvl>
  </w:abstractNum>
  <w:abstractNum w:abstractNumId="530">
    <w:nsid w:val="6D651B8D"/>
    <w:multiLevelType w:val="hybridMultilevel"/>
    <w:lvl w:ilvl="0">
      <w:lvlJc w:val="left"/>
      <w:lvlText w:val="%1."/>
      <w:numFmt w:val="decimal"/>
      <w:start w:val="17"/>
    </w:lvl>
    <w:lvl w:ilvl="1">
      <w:lvlJc w:val="left"/>
      <w:lvlText w:val="%2."/>
      <w:numFmt w:val="upperLetter"/>
      <w:start w:val="1"/>
    </w:lvl>
    <w:lvl w:ilvl="2">
      <w:lvlJc w:val="left"/>
      <w:lvlText w:val="%3."/>
      <w:numFmt w:val="lowerLetter"/>
      <w:start w:val="1"/>
    </w:lvl>
  </w:abstractNum>
  <w:abstractNum w:abstractNumId="531">
    <w:nsid w:val="31ED2BAF"/>
    <w:multiLevelType w:val="hybridMultilevel"/>
    <w:lvl w:ilvl="0">
      <w:lvlJc w:val="left"/>
      <w:lvlText w:val="%1."/>
      <w:numFmt w:val="lowerLetter"/>
      <w:start w:val="3"/>
    </w:lvl>
  </w:abstractNum>
  <w:abstractNum w:abstractNumId="532">
    <w:nsid w:val="77633E5E"/>
    <w:multiLevelType w:val="hybridMultilevel"/>
    <w:lvl w:ilvl="0">
      <w:lvlJc w:val="left"/>
      <w:lvlText w:val="%1."/>
      <w:numFmt w:val="lowerLetter"/>
      <w:start w:val="1"/>
    </w:lvl>
  </w:abstractNum>
  <w:abstractNum w:abstractNumId="533">
    <w:nsid w:val="7DA042A3"/>
    <w:multiLevelType w:val="hybridMultilevel"/>
    <w:lvl w:ilvl="0">
      <w:lvlJc w:val="left"/>
      <w:lvlText w:val="(%1)"/>
      <w:numFmt w:val="decimal"/>
      <w:start w:val="2"/>
    </w:lvl>
  </w:abstractNum>
  <w:abstractNum w:abstractNumId="534">
    <w:nsid w:val="475553AB"/>
    <w:multiLevelType w:val="hybridMultilevel"/>
    <w:lvl w:ilvl="0">
      <w:lvlJc w:val="left"/>
      <w:lvlText w:val="(%1)"/>
      <w:numFmt w:val="decimal"/>
      <w:start w:val="2"/>
    </w:lvl>
    <w:lvl w:ilvl="1">
      <w:lvlJc w:val="left"/>
      <w:lvlText w:val="%2."/>
      <w:numFmt w:val="lowerLetter"/>
      <w:start w:val="1"/>
    </w:lvl>
  </w:abstractNum>
  <w:abstractNum w:abstractNumId="535">
    <w:nsid w:val="5AB3EA93"/>
    <w:multiLevelType w:val="hybridMultilevel"/>
    <w:lvl w:ilvl="0">
      <w:lvlJc w:val="left"/>
      <w:lvlText w:val="%1."/>
      <w:numFmt w:val="lowerLetter"/>
      <w:start w:val="6"/>
    </w:lvl>
  </w:abstractNum>
  <w:abstractNum w:abstractNumId="536">
    <w:nsid w:val="7417684F"/>
    <w:multiLevelType w:val="hybridMultilevel"/>
    <w:lvl w:ilvl="0">
      <w:lvlJc w:val="left"/>
      <w:lvlText w:val="%1"/>
      <w:numFmt w:val="decimal"/>
      <w:start w:val="1"/>
    </w:lvl>
    <w:lvl w:ilvl="1">
      <w:lvlJc w:val="left"/>
      <w:lvlText w:val="%2."/>
      <w:numFmt w:val="lowerLetter"/>
      <w:start w:val="4"/>
    </w:lvl>
  </w:abstractNum>
  <w:abstractNum w:abstractNumId="537">
    <w:nsid w:val="E9E1415"/>
    <w:multiLevelType w:val="hybridMultilevel"/>
    <w:lvl w:ilvl="0">
      <w:lvlJc w:val="left"/>
      <w:lvlText w:val="%1."/>
      <w:numFmt w:val="decimal"/>
      <w:start w:val="18"/>
    </w:lvl>
    <w:lvl w:ilvl="1">
      <w:lvlJc w:val="left"/>
      <w:lvlText w:val="%2."/>
      <w:numFmt w:val="lowerLetter"/>
      <w:start w:val="1"/>
    </w:lvl>
  </w:abstractNum>
  <w:abstractNum w:abstractNumId="538">
    <w:nsid w:val="1893D"/>
    <w:multiLevelType w:val="hybridMultilevel"/>
    <w:lvl w:ilvl="0">
      <w:lvlJc w:val="left"/>
      <w:lvlText w:val="%1"/>
      <w:numFmt w:val="decimal"/>
      <w:start w:val="1"/>
    </w:lvl>
    <w:lvl w:ilvl="1">
      <w:lvlJc w:val="left"/>
      <w:lvlText w:val="%2."/>
      <w:numFmt w:val="lowerLetter"/>
      <w:start w:val="2"/>
    </w:lvl>
  </w:abstractNum>
  <w:abstractNum w:abstractNumId="539">
    <w:nsid w:val="13D4A2F2"/>
    <w:multiLevelType w:val="hybridMultilevel"/>
    <w:lvl w:ilvl="0">
      <w:lvlJc w:val="left"/>
      <w:lvlText w:val="%1."/>
      <w:numFmt w:val="decimal"/>
      <w:start w:val="19"/>
    </w:lvl>
    <w:lvl w:ilvl="1">
      <w:lvlJc w:val="left"/>
      <w:lvlText w:val="%2."/>
      <w:numFmt w:val="lowerLetter"/>
      <w:start w:val="1"/>
    </w:lvl>
  </w:abstractNum>
  <w:abstractNum w:abstractNumId="540">
    <w:nsid w:val="2764C907"/>
    <w:multiLevelType w:val="hybridMultilevel"/>
    <w:lvl w:ilvl="0">
      <w:lvlJc w:val="left"/>
      <w:lvlText w:val="%1"/>
      <w:numFmt w:val="decimal"/>
      <w:start w:val="1"/>
    </w:lvl>
    <w:lvl w:ilvl="1">
      <w:lvlJc w:val="left"/>
      <w:lvlText w:val="%2."/>
      <w:numFmt w:val="lowerLetter"/>
      <w:start w:val="3"/>
    </w:lvl>
  </w:abstractNum>
  <w:abstractNum w:abstractNumId="541">
    <w:nsid w:val="40D3692"/>
    <w:multiLevelType w:val="hybridMultilevel"/>
    <w:lvl w:ilvl="0">
      <w:lvlJc w:val="left"/>
      <w:lvlText w:val="%1."/>
      <w:numFmt w:val="decimal"/>
      <w:start w:val="20"/>
    </w:lvl>
    <w:lvl w:ilvl="1">
      <w:lvlJc w:val="left"/>
      <w:lvlText w:val="%2."/>
      <w:numFmt w:val="lowerLetter"/>
      <w:start w:val="1"/>
    </w:lvl>
  </w:abstractNum>
  <w:abstractNum w:abstractNumId="542">
    <w:nsid w:val="222FC865"/>
    <w:multiLevelType w:val="hybridMultilevel"/>
    <w:lvl w:ilvl="0">
      <w:lvlJc w:val="left"/>
      <w:lvlText w:val="%1."/>
      <w:numFmt w:val="decimal"/>
      <w:start w:val="21"/>
    </w:lvl>
    <w:lvl w:ilvl="1">
      <w:lvlJc w:val="left"/>
      <w:lvlText w:val="%2."/>
      <w:numFmt w:val="lowerLetter"/>
      <w:start w:val="1"/>
    </w:lvl>
  </w:abstractNum>
  <w:abstractNum w:abstractNumId="543">
    <w:nsid w:val="47C27FA"/>
    <w:multiLevelType w:val="hybridMultilevel"/>
    <w:lvl w:ilvl="0">
      <w:lvlJc w:val="left"/>
      <w:lvlText w:val="%1."/>
      <w:numFmt w:val="decimal"/>
      <w:start w:val="22"/>
    </w:lvl>
    <w:lvl w:ilvl="1">
      <w:lvlJc w:val="left"/>
      <w:lvlText w:val="%2."/>
      <w:numFmt w:val="lowerLetter"/>
      <w:start w:val="1"/>
    </w:lvl>
    <w:lvl w:ilvl="2">
      <w:lvlJc w:val="left"/>
      <w:lvlText w:val="(%3)"/>
      <w:numFmt w:val="decimal"/>
      <w:start w:val="1"/>
    </w:lvl>
  </w:abstractNum>
  <w:abstractNum w:abstractNumId="544">
    <w:nsid w:val="52E2D7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45">
    <w:nsid w:val="3D4B955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46">
    <w:nsid w:val="5B4A22B5"/>
    <w:multiLevelType w:val="hybridMultilevel"/>
    <w:lvl w:ilvl="0">
      <w:lvlJc w:val="left"/>
      <w:lvlText w:val="%1."/>
      <w:numFmt w:val="decimal"/>
      <w:start w:val="23"/>
    </w:lvl>
    <w:lvl w:ilvl="1">
      <w:lvlJc w:val="left"/>
      <w:lvlText w:val="%2"/>
      <w:numFmt w:val="lowerLetter"/>
      <w:start w:val="1"/>
    </w:lvl>
    <w:lvl w:ilvl="2">
      <w:lvlJc w:val="left"/>
      <w:lvlText w:val="%3"/>
      <w:numFmt w:val="decimal"/>
      <w:start w:val="1"/>
    </w:lvl>
  </w:abstractNum>
  <w:abstractNum w:abstractNumId="547">
    <w:nsid w:val="4B294578"/>
    <w:multiLevelType w:val="hybridMultilevel"/>
    <w:lvl w:ilvl="0">
      <w:lvlJc w:val="left"/>
      <w:lvlText w:val="%1"/>
      <w:numFmt w:val="decimal"/>
      <w:start w:val="1"/>
    </w:lvl>
    <w:lvl w:ilvl="1">
      <w:lvlJc w:val="left"/>
      <w:lvlText w:val="%2."/>
      <w:numFmt w:val="lowerLetter"/>
      <w:start w:val="1"/>
    </w:lvl>
  </w:abstractNum>
  <w:abstractNum w:abstractNumId="548">
    <w:nsid w:val="22317590"/>
    <w:multiLevelType w:val="hybridMultilevel"/>
    <w:lvl w:ilvl="0">
      <w:lvlJc w:val="left"/>
      <w:lvlText w:val="%1."/>
      <w:numFmt w:val="decimal"/>
      <w:start w:val="24"/>
    </w:lvl>
    <w:lvl w:ilvl="1">
      <w:lvlJc w:val="left"/>
      <w:lvlText w:val="%2."/>
      <w:numFmt w:val="lowerLetter"/>
      <w:start w:val="1"/>
    </w:lvl>
  </w:abstractNum>
  <w:abstractNum w:abstractNumId="549">
    <w:nsid w:val="37A58EEF"/>
    <w:multiLevelType w:val="hybridMultilevel"/>
    <w:lvl w:ilvl="0">
      <w:lvlJc w:val="left"/>
      <w:lvlText w:val="%1."/>
      <w:numFmt w:val="lowerLetter"/>
      <w:start w:val="4"/>
    </w:lvl>
  </w:abstractNum>
  <w:abstractNum w:abstractNumId="550">
    <w:nsid w:val="283290FD"/>
    <w:multiLevelType w:val="hybridMultilevel"/>
    <w:lvl w:ilvl="0">
      <w:lvlJc w:val="left"/>
      <w:lvlText w:val="%1."/>
      <w:numFmt w:val="decimal"/>
      <w:start w:val="1"/>
    </w:lvl>
  </w:abstractNum>
  <w:abstractNum w:abstractNumId="551">
    <w:nsid w:val="495C0EA5"/>
    <w:multiLevelType w:val="hybridMultilevel"/>
    <w:lvl w:ilvl="0">
      <w:lvlJc w:val="left"/>
      <w:lvlText w:val="%1."/>
      <w:numFmt w:val="decimal"/>
      <w:start w:val="3"/>
    </w:lvl>
  </w:abstractNum>
  <w:abstractNum w:abstractNumId="552">
    <w:nsid w:val="A4A062B"/>
    <w:multiLevelType w:val="hybridMultilevel"/>
    <w:lvl w:ilvl="0">
      <w:lvlJc w:val="left"/>
      <w:lvlText w:val="%1."/>
      <w:numFmt w:val="decimal"/>
      <w:start w:val="6"/>
    </w:lvl>
  </w:abstractNum>
  <w:abstractNum w:abstractNumId="553">
    <w:nsid w:val="3BED7940"/>
    <w:multiLevelType w:val="hybridMultilevel"/>
    <w:lvl w:ilvl="0">
      <w:lvlJc w:val="left"/>
      <w:lvlText w:val="%1."/>
      <w:numFmt w:val="decimal"/>
      <w:start w:val="8"/>
    </w:lvl>
  </w:abstractNum>
  <w:abstractNum w:abstractNumId="554">
    <w:nsid w:val="54E56D64"/>
    <w:multiLevelType w:val="hybridMultilevel"/>
    <w:lvl w:ilvl="0">
      <w:lvlJc w:val="left"/>
      <w:lvlText w:val="%1."/>
      <w:numFmt w:val="decimal"/>
      <w:start w:val="1"/>
    </w:lvl>
  </w:abstractNum>
  <w:abstractNum w:abstractNumId="555">
    <w:nsid w:val="6EB42955"/>
    <w:multiLevelType w:val="hybridMultilevel"/>
    <w:lvl w:ilvl="0">
      <w:lvlJc w:val="left"/>
      <w:lvlText w:val="%1."/>
      <w:numFmt w:val="decimal"/>
      <w:start w:val="2"/>
    </w:lvl>
    <w:lvl w:ilvl="1">
      <w:lvlJc w:val="left"/>
      <w:lvlText w:val="(%2)"/>
      <w:numFmt w:val="lowerLetter"/>
      <w:start w:val="1"/>
    </w:lvl>
  </w:abstractNum>
  <w:abstractNum w:abstractNumId="556">
    <w:nsid w:val="29EFA642"/>
    <w:multiLevelType w:val="hybridMultilevel"/>
    <w:lvl w:ilvl="0">
      <w:lvlJc w:val="left"/>
      <w:lvlText w:val="%1"/>
      <w:numFmt w:val="decimal"/>
      <w:start w:val="1"/>
    </w:lvl>
    <w:lvl w:ilvl="1">
      <w:lvlJc w:val="left"/>
      <w:lvlText w:val="(%2)"/>
      <w:numFmt w:val="lowerLetter"/>
      <w:start w:val="6"/>
    </w:lvl>
  </w:abstractNum>
  <w:abstractNum w:abstractNumId="557">
    <w:nsid w:val="7E337D35"/>
    <w:multiLevelType w:val="hybridMultilevel"/>
    <w:lvl w:ilvl="0">
      <w:lvlJc w:val="left"/>
      <w:lvlText w:val="%1."/>
      <w:numFmt w:val="decimal"/>
      <w:start w:val="3"/>
    </w:lvl>
    <w:lvl w:ilvl="1">
      <w:lvlJc w:val="left"/>
      <w:lvlText w:val="%2"/>
      <w:numFmt w:val="lowerLetter"/>
      <w:start w:val="1"/>
    </w:lvl>
  </w:abstractNum>
  <w:abstractNum w:abstractNumId="558">
    <w:nsid w:val="1F8C83AB"/>
    <w:multiLevelType w:val="hybridMultilevel"/>
    <w:lvl w:ilvl="0">
      <w:lvlJc w:val="left"/>
      <w:lvlText w:val="%1."/>
      <w:numFmt w:val="decimal"/>
      <w:start w:val="4"/>
    </w:lvl>
    <w:lvl w:ilvl="1">
      <w:lvlJc w:val="left"/>
      <w:lvlText w:val="(%2)"/>
      <w:numFmt w:val="lowerLetter"/>
      <w:start w:val="2"/>
    </w:lvl>
  </w:abstractNum>
  <w:abstractNum w:abstractNumId="559">
    <w:nsid w:val="18F40A33"/>
    <w:multiLevelType w:val="hybridMultilevel"/>
    <w:lvl w:ilvl="0">
      <w:lvlJc w:val="left"/>
      <w:lvlText w:val="(%1)"/>
      <w:numFmt w:val="lowerLetter"/>
      <w:start w:val="3"/>
    </w:lvl>
  </w:abstractNum>
  <w:abstractNum w:abstractNumId="560">
    <w:nsid w:val="1059DF71"/>
    <w:multiLevelType w:val="hybridMultilevel"/>
    <w:lvl w:ilvl="0">
      <w:lvlJc w:val="left"/>
      <w:lvlText w:val="%1"/>
      <w:numFmt w:val="decimal"/>
      <w:start w:val="1"/>
    </w:lvl>
    <w:lvl w:ilvl="1">
      <w:lvlJc w:val="left"/>
      <w:lvlText w:val="(%2)"/>
      <w:numFmt w:val="lowerLetter"/>
      <w:start w:val="7"/>
    </w:lvl>
  </w:abstractNum>
  <w:abstractNum w:abstractNumId="561">
    <w:nsid w:val="CF19F38"/>
    <w:multiLevelType w:val="hybridMultilevel"/>
    <w:lvl w:ilvl="0">
      <w:lvlJc w:val="left"/>
      <w:lvlText w:val="%1."/>
      <w:numFmt w:val="decimal"/>
      <w:start w:val="5"/>
    </w:lvl>
    <w:lvl w:ilvl="1">
      <w:lvlJc w:val="left"/>
      <w:lvlText w:val="%2"/>
      <w:numFmt w:val="lowerLetter"/>
      <w:start w:val="1"/>
    </w:lvl>
  </w:abstractNum>
  <w:abstractNum w:abstractNumId="562">
    <w:nsid w:val="4AE135E2"/>
    <w:multiLevelType w:val="hybridMultilevel"/>
    <w:lvl w:ilvl="0">
      <w:lvlJc w:val="left"/>
      <w:lvlText w:val="%1."/>
      <w:numFmt w:val="decimal"/>
      <w:start w:val="7"/>
    </w:lvl>
  </w:abstractNum>
  <w:abstractNum w:abstractNumId="563">
    <w:nsid w:val="7BD1DCF"/>
    <w:multiLevelType w:val="hybridMultilevel"/>
    <w:lvl w:ilvl="0">
      <w:lvlJc w:val="left"/>
      <w:lvlText w:val="%1."/>
      <w:numFmt w:val="decimal"/>
      <w:start w:val="8"/>
    </w:lvl>
  </w:abstractNum>
  <w:abstractNum w:abstractNumId="564">
    <w:nsid w:val="A91E1DC"/>
    <w:multiLevelType w:val="hybridMultilevel"/>
    <w:lvl w:ilvl="0">
      <w:lvlJc w:val="left"/>
      <w:lvlText w:val="%1."/>
      <w:numFmt w:val="decimal"/>
      <w:start w:val="1"/>
    </w:lvl>
  </w:abstractNum>
  <w:abstractNum w:abstractNumId="565">
    <w:nsid w:val="1236898D"/>
    <w:multiLevelType w:val="hybridMultilevel"/>
    <w:lvl w:ilvl="0">
      <w:lvlJc w:val="left"/>
      <w:lvlText w:val="%1."/>
      <w:numFmt w:val="decimal"/>
      <w:start w:val="5"/>
    </w:lvl>
  </w:abstractNum>
  <w:abstractNum w:abstractNumId="566">
    <w:nsid w:val="62710862"/>
    <w:multiLevelType w:val="hybridMultilevel"/>
    <w:lvl w:ilvl="0">
      <w:lvlJc w:val="left"/>
      <w:lvlText w:val="%1."/>
      <w:numFmt w:val="decimal"/>
      <w:start w:val="1"/>
    </w:lvl>
  </w:abstractNum>
  <w:abstractNum w:abstractNumId="567">
    <w:nsid w:val="7EA94A2B"/>
    <w:multiLevelType w:val="hybridMultilevel"/>
    <w:lvl w:ilvl="0">
      <w:lvlJc w:val="left"/>
      <w:lvlText w:val="%1."/>
      <w:numFmt w:val="decimal"/>
      <w:start w:val="3"/>
    </w:lvl>
  </w:abstractNum>
  <w:abstractNum w:abstractNumId="568">
    <w:nsid w:val="20D49DA3"/>
    <w:multiLevelType w:val="hybridMultilevel"/>
    <w:lvl w:ilvl="0">
      <w:lvlJc w:val="left"/>
      <w:lvlText w:val="%1."/>
      <w:numFmt w:val="decimal"/>
      <w:start w:val="5"/>
    </w:lvl>
  </w:abstractNum>
  <w:abstractNum w:abstractNumId="569">
    <w:nsid w:val="6272919F"/>
    <w:multiLevelType w:val="hybridMultilevel"/>
    <w:lvl w:ilvl="0">
      <w:lvlJc w:val="left"/>
      <w:lvlText w:val="%1."/>
      <w:numFmt w:val="decimal"/>
      <w:start w:val="9"/>
    </w:lvl>
  </w:abstractNum>
  <w:abstractNum w:abstractNumId="570">
    <w:nsid w:val="127DED1D"/>
    <w:multiLevelType w:val="hybridMultilevel"/>
    <w:lvl w:ilvl="0">
      <w:lvlJc w:val="left"/>
      <w:lvlText w:val="%1."/>
      <w:numFmt w:val="decimal"/>
      <w:start w:val="10"/>
    </w:lvl>
  </w:abstractNum>
  <w:abstractNum w:abstractNumId="571">
    <w:nsid w:val="483966AA"/>
    <w:multiLevelType w:val="hybridMultilevel"/>
    <w:lvl w:ilvl="0">
      <w:lvlJc w:val="left"/>
      <w:lvlText w:val="%1."/>
      <w:numFmt w:val="decimal"/>
      <w:start w:val="12"/>
    </w:lvl>
  </w:abstractNum>
  <w:abstractNum w:abstractNumId="572">
    <w:nsid w:val="667FC831"/>
    <w:multiLevelType w:val="hybridMultilevel"/>
    <w:lvl w:ilvl="0">
      <w:lvlJc w:val="left"/>
      <w:lvlText w:val="%1."/>
      <w:numFmt w:val="decimal"/>
      <w:start w:val="13"/>
    </w:lvl>
  </w:abstractNum>
  <w:abstractNum w:abstractNumId="573">
    <w:nsid w:val="34ADB582"/>
    <w:multiLevelType w:val="hybridMultilevel"/>
    <w:lvl w:ilvl="0">
      <w:lvlJc w:val="left"/>
      <w:lvlText w:val="%1."/>
      <w:numFmt w:val="decimal"/>
      <w:start w:val="17"/>
    </w:lvl>
  </w:abstractNum>
  <w:abstractNum w:abstractNumId="574">
    <w:nsid w:val="4CB58EA4"/>
    <w:multiLevelType w:val="hybridMultilevel"/>
    <w:lvl w:ilvl="0">
      <w:lvlJc w:val="left"/>
      <w:lvlText w:val="%1."/>
      <w:numFmt w:val="decimal"/>
      <w:start w:val="1"/>
    </w:lvl>
  </w:abstractNum>
  <w:abstractNum w:abstractNumId="575">
    <w:nsid w:val="39629FFA"/>
    <w:multiLevelType w:val="hybridMultilevel"/>
    <w:lvl w:ilvl="0">
      <w:lvlJc w:val="left"/>
      <w:lvlText w:val="%1."/>
      <w:numFmt w:val="decimal"/>
      <w:start w:val="2"/>
    </w:lvl>
  </w:abstractNum>
  <w:abstractNum w:abstractNumId="576">
    <w:nsid w:val="71F94ADC"/>
    <w:multiLevelType w:val="hybridMultilevel"/>
    <w:lvl w:ilvl="0">
      <w:lvlJc w:val="left"/>
      <w:lvlText w:val="%1."/>
      <w:numFmt w:val="decimal"/>
      <w:start w:val="3"/>
    </w:lvl>
  </w:abstractNum>
  <w:abstractNum w:abstractNumId="577">
    <w:nsid w:val="27FFB15A"/>
    <w:multiLevelType w:val="hybridMultilevel"/>
    <w:lvl w:ilvl="0">
      <w:lvlJc w:val="left"/>
      <w:lvlText w:val="%1."/>
      <w:numFmt w:val="decimal"/>
      <w:start w:val="4"/>
    </w:lvl>
  </w:abstractNum>
  <w:abstractNum w:abstractNumId="578">
    <w:nsid w:val="48BE573"/>
    <w:multiLevelType w:val="hybridMultilevel"/>
    <w:lvl w:ilvl="0">
      <w:lvlJc w:val="left"/>
      <w:lvlText w:val="%1."/>
      <w:numFmt w:val="decimal"/>
      <w:start w:val="5"/>
    </w:lvl>
  </w:abstractNum>
  <w:abstractNum w:abstractNumId="579">
    <w:nsid w:val="142AC06C"/>
    <w:multiLevelType w:val="hybridMultilevel"/>
    <w:lvl w:ilvl="0">
      <w:lvlJc w:val="left"/>
      <w:lvlText w:val="(%1)"/>
      <w:numFmt w:val="lowerRoman"/>
      <w:start w:val="2"/>
    </w:lvl>
  </w:abstractNum>
  <w:abstractNum w:abstractNumId="580">
    <w:nsid w:val="5FA54049"/>
    <w:multiLevelType w:val="hybridMultilevel"/>
    <w:lvl w:ilvl="0">
      <w:lvlJc w:val="left"/>
      <w:lvlText w:val="%1."/>
      <w:numFmt w:val="decimal"/>
      <w:start w:val="6"/>
    </w:lvl>
  </w:abstractNum>
  <w:abstractNum w:abstractNumId="581">
    <w:nsid w:val="2CBE7670"/>
    <w:multiLevelType w:val="hybridMultilevel"/>
    <w:lvl w:ilvl="0">
      <w:lvlJc w:val="left"/>
      <w:lvlText w:val="%1."/>
      <w:numFmt w:val="decimal"/>
      <w:start w:val="7"/>
    </w:lvl>
  </w:abstractNum>
  <w:abstractNum w:abstractNumId="582">
    <w:nsid w:val="5D86CF11"/>
    <w:multiLevelType w:val="hybridMultilevel"/>
    <w:lvl w:ilvl="0">
      <w:lvlJc w:val="left"/>
      <w:lvlText w:val="(%1)"/>
      <w:numFmt w:val="lowerLetter"/>
      <w:start w:val="1"/>
    </w:lvl>
  </w:abstractNum>
  <w:abstractNum w:abstractNumId="583">
    <w:nsid w:val="69EF4674"/>
    <w:multiLevelType w:val="hybridMultilevel"/>
    <w:lvl w:ilvl="0">
      <w:lvlJc w:val="left"/>
      <w:lvlText w:val="(%1)"/>
      <w:numFmt w:val="lowerRoman"/>
      <w:start w:val="1"/>
    </w:lvl>
  </w:abstractNum>
  <w:abstractNum w:abstractNumId="584">
    <w:nsid w:val="68ABEFB0"/>
    <w:multiLevelType w:val="hybridMultilevel"/>
    <w:lvl w:ilvl="0">
      <w:lvlJc w:val="left"/>
      <w:lvlText w:val="(%1)"/>
      <w:numFmt w:val="decimal"/>
      <w:start w:val="2"/>
    </w:lvl>
  </w:abstractNum>
  <w:abstractNum w:abstractNumId="585">
    <w:nsid w:val="326C3C76"/>
    <w:multiLevelType w:val="hybridMultilevel"/>
    <w:lvl w:ilvl="0">
      <w:lvlJc w:val="left"/>
      <w:lvlText w:val="(%1)"/>
      <w:numFmt w:val="lowerLetter"/>
      <w:start w:val="1"/>
    </w:lvl>
  </w:abstractNum>
  <w:abstractNum w:abstractNumId="586">
    <w:nsid w:val="58A36FCA"/>
    <w:multiLevelType w:val="hybridMultilevel"/>
    <w:lvl w:ilvl="0">
      <w:lvlJc w:val="left"/>
      <w:lvlText w:val="(%1)"/>
      <w:numFmt w:val="decimal"/>
      <w:start w:val="3"/>
    </w:lvl>
  </w:abstractNum>
  <w:abstractNum w:abstractNumId="587">
    <w:nsid w:val="129B95F2"/>
    <w:multiLevelType w:val="hybridMultilevel"/>
    <w:lvl w:ilvl="0">
      <w:lvlJc w:val="left"/>
      <w:lvlText w:val="%1."/>
      <w:numFmt w:val="decimal"/>
      <w:start w:val="1"/>
    </w:lvl>
  </w:abstractNum>
  <w:abstractNum w:abstractNumId="588">
    <w:nsid w:val="309FB9AB"/>
    <w:multiLevelType w:val="hybridMultilevel"/>
    <w:lvl w:ilvl="0">
      <w:lvlJc w:val="left"/>
      <w:lvlText w:val="%1."/>
      <w:numFmt w:val="decimal"/>
      <w:start w:val="2"/>
    </w:lvl>
  </w:abstractNum>
  <w:abstractNum w:abstractNumId="589">
    <w:nsid w:val="782FF375"/>
    <w:multiLevelType w:val="hybridMultilevel"/>
    <w:lvl w:ilvl="0">
      <w:lvlJc w:val="left"/>
      <w:lvlText w:val="%1."/>
      <w:numFmt w:val="decimal"/>
      <w:start w:val="6"/>
    </w:lvl>
  </w:abstractNum>
  <w:abstractNum w:abstractNumId="590">
    <w:nsid w:val="2B8FA025"/>
    <w:multiLevelType w:val="hybridMultilevel"/>
    <w:lvl w:ilvl="0">
      <w:lvlJc w:val="left"/>
      <w:lvlText w:val="(%1)"/>
      <w:numFmt w:val="lowerLetter"/>
      <w:start w:val="1"/>
    </w:lvl>
  </w:abstractNum>
  <w:abstractNum w:abstractNumId="591">
    <w:nsid w:val="40F9991C"/>
    <w:multiLevelType w:val="hybridMultilevel"/>
    <w:lvl w:ilvl="0">
      <w:lvlJc w:val="left"/>
      <w:lvlText w:val="(%1)"/>
      <w:numFmt w:val="lowerLetter"/>
      <w:start w:val="1"/>
    </w:lvl>
  </w:abstractNum>
  <w:abstractNum w:abstractNumId="592">
    <w:nsid w:val="52192AD"/>
    <w:multiLevelType w:val="hybridMultilevel"/>
    <w:lvl w:ilvl="0">
      <w:lvlJc w:val="left"/>
      <w:lvlText w:val="%1"/>
      <w:numFmt w:val="lowerLetter"/>
      <w:start w:val="1"/>
    </w:lvl>
    <w:lvl w:ilvl="1">
      <w:lvlJc w:val="left"/>
      <w:lvlText w:val="(%2)"/>
      <w:numFmt w:val="lowerLetter"/>
      <w:start w:val="3"/>
    </w:lvl>
  </w:abstractNum>
  <w:abstractNum w:abstractNumId="593">
    <w:nsid w:val="7670D608"/>
    <w:multiLevelType w:val="hybridMultilevel"/>
    <w:lvl w:ilvl="0">
      <w:lvlJc w:val="left"/>
      <w:lvlText w:val="(%1)"/>
      <w:numFmt w:val="lowerLetter"/>
      <w:start w:val="1"/>
    </w:lvl>
    <w:lvl w:ilvl="1">
      <w:lvlJc w:val="left"/>
      <w:lvlText w:val="%2"/>
      <w:numFmt w:val="lowerLetter"/>
      <w:start w:val="1"/>
    </w:lvl>
  </w:abstractNum>
  <w:abstractNum w:abstractNumId="594">
    <w:nsid w:val="48B6B6EB"/>
    <w:multiLevelType w:val="hybridMultilevel"/>
    <w:lvl w:ilvl="0">
      <w:lvlJc w:val="left"/>
      <w:lvlText w:val="(%1)"/>
      <w:numFmt w:val="lowerLetter"/>
      <w:start w:val="1"/>
    </w:lvl>
  </w:abstractNum>
  <w:abstractNum w:abstractNumId="595">
    <w:nsid w:val="FB37489"/>
    <w:multiLevelType w:val="hybridMultilevel"/>
    <w:lvl w:ilvl="0">
      <w:lvlJc w:val="left"/>
      <w:lvlText w:val="(%1)"/>
      <w:numFmt w:val="decimal"/>
      <w:start w:val="10"/>
    </w:lvl>
  </w:abstractNum>
  <w:abstractNum w:abstractNumId="596">
    <w:nsid w:val="8A75F95"/>
    <w:multiLevelType w:val="hybridMultilevel"/>
    <w:lvl w:ilvl="0">
      <w:lvlJc w:val="left"/>
      <w:lvlText w:val="(%1)"/>
      <w:numFmt w:val="lowerLetter"/>
      <w:start w:val="1"/>
    </w:lvl>
  </w:abstractNum>
  <w:abstractNum w:abstractNumId="597">
    <w:nsid w:val="2B27BF4D"/>
    <w:multiLevelType w:val="hybridMultilevel"/>
    <w:lvl w:ilvl="0">
      <w:lvlJc w:val="left"/>
      <w:lvlText w:val="(%1)"/>
      <w:numFmt w:val="lowerLetter"/>
      <w:start w:val="2"/>
    </w:lvl>
  </w:abstractNum>
  <w:abstractNum w:abstractNumId="598">
    <w:nsid w:val="E5CBEB4"/>
    <w:multiLevelType w:val="hybridMultilevel"/>
    <w:lvl w:ilvl="0">
      <w:lvlJc w:val="left"/>
      <w:lvlText w:val="(%1)"/>
      <w:numFmt w:val="lowerLetter"/>
      <w:start w:val="1"/>
    </w:lvl>
  </w:abstractNum>
  <w:abstractNum w:abstractNumId="599">
    <w:nsid w:val="297BFD38"/>
    <w:multiLevelType w:val="hybridMultilevel"/>
    <w:lvl w:ilvl="0">
      <w:lvlJc w:val="left"/>
      <w:lvlText w:val="(%1)"/>
      <w:numFmt w:val="lowerLetter"/>
      <w:start w:val="2"/>
    </w:lvl>
  </w:abstractNum>
  <w:abstractNum w:abstractNumId="600">
    <w:nsid w:val="D9A50ED"/>
    <w:multiLevelType w:val="hybridMultilevel"/>
    <w:lvl w:ilvl="0">
      <w:lvlJc w:val="left"/>
      <w:lvlText w:val="(%1)"/>
      <w:numFmt w:val="lowerLetter"/>
      <w:start w:val="1"/>
    </w:lvl>
  </w:abstractNum>
  <w:abstractNum w:abstractNumId="601">
    <w:nsid w:val="20DAABD1"/>
    <w:multiLevelType w:val="hybridMultilevel"/>
    <w:lvl w:ilvl="0">
      <w:lvlJc w:val="left"/>
      <w:lvlText w:val="(%1)"/>
      <w:numFmt w:val="lowerLetter"/>
      <w:start w:val="2"/>
    </w:lvl>
  </w:abstractNum>
  <w:abstractNum w:abstractNumId="602">
    <w:nsid w:val="71B563E3"/>
    <w:multiLevelType w:val="hybridMultilevel"/>
    <w:lvl w:ilvl="0">
      <w:lvlJc w:val="left"/>
      <w:lvlText w:val="(%1)"/>
      <w:numFmt w:val="lowerLetter"/>
      <w:start w:val="1"/>
    </w:lvl>
  </w:abstractNum>
  <w:abstractNum w:abstractNumId="603">
    <w:nsid w:val="741A191E"/>
    <w:multiLevelType w:val="hybridMultilevel"/>
    <w:lvl w:ilvl="0">
      <w:lvlJc w:val="left"/>
      <w:lvlText w:val="(%1)"/>
      <w:numFmt w:val="lowerLetter"/>
      <w:start w:val="5"/>
    </w:lvl>
  </w:abstractNum>
  <w:abstractNum w:abstractNumId="604">
    <w:nsid w:val="55886153"/>
    <w:multiLevelType w:val="hybridMultilevel"/>
    <w:lvl w:ilvl="0">
      <w:lvlJc w:val="left"/>
      <w:lvlText w:val="(%1)"/>
      <w:numFmt w:val="lowerLetter"/>
      <w:start w:val="1"/>
    </w:lvl>
  </w:abstractNum>
  <w:abstractNum w:abstractNumId="605">
    <w:nsid w:val="3E6AF287"/>
    <w:multiLevelType w:val="hybridMultilevel"/>
    <w:lvl w:ilvl="0">
      <w:lvlJc w:val="left"/>
      <w:lvlText w:val="(%1)"/>
      <w:numFmt w:val="lowerLetter"/>
      <w:start w:val="1"/>
    </w:lvl>
  </w:abstractNum>
  <w:abstractNum w:abstractNumId="606">
    <w:nsid w:val="2D7CB919"/>
    <w:multiLevelType w:val="hybridMultilevel"/>
    <w:lvl w:ilvl="0">
      <w:lvlJc w:val="left"/>
      <w:lvlText w:val="(%1)"/>
      <w:numFmt w:val="lowerLetter"/>
      <w:start w:val="4"/>
    </w:lvl>
  </w:abstractNum>
  <w:abstractNum w:abstractNumId="607">
    <w:nsid w:val="4781AC2F"/>
    <w:multiLevelType w:val="hybridMultilevel"/>
    <w:lvl w:ilvl="0">
      <w:lvlJc w:val="left"/>
      <w:lvlText w:val="(%1)"/>
      <w:numFmt w:val="lowerLetter"/>
      <w:start w:val="1"/>
    </w:lvl>
  </w:abstractNum>
  <w:abstractNum w:abstractNumId="608">
    <w:nsid w:val="666AA3E1"/>
    <w:multiLevelType w:val="hybridMultilevel"/>
    <w:lvl w:ilvl="0">
      <w:lvlJc w:val="left"/>
      <w:lvlText w:val="(%1)"/>
      <w:numFmt w:val="lowerLetter"/>
      <w:start w:val="3"/>
    </w:lvl>
  </w:abstractNum>
  <w:abstractNum w:abstractNumId="609">
    <w:nsid w:val="32089E8C"/>
    <w:multiLevelType w:val="hybridMultilevel"/>
    <w:lvl w:ilvl="0">
      <w:lvlJc w:val="left"/>
      <w:lvlText w:val="%1."/>
      <w:numFmt w:val="decimal"/>
      <w:start w:val="1"/>
    </w:lvl>
  </w:abstractNum>
  <w:abstractNum w:abstractNumId="610">
    <w:nsid w:val="5BAC6C9C"/>
    <w:multiLevelType w:val="hybridMultilevel"/>
    <w:lvl w:ilvl="0">
      <w:lvlJc w:val="left"/>
      <w:lvlText w:val="%1."/>
      <w:numFmt w:val="decimal"/>
      <w:start w:val="2"/>
    </w:lvl>
  </w:abstractNum>
  <w:abstractNum w:abstractNumId="611">
    <w:nsid w:val="460FE42B"/>
    <w:multiLevelType w:val="hybridMultilevel"/>
    <w:lvl w:ilvl="0">
      <w:lvlJc w:val="left"/>
      <w:lvlText w:val="[***]"/>
      <w:numFmt w:val="bullet"/>
      <w:start w:val="1"/>
    </w:lvl>
  </w:abstractNum>
  <w:abstractNum w:abstractNumId="612">
    <w:nsid w:val="5EC714FC"/>
    <w:multiLevelType w:val="hybridMultilevel"/>
    <w:lvl w:ilvl="0">
      <w:lvlJc w:val="left"/>
      <w:lvlText w:val="[***]"/>
      <w:numFmt w:val="bullet"/>
      <w:start w:val="1"/>
    </w:lvl>
    <w:lvl w:ilvl="1">
      <w:lvlJc w:val="left"/>
      <w:lvlText w:val="(%2)"/>
      <w:numFmt w:val="lowerLetter"/>
      <w:start w:val="1"/>
    </w:lvl>
  </w:abstractNum>
  <w:abstractNum w:abstractNumId="613">
    <w:nsid w:val="39333BAD"/>
    <w:multiLevelType w:val="hybridMultilevel"/>
    <w:lvl w:ilvl="0">
      <w:lvlJc w:val="left"/>
      <w:lvlText w:val="(%1)"/>
      <w:numFmt w:val="lowerLetter"/>
      <w:start w:val="3"/>
    </w:lvl>
  </w:abstractNum>
  <w:abstractNum w:abstractNumId="614">
    <w:nsid w:val="2FFF2A9F"/>
    <w:multiLevelType w:val="hybridMultilevel"/>
    <w:lvl w:ilvl="0">
      <w:lvlJc w:val="left"/>
      <w:lvlText w:val="[***]"/>
      <w:numFmt w:val="bullet"/>
      <w:start w:val="1"/>
    </w:lvl>
  </w:abstractNum>
  <w:abstractNum w:abstractNumId="615">
    <w:nsid w:val="477304AC"/>
    <w:multiLevelType w:val="hybridMultilevel"/>
    <w:lvl w:ilvl="0">
      <w:lvlJc w:val="left"/>
      <w:lvlText w:val="(%1)"/>
      <w:numFmt w:val="lowerLetter"/>
      <w:start w:val="1"/>
    </w:lvl>
  </w:abstractNum>
  <w:abstractNum w:abstractNumId="616">
    <w:nsid w:val="6B9F7823"/>
    <w:multiLevelType w:val="hybridMultilevel"/>
    <w:lvl w:ilvl="0">
      <w:lvlJc w:val="left"/>
      <w:lvlText w:val="(%1)"/>
      <w:numFmt w:val="lowerLetter"/>
      <w:start w:val="1"/>
    </w:lvl>
  </w:abstractNum>
  <w:abstractNum w:abstractNumId="617">
    <w:nsid w:val="8A29A69"/>
    <w:multiLevelType w:val="hybridMultilevel"/>
    <w:lvl w:ilvl="0">
      <w:lvlJc w:val="left"/>
      <w:lvlText w:val="[***]"/>
      <w:numFmt w:val="bullet"/>
      <w:start w:val="1"/>
    </w:lvl>
  </w:abstractNum>
  <w:abstractNum w:abstractNumId="618">
    <w:nsid w:val="5A0E9A9F"/>
    <w:multiLevelType w:val="hybridMultilevel"/>
    <w:lvl w:ilvl="0">
      <w:lvlJc w:val="left"/>
      <w:lvlText w:val="(%1)"/>
      <w:numFmt w:val="lowerLetter"/>
      <w:start w:val="1"/>
    </w:lvl>
    <w:lvl w:ilvl="1">
      <w:lvlJc w:val="left"/>
      <w:lvlText w:val="(%2)"/>
      <w:numFmt w:val="decimal"/>
      <w:start w:val="1"/>
    </w:lvl>
  </w:abstractNum>
  <w:abstractNum w:abstractNumId="619">
    <w:nsid w:val="1C3F31CE"/>
    <w:multiLevelType w:val="hybridMultilevel"/>
    <w:lvl w:ilvl="0">
      <w:lvlJc w:val="left"/>
      <w:lvlText w:val="(%1)"/>
      <w:numFmt w:val="lowerLetter"/>
      <w:start w:val="1"/>
    </w:lvl>
  </w:abstractNum>
  <w:abstractNum w:abstractNumId="620">
    <w:nsid w:val="D28DDE"/>
    <w:multiLevelType w:val="hybridMultilevel"/>
    <w:lvl w:ilvl="0">
      <w:lvlJc w:val="left"/>
      <w:lvlText w:val="(%1)"/>
      <w:numFmt w:val="lowerLetter"/>
      <w:start w:val="1"/>
    </w:lvl>
    <w:lvl w:ilvl="1">
      <w:lvlJc w:val="left"/>
      <w:lvlText w:val="(%2)"/>
      <w:numFmt w:val="decimal"/>
      <w:start w:val="1"/>
    </w:lvl>
  </w:abstractNum>
  <w:abstractNum w:abstractNumId="621">
    <w:nsid w:val="59E3AC4"/>
    <w:multiLevelType w:val="hybridMultilevel"/>
    <w:lvl w:ilvl="0">
      <w:lvlJc w:val="left"/>
      <w:lvlText w:val="[***]"/>
      <w:numFmt w:val="bullet"/>
      <w:start w:val="1"/>
    </w:lvl>
  </w:abstractNum>
  <w:abstractNum w:abstractNumId="622">
    <w:nsid w:val="5D38CAEA"/>
    <w:multiLevelType w:val="hybridMultilevel"/>
    <w:lvl w:ilvl="0">
      <w:lvlJc w:val="left"/>
      <w:lvlText w:val="(%1)"/>
      <w:numFmt w:val="lowerLetter"/>
      <w:start w:val="4"/>
    </w:lvl>
  </w:abstractNum>
  <w:abstractNum w:abstractNumId="623">
    <w:nsid w:val="5F4208C"/>
    <w:multiLevelType w:val="hybridMultilevel"/>
    <w:lvl w:ilvl="0">
      <w:lvlJc w:val="left"/>
      <w:lvlText w:val="(%1)"/>
      <w:numFmt w:val="lowerLetter"/>
      <w:start w:val="1"/>
    </w:lvl>
  </w:abstractNum>
  <w:abstractNum w:abstractNumId="624">
    <w:nsid w:val="7C0F10CC"/>
    <w:multiLevelType w:val="hybridMultilevel"/>
    <w:lvl w:ilvl="0">
      <w:lvlJc w:val="left"/>
      <w:lvlText w:val="(%1)"/>
      <w:numFmt w:val="lowerLetter"/>
      <w:start w:val="3"/>
    </w:lvl>
  </w:abstractNum>
  <w:abstractNum w:abstractNumId="625">
    <w:nsid w:val="25EF81D5"/>
    <w:multiLevelType w:val="hybridMultilevel"/>
    <w:lvl w:ilvl="0">
      <w:lvlJc w:val="left"/>
      <w:lvlText w:val="[***]"/>
      <w:numFmt w:val="bullet"/>
      <w:start w:val="1"/>
    </w:lvl>
  </w:abstractNum>
  <w:abstractNum w:abstractNumId="626">
    <w:nsid w:val="15A79515"/>
    <w:multiLevelType w:val="hybridMultilevel"/>
    <w:lvl w:ilvl="0">
      <w:lvlJc w:val="left"/>
      <w:lvlText w:val="(%1)"/>
      <w:numFmt w:val="lowerLetter"/>
      <w:start w:val="1"/>
    </w:lvl>
  </w:abstractNum>
  <w:abstractNum w:abstractNumId="627">
    <w:nsid w:val="4B67062"/>
    <w:multiLevelType w:val="hybridMultilevel"/>
    <w:lvl w:ilvl="0">
      <w:lvlJc w:val="left"/>
      <w:lvlText w:val="(%1)"/>
      <w:numFmt w:val="lowerLetter"/>
      <w:start w:val="1"/>
    </w:lvl>
  </w:abstractNum>
  <w:abstractNum w:abstractNumId="628">
    <w:nsid w:val="51174123"/>
    <w:multiLevelType w:val="hybridMultilevel"/>
    <w:lvl w:ilvl="0">
      <w:lvlJc w:val="left"/>
      <w:lvlText w:val="[***]"/>
      <w:numFmt w:val="bullet"/>
      <w:start w:val="1"/>
    </w:lvl>
    <w:lvl w:ilvl="1">
      <w:lvlJc w:val="left"/>
      <w:lvlText w:val="(%2)"/>
      <w:numFmt w:val="lowerLetter"/>
      <w:start w:val="1"/>
    </w:lvl>
  </w:abstractNum>
  <w:abstractNum w:abstractNumId="629">
    <w:nsid w:val="240453CA"/>
    <w:multiLevelType w:val="hybridMultilevel"/>
    <w:lvl w:ilvl="0">
      <w:lvlJc w:val="left"/>
      <w:lvlText w:val="(%1)"/>
      <w:numFmt w:val="lowerLetter"/>
      <w:start w:val="2"/>
    </w:lvl>
  </w:abstractNum>
  <w:abstractNum w:abstractNumId="630">
    <w:nsid w:val="2E326D9A"/>
    <w:multiLevelType w:val="hybridMultilevel"/>
    <w:lvl w:ilvl="0">
      <w:lvlJc w:val="left"/>
      <w:lvlText w:val="[***]"/>
      <w:numFmt w:val="bullet"/>
      <w:start w:val="1"/>
    </w:lvl>
    <w:lvl w:ilvl="1">
      <w:lvlJc w:val="left"/>
      <w:lvlText w:val="(%2)"/>
      <w:numFmt w:val="lowerLetter"/>
      <w:start w:val="1"/>
    </w:lvl>
  </w:abstractNum>
  <w:abstractNum w:abstractNumId="631">
    <w:nsid w:val="5EB19210"/>
    <w:multiLevelType w:val="hybridMultilevel"/>
    <w:lvl w:ilvl="0">
      <w:lvlJc w:val="left"/>
      <w:lvlText w:val="(%1)"/>
      <w:numFmt w:val="lowerLetter"/>
      <w:start w:val="3"/>
    </w:lvl>
  </w:abstractNum>
  <w:abstractNum w:abstractNumId="632">
    <w:nsid w:val="44DEFF9B"/>
    <w:multiLevelType w:val="hybridMultilevel"/>
    <w:lvl w:ilvl="0">
      <w:lvlJc w:val="left"/>
      <w:lvlText w:val="(%1)"/>
      <w:numFmt w:val="lowerLetter"/>
      <w:start w:val="1"/>
    </w:lvl>
  </w:abstractNum>
  <w:abstractNum w:abstractNumId="633">
    <w:nsid w:val="1FE7D17D"/>
    <w:multiLevelType w:val="hybridMultilevel"/>
    <w:lvl w:ilvl="0">
      <w:lvlJc w:val="left"/>
      <w:lvlText w:val="[***]"/>
      <w:numFmt w:val="bullet"/>
      <w:start w:val="1"/>
    </w:lvl>
  </w:abstractNum>
  <w:abstractNum w:abstractNumId="634">
    <w:nsid w:val="52CBAB2E"/>
    <w:multiLevelType w:val="hybridMultilevel"/>
    <w:lvl w:ilvl="0">
      <w:lvlJc w:val="left"/>
      <w:lvlText w:val="[***]"/>
      <w:numFmt w:val="bullet"/>
      <w:start w:val="1"/>
    </w:lvl>
    <w:lvl w:ilvl="1">
      <w:lvlJc w:val="left"/>
      <w:lvlText w:val="(%2)"/>
      <w:numFmt w:val="lowerLetter"/>
      <w:start w:val="1"/>
    </w:lvl>
  </w:abstractNum>
  <w:abstractNum w:abstractNumId="635">
    <w:nsid w:val="1A6760EF"/>
    <w:multiLevelType w:val="hybridMultilevel"/>
    <w:lvl w:ilvl="0">
      <w:lvlJc w:val="left"/>
      <w:lvlText w:val="[***]"/>
      <w:numFmt w:val="bullet"/>
      <w:start w:val="1"/>
    </w:lvl>
    <w:lvl w:ilvl="1">
      <w:lvlJc w:val="left"/>
      <w:lvlText w:val="(%2)"/>
      <w:numFmt w:val="lowerLetter"/>
      <w:start w:val="3"/>
    </w:lvl>
  </w:abstractNum>
  <w:abstractNum w:abstractNumId="636">
    <w:nsid w:val="5E52C405"/>
    <w:multiLevelType w:val="hybridMultilevel"/>
    <w:lvl w:ilvl="0">
      <w:lvlJc w:val="left"/>
      <w:lvlText w:val="(%1)"/>
      <w:numFmt w:val="lowerLetter"/>
      <w:start w:val="4"/>
    </w:lvl>
  </w:abstractNum>
  <w:abstractNum w:abstractNumId="637">
    <w:nsid w:val="486447"/>
    <w:multiLevelType w:val="hybridMultilevel"/>
    <w:lvl w:ilvl="0">
      <w:lvlJc w:val="left"/>
      <w:lvlText w:val="[***]"/>
      <w:numFmt w:val="bullet"/>
      <w:start w:val="1"/>
    </w:lvl>
    <w:lvl w:ilvl="1">
      <w:lvlJc w:val="left"/>
      <w:lvlText w:val="(%2)"/>
      <w:numFmt w:val="lowerLetter"/>
      <w:start w:val="1"/>
    </w:lvl>
  </w:abstractNum>
  <w:abstractNum w:abstractNumId="638">
    <w:nsid w:val="61E90D1E"/>
    <w:multiLevelType w:val="hybridMultilevel"/>
    <w:lvl w:ilvl="0">
      <w:lvlJc w:val="left"/>
      <w:lvlText w:val="[***]"/>
      <w:numFmt w:val="bullet"/>
      <w:start w:val="1"/>
    </w:lvl>
    <w:lvl w:ilvl="1">
      <w:lvlJc w:val="left"/>
      <w:lvlText w:val="(%2)"/>
      <w:numFmt w:val="lowerLetter"/>
      <w:start w:val="2"/>
    </w:lvl>
  </w:abstractNum>
  <w:abstractNum w:abstractNumId="639">
    <w:nsid w:val="44BD67E6"/>
    <w:multiLevelType w:val="hybridMultilevel"/>
    <w:lvl w:ilvl="0">
      <w:lvlJc w:val="left"/>
      <w:lvlText w:val="(%1)"/>
      <w:numFmt w:val="lowerLetter"/>
      <w:start w:val="1"/>
    </w:lvl>
  </w:abstractNum>
  <w:abstractNum w:abstractNumId="640">
    <w:nsid w:val="325102D3"/>
    <w:multiLevelType w:val="hybridMultilevel"/>
    <w:lvl w:ilvl="0">
      <w:lvlJc w:val="left"/>
      <w:lvlText w:val="(%1)"/>
      <w:numFmt w:val="lowerLetter"/>
      <w:start w:val="2"/>
    </w:lvl>
  </w:abstractNum>
  <w:abstractNum w:abstractNumId="641">
    <w:nsid w:val="3D9579BA"/>
    <w:multiLevelType w:val="hybridMultilevel"/>
    <w:lvl w:ilvl="0">
      <w:lvlJc w:val="left"/>
      <w:lvlText w:val="[***]"/>
      <w:numFmt w:val="bullet"/>
      <w:start w:val="1"/>
    </w:lvl>
    <w:lvl w:ilvl="1">
      <w:lvlJc w:val="left"/>
      <w:lvlText w:val="(%2)"/>
      <w:numFmt w:val="lowerLetter"/>
      <w:start w:val="1"/>
    </w:lvl>
  </w:abstractNum>
  <w:abstractNum w:abstractNumId="642">
    <w:nsid w:val="ACD4C11"/>
    <w:multiLevelType w:val="hybridMultilevel"/>
    <w:lvl w:ilvl="0">
      <w:lvlJc w:val="left"/>
      <w:lvlText w:val="[***]"/>
      <w:numFmt w:val="bullet"/>
      <w:start w:val="1"/>
    </w:lvl>
  </w:abstractNum>
  <w:abstractNum w:abstractNumId="643">
    <w:nsid w:val="111817CF"/>
    <w:multiLevelType w:val="hybridMultilevel"/>
    <w:lvl w:ilvl="0">
      <w:lvlJc w:val="left"/>
      <w:lvlText w:val="[***]"/>
      <w:numFmt w:val="bullet"/>
      <w:start w:val="1"/>
    </w:lvl>
  </w:abstractNum>
  <w:abstractNum w:abstractNumId="644">
    <w:nsid w:val="76C8B568"/>
    <w:multiLevelType w:val="hybridMultilevel"/>
    <w:lvl w:ilvl="0">
      <w:lvlJc w:val="left"/>
      <w:lvlText w:val="(%1)"/>
      <w:numFmt w:val="lowerLetter"/>
      <w:start w:val="1"/>
    </w:lvl>
  </w:abstractNum>
  <w:abstractNum w:abstractNumId="645">
    <w:nsid w:val="3ACC76B1"/>
    <w:multiLevelType w:val="hybridMultilevel"/>
    <w:lvl w:ilvl="0">
      <w:lvlJc w:val="left"/>
      <w:lvlText w:val="(%1)"/>
      <w:numFmt w:val="lowerLetter"/>
      <w:start w:val="1"/>
    </w:lvl>
  </w:abstractNum>
  <w:abstractNum w:abstractNumId="646">
    <w:nsid w:val="588B1C7C"/>
    <w:multiLevelType w:val="hybridMultilevel"/>
    <w:lvl w:ilvl="0">
      <w:lvlJc w:val="left"/>
      <w:lvlText w:val="[***]"/>
      <w:numFmt w:val="bullet"/>
      <w:start w:val="1"/>
    </w:lvl>
  </w:abstractNum>
  <w:abstractNum w:abstractNumId="647">
    <w:nsid w:val="62682D8B"/>
    <w:multiLevelType w:val="hybridMultilevel"/>
    <w:lvl w:ilvl="0">
      <w:lvlJc w:val="left"/>
      <w:lvlText w:val="[***]"/>
      <w:numFmt w:val="bullet"/>
      <w:start w:val="1"/>
    </w:lvl>
  </w:abstractNum>
  <w:abstractNum w:abstractNumId="648">
    <w:nsid w:val="436F111A"/>
    <w:multiLevelType w:val="hybridMultilevel"/>
    <w:lvl w:ilvl="0">
      <w:lvlJc w:val="left"/>
      <w:lvlText w:val="(%1)"/>
      <w:numFmt w:val="lowerLetter"/>
      <w:start w:val="2"/>
    </w:lvl>
  </w:abstractNum>
  <w:abstractNum w:abstractNumId="649">
    <w:nsid w:val="3299B71B"/>
    <w:multiLevelType w:val="hybridMultilevel"/>
    <w:lvl w:ilvl="0">
      <w:lvlJc w:val="left"/>
      <w:lvlText w:val="[***]"/>
      <w:numFmt w:val="bullet"/>
      <w:start w:val="1"/>
    </w:lvl>
  </w:abstractNum>
  <w:abstractNum w:abstractNumId="650">
    <w:nsid w:val="7EA75F5A"/>
    <w:multiLevelType w:val="hybridMultilevel"/>
    <w:lvl w:ilvl="0">
      <w:lvlJc w:val="left"/>
      <w:lvlText w:val="(%1)"/>
      <w:numFmt w:val="lowerLetter"/>
      <w:start w:val="3"/>
    </w:lvl>
  </w:abstractNum>
  <w:abstractNum w:abstractNumId="651">
    <w:nsid w:val="44419EF9"/>
    <w:multiLevelType w:val="hybridMultilevel"/>
    <w:lvl w:ilvl="0">
      <w:lvlJc w:val="left"/>
      <w:lvlText w:val="[***]"/>
      <w:numFmt w:val="bullet"/>
      <w:start w:val="1"/>
    </w:lvl>
  </w:abstractNum>
  <w:abstractNum w:abstractNumId="652">
    <w:nsid w:val="3837F1DF"/>
    <w:multiLevelType w:val="hybridMultilevel"/>
    <w:lvl w:ilvl="0">
      <w:lvlJc w:val="left"/>
      <w:lvlText w:val="(%1)"/>
      <w:numFmt w:val="lowerLetter"/>
      <w:start w:val="1"/>
    </w:lvl>
  </w:abstractNum>
  <w:abstractNum w:abstractNumId="653">
    <w:nsid w:val="5BE02A44"/>
    <w:multiLevelType w:val="hybridMultilevel"/>
    <w:lvl w:ilvl="0">
      <w:lvlJc w:val="left"/>
      <w:lvlText w:val="[***]"/>
      <w:numFmt w:val="bullet"/>
      <w:start w:val="1"/>
    </w:lvl>
  </w:abstractNum>
  <w:abstractNum w:abstractNumId="654">
    <w:nsid w:val="4A35BF85"/>
    <w:multiLevelType w:val="hybridMultilevel"/>
    <w:lvl w:ilvl="0">
      <w:lvlJc w:val="left"/>
      <w:lvlText w:val="(%1)"/>
      <w:numFmt w:val="lowerLetter"/>
      <w:start w:val="1"/>
    </w:lvl>
  </w:abstractNum>
  <w:abstractNum w:abstractNumId="655">
    <w:nsid w:val="344702AC"/>
    <w:multiLevelType w:val="hybridMultilevel"/>
    <w:lvl w:ilvl="0">
      <w:lvlJc w:val="left"/>
      <w:lvlText w:val="(%1)"/>
      <w:numFmt w:val="lowerLetter"/>
      <w:start w:val="1"/>
    </w:lvl>
  </w:abstractNum>
  <w:abstractNum w:abstractNumId="656">
    <w:nsid w:val="1CFAC1A"/>
    <w:multiLevelType w:val="hybridMultilevel"/>
    <w:lvl w:ilvl="0">
      <w:lvlJc w:val="left"/>
      <w:lvlText w:val="[***]"/>
      <w:numFmt w:val="bullet"/>
      <w:start w:val="1"/>
    </w:lvl>
  </w:abstractNum>
  <w:abstractNum w:abstractNumId="657">
    <w:nsid w:val="5FDD549A"/>
    <w:multiLevelType w:val="hybridMultilevel"/>
    <w:lvl w:ilvl="0">
      <w:lvlJc w:val="left"/>
      <w:lvlText w:val="%1"/>
      <w:numFmt w:val="lowerLetter"/>
      <w:start w:val="1"/>
    </w:lvl>
    <w:lvl w:ilvl="1">
      <w:lvlJc w:val="left"/>
      <w:lvlText w:val="(%2)"/>
      <w:numFmt w:val="decimal"/>
      <w:start w:val="1"/>
    </w:lvl>
  </w:abstractNum>
  <w:abstractNum w:abstractNumId="658">
    <w:nsid w:val="38FD730E"/>
    <w:multiLevelType w:val="hybridMultilevel"/>
    <w:lvl w:ilvl="0">
      <w:lvlJc w:val="left"/>
      <w:lvlText w:val="(%1)"/>
      <w:numFmt w:val="lowerLetter"/>
      <w:start w:val="2"/>
    </w:lvl>
    <w:lvl w:ilvl="1">
      <w:lvlJc w:val="left"/>
      <w:lvlText w:val="%2"/>
      <w:numFmt w:val="decimal"/>
      <w:start w:val="1"/>
    </w:lvl>
  </w:abstractNum>
  <w:abstractNum w:abstractNumId="659">
    <w:nsid w:val="52E6ED3D"/>
    <w:multiLevelType w:val="hybridMultilevel"/>
    <w:lvl w:ilvl="0">
      <w:lvlJc w:val="left"/>
      <w:lvlText w:val="[***]"/>
      <w:numFmt w:val="bullet"/>
      <w:start w:val="1"/>
    </w:lvl>
    <w:lvl w:ilvl="1">
      <w:lvlJc w:val="left"/>
      <w:lvlText w:val="(%2)"/>
      <w:numFmt w:val="lowerLetter"/>
      <w:start w:val="1"/>
    </w:lvl>
  </w:abstractNum>
  <w:abstractNum w:abstractNumId="660">
    <w:nsid w:val="3E1A864"/>
    <w:multiLevelType w:val="hybridMultilevel"/>
    <w:lvl w:ilvl="0">
      <w:lvlJc w:val="left"/>
      <w:lvlText w:val="(%1)"/>
      <w:numFmt w:val="lowerLetter"/>
      <w:start w:val="2"/>
    </w:lvl>
    <w:lvl w:ilvl="1">
      <w:lvlJc w:val="left"/>
      <w:lvlText w:val="(%2)"/>
      <w:numFmt w:val="decimal"/>
      <w:start w:val="1"/>
    </w:lvl>
  </w:abstractNum>
  <w:abstractNum w:abstractNumId="661">
    <w:nsid w:val="672FE0A8"/>
    <w:multiLevelType w:val="hybridMultilevel"/>
    <w:lvl w:ilvl="0">
      <w:lvlJc w:val="left"/>
      <w:lvlText w:val="[***]"/>
      <w:numFmt w:val="bullet"/>
      <w:start w:val="1"/>
    </w:lvl>
  </w:abstractNum>
  <w:abstractNum w:abstractNumId="662">
    <w:nsid w:val="31987F4D"/>
    <w:multiLevelType w:val="hybridMultilevel"/>
    <w:lvl w:ilvl="0">
      <w:lvlJc w:val="left"/>
      <w:lvlText w:val="(%1)"/>
      <w:numFmt w:val="lowerLetter"/>
      <w:start w:val="3"/>
    </w:lvl>
  </w:abstractNum>
  <w:abstractNum w:abstractNumId="663">
    <w:nsid w:val="48C0A800"/>
    <w:multiLevelType w:val="hybridMultilevel"/>
    <w:lvl w:ilvl="0">
      <w:lvlJc w:val="left"/>
      <w:lvlText w:val="[***]"/>
      <w:numFmt w:val="bullet"/>
      <w:start w:val="1"/>
    </w:lvl>
  </w:abstractNum>
  <w:abstractNum w:abstractNumId="664">
    <w:nsid w:val="717B226"/>
    <w:multiLevelType w:val="hybridMultilevel"/>
    <w:lvl w:ilvl="0">
      <w:lvlJc w:val="left"/>
      <w:lvlText w:val="(%1)"/>
      <w:numFmt w:val="lowerLetter"/>
      <w:start w:val="1"/>
    </w:lvl>
  </w:abstractNum>
  <w:abstractNum w:abstractNumId="665">
    <w:nsid w:val="4642A7B"/>
    <w:multiLevelType w:val="hybridMultilevel"/>
    <w:lvl w:ilvl="0">
      <w:lvlJc w:val="left"/>
      <w:lvlText w:val="(%1)"/>
      <w:numFmt w:val="lowerLetter"/>
      <w:start w:val="1"/>
    </w:lvl>
  </w:abstractNum>
  <w:abstractNum w:abstractNumId="666">
    <w:nsid w:val="632808EF"/>
    <w:multiLevelType w:val="hybridMultilevel"/>
    <w:lvl w:ilvl="0">
      <w:lvlJc w:val="left"/>
      <w:lvlText w:val="(%1)"/>
      <w:numFmt w:val="lowerLetter"/>
      <w:start w:val="12"/>
    </w:lvl>
  </w:abstractNum>
  <w:abstractNum w:abstractNumId="667">
    <w:nsid w:val="656A762B"/>
    <w:multiLevelType w:val="hybridMultilevel"/>
    <w:lvl w:ilvl="0">
      <w:lvlJc w:val="left"/>
      <w:lvlText w:val="(%1)"/>
      <w:numFmt w:val="lowerLetter"/>
      <w:start w:val="1"/>
    </w:lvl>
  </w:abstractNum>
  <w:abstractNum w:abstractNumId="668">
    <w:nsid w:val="4AC8EC3"/>
    <w:multiLevelType w:val="hybridMultilevel"/>
    <w:lvl w:ilvl="0">
      <w:lvlJc w:val="left"/>
      <w:lvlText w:val="[***]"/>
      <w:numFmt w:val="bullet"/>
      <w:start w:val="1"/>
    </w:lvl>
  </w:abstractNum>
  <w:abstractNum w:abstractNumId="669">
    <w:nsid w:val="4511160D"/>
    <w:multiLevelType w:val="hybridMultilevel"/>
    <w:lvl w:ilvl="0">
      <w:lvlJc w:val="left"/>
      <w:lvlText w:val="[***]"/>
      <w:numFmt w:val="bullet"/>
      <w:start w:val="1"/>
    </w:lvl>
  </w:abstractNum>
  <w:abstractNum w:abstractNumId="670">
    <w:nsid w:val="2A27DE11"/>
    <w:multiLevelType w:val="hybridMultilevel"/>
    <w:lvl w:ilvl="0">
      <w:lvlJc w:val="left"/>
      <w:lvlText w:val="(%1)"/>
      <w:numFmt w:val="lowerLetter"/>
      <w:start w:val="1"/>
    </w:lvl>
  </w:abstractNum>
  <w:abstractNum w:abstractNumId="671">
    <w:nsid w:val="36FD9196"/>
    <w:multiLevelType w:val="hybridMultilevel"/>
    <w:lvl w:ilvl="0">
      <w:lvlJc w:val="left"/>
      <w:lvlText w:val="[***]"/>
      <w:numFmt w:val="bullet"/>
      <w:start w:val="1"/>
    </w:lvl>
  </w:abstractNum>
  <w:abstractNum w:abstractNumId="672">
    <w:nsid w:val="2A68FC8"/>
    <w:multiLevelType w:val="hybridMultilevel"/>
    <w:lvl w:ilvl="0">
      <w:lvlJc w:val="left"/>
      <w:lvlText w:val="(%1)"/>
      <w:numFmt w:val="lowerLetter"/>
      <w:start w:val="1"/>
    </w:lvl>
  </w:abstractNum>
  <w:abstractNum w:abstractNumId="673">
    <w:nsid w:val="34F52A23"/>
    <w:multiLevelType w:val="hybridMultilevel"/>
    <w:lvl w:ilvl="0">
      <w:lvlJc w:val="left"/>
      <w:lvlText w:val="%1"/>
      <w:numFmt w:val="decimal"/>
      <w:start w:val="1"/>
    </w:lvl>
    <w:lvl w:ilvl="1">
      <w:lvlJc w:val="left"/>
      <w:lvlText w:val="(%2)"/>
      <w:numFmt w:val="lowerLetter"/>
      <w:start w:val="1"/>
    </w:lvl>
  </w:abstractNum>
  <w:abstractNum w:abstractNumId="674">
    <w:nsid w:val="4815A966"/>
    <w:multiLevelType w:val="hybridMultilevel"/>
    <w:lvl w:ilvl="0">
      <w:lvlJc w:val="left"/>
      <w:lvlText w:val="(%1)"/>
      <w:numFmt w:val="decimal"/>
      <w:start w:val="7"/>
    </w:lvl>
    <w:lvl w:ilvl="1">
      <w:lvlJc w:val="left"/>
      <w:lvlText w:val="(%2)"/>
      <w:numFmt w:val="lowerLetter"/>
      <w:start w:val="2"/>
    </w:lvl>
  </w:abstractNum>
  <w:abstractNum w:abstractNumId="675">
    <w:nsid w:val="796F4530"/>
    <w:multiLevelType w:val="hybridMultilevel"/>
    <w:lvl w:ilvl="0">
      <w:lvlJc w:val="left"/>
      <w:lvlText w:val="[***]"/>
      <w:numFmt w:val="bullet"/>
      <w:start w:val="1"/>
    </w:lvl>
  </w:abstractNum>
  <w:abstractNum w:abstractNumId="676">
    <w:nsid w:val="6FC1A0D4"/>
    <w:multiLevelType w:val="hybridMultilevel"/>
    <w:lvl w:ilvl="0">
      <w:lvlJc w:val="left"/>
      <w:lvlText w:val="(%1)"/>
      <w:numFmt w:val="lowerLetter"/>
      <w:start w:val="3"/>
    </w:lvl>
  </w:abstractNum>
  <w:abstractNum w:abstractNumId="677">
    <w:nsid w:val="20A0C5E2"/>
    <w:multiLevelType w:val="hybridMultilevel"/>
    <w:lvl w:ilvl="0">
      <w:lvlJc w:val="left"/>
      <w:lvlText w:val="[***]"/>
      <w:numFmt w:val="bullet"/>
      <w:start w:val="1"/>
    </w:lvl>
  </w:abstractNum>
  <w:abstractNum w:abstractNumId="678">
    <w:nsid w:val="5BD772BB"/>
    <w:multiLevelType w:val="hybridMultilevel"/>
    <w:lvl w:ilvl="0">
      <w:lvlJc w:val="left"/>
      <w:lvlText w:val="(%1)"/>
      <w:numFmt w:val="lowerLetter"/>
      <w:start w:val="1"/>
    </w:lvl>
  </w:abstractNum>
  <w:abstractNum w:abstractNumId="679">
    <w:nsid w:val="3330B1EE"/>
    <w:multiLevelType w:val="hybridMultilevel"/>
    <w:lvl w:ilvl="0">
      <w:lvlJc w:val="left"/>
      <w:lvlText w:val="[***]"/>
      <w:numFmt w:val="bullet"/>
      <w:start w:val="1"/>
    </w:lvl>
  </w:abstractNum>
  <w:abstractNum w:abstractNumId="680">
    <w:nsid w:val="533A7CFD"/>
    <w:multiLevelType w:val="hybridMultilevel"/>
    <w:lvl w:ilvl="0">
      <w:lvlJc w:val="left"/>
      <w:lvlText w:val="[***]"/>
      <w:numFmt w:val="bullet"/>
      <w:start w:val="1"/>
    </w:lvl>
  </w:abstractNum>
  <w:abstractNum w:abstractNumId="681">
    <w:nsid w:val="5A7ED215"/>
    <w:multiLevelType w:val="hybridMultilevel"/>
    <w:lvl w:ilvl="0">
      <w:lvlJc w:val="left"/>
      <w:lvlText w:val="(%1)"/>
      <w:numFmt w:val="lowerLetter"/>
      <w:start w:val="1"/>
    </w:lvl>
    <w:lvl w:ilvl="1">
      <w:lvlJc w:val="left"/>
      <w:lvlText w:val="(%2)"/>
      <w:numFmt w:val="decimal"/>
      <w:start w:val="1"/>
    </w:lvl>
  </w:abstractNum>
  <w:abstractNum w:abstractNumId="682">
    <w:nsid w:val="777250E7"/>
    <w:multiLevelType w:val="hybridMultilevel"/>
    <w:lvl w:ilvl="0">
      <w:lvlJc w:val="left"/>
      <w:lvlText w:val="(%1)"/>
      <w:numFmt w:val="lowerLetter"/>
      <w:start w:val="1"/>
    </w:lvl>
  </w:abstractNum>
  <w:abstractNum w:abstractNumId="683">
    <w:nsid w:val="B726EDC"/>
    <w:multiLevelType w:val="hybridMultilevel"/>
    <w:lvl w:ilvl="0">
      <w:lvlJc w:val="left"/>
      <w:lvlText w:val="[***]"/>
      <w:numFmt w:val="bullet"/>
      <w:start w:val="1"/>
    </w:lvl>
  </w:abstractNum>
  <w:abstractNum w:abstractNumId="684">
    <w:nsid w:val="365EFC5A"/>
    <w:multiLevelType w:val="hybridMultilevel"/>
    <w:lvl w:ilvl="0">
      <w:lvlJc w:val="left"/>
      <w:lvlText w:val="(%1)"/>
      <w:numFmt w:val="lowerLetter"/>
      <w:start w:val="3"/>
    </w:lvl>
  </w:abstractNum>
  <w:abstractNum w:abstractNumId="685">
    <w:nsid w:val="41A8106C"/>
    <w:multiLevelType w:val="hybridMultilevel"/>
    <w:lvl w:ilvl="0">
      <w:lvlJc w:val="left"/>
      <w:lvlText w:val="%1."/>
      <w:numFmt w:val="decimal"/>
      <w:start w:val="1"/>
    </w:lvl>
  </w:abstractNum>
  <w:abstractNum w:abstractNumId="686">
    <w:nsid w:val="3FB97188"/>
    <w:multiLevelType w:val="hybridMultilevel"/>
    <w:lvl w:ilvl="0">
      <w:lvlJc w:val="left"/>
      <w:lvlText w:val="%1."/>
      <w:numFmt w:val="decimal"/>
      <w:start w:val="3"/>
    </w:lvl>
  </w:abstractNum>
  <w:abstractNum w:abstractNumId="687">
    <w:nsid w:val="382EA874"/>
    <w:multiLevelType w:val="hybridMultilevel"/>
    <w:lvl w:ilvl="0">
      <w:lvlJc w:val="left"/>
      <w:lvlText w:val="%1."/>
      <w:numFmt w:val="decimal"/>
      <w:start w:val="5"/>
    </w:lvl>
  </w:abstractNum>
  <w:abstractNum w:abstractNumId="688">
    <w:nsid w:val="21856507"/>
    <w:multiLevelType w:val="hybridMultilevel"/>
    <w:lvl w:ilvl="0">
      <w:lvlJc w:val="left"/>
      <w:lvlText w:val="%1."/>
      <w:numFmt w:val="decimal"/>
      <w:start w:val="1"/>
    </w:lvl>
    <w:lvl w:ilvl="1">
      <w:lvlJc w:val="left"/>
      <w:lvlText w:val="(%2)"/>
      <w:numFmt w:val="lowerLetter"/>
      <w:start w:val="1"/>
    </w:lvl>
  </w:abstractNum>
  <w:abstractNum w:abstractNumId="689">
    <w:nsid w:val="78B6E496"/>
    <w:multiLevelType w:val="hybridMultilevel"/>
    <w:lvl w:ilvl="0">
      <w:lvlJc w:val="left"/>
      <w:lvlText w:val="%1."/>
      <w:numFmt w:val="decimal"/>
      <w:start w:val="2"/>
    </w:lvl>
  </w:abstractNum>
  <w:abstractNum w:abstractNumId="690">
    <w:nsid w:val="B1595B1"/>
    <w:multiLevelType w:val="hybridMultilevel"/>
    <w:lvl w:ilvl="0">
      <w:lvlJc w:val="left"/>
      <w:lvlText w:val="(%1)"/>
      <w:numFmt w:val="lowerLetter"/>
      <w:start w:val="1"/>
    </w:lvl>
    <w:lvl w:ilvl="1">
      <w:lvlJc w:val="left"/>
      <w:lvlText w:val="(%2)"/>
      <w:numFmt w:val="lowerLetter"/>
      <w:start w:val="2"/>
    </w:lvl>
  </w:abstractNum>
  <w:abstractNum w:abstractNumId="691">
    <w:nsid w:val="25670D6B"/>
    <w:multiLevelType w:val="hybridMultilevel"/>
    <w:lvl w:ilvl="0">
      <w:lvlJc w:val="left"/>
      <w:lvlText w:val="%1"/>
      <w:numFmt w:val="decimal"/>
      <w:start w:val="1"/>
    </w:lvl>
    <w:lvl w:ilvl="1">
      <w:lvlJc w:val="left"/>
      <w:lvlText w:val="(%2)"/>
      <w:numFmt w:val="lowerLetter"/>
      <w:start w:val="6"/>
    </w:lvl>
  </w:abstractNum>
  <w:abstractNum w:abstractNumId="692">
    <w:nsid w:val="5FE6C53F"/>
    <w:multiLevelType w:val="hybridMultilevel"/>
    <w:lvl w:ilvl="0">
      <w:lvlJc w:val="left"/>
      <w:lvlText w:val="%1."/>
      <w:numFmt w:val="decimal"/>
      <w:start w:val="3"/>
    </w:lvl>
    <w:lvl w:ilvl="1">
      <w:lvlJc w:val="left"/>
      <w:lvlText w:val="%2"/>
      <w:numFmt w:val="lowerLetter"/>
      <w:start w:val="1"/>
    </w:lvl>
  </w:abstractNum>
  <w:abstractNum w:abstractNumId="693">
    <w:nsid w:val="3CAE14FE"/>
    <w:multiLevelType w:val="hybridMultilevel"/>
    <w:lvl w:ilvl="0">
      <w:lvlJc w:val="left"/>
      <w:lvlText w:val="(%1)"/>
      <w:numFmt w:val="lowerLetter"/>
      <w:start w:val="1"/>
    </w:lvl>
    <w:lvl w:ilvl="1">
      <w:lvlJc w:val="left"/>
      <w:lvlText w:val="(%2)"/>
      <w:numFmt w:val="lowerLetter"/>
      <w:start w:val="2"/>
    </w:lvl>
  </w:abstractNum>
  <w:abstractNum w:abstractNumId="694">
    <w:nsid w:val="6E27B56B"/>
    <w:multiLevelType w:val="hybridMultilevel"/>
    <w:lvl w:ilvl="0">
      <w:lvlJc w:val="left"/>
      <w:lvlText w:val="%1."/>
      <w:numFmt w:val="decimal"/>
      <w:start w:val="4"/>
    </w:lvl>
  </w:abstractNum>
  <w:abstractNum w:abstractNumId="695">
    <w:nsid w:val="66FE7765"/>
    <w:multiLevelType w:val="hybridMultilevel"/>
    <w:lvl w:ilvl="0">
      <w:lvlJc w:val="left"/>
      <w:lvlText w:val="%1."/>
      <w:numFmt w:val="decimal"/>
      <w:start w:val="5"/>
    </w:lvl>
  </w:abstractNum>
  <w:abstractNum w:abstractNumId="696">
    <w:nsid w:val="41123F79"/>
    <w:multiLevelType w:val="hybridMultilevel"/>
    <w:lvl w:ilvl="0">
      <w:lvlJc w:val="left"/>
      <w:lvlText w:val="%1."/>
      <w:numFmt w:val="decimal"/>
      <w:start w:val="6"/>
    </w:lvl>
  </w:abstractNum>
  <w:abstractNum w:abstractNumId="697">
    <w:nsid w:val="514FBE5A"/>
    <w:multiLevelType w:val="hybridMultilevel"/>
    <w:lvl w:ilvl="0">
      <w:lvlJc w:val="left"/>
      <w:lvlText w:val="(%1)"/>
      <w:numFmt w:val="lowerLetter"/>
      <w:start w:val="1"/>
    </w:lvl>
    <w:lvl w:ilvl="1">
      <w:lvlJc w:val="left"/>
      <w:lvlText w:val="(%2)"/>
      <w:numFmt w:val="lowerLetter"/>
      <w:start w:val="2"/>
    </w:lvl>
  </w:abstractNum>
  <w:abstractNum w:abstractNumId="698">
    <w:nsid w:val="4C68ED90"/>
    <w:multiLevelType w:val="hybridMultilevel"/>
    <w:lvl w:ilvl="0">
      <w:lvlJc w:val="left"/>
      <w:lvlText w:val="%1."/>
      <w:numFmt w:val="decimal"/>
      <w:start w:val="7"/>
    </w:lvl>
  </w:abstractNum>
  <w:abstractNum w:abstractNumId="699">
    <w:nsid w:val="45BECE3C"/>
    <w:multiLevelType w:val="hybridMultilevel"/>
    <w:lvl w:ilvl="0">
      <w:lvlJc w:val="left"/>
      <w:lvlText w:val="(%1)"/>
      <w:numFmt w:val="lowerLetter"/>
      <w:start w:val="1"/>
    </w:lvl>
    <w:lvl w:ilvl="1">
      <w:lvlJc w:val="left"/>
      <w:lvlText w:val="(%2)"/>
      <w:numFmt w:val="lowerLetter"/>
      <w:start w:val="2"/>
    </w:lvl>
  </w:abstractNum>
  <w:abstractNum w:abstractNumId="700">
    <w:nsid w:val="1660D468"/>
    <w:multiLevelType w:val="hybridMultilevel"/>
    <w:lvl w:ilvl="0">
      <w:lvlJc w:val="left"/>
      <w:lvlText w:val="%1."/>
      <w:numFmt w:val="decimal"/>
      <w:start w:val="8"/>
    </w:lvl>
    <w:lvl w:ilvl="1">
      <w:lvlJc w:val="left"/>
      <w:lvlText w:val="(%2)"/>
      <w:numFmt w:val="lowerLetter"/>
      <w:start w:val="1"/>
    </w:lvl>
  </w:abstractNum>
  <w:abstractNum w:abstractNumId="701">
    <w:nsid w:val="7690CBA1"/>
    <w:multiLevelType w:val="hybridMultilevel"/>
    <w:lvl w:ilvl="0">
      <w:lvlJc w:val="left"/>
      <w:lvlText w:val="(%1)"/>
      <w:numFmt w:val="lowerLetter"/>
      <w:start w:val="5"/>
    </w:lvl>
  </w:abstractNum>
  <w:abstractNum w:abstractNumId="702">
    <w:nsid w:val="7CBC5FD3"/>
    <w:multiLevelType w:val="hybridMultilevel"/>
    <w:lvl w:ilvl="0">
      <w:lvlJc w:val="left"/>
      <w:lvlText w:val="Þ"/>
      <w:numFmt w:val="bullet"/>
      <w:start w:val="1"/>
    </w:lvl>
  </w:abstractNum>
  <w:abstractNum w:abstractNumId="703">
    <w:nsid w:val="19076430"/>
    <w:multiLevelType w:val="hybridMultilevel"/>
    <w:lvl w:ilvl="0">
      <w:lvlJc w:val="left"/>
      <w:lvlText w:val="%1."/>
      <w:numFmt w:val="decimal"/>
      <w:start w:val="1"/>
    </w:lvl>
  </w:abstractNum>
  <w:abstractNum w:abstractNumId="704">
    <w:nsid w:val="2B85F5C4"/>
    <w:multiLevelType w:val="hybridMultilevel"/>
    <w:lvl w:ilvl="0">
      <w:lvlJc w:val="left"/>
      <w:lvlText w:val="(%1)"/>
      <w:numFmt w:val="lowerLetter"/>
      <w:start w:val="1"/>
    </w:lvl>
  </w:abstractNum>
  <w:abstractNum w:abstractNumId="705">
    <w:nsid w:val="44D20939"/>
    <w:multiLevelType w:val="hybridMultilevel"/>
    <w:lvl w:ilvl="0">
      <w:lvlJc w:val="left"/>
      <w:lvlText w:val="(%1)"/>
      <w:numFmt w:val="lowerLetter"/>
      <w:start w:val="2"/>
    </w:lvl>
  </w:abstractNum>
  <w:abstractNum w:abstractNumId="706">
    <w:nsid w:val="1276A960"/>
    <w:multiLevelType w:val="hybridMultilevel"/>
    <w:lvl w:ilvl="0">
      <w:lvlJc w:val="left"/>
      <w:lvlText w:val="%1."/>
      <w:numFmt w:val="decimal"/>
      <w:start w:val="2"/>
    </w:lvl>
  </w:abstractNum>
  <w:abstractNum w:abstractNumId="707">
    <w:nsid w:val="1B479698"/>
    <w:multiLevelType w:val="hybridMultilevel"/>
    <w:lvl w:ilvl="0">
      <w:lvlJc w:val="left"/>
      <w:lvlText w:val="%1."/>
      <w:numFmt w:val="decimal"/>
      <w:start w:val="3"/>
    </w:lvl>
  </w:abstractNum>
  <w:abstractNum w:abstractNumId="708">
    <w:nsid w:val="6572CF1B"/>
    <w:multiLevelType w:val="hybridMultilevel"/>
    <w:lvl w:ilvl="0">
      <w:lvlJc w:val="left"/>
      <w:lvlText w:val="%1."/>
      <w:numFmt w:val="decimal"/>
      <w:start w:val="4"/>
    </w:lvl>
  </w:abstractNum>
  <w:abstractNum w:abstractNumId="709">
    <w:nsid w:val="6E4E1C1B"/>
    <w:multiLevelType w:val="hybridMultilevel"/>
    <w:lvl w:ilvl="0">
      <w:lvlJc w:val="left"/>
      <w:lvlText w:val="%1."/>
      <w:numFmt w:val="decimal"/>
      <w:start w:val="5"/>
    </w:lvl>
  </w:abstractNum>
  <w:abstractNum w:abstractNumId="710">
    <w:nsid w:val="4E784887"/>
    <w:multiLevelType w:val="hybridMultilevel"/>
    <w:lvl w:ilvl="0">
      <w:lvlJc w:val="left"/>
      <w:lvlText w:val="(%1)"/>
      <w:numFmt w:val="lowerRoman"/>
      <w:start w:val="4"/>
    </w:lvl>
  </w:abstractNum>
  <w:abstractNum w:abstractNumId="711">
    <w:nsid w:val="38AD4C18"/>
    <w:multiLevelType w:val="hybridMultilevel"/>
    <w:lvl w:ilvl="0">
      <w:lvlJc w:val="left"/>
      <w:lvlText w:val="%1."/>
      <w:numFmt w:val="decimal"/>
      <w:start w:val="6"/>
    </w:lvl>
  </w:abstractNum>
  <w:abstractNum w:abstractNumId="712">
    <w:nsid w:val="48CCEE31"/>
    <w:multiLevelType w:val="hybridMultilevel"/>
    <w:lvl w:ilvl="0">
      <w:lvlJc w:val="left"/>
      <w:lvlText w:val="(%1)"/>
      <w:numFmt w:val="decimal"/>
      <w:start w:val="30"/>
    </w:lvl>
  </w:abstractNum>
  <w:abstractNum w:abstractNumId="713">
    <w:nsid w:val="45EA996E"/>
    <w:multiLevelType w:val="hybridMultilevel"/>
    <w:lvl w:ilvl="0">
      <w:lvlJc w:val="left"/>
      <w:lvlText w:val="%1."/>
      <w:numFmt w:val="decimal"/>
      <w:start w:val="7"/>
    </w:lvl>
  </w:abstractNum>
  <w:abstractNum w:abstractNumId="714">
    <w:nsid w:val="441FBAF4"/>
    <w:multiLevelType w:val="hybridMultilevel"/>
    <w:lvl w:ilvl="0">
      <w:lvlJc w:val="left"/>
      <w:lvlText w:val="%1."/>
      <w:numFmt w:val="decimal"/>
      <w:start w:val="8"/>
    </w:lvl>
  </w:abstractNum>
  <w:abstractNum w:abstractNumId="715">
    <w:nsid w:val="7F2BEA8B"/>
    <w:multiLevelType w:val="hybridMultilevel"/>
    <w:lvl w:ilvl="0">
      <w:lvlJc w:val="left"/>
      <w:lvlText w:val="%1."/>
      <w:numFmt w:val="decimal"/>
      <w:start w:val="9"/>
    </w:lvl>
  </w:abstractNum>
  <w:abstractNum w:abstractNumId="716">
    <w:nsid w:val="792A9DB"/>
    <w:multiLevelType w:val="hybridMultilevel"/>
    <w:lvl w:ilvl="0">
      <w:lvlJc w:val="left"/>
      <w:lvlText w:val="(%1)"/>
      <w:numFmt w:val="lowerRoman"/>
      <w:start w:val="1"/>
    </w:lvl>
  </w:abstractNum>
  <w:abstractNum w:abstractNumId="717">
    <w:nsid w:val="3D92C7D"/>
    <w:multiLevelType w:val="hybridMultilevel"/>
    <w:lvl w:ilvl="0">
      <w:lvlJc w:val="left"/>
      <w:lvlText w:val="%1."/>
      <w:numFmt w:val="decimal"/>
      <w:start w:val="10"/>
    </w:lvl>
  </w:abstractNum>
  <w:abstractNum w:abstractNumId="718">
    <w:nsid w:val="375A92FF"/>
    <w:multiLevelType w:val="hybridMultilevel"/>
    <w:lvl w:ilvl="0">
      <w:lvlJc w:val="left"/>
      <w:lvlText w:val="%1."/>
      <w:numFmt w:val="decimal"/>
      <w:start w:val="11"/>
    </w:lvl>
  </w:abstractNum>
  <w:abstractNum w:abstractNumId="719">
    <w:nsid w:val="29180EE2"/>
    <w:multiLevelType w:val="hybridMultilevel"/>
    <w:lvl w:ilvl="0">
      <w:lvlJc w:val="left"/>
      <w:lvlText w:val="(%1)"/>
      <w:numFmt w:val="lowerRoman"/>
      <w:start w:val="4"/>
    </w:lvl>
  </w:abstractNum>
  <w:abstractNum w:abstractNumId="720">
    <w:nsid w:val="7C901113"/>
    <w:multiLevelType w:val="hybridMultilevel"/>
    <w:lvl w:ilvl="0">
      <w:lvlJc w:val="left"/>
      <w:lvlText w:val="%1."/>
      <w:numFmt w:val="decimal"/>
      <w:start w:val="12"/>
    </w:lvl>
  </w:abstractNum>
  <w:abstractNum w:abstractNumId="721">
    <w:nsid w:val="427028B0"/>
    <w:multiLevelType w:val="hybridMultilevel"/>
    <w:lvl w:ilvl="0">
      <w:lvlJc w:val="left"/>
      <w:lvlText w:val="%1."/>
      <w:numFmt w:val="decimal"/>
      <w:start w:val="13"/>
    </w:lvl>
  </w:abstractNum>
  <w:abstractNum w:abstractNumId="722">
    <w:nsid w:val="4E7F1C4D"/>
    <w:multiLevelType w:val="hybridMultilevel"/>
    <w:lvl w:ilvl="0">
      <w:lvlJc w:val="left"/>
      <w:lvlText w:val="%1."/>
      <w:numFmt w:val="decimal"/>
      <w:start w:val="14"/>
    </w:lvl>
  </w:abstractNum>
  <w:abstractNum w:abstractNumId="723">
    <w:nsid w:val="5C76D652"/>
    <w:multiLevelType w:val="hybridMultilevel"/>
    <w:lvl w:ilvl="0">
      <w:lvlJc w:val="left"/>
      <w:lvlText w:val="(%1)"/>
      <w:numFmt w:val="lowerRoman"/>
      <w:start w:val="2"/>
    </w:lvl>
  </w:abstractNum>
  <w:abstractNum w:abstractNumId="724">
    <w:nsid w:val="7F1E3DAE"/>
    <w:multiLevelType w:val="hybridMultilevel"/>
    <w:lvl w:ilvl="0">
      <w:lvlJc w:val="left"/>
      <w:lvlText w:val="%1."/>
      <w:numFmt w:val="decimal"/>
      <w:start w:val="15"/>
    </w:lvl>
  </w:abstractNum>
  <w:abstractNum w:abstractNumId="725">
    <w:nsid w:val="3CA6D1B9"/>
    <w:multiLevelType w:val="hybridMultilevel"/>
    <w:lvl w:ilvl="0">
      <w:lvlJc w:val="left"/>
      <w:lvlText w:val="%1."/>
      <w:numFmt w:val="decimal"/>
      <w:start w:val="16"/>
    </w:lvl>
  </w:abstractNum>
  <w:abstractNum w:abstractNumId="726">
    <w:nsid w:val="43754DB7"/>
    <w:multiLevelType w:val="hybridMultilevel"/>
    <w:lvl w:ilvl="0">
      <w:lvlJc w:val="left"/>
      <w:lvlText w:val="%1."/>
      <w:numFmt w:val="decimal"/>
      <w:start w:val="17"/>
    </w:lvl>
  </w:abstractNum>
  <w:abstractNum w:abstractNumId="727">
    <w:nsid w:val="40307D27"/>
    <w:multiLevelType w:val="hybridMultilevel"/>
    <w:lvl w:ilvl="0">
      <w:lvlJc w:val="left"/>
      <w:lvlText w:val="%1."/>
      <w:numFmt w:val="decimal"/>
      <w:start w:val="18"/>
    </w:lvl>
  </w:abstractNum>
  <w:abstractNum w:abstractNumId="728">
    <w:nsid w:val="DF69013"/>
    <w:multiLevelType w:val="hybridMultilevel"/>
    <w:lvl w:ilvl="0">
      <w:lvlJc w:val="left"/>
      <w:lvlText w:val="(%1)"/>
      <w:numFmt w:val="lowerLetter"/>
      <w:start w:val="1"/>
    </w:lvl>
  </w:abstractNum>
  <w:abstractNum w:abstractNumId="729">
    <w:nsid w:val="FDE3B47"/>
    <w:multiLevelType w:val="hybridMultilevel"/>
    <w:lvl w:ilvl="0">
      <w:lvlJc w:val="left"/>
      <w:lvlText w:val="(%1)"/>
      <w:numFmt w:val="lowerLetter"/>
      <w:start w:val="2"/>
    </w:lvl>
  </w:abstractNum>
  <w:abstractNum w:abstractNumId="730">
    <w:nsid w:val="5EF4B64"/>
    <w:multiLevelType w:val="hybridMultilevel"/>
    <w:lvl w:ilvl="0">
      <w:lvlJc w:val="left"/>
      <w:lvlText w:val="%1."/>
      <w:numFmt w:val="decimal"/>
      <w:start w:val="1"/>
    </w:lvl>
  </w:abstractNum>
  <w:abstractNum w:abstractNumId="731">
    <w:nsid w:val="2457647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jpeg"/><Relationship Id="rId824" Type="http://schemas.openxmlformats.org/officeDocument/2006/relationships/image" Target="media/image817.png"/><Relationship Id="rId825" Type="http://schemas.openxmlformats.org/officeDocument/2006/relationships/image" Target="media/image818.jpeg"/><Relationship Id="rId826" Type="http://schemas.openxmlformats.org/officeDocument/2006/relationships/image" Target="media/image819.png"/><Relationship Id="rId827" Type="http://schemas.openxmlformats.org/officeDocument/2006/relationships/image" Target="media/image820.jpeg"/><Relationship Id="rId828" Type="http://schemas.openxmlformats.org/officeDocument/2006/relationships/image" Target="media/image821.png"/><Relationship Id="rId829" Type="http://schemas.openxmlformats.org/officeDocument/2006/relationships/image" Target="media/image822.jpeg"/><Relationship Id="rId830" Type="http://schemas.openxmlformats.org/officeDocument/2006/relationships/image" Target="media/image823.png"/><Relationship Id="rId831" Type="http://schemas.openxmlformats.org/officeDocument/2006/relationships/image" Target="media/image824.jpe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png"/><Relationship Id="rId835" Type="http://schemas.openxmlformats.org/officeDocument/2006/relationships/image" Target="media/image828.jpe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png"/><Relationship Id="rId841" Type="http://schemas.openxmlformats.org/officeDocument/2006/relationships/image" Target="media/image834.jpe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jpeg"/><Relationship Id="rId847" Type="http://schemas.openxmlformats.org/officeDocument/2006/relationships/image" Target="media/image840.pn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jpeg"/><Relationship Id="rId855" Type="http://schemas.openxmlformats.org/officeDocument/2006/relationships/image" Target="media/image848.png"/><Relationship Id="rId856" Type="http://schemas.openxmlformats.org/officeDocument/2006/relationships/image" Target="media/image849.jpe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pn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jpeg"/><Relationship Id="rId865" Type="http://schemas.openxmlformats.org/officeDocument/2006/relationships/image" Target="media/image858.png"/><Relationship Id="rId866" Type="http://schemas.openxmlformats.org/officeDocument/2006/relationships/image" Target="media/image859.jpe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jpeg"/><Relationship Id="rId871" Type="http://schemas.openxmlformats.org/officeDocument/2006/relationships/image" Target="media/image864.pn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jpeg"/><Relationship Id="rId880" Type="http://schemas.openxmlformats.org/officeDocument/2006/relationships/image" Target="media/image873.png"/><Relationship Id="rId881" Type="http://schemas.openxmlformats.org/officeDocument/2006/relationships/image" Target="media/image874.jpeg"/><Relationship Id="rId882" Type="http://schemas.openxmlformats.org/officeDocument/2006/relationships/image" Target="media/image875.png"/><Relationship Id="rId883" Type="http://schemas.openxmlformats.org/officeDocument/2006/relationships/image" Target="media/image876.jpeg"/><Relationship Id="rId884" Type="http://schemas.openxmlformats.org/officeDocument/2006/relationships/image" Target="media/image877.png"/><Relationship Id="rId885" Type="http://schemas.openxmlformats.org/officeDocument/2006/relationships/image" Target="media/image878.jpeg"/><Relationship Id="rId886" Type="http://schemas.openxmlformats.org/officeDocument/2006/relationships/image" Target="media/image879.png"/><Relationship Id="rId887" Type="http://schemas.openxmlformats.org/officeDocument/2006/relationships/image" Target="media/image880.jpeg"/><Relationship Id="rId888" Type="http://schemas.openxmlformats.org/officeDocument/2006/relationships/image" Target="media/image881.png"/><Relationship Id="rId889" Type="http://schemas.openxmlformats.org/officeDocument/2006/relationships/image" Target="media/image882.jpe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jpeg"/><Relationship Id="rId893" Type="http://schemas.openxmlformats.org/officeDocument/2006/relationships/image" Target="media/image886.pn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jpeg"/><Relationship Id="rId897" Type="http://schemas.openxmlformats.org/officeDocument/2006/relationships/image" Target="media/image890.png"/><Relationship Id="rId898" Type="http://schemas.openxmlformats.org/officeDocument/2006/relationships/image" Target="media/image891.jpeg"/><Relationship Id="rId899" Type="http://schemas.openxmlformats.org/officeDocument/2006/relationships/image" Target="media/image892.png"/><Relationship Id="rId900" Type="http://schemas.openxmlformats.org/officeDocument/2006/relationships/image" Target="media/image893.jpeg"/><Relationship Id="rId901" Type="http://schemas.openxmlformats.org/officeDocument/2006/relationships/image" Target="media/image894.png"/><Relationship Id="rId902" Type="http://schemas.openxmlformats.org/officeDocument/2006/relationships/image" Target="media/image895.jpeg"/><Relationship Id="rId903" Type="http://schemas.openxmlformats.org/officeDocument/2006/relationships/image" Target="media/image896.png"/><Relationship Id="rId904" Type="http://schemas.openxmlformats.org/officeDocument/2006/relationships/image" Target="media/image897.jpeg"/><Relationship Id="rId905" Type="http://schemas.openxmlformats.org/officeDocument/2006/relationships/image" Target="media/image898.png"/><Relationship Id="rId906" Type="http://schemas.openxmlformats.org/officeDocument/2006/relationships/image" Target="media/image899.jpeg"/><Relationship Id="rId907" Type="http://schemas.openxmlformats.org/officeDocument/2006/relationships/image" Target="media/image900.png"/><Relationship Id="rId908" Type="http://schemas.openxmlformats.org/officeDocument/2006/relationships/image" Target="media/image901.jpeg"/><Relationship Id="rId909" Type="http://schemas.openxmlformats.org/officeDocument/2006/relationships/image" Target="media/image902.png"/><Relationship Id="rId910" Type="http://schemas.openxmlformats.org/officeDocument/2006/relationships/image" Target="media/image903.jpeg"/><Relationship Id="rId911" Type="http://schemas.openxmlformats.org/officeDocument/2006/relationships/image" Target="media/image904.pn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jpeg"/><Relationship Id="rId917" Type="http://schemas.openxmlformats.org/officeDocument/2006/relationships/image" Target="media/image910.png"/><Relationship Id="rId918" Type="http://schemas.openxmlformats.org/officeDocument/2006/relationships/image" Target="media/image911.jpeg"/><Relationship Id="rId919" Type="http://schemas.openxmlformats.org/officeDocument/2006/relationships/image" Target="media/image912.png"/><Relationship Id="rId920" Type="http://schemas.openxmlformats.org/officeDocument/2006/relationships/image" Target="media/image913.jpeg"/><Relationship Id="rId921" Type="http://schemas.openxmlformats.org/officeDocument/2006/relationships/image" Target="media/image914.png"/><Relationship Id="rId922" Type="http://schemas.openxmlformats.org/officeDocument/2006/relationships/image" Target="media/image915.jpeg"/><Relationship Id="rId923" Type="http://schemas.openxmlformats.org/officeDocument/2006/relationships/image" Target="media/image916.png"/><Relationship Id="rId924" Type="http://schemas.openxmlformats.org/officeDocument/2006/relationships/image" Target="media/image917.jpeg"/><Relationship Id="rId925" Type="http://schemas.openxmlformats.org/officeDocument/2006/relationships/image" Target="media/image918.png"/><Relationship Id="rId926" Type="http://schemas.openxmlformats.org/officeDocument/2006/relationships/image" Target="media/image919.jpe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jpe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jpe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jpe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jpe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2019-12-11T09:12:23Z</dcterms:created>
  <dcterms:modified xsi:type="dcterms:W3CDTF">2019-12-11T09:12:23Z</dcterms:modified>
</cp:coreProperties>
</file>